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F4236" w14:textId="77777777" w:rsidR="002F5AFB" w:rsidRPr="005B6981" w:rsidRDefault="002F5AFB" w:rsidP="002F5AFB">
      <w:pPr>
        <w:spacing w:after="0"/>
        <w:jc w:val="center"/>
        <w:rPr>
          <w:rFonts w:ascii="Arial Black" w:hAnsi="Arial Black" w:cs="Times New Roman"/>
          <w:b/>
          <w:sz w:val="28"/>
          <w:szCs w:val="24"/>
        </w:rPr>
      </w:pPr>
      <w:r w:rsidRPr="005B6981">
        <w:rPr>
          <w:rFonts w:ascii="Arial Black" w:hAnsi="Arial Black" w:cs="Times New Roman"/>
          <w:b/>
          <w:sz w:val="28"/>
          <w:szCs w:val="24"/>
        </w:rPr>
        <w:t>A PROJECT REPORT</w:t>
      </w:r>
    </w:p>
    <w:p w14:paraId="26FBB8CE" w14:textId="77777777" w:rsidR="002F5AFB" w:rsidRPr="005B6981" w:rsidRDefault="002F5AFB" w:rsidP="002F5AFB">
      <w:pPr>
        <w:spacing w:after="0"/>
        <w:jc w:val="center"/>
        <w:rPr>
          <w:rFonts w:ascii="Arial Black" w:hAnsi="Arial Black" w:cs="Times New Roman"/>
          <w:b/>
          <w:sz w:val="28"/>
          <w:szCs w:val="24"/>
        </w:rPr>
      </w:pPr>
    </w:p>
    <w:p w14:paraId="21ED909A" w14:textId="77777777" w:rsidR="002F5AFB" w:rsidRPr="005B6981" w:rsidRDefault="002F5AFB" w:rsidP="002F5AFB">
      <w:pPr>
        <w:spacing w:after="0"/>
        <w:jc w:val="center"/>
        <w:rPr>
          <w:rFonts w:ascii="Arial Black" w:hAnsi="Arial Black" w:cs="Times New Roman"/>
          <w:b/>
          <w:sz w:val="28"/>
          <w:szCs w:val="24"/>
        </w:rPr>
      </w:pPr>
      <w:r w:rsidRPr="005B6981">
        <w:rPr>
          <w:rFonts w:ascii="Arial Black" w:hAnsi="Arial Black" w:cs="Times New Roman"/>
          <w:b/>
          <w:sz w:val="28"/>
          <w:szCs w:val="24"/>
        </w:rPr>
        <w:t>ON</w:t>
      </w:r>
    </w:p>
    <w:p w14:paraId="31D12EA6" w14:textId="77777777" w:rsidR="002F5AFB" w:rsidRPr="005B6981" w:rsidRDefault="002F5AFB" w:rsidP="002F5AFB">
      <w:pPr>
        <w:spacing w:after="0"/>
        <w:jc w:val="center"/>
        <w:rPr>
          <w:rFonts w:ascii="Arial Black" w:hAnsi="Arial Black" w:cs="Times New Roman"/>
          <w:b/>
          <w:sz w:val="28"/>
          <w:szCs w:val="24"/>
        </w:rPr>
      </w:pPr>
    </w:p>
    <w:p w14:paraId="40F773D1" w14:textId="77777777" w:rsidR="002F5AFB" w:rsidRPr="005B6981" w:rsidRDefault="002F5AFB" w:rsidP="002F5AFB">
      <w:pPr>
        <w:spacing w:after="0"/>
        <w:jc w:val="center"/>
        <w:rPr>
          <w:rFonts w:ascii="Arial Black" w:hAnsi="Arial Black" w:cs="Times New Roman"/>
          <w:b/>
          <w:sz w:val="28"/>
          <w:szCs w:val="24"/>
        </w:rPr>
      </w:pPr>
      <w:r w:rsidRPr="005B6981">
        <w:rPr>
          <w:rFonts w:ascii="Arial Black" w:hAnsi="Arial Black" w:cs="Times New Roman"/>
          <w:b/>
          <w:sz w:val="28"/>
          <w:szCs w:val="24"/>
        </w:rPr>
        <w:t>EVALUATING THE ACID NEUTRALIZING CAPACITY OF SOME ANTACIDS SOLD OVER THE COUNTER WITHIN ILORIN METROPOLITAN</w:t>
      </w:r>
    </w:p>
    <w:p w14:paraId="7022E6C6" w14:textId="77777777" w:rsidR="002F5AFB" w:rsidRPr="005B6981" w:rsidRDefault="002F5AFB" w:rsidP="002F5AFB">
      <w:pPr>
        <w:spacing w:after="0"/>
        <w:jc w:val="center"/>
        <w:rPr>
          <w:rFonts w:ascii="Arial Black" w:hAnsi="Arial Black" w:cs="Times New Roman"/>
          <w:b/>
          <w:sz w:val="24"/>
          <w:szCs w:val="24"/>
        </w:rPr>
      </w:pPr>
    </w:p>
    <w:p w14:paraId="05FC2F92" w14:textId="77777777" w:rsidR="002F5AFB" w:rsidRPr="005B6981" w:rsidRDefault="002F5AFB" w:rsidP="002F5AFB">
      <w:pPr>
        <w:spacing w:after="0"/>
        <w:jc w:val="center"/>
        <w:rPr>
          <w:rFonts w:ascii="Arial Black" w:hAnsi="Arial Black" w:cs="Times New Roman"/>
          <w:b/>
          <w:sz w:val="24"/>
          <w:szCs w:val="24"/>
        </w:rPr>
      </w:pPr>
      <w:r w:rsidRPr="005B6981">
        <w:rPr>
          <w:rFonts w:ascii="Arial Black" w:hAnsi="Arial Black" w:cs="Times New Roman"/>
          <w:b/>
          <w:sz w:val="24"/>
          <w:szCs w:val="24"/>
        </w:rPr>
        <w:t>BY</w:t>
      </w:r>
    </w:p>
    <w:p w14:paraId="36B9AE42" w14:textId="77777777" w:rsidR="004C068E" w:rsidRPr="005B6981" w:rsidRDefault="004C068E" w:rsidP="004C068E">
      <w:pPr>
        <w:spacing w:after="0"/>
        <w:jc w:val="center"/>
        <w:rPr>
          <w:rFonts w:ascii="Arial Black" w:hAnsi="Arial Black" w:cs="Times New Roman"/>
          <w:b/>
          <w:sz w:val="20"/>
          <w:szCs w:val="20"/>
        </w:rPr>
      </w:pPr>
    </w:p>
    <w:p w14:paraId="0C5EF8FD" w14:textId="77777777" w:rsidR="004C068E" w:rsidRPr="005B6981" w:rsidRDefault="004C068E" w:rsidP="004C068E">
      <w:pPr>
        <w:spacing w:after="0"/>
        <w:jc w:val="center"/>
        <w:rPr>
          <w:rFonts w:ascii="Arial Black" w:hAnsi="Arial Black" w:cs="Times New Roman"/>
          <w:b/>
          <w:sz w:val="20"/>
          <w:szCs w:val="20"/>
        </w:rPr>
      </w:pPr>
    </w:p>
    <w:p w14:paraId="3282C1AD" w14:textId="77777777" w:rsidR="0012239B" w:rsidRPr="0012239B" w:rsidRDefault="0012239B" w:rsidP="0012239B">
      <w:pPr>
        <w:spacing w:after="0" w:line="360" w:lineRule="auto"/>
        <w:jc w:val="center"/>
        <w:rPr>
          <w:rFonts w:ascii="Arial Black" w:hAnsi="Arial Black" w:cs="Times New Roman"/>
          <w:b/>
          <w:sz w:val="28"/>
          <w:szCs w:val="28"/>
        </w:rPr>
      </w:pPr>
      <w:r w:rsidRPr="0012239B">
        <w:rPr>
          <w:rFonts w:ascii="Arial Black" w:hAnsi="Arial Black" w:cs="Times New Roman"/>
          <w:b/>
          <w:sz w:val="28"/>
          <w:szCs w:val="28"/>
        </w:rPr>
        <w:t>AMOS VICTORIA BOLATITO</w:t>
      </w:r>
    </w:p>
    <w:p w14:paraId="5D4CD36D" w14:textId="77777777" w:rsidR="005B2470" w:rsidRPr="0012239B" w:rsidRDefault="0012239B" w:rsidP="0012239B">
      <w:pPr>
        <w:spacing w:after="0" w:line="360" w:lineRule="auto"/>
        <w:jc w:val="center"/>
        <w:rPr>
          <w:rFonts w:ascii="Arial Black" w:hAnsi="Arial Black" w:cs="Times New Roman"/>
          <w:b/>
          <w:sz w:val="28"/>
          <w:szCs w:val="28"/>
        </w:rPr>
      </w:pPr>
      <w:r w:rsidRPr="0012239B">
        <w:rPr>
          <w:rFonts w:ascii="Arial Black" w:hAnsi="Arial Black" w:cs="Times New Roman"/>
          <w:b/>
          <w:sz w:val="28"/>
          <w:szCs w:val="28"/>
        </w:rPr>
        <w:t>ND/23/SLT/PT/0791</w:t>
      </w:r>
    </w:p>
    <w:p w14:paraId="6757E4AC" w14:textId="77777777" w:rsidR="005B2470" w:rsidRDefault="005B2470" w:rsidP="002F5AFB">
      <w:pPr>
        <w:spacing w:after="0"/>
        <w:jc w:val="center"/>
        <w:rPr>
          <w:rFonts w:ascii="Arial Black" w:hAnsi="Arial Black" w:cs="Times New Roman"/>
          <w:b/>
          <w:sz w:val="24"/>
          <w:szCs w:val="24"/>
        </w:rPr>
      </w:pPr>
    </w:p>
    <w:p w14:paraId="31EC7FCA" w14:textId="77777777" w:rsidR="002F5AFB" w:rsidRPr="005B6981" w:rsidRDefault="002F5AFB" w:rsidP="002F5AFB">
      <w:pPr>
        <w:spacing w:after="0"/>
        <w:jc w:val="center"/>
        <w:rPr>
          <w:rFonts w:ascii="Arial Black" w:hAnsi="Arial Black" w:cs="Times New Roman"/>
          <w:b/>
          <w:sz w:val="24"/>
          <w:szCs w:val="24"/>
        </w:rPr>
      </w:pPr>
      <w:r w:rsidRPr="005B6981">
        <w:rPr>
          <w:rFonts w:ascii="Arial Black" w:hAnsi="Arial Black" w:cs="Times New Roman"/>
          <w:b/>
          <w:sz w:val="24"/>
          <w:szCs w:val="24"/>
        </w:rPr>
        <w:t>SUBMITTED TO THE DEPARTMENT OF SCIENCE LABORATORY TECHN</w:t>
      </w:r>
      <w:r w:rsidR="00F65E53" w:rsidRPr="005B6981">
        <w:rPr>
          <w:rFonts w:ascii="Arial Black" w:hAnsi="Arial Black" w:cs="Times New Roman"/>
          <w:b/>
          <w:sz w:val="24"/>
          <w:szCs w:val="24"/>
        </w:rPr>
        <w:t>O</w:t>
      </w:r>
      <w:r w:rsidRPr="005B6981">
        <w:rPr>
          <w:rFonts w:ascii="Arial Black" w:hAnsi="Arial Black" w:cs="Times New Roman"/>
          <w:b/>
          <w:sz w:val="24"/>
          <w:szCs w:val="24"/>
        </w:rPr>
        <w:t>LOGY, INSTITUTE OF APPLIED SCIENCE, KWARA STATE POLYTECHNIC, ILORIN.</w:t>
      </w:r>
    </w:p>
    <w:p w14:paraId="58EF3209" w14:textId="77777777" w:rsidR="002F5AFB" w:rsidRPr="005B6981" w:rsidRDefault="002F5AFB" w:rsidP="002F5AFB">
      <w:pPr>
        <w:spacing w:after="0"/>
        <w:jc w:val="center"/>
        <w:rPr>
          <w:rFonts w:ascii="Arial Black" w:hAnsi="Arial Black" w:cs="Times New Roman"/>
          <w:b/>
          <w:sz w:val="24"/>
          <w:szCs w:val="24"/>
        </w:rPr>
      </w:pPr>
    </w:p>
    <w:p w14:paraId="6B5F7250" w14:textId="77777777" w:rsidR="002F5AFB" w:rsidRPr="005B6981" w:rsidRDefault="002F5AFB" w:rsidP="002F5AFB">
      <w:pPr>
        <w:spacing w:after="0"/>
        <w:jc w:val="center"/>
        <w:rPr>
          <w:rFonts w:ascii="Arial Black" w:hAnsi="Arial Black" w:cs="Times New Roman"/>
          <w:b/>
          <w:sz w:val="24"/>
          <w:szCs w:val="24"/>
        </w:rPr>
      </w:pPr>
      <w:r w:rsidRPr="005B6981">
        <w:rPr>
          <w:rFonts w:ascii="Arial Black" w:hAnsi="Arial Black" w:cs="Times New Roman"/>
          <w:b/>
          <w:sz w:val="24"/>
          <w:szCs w:val="24"/>
        </w:rPr>
        <w:t>IN PARTIAL FULFI</w:t>
      </w:r>
      <w:r w:rsidR="00B06891" w:rsidRPr="005B6981">
        <w:rPr>
          <w:rFonts w:ascii="Arial Black" w:hAnsi="Arial Black" w:cs="Times New Roman"/>
          <w:b/>
          <w:sz w:val="24"/>
          <w:szCs w:val="24"/>
        </w:rPr>
        <w:t>L</w:t>
      </w:r>
      <w:r w:rsidRPr="005B6981">
        <w:rPr>
          <w:rFonts w:ascii="Arial Black" w:hAnsi="Arial Black" w:cs="Times New Roman"/>
          <w:b/>
          <w:sz w:val="24"/>
          <w:szCs w:val="24"/>
        </w:rPr>
        <w:t>LMENT OF THE REQUIREMENTS FOR THE AWARD OF NATIONAL DIPLOMA (ND) IN SCIENCE LABORATORY TECHNOLOGY</w:t>
      </w:r>
    </w:p>
    <w:p w14:paraId="47B1483F" w14:textId="77777777" w:rsidR="002F5AFB" w:rsidRPr="005B6981" w:rsidRDefault="002F5AFB" w:rsidP="002F5AFB">
      <w:pPr>
        <w:spacing w:after="0"/>
        <w:jc w:val="right"/>
        <w:rPr>
          <w:rFonts w:ascii="Arial Black" w:hAnsi="Arial Black" w:cs="Times New Roman"/>
          <w:b/>
          <w:sz w:val="24"/>
          <w:szCs w:val="24"/>
        </w:rPr>
      </w:pPr>
    </w:p>
    <w:p w14:paraId="772D62FD" w14:textId="77777777" w:rsidR="002F5AFB" w:rsidRPr="005B6981" w:rsidRDefault="002F5AFB" w:rsidP="002F5AFB">
      <w:pPr>
        <w:spacing w:after="0"/>
        <w:jc w:val="right"/>
        <w:rPr>
          <w:rFonts w:ascii="Arial Black" w:hAnsi="Arial Black" w:cs="Times New Roman"/>
          <w:b/>
          <w:sz w:val="24"/>
          <w:szCs w:val="24"/>
        </w:rPr>
      </w:pPr>
    </w:p>
    <w:p w14:paraId="233B7667" w14:textId="77777777" w:rsidR="002F5AFB" w:rsidRPr="005B6981" w:rsidRDefault="002F5AFB" w:rsidP="002F5AFB">
      <w:pPr>
        <w:spacing w:after="0"/>
        <w:jc w:val="right"/>
        <w:rPr>
          <w:rFonts w:ascii="Arial Black" w:hAnsi="Arial Black" w:cs="Times New Roman"/>
          <w:b/>
          <w:sz w:val="24"/>
          <w:szCs w:val="24"/>
        </w:rPr>
      </w:pPr>
    </w:p>
    <w:p w14:paraId="3B3A15E0" w14:textId="77777777" w:rsidR="002F5AFB" w:rsidRPr="005B6981" w:rsidRDefault="002F5AFB" w:rsidP="002F5AFB">
      <w:pPr>
        <w:spacing w:after="0"/>
        <w:rPr>
          <w:rFonts w:ascii="Arial Black" w:hAnsi="Arial Black" w:cs="Times New Roman"/>
          <w:b/>
          <w:sz w:val="24"/>
          <w:szCs w:val="24"/>
        </w:rPr>
      </w:pPr>
    </w:p>
    <w:p w14:paraId="3E65FEA7" w14:textId="77777777" w:rsidR="004C068E" w:rsidRPr="005B2470" w:rsidRDefault="002F5AFB" w:rsidP="005B2470">
      <w:pPr>
        <w:spacing w:after="0"/>
        <w:jc w:val="right"/>
        <w:rPr>
          <w:rFonts w:ascii="Arial Black" w:hAnsi="Arial Black" w:cs="Times New Roman"/>
          <w:b/>
          <w:sz w:val="24"/>
          <w:szCs w:val="24"/>
        </w:rPr>
      </w:pPr>
      <w:r w:rsidRPr="005B6981">
        <w:rPr>
          <w:rFonts w:ascii="Arial Black" w:hAnsi="Arial Black" w:cs="Times New Roman"/>
          <w:b/>
          <w:sz w:val="24"/>
          <w:szCs w:val="24"/>
        </w:rPr>
        <w:t>JULY, 2025.</w:t>
      </w:r>
      <w:bookmarkStart w:id="0" w:name="_Toc172679862"/>
    </w:p>
    <w:p w14:paraId="69E7230F" w14:textId="77777777" w:rsidR="0012239B" w:rsidRDefault="0012239B" w:rsidP="002F5AFB">
      <w:pPr>
        <w:pStyle w:val="Heading2"/>
        <w:spacing w:line="360" w:lineRule="auto"/>
        <w:jc w:val="center"/>
      </w:pPr>
    </w:p>
    <w:p w14:paraId="6338E0D8" w14:textId="77777777" w:rsidR="002F5AFB" w:rsidRPr="002F5AFB" w:rsidRDefault="002F5AFB" w:rsidP="002F5AFB">
      <w:pPr>
        <w:pStyle w:val="Heading2"/>
        <w:spacing w:line="360" w:lineRule="auto"/>
        <w:jc w:val="center"/>
      </w:pPr>
      <w:r w:rsidRPr="002F5AFB">
        <w:lastRenderedPageBreak/>
        <w:t>CERTIFICATION</w:t>
      </w:r>
      <w:bookmarkEnd w:id="0"/>
    </w:p>
    <w:p w14:paraId="1816BBFA" w14:textId="77777777" w:rsidR="002F5AFB" w:rsidRPr="004C068E" w:rsidRDefault="002F5AFB" w:rsidP="004C068E">
      <w:pPr>
        <w:pStyle w:val="BodyText"/>
        <w:spacing w:line="360" w:lineRule="auto"/>
        <w:rPr>
          <w:b/>
        </w:rPr>
      </w:pPr>
      <w:r w:rsidRPr="002F5AFB">
        <w:t xml:space="preserve">This is to certify that this research study was conducted by </w:t>
      </w:r>
      <w:r w:rsidR="0012239B">
        <w:rPr>
          <w:b/>
        </w:rPr>
        <w:t xml:space="preserve">AMOS VICTORIA BOLATITO </w:t>
      </w:r>
      <w:r w:rsidR="004C068E">
        <w:t>matric number</w:t>
      </w:r>
      <w:r w:rsidR="005B6981">
        <w:t>:</w:t>
      </w:r>
      <w:r w:rsidR="005B2470">
        <w:t xml:space="preserve"> </w:t>
      </w:r>
      <w:r w:rsidR="0012239B" w:rsidRPr="0012239B">
        <w:rPr>
          <w:b/>
        </w:rPr>
        <w:t>ND/23/SLT/PT/0791</w:t>
      </w:r>
      <w:r w:rsidRPr="002F5AFB">
        <w:t xml:space="preserve"> had been read and approved as a requirement for the award of National diploma (ND) in the department of Science Laboratory Technology, Institute of Applied Sciences, Kwara State Polytechnics.</w:t>
      </w:r>
    </w:p>
    <w:p w14:paraId="3B3622D0" w14:textId="77777777" w:rsidR="002F5AFB" w:rsidRPr="002F5AFB" w:rsidRDefault="002F5AFB" w:rsidP="002F5AFB">
      <w:pPr>
        <w:pStyle w:val="BodyText"/>
        <w:spacing w:line="360" w:lineRule="auto"/>
      </w:pPr>
    </w:p>
    <w:p w14:paraId="26E259DC" w14:textId="77777777" w:rsidR="002F5AFB" w:rsidRPr="002F5AFB" w:rsidRDefault="002F5AFB" w:rsidP="002F5AFB">
      <w:pPr>
        <w:pStyle w:val="BodyText"/>
        <w:spacing w:before="0" w:line="276" w:lineRule="auto"/>
      </w:pPr>
      <w:r w:rsidRPr="002F5AFB">
        <w:rPr>
          <w:noProof/>
        </w:rPr>
        <mc:AlternateContent>
          <mc:Choice Requires="wps">
            <w:drawing>
              <wp:anchor distT="0" distB="0" distL="114300" distR="114300" simplePos="0" relativeHeight="251659264" behindDoc="0" locked="0" layoutInCell="1" allowOverlap="1" wp14:anchorId="422565E5" wp14:editId="2FC2CF38">
                <wp:simplePos x="0" y="0"/>
                <wp:positionH relativeFrom="column">
                  <wp:posOffset>7620</wp:posOffset>
                </wp:positionH>
                <wp:positionV relativeFrom="paragraph">
                  <wp:posOffset>337820</wp:posOffset>
                </wp:positionV>
                <wp:extent cx="1945005" cy="10795"/>
                <wp:effectExtent l="0" t="0" r="17145" b="2730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5005" cy="1079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6.6pt" to="153.7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5r6OAIAAF4EAAAOAAAAZHJzL2Uyb0RvYy54bWysVE2P2jAQvVfqf7B8hyRsYCEirKoEetl2&#10;kdj2bmwnserYlu0loKr/vWPD0qW9VFU5GH/MPL9585zlw7GX6MCtE1qVOBunGHFFNROqLfGX581o&#10;jpHzRDEiteIlPnGHH1bv3y0HU/CJ7rRk3CIAUa4YTIk7702RJI52vCdurA1XcNho2xMPS9smzJIB&#10;0HuZTNJ0lgzaMmM15c7Bbn0+xKuI3zSc+qemcdwjWWLg5uNo47gPY7JakqK1xHSCXmiQf2DRE6Hg&#10;0itUTTxBL1b8AdULarXTjR9T3Se6aQTlsQaoJkt/q2bXEcNjLSCOM1eZ3P+DpZ8PW4sEK/FkhpEi&#10;PfRo5y0RbedRpZUCBbVFcAhKDcYVkFCprQ210qPamUdNvzmkdNUR1fLI+PlkACULGclNSlg4A/ft&#10;h0+aQQx58TrKdmxsjxopzNeQGMBBGnSMfTpd+8SPHlHYzBb5NE2nGFE4y9L7xTTeRYoAE5KNdf4j&#10;1z0KkxJLoYKMpCCHR+cDrV8hYVvpjZAyWkEqNJR4djcFsxDZgqeptzHXaSlYiAsZzrb7Slp0IMFX&#10;8XehcBPWCw/ulqIv8fwaRIqOE7ZWLF7oiZDnOZCSKoBDmUDzMju76PsiXazn63k+yiez9ShP63r0&#10;YVPlo9kmu5/Wd3VV1dmPwDPLi04wxlWg+uroLP87x1ze1tmLV09f5Ulu0aOOQPb1P5KOHQ9NPttl&#10;r9lpa1+dACaOwZcHF17J2zXM334WVj8BAAD//wMAUEsDBBQABgAIAAAAIQDqT+xn2wAAAAcBAAAP&#10;AAAAZHJzL2Rvd25yZXYueG1sTI7BbsIwEETvlfgHa5F6Kw4EWhLiIKjU9oZUKHcTL0lEvA6xA+nf&#10;d3tqT6vZGc28bD3YRtyw87UjBdNJBAKpcKamUsHX4e1pCcIHTUY3jlDBN3pY56OHTKfG3ekTb/tQ&#10;Ci4hn2oFVQhtKqUvKrTaT1yLxN7ZdVYHll0pTafvXG4bOYuiZ2l1TbxQ6RZfKywu+94q2B6S+N0c&#10;+4/LLpnjZptMfX89KvU4HjYrEAGH8BeGX3xGh5yZTq4n40XDesZBBYuYL9tx9LIAceLHPAGZZ/I/&#10;f/4DAAD//wMAUEsBAi0AFAAGAAgAAAAhALaDOJL+AAAA4QEAABMAAAAAAAAAAAAAAAAAAAAAAFtD&#10;b250ZW50X1R5cGVzXS54bWxQSwECLQAUAAYACAAAACEAOP0h/9YAAACUAQAACwAAAAAAAAAAAAAA&#10;AAAvAQAAX3JlbHMvLnJlbHNQSwECLQAUAAYACAAAACEA/Dua+jgCAABeBAAADgAAAAAAAAAAAAAA&#10;AAAuAgAAZHJzL2Uyb0RvYy54bWxQSwECLQAUAAYACAAAACEA6k/sZ9sAAAAHAQAADwAAAAAAAAAA&#10;AAAAAACSBAAAZHJzL2Rvd25yZXYueG1sUEsFBgAAAAAEAAQA8wAAAJoFAAAAAA==&#10;" strokeweight=".5pt">
                <v:stroke joinstyle="miter"/>
              </v:line>
            </w:pict>
          </mc:Fallback>
        </mc:AlternateContent>
      </w:r>
      <w:r w:rsidRPr="002F5AFB">
        <w:rPr>
          <w:noProof/>
        </w:rPr>
        <mc:AlternateContent>
          <mc:Choice Requires="wps">
            <w:drawing>
              <wp:anchor distT="0" distB="0" distL="114300" distR="114300" simplePos="0" relativeHeight="251660288" behindDoc="0" locked="0" layoutInCell="1" allowOverlap="1" wp14:anchorId="5F9466B1" wp14:editId="5B347BDA">
                <wp:simplePos x="0" y="0"/>
                <wp:positionH relativeFrom="column">
                  <wp:posOffset>3871595</wp:posOffset>
                </wp:positionH>
                <wp:positionV relativeFrom="paragraph">
                  <wp:posOffset>318770</wp:posOffset>
                </wp:positionV>
                <wp:extent cx="15621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62100"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85pt,25.1pt" to="427.8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XE+gEAAOcDAAAOAAAAZHJzL2Uyb0RvYy54bWysU01v2zAMvQ/YfxB0X5xkSNAZcXpI0F26&#10;LUDa3VlZsoXqC6IaJ/9+lJyk7XYb6oNAkeIjH/m8uj1aww4yovau4bPJlDPphG+16xr++HD35YYz&#10;TOBaMN7Jhp8k8tv150+rIdRy7ntvWhkZgTish9DwPqVQVxWKXlrAiQ/SUVD5aCHRNXZVG2EgdGuq&#10;+XS6rAYf2xC9kIjk3Y5Bvi74SkmRfimFMjHTcOotlTOW8ymf1XoFdRch9Fqc24D/6MKCdlT0CrWF&#10;BOwl6n+grBbRo1dpIrytvFJayMKB2Mymf7HZ9xBk4ULDwXAdE34crPh52EWm24bPF5w5sLSjfYqg&#10;uz6xjXeOJugjoyBNaghYU8LG7WLmKo5uH+69eEaKVe+C+YJhfHZU0TJldPhNAilDItrsWHZwuu5A&#10;HhMT5JwtlvPZlFYlLrEK6gyRK4aI6bv0lmWj4Ua7PB6o4XCPKTfx+iS7nb/TxpQVG8eGhi+/LjIy&#10;kNCUgUSmDUQdXccZmI4ULFIsiOiNbnN2xsETbkxkByARkfZaPzxQu5wZwEQB4lC+kmhe7A/fjm+/&#10;Lcg/SozcJMTRffFStyNyafxdxcxvC9iPCSU04lid6H8x2jb8Ziw60jYuNyqL4s+zeN1Btp58e9rF&#10;y6JITaXoWflZrm/vZL/9P9d/AAAA//8DAFBLAwQUAAYACAAAACEAJsfsSd0AAAAJAQAADwAAAGRy&#10;cy9kb3ducmV2LnhtbEyPwUoDMRCG74LvEEbwZpMWtq3rZosUPKj0YBXsMU3iZjGZLJt0G9/eEQ96&#10;nH9+vvmm2ZTg2WTH1EeUMJ8JYBZ1ND12Et5eH27WwFJWaJSPaCV82QSb9vKiUbWJZ3yx0z53jCCY&#10;aiXB5TzUnCftbFBpFgeLtPuIY1CZxrHjZlRnggfPF0IseVA90gWnBrt1Vn/uT0HC8lFvJ6ef3v3u&#10;8Fx289WhRIxSXl+V+ztg2Zb8V4YffVKHlpyO8YQmMU8McbuiqoRKLIBRYV1VFBx/A942/P8H7TcA&#10;AAD//wMAUEsBAi0AFAAGAAgAAAAhALaDOJL+AAAA4QEAABMAAAAAAAAAAAAAAAAAAAAAAFtDb250&#10;ZW50X1R5cGVzXS54bWxQSwECLQAUAAYACAAAACEAOP0h/9YAAACUAQAACwAAAAAAAAAAAAAAAAAv&#10;AQAAX3JlbHMvLnJlbHNQSwECLQAUAAYACAAAACEAQLolxPoBAADnAwAADgAAAAAAAAAAAAAAAAAu&#10;AgAAZHJzL2Uyb0RvYy54bWxQSwECLQAUAAYACAAAACEAJsfsSd0AAAAJAQAADwAAAAAAAAAAAAAA&#10;AABUBAAAZHJzL2Rvd25yZXYueG1sUEsFBgAAAAAEAAQA8wAAAF4FAAAAAA==&#10;" strokecolor="#0d0d0d" strokeweight=".5pt">
                <v:stroke joinstyle="miter"/>
                <o:lock v:ext="edit" shapetype="f"/>
              </v:line>
            </w:pict>
          </mc:Fallback>
        </mc:AlternateContent>
      </w:r>
    </w:p>
    <w:p w14:paraId="549E0DA9" w14:textId="77777777" w:rsidR="002F5AFB" w:rsidRDefault="002F5AFB" w:rsidP="002F5AFB">
      <w:pPr>
        <w:spacing w:after="0"/>
        <w:rPr>
          <w:rFonts w:ascii="Times New Roman" w:hAnsi="Times New Roman" w:cs="Times New Roman"/>
          <w:b/>
          <w:sz w:val="24"/>
          <w:szCs w:val="24"/>
        </w:rPr>
      </w:pPr>
    </w:p>
    <w:p w14:paraId="4E7EE3D6" w14:textId="77777777" w:rsidR="002F5AFB" w:rsidRPr="002F5AFB" w:rsidRDefault="002F5AFB" w:rsidP="002F5AFB">
      <w:pPr>
        <w:spacing w:after="0"/>
        <w:rPr>
          <w:rFonts w:ascii="Times New Roman" w:hAnsi="Times New Roman" w:cs="Times New Roman"/>
          <w:b/>
          <w:sz w:val="24"/>
          <w:szCs w:val="24"/>
        </w:rPr>
      </w:pPr>
      <w:r w:rsidRPr="002F5AFB">
        <w:rPr>
          <w:rFonts w:ascii="Times New Roman" w:hAnsi="Times New Roman" w:cs="Times New Roman"/>
          <w:b/>
          <w:sz w:val="24"/>
          <w:szCs w:val="24"/>
        </w:rPr>
        <w:t>MR. ABDULRAHMAN B.D</w:t>
      </w:r>
      <w:r w:rsidRPr="002F5AFB">
        <w:rPr>
          <w:rFonts w:ascii="Times New Roman" w:hAnsi="Times New Roman" w:cs="Times New Roman"/>
          <w:bCs/>
          <w:sz w:val="24"/>
          <w:szCs w:val="24"/>
        </w:rPr>
        <w:tab/>
      </w:r>
      <w:r w:rsidRPr="002F5AFB">
        <w:rPr>
          <w:rFonts w:ascii="Times New Roman" w:hAnsi="Times New Roman" w:cs="Times New Roman"/>
          <w:bCs/>
          <w:sz w:val="24"/>
          <w:szCs w:val="24"/>
        </w:rPr>
        <w:tab/>
      </w:r>
      <w:r w:rsidRPr="002F5AFB">
        <w:rPr>
          <w:rFonts w:ascii="Times New Roman" w:hAnsi="Times New Roman" w:cs="Times New Roman"/>
          <w:bCs/>
          <w:sz w:val="24"/>
          <w:szCs w:val="24"/>
        </w:rPr>
        <w:tab/>
      </w:r>
      <w:r w:rsidRPr="002F5AFB">
        <w:rPr>
          <w:rFonts w:ascii="Times New Roman" w:hAnsi="Times New Roman" w:cs="Times New Roman"/>
          <w:bCs/>
          <w:sz w:val="24"/>
          <w:szCs w:val="24"/>
        </w:rPr>
        <w:tab/>
      </w:r>
      <w:r w:rsidRPr="002F5AFB">
        <w:rPr>
          <w:rFonts w:ascii="Times New Roman" w:hAnsi="Times New Roman" w:cs="Times New Roman"/>
          <w:bCs/>
          <w:sz w:val="24"/>
          <w:szCs w:val="24"/>
        </w:rPr>
        <w:tab/>
      </w:r>
      <w:r w:rsidRPr="002F5AFB">
        <w:rPr>
          <w:rFonts w:ascii="Times New Roman" w:hAnsi="Times New Roman" w:cs="Times New Roman"/>
          <w:bCs/>
          <w:sz w:val="24"/>
          <w:szCs w:val="24"/>
        </w:rPr>
        <w:tab/>
        <w:t>Date</w:t>
      </w:r>
      <w:r w:rsidRPr="002F5AFB">
        <w:rPr>
          <w:rFonts w:ascii="Times New Roman" w:hAnsi="Times New Roman" w:cs="Times New Roman"/>
          <w:bCs/>
          <w:sz w:val="24"/>
          <w:szCs w:val="24"/>
        </w:rPr>
        <w:tab/>
        <w:t xml:space="preserve">                  </w:t>
      </w:r>
    </w:p>
    <w:p w14:paraId="74F7619B" w14:textId="77777777" w:rsidR="002F5AFB" w:rsidRPr="002F5AFB" w:rsidRDefault="002F5AFB" w:rsidP="002F5AFB">
      <w:pPr>
        <w:pStyle w:val="BodyText"/>
        <w:spacing w:before="0" w:after="240" w:line="276" w:lineRule="auto"/>
        <w:ind w:left="0"/>
        <w:rPr>
          <w:b/>
        </w:rPr>
      </w:pPr>
      <w:r w:rsidRPr="002F5AFB">
        <w:rPr>
          <w:bCs/>
        </w:rPr>
        <w:t>(Supervisor)</w:t>
      </w:r>
      <w:r w:rsidRPr="002F5AFB">
        <w:rPr>
          <w:bCs/>
        </w:rPr>
        <w:tab/>
      </w:r>
      <w:r w:rsidRPr="002F5AFB">
        <w:rPr>
          <w:b/>
        </w:rPr>
        <w:tab/>
      </w:r>
      <w:r w:rsidRPr="002F5AFB">
        <w:rPr>
          <w:b/>
        </w:rPr>
        <w:tab/>
      </w:r>
      <w:r w:rsidRPr="002F5AFB">
        <w:rPr>
          <w:b/>
        </w:rPr>
        <w:tab/>
      </w:r>
      <w:r w:rsidRPr="002F5AFB">
        <w:rPr>
          <w:b/>
        </w:rPr>
        <w:tab/>
      </w:r>
      <w:r w:rsidRPr="002F5AFB">
        <w:rPr>
          <w:b/>
        </w:rPr>
        <w:tab/>
      </w:r>
      <w:r w:rsidRPr="002F5AFB">
        <w:rPr>
          <w:b/>
        </w:rPr>
        <w:tab/>
      </w:r>
      <w:r w:rsidRPr="002F5AFB">
        <w:rPr>
          <w:b/>
        </w:rPr>
        <w:tab/>
      </w:r>
    </w:p>
    <w:p w14:paraId="5168617B" w14:textId="77777777" w:rsidR="002F5AFB" w:rsidRPr="002F5AFB" w:rsidRDefault="002F5AFB" w:rsidP="002F5AFB">
      <w:pPr>
        <w:pStyle w:val="BodyText"/>
        <w:spacing w:before="0" w:line="276" w:lineRule="auto"/>
        <w:rPr>
          <w:b/>
        </w:rPr>
      </w:pPr>
    </w:p>
    <w:p w14:paraId="2C70945C" w14:textId="77777777" w:rsidR="002F5AFB" w:rsidRPr="002F5AFB" w:rsidRDefault="002F5AFB" w:rsidP="002F5AFB">
      <w:pPr>
        <w:pStyle w:val="BodyText"/>
        <w:spacing w:before="0" w:line="276" w:lineRule="auto"/>
        <w:rPr>
          <w:bCs/>
        </w:rPr>
      </w:pPr>
    </w:p>
    <w:p w14:paraId="75F85DBE" w14:textId="77777777" w:rsidR="002F5AFB" w:rsidRPr="002F5AFB" w:rsidRDefault="002F5AFB" w:rsidP="002F5AFB">
      <w:pPr>
        <w:pStyle w:val="BodyText"/>
        <w:spacing w:before="0" w:line="276" w:lineRule="auto"/>
        <w:rPr>
          <w:bCs/>
        </w:rPr>
      </w:pPr>
      <w:r w:rsidRPr="002F5AFB">
        <w:rPr>
          <w:noProof/>
        </w:rPr>
        <mc:AlternateContent>
          <mc:Choice Requires="wps">
            <w:drawing>
              <wp:anchor distT="0" distB="0" distL="114300" distR="114300" simplePos="0" relativeHeight="251661312" behindDoc="0" locked="0" layoutInCell="1" allowOverlap="1" wp14:anchorId="07803516" wp14:editId="5C814D21">
                <wp:simplePos x="0" y="0"/>
                <wp:positionH relativeFrom="column">
                  <wp:posOffset>-48260</wp:posOffset>
                </wp:positionH>
                <wp:positionV relativeFrom="paragraph">
                  <wp:posOffset>168275</wp:posOffset>
                </wp:positionV>
                <wp:extent cx="2058035" cy="9525"/>
                <wp:effectExtent l="0" t="0" r="18415" b="2857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035" cy="9525"/>
                        </a:xfrm>
                        <a:prstGeom prst="line">
                          <a:avLst/>
                        </a:prstGeom>
                        <a:noFill/>
                        <a:ln w="6350" algn="ctr">
                          <a:solidFill>
                            <a:srgbClr val="0D0D0D"/>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3.25pt" to="158.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ft4NQIAAFMEAAAOAAAAZHJzL2Uyb0RvYy54bWysVMuO2yAU3VfqPyD2ie3ESRMrzqiyk26m&#10;baRMP4AAtlExIGDiRFX/vRfyaNNuqqq2hIH74NxzD149nXqJjtw6oVWJs3GKEVdUM6HaEn952Y4W&#10;GDlPFCNSK17iM3f4af32zWowBZ/oTkvGLYIkyhWDKXHnvSmSxNGO98SNteEKjI22PfGwtG3CLBkg&#10;ey+TSZrOk0FbZqym3DnYrS9GvI75m4ZT/7lpHPdIlhiw+TjaOB7CmKxXpGgtMZ2gVxjkH1D0RCg4&#10;9J6qJp6gVyv+SNULarXTjR9T3Se6aQTlsQaoJkt/q2bfEcNjLUCOM3ea3P9LSz8ddxYJVuJJjpEi&#10;PfRo7y0RbedRpZUCBrVFYASmBuMKCKjUzoZa6UntzbOmXx1SuuqIanlE/HI2kCULEclDSFg4A+cd&#10;ho+agQ959TrSdmpsH1ICIegUu3O+d4efPKKwOUlni3Q6w4iCbTmbzOIBpLjFGuv8B657FCYllkIF&#10;7khBjs/OByykuLmEbaW3QsrYf6nQUOL5dAYKIbIFIVNvY6zTUrDgFyKcbQ+VtOhIgpjq8F4hPLj1&#10;woOkpehLvEjDE5xI0XHCNorFuSdCXuYASqpghioB5nV2kc63ZbrcLDaLfJRP5ptRntb16P22ykfz&#10;bfZuVk/rqqqz7wFnlhedYIyrAPUm4yz/O5lcL9RFgHch3+lJHrNHHgHs7RtBxzaHzl40ctDsvLOB&#10;8tBxUG50vt6ycDV+XUevn/+C9Q8AAAD//wMAUEsDBBQABgAIAAAAIQDQ2jpG3gAAAAgBAAAPAAAA&#10;ZHJzL2Rvd25yZXYueG1sTI/BTsMwEETvSPyDtUhcUOu0iJCGOFWFhMQBqCj9ADde4gh7HcVuE/6e&#10;7YnedndGs2+q9eSdOOEQu0AKFvMMBFITTEetgv3Xy6wAEZMmo10gVPCLEdb19VWlSxNG+sTTLrWC&#10;QyiWWoFNqS+ljI1Fr+M89EisfYfB68Tr0Eoz6JHDvZPLLMul1x3xB6t7fLbY/OyOXsHbh7vbvtqh&#10;GDfeNlvXvo+r3ih1ezNtnkAknNK/Gc74jA41Mx3CkUwUTsHsMWengmX+AIL1+8V5OPChyEDWlbws&#10;UP8BAAD//wMAUEsBAi0AFAAGAAgAAAAhALaDOJL+AAAA4QEAABMAAAAAAAAAAAAAAAAAAAAAAFtD&#10;b250ZW50X1R5cGVzXS54bWxQSwECLQAUAAYACAAAACEAOP0h/9YAAACUAQAACwAAAAAAAAAAAAAA&#10;AAAvAQAAX3JlbHMvLnJlbHNQSwECLQAUAAYACAAAACEAOb37eDUCAABTBAAADgAAAAAAAAAAAAAA&#10;AAAuAgAAZHJzL2Uyb0RvYy54bWxQSwECLQAUAAYACAAAACEA0No6Rt4AAAAIAQAADwAAAAAAAAAA&#10;AAAAAACPBAAAZHJzL2Rvd25yZXYueG1sUEsFBgAAAAAEAAQA8wAAAJoFAAAAAA==&#10;" strokecolor="#0d0d0d" strokeweight=".5pt">
                <v:stroke joinstyle="miter"/>
              </v:line>
            </w:pict>
          </mc:Fallback>
        </mc:AlternateContent>
      </w:r>
      <w:r w:rsidRPr="002F5AFB">
        <w:rPr>
          <w:noProof/>
        </w:rPr>
        <mc:AlternateContent>
          <mc:Choice Requires="wps">
            <w:drawing>
              <wp:anchor distT="4294967295" distB="4294967295" distL="114300" distR="114300" simplePos="0" relativeHeight="251662336" behindDoc="0" locked="0" layoutInCell="1" allowOverlap="1" wp14:anchorId="6778D768" wp14:editId="21ECAA9E">
                <wp:simplePos x="0" y="0"/>
                <wp:positionH relativeFrom="column">
                  <wp:posOffset>3900170</wp:posOffset>
                </wp:positionH>
                <wp:positionV relativeFrom="paragraph">
                  <wp:posOffset>117475</wp:posOffset>
                </wp:positionV>
                <wp:extent cx="1495425" cy="0"/>
                <wp:effectExtent l="0" t="0" r="952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5425"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7.1pt,9.25pt" to="424.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Waf9gEAAN0DAAAOAAAAZHJzL2Uyb0RvYy54bWysU01v2zAMvQ/YfxB0X5ykTdEacXpI0F26&#10;LUC6H8DKcixMEgVRjZN/P0pO+rHdhvkgSKT4yPf0vLw/OisOOpJB38jZZCqF9gpb4/eN/Pn08OVW&#10;CkrgW7DodSNPmuT96vOn5RBqPccebaujYBBP9RAa2acU6qoi1WsHNMGgPSc7jA4SH+O+aiMMjO5s&#10;NZ9Ob6oBYxsiKk3E0c2YlKuC33VapR9dRzoJ20ieLZU1lvU5r9VqCfU+QuiNOo8B/zCFA+O56SvU&#10;BhKIl2j+gnJGRSTs0kShq7DrjNKFA7OZTf9gs+sh6MKFxaHwKhP9P1j1/bCNwrSNnF9J4cHxG+1S&#10;BLPvk1ij96wgRsFJVmoIVHPB2m9j5qqOfhceUf0izlUfkvlAYbx27KLL15msOBblT6/K62MSioOz&#10;67vF9XwhhbrkKqgvhSFS+qrRibxppDU+iwI1HB4p5dZQX67ksMcHY215WOvF0MibqwU/vQK2V2ch&#10;8dYFJkx+LwXYPftWpVgQCa1pc3XGoROtbRQHYOuw41ocnnhcKSxQ4gRzKF8ptC/uG7bj3bsFx0dj&#10;cZjtN4YvUZ52RC6Df+iYWWyA+rGgpEYcZxL/Jda4Rt6OTUfa1udBdfH5WYs35fPuGdvTNl6ehz1U&#10;mp79nk36/sz793/l6jcAAAD//wMAUEsDBBQABgAIAAAAIQCPvgQc3QAAAAkBAAAPAAAAZHJzL2Rv&#10;d25yZXYueG1sTI/BTsMwDIbvSLxDZCQuiKWbxuhK02lCQuIATAweIGtMU5E4VZKt5e0x4gBH+//0&#10;+3O9mbwTJ4ypD6RgPitAILXB9NQpeH97uC5BpKzJaBcIFXxhgk1zflbryoSRXvG0z53gEkqVVmBz&#10;HiopU2vR6zQLAxJnHyF6nXmMnTRRj1zunVwUxUp63RNfsHrAe4vt5/7oFTy9uKvdo43luPW23bnu&#10;eVwPRqnLi2l7ByLjlP9g+NFndWjY6RCOZJJwClbz5YJRDsobEAyUy/UtiMPvQja1/P9B8w0AAP//&#10;AwBQSwECLQAUAAYACAAAACEAtoM4kv4AAADhAQAAEwAAAAAAAAAAAAAAAAAAAAAAW0NvbnRlbnRf&#10;VHlwZXNdLnhtbFBLAQItABQABgAIAAAAIQA4/SH/1gAAAJQBAAALAAAAAAAAAAAAAAAAAC8BAABf&#10;cmVscy8ucmVsc1BLAQItABQABgAIAAAAIQDXqWaf9gEAAN0DAAAOAAAAAAAAAAAAAAAAAC4CAABk&#10;cnMvZTJvRG9jLnhtbFBLAQItABQABgAIAAAAIQCPvgQc3QAAAAkBAAAPAAAAAAAAAAAAAAAAAFAE&#10;AABkcnMvZG93bnJldi54bWxQSwUGAAAAAAQABADzAAAAWgUAAAAA&#10;" strokecolor="#0d0d0d" strokeweight=".5pt">
                <v:stroke joinstyle="miter"/>
                <o:lock v:ext="edit" shapetype="f"/>
              </v:line>
            </w:pict>
          </mc:Fallback>
        </mc:AlternateContent>
      </w:r>
      <w:r w:rsidRPr="002F5AFB">
        <w:rPr>
          <w:bCs/>
        </w:rPr>
        <w:t xml:space="preserve">             </w:t>
      </w:r>
    </w:p>
    <w:p w14:paraId="5431376F" w14:textId="66637227" w:rsidR="002F5AFB" w:rsidRPr="002F5AFB" w:rsidRDefault="00F20E5F" w:rsidP="002F5AFB">
      <w:pPr>
        <w:pStyle w:val="BodyText"/>
        <w:spacing w:before="0" w:line="276" w:lineRule="auto"/>
        <w:ind w:left="0"/>
        <w:rPr>
          <w:bCs/>
        </w:rPr>
      </w:pPr>
      <w:r>
        <w:rPr>
          <w:b/>
          <w:bCs/>
        </w:rPr>
        <w:t xml:space="preserve">MR. </w:t>
      </w:r>
      <w:r w:rsidR="00B22EB0">
        <w:rPr>
          <w:b/>
          <w:bCs/>
        </w:rPr>
        <w:t>LUKMAN Z.A</w:t>
      </w:r>
      <w:r w:rsidR="002F5AFB" w:rsidRPr="002F5AFB">
        <w:rPr>
          <w:bCs/>
        </w:rPr>
        <w:tab/>
      </w:r>
      <w:r w:rsidR="002F5AFB" w:rsidRPr="002F5AFB">
        <w:rPr>
          <w:bCs/>
        </w:rPr>
        <w:tab/>
      </w:r>
      <w:r w:rsidR="002F5AFB" w:rsidRPr="002F5AFB">
        <w:rPr>
          <w:bCs/>
        </w:rPr>
        <w:tab/>
      </w:r>
      <w:r w:rsidR="002F5AFB" w:rsidRPr="002F5AFB">
        <w:rPr>
          <w:bCs/>
        </w:rPr>
        <w:tab/>
      </w:r>
      <w:r w:rsidR="002F5AFB" w:rsidRPr="002F5AFB">
        <w:rPr>
          <w:bCs/>
        </w:rPr>
        <w:tab/>
      </w:r>
      <w:r w:rsidR="002F5AFB" w:rsidRPr="002F5AFB">
        <w:rPr>
          <w:bCs/>
        </w:rPr>
        <w:tab/>
      </w:r>
      <w:r w:rsidR="002F5AFB" w:rsidRPr="002F5AFB">
        <w:rPr>
          <w:bCs/>
        </w:rPr>
        <w:tab/>
        <w:t>Date</w:t>
      </w:r>
    </w:p>
    <w:p w14:paraId="7F288F70" w14:textId="77777777" w:rsidR="002F5AFB" w:rsidRPr="002F5AFB" w:rsidRDefault="002F5AFB" w:rsidP="002F5AFB">
      <w:pPr>
        <w:pStyle w:val="BodyText"/>
        <w:spacing w:before="0" w:line="276" w:lineRule="auto"/>
        <w:ind w:left="0"/>
        <w:rPr>
          <w:bCs/>
        </w:rPr>
      </w:pPr>
      <w:r w:rsidRPr="002F5AFB">
        <w:rPr>
          <w:bCs/>
        </w:rPr>
        <w:t>(SLT Part -Time Coordinator)</w:t>
      </w:r>
    </w:p>
    <w:p w14:paraId="5213AE07" w14:textId="77777777" w:rsidR="002F5AFB" w:rsidRPr="002F5AFB" w:rsidRDefault="002F5AFB" w:rsidP="002F5AFB">
      <w:pPr>
        <w:pStyle w:val="BodyText"/>
        <w:spacing w:before="0" w:line="276" w:lineRule="auto"/>
        <w:rPr>
          <w:bCs/>
        </w:rPr>
      </w:pPr>
    </w:p>
    <w:p w14:paraId="5808236D" w14:textId="77777777" w:rsidR="002F5AFB" w:rsidRPr="002F5AFB" w:rsidRDefault="002F5AFB" w:rsidP="002F5AFB">
      <w:pPr>
        <w:pStyle w:val="BodyText"/>
        <w:spacing w:before="0" w:line="276" w:lineRule="auto"/>
        <w:ind w:left="0"/>
        <w:rPr>
          <w:b/>
        </w:rPr>
      </w:pPr>
    </w:p>
    <w:p w14:paraId="4B43E11E" w14:textId="77777777" w:rsidR="0003089F" w:rsidRDefault="0003089F" w:rsidP="0003089F">
      <w:pPr>
        <w:pStyle w:val="BodyText"/>
        <w:spacing w:before="0" w:line="276" w:lineRule="auto"/>
        <w:rPr>
          <w:bCs/>
        </w:rPr>
      </w:pPr>
      <w:r w:rsidRPr="002F5AFB">
        <w:rPr>
          <w:noProof/>
        </w:rPr>
        <mc:AlternateContent>
          <mc:Choice Requires="wps">
            <w:drawing>
              <wp:anchor distT="0" distB="0" distL="114300" distR="114300" simplePos="0" relativeHeight="251666432" behindDoc="0" locked="0" layoutInCell="1" allowOverlap="1" wp14:anchorId="0F5A3037" wp14:editId="11F86608">
                <wp:simplePos x="0" y="0"/>
                <wp:positionH relativeFrom="column">
                  <wp:posOffset>-48260</wp:posOffset>
                </wp:positionH>
                <wp:positionV relativeFrom="paragraph">
                  <wp:posOffset>168275</wp:posOffset>
                </wp:positionV>
                <wp:extent cx="2058035" cy="9525"/>
                <wp:effectExtent l="0" t="0" r="1841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035" cy="9525"/>
                        </a:xfrm>
                        <a:prstGeom prst="line">
                          <a:avLst/>
                        </a:prstGeom>
                        <a:noFill/>
                        <a:ln w="6350" algn="ctr">
                          <a:solidFill>
                            <a:srgbClr val="0D0D0D"/>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3.25pt" to="158.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hTMQIAAFEEAAAOAAAAZHJzL2Uyb0RvYy54bWysVNuu2jAQfK/Uf7D8Dkm4FSLCUZVAX05b&#10;JE4/wNhOYtWxLduHgKr+e9cO0NK+VFVBMr7sjmdnx6yfzp1EJ26d0KrA2TjFiCuqmVBNgb+87EZL&#10;jJwnihGpFS/whTv8tHn7Zt2bnE90qyXjFgGIcnlvCtx6b/IkcbTlHXFjbbiCw1rbjnhY2iZhlvSA&#10;3slkkqaLpNeWGaspdw52q+EQbyJ+XXPqP9e14x7JAgM3H0cbx2MYk82a5I0lphX0SoP8A4uOCAWX&#10;3qEq4gl6teIPqE5Qq52u/ZjqLtF1LSiPNUA1WfpbNYeWGB5rAXGcucvk/h8s/XTaWyQY9A4jRTpo&#10;0cFbIprWo1IrBQJqi7KgU29cDuGl2ttQKT2rg3nW9KtDSpctUQ2PfF8uBkBiRvKQEhbOwG3H/qNm&#10;EENevY6inWvbBUiQA51jby733vCzRxQ2J+l8mU7nGFE4W80n80ApIfkt11jnP3DdoTApsBQqKEdy&#10;cnp2fgi9hYRtpXdCyth9qVBf4MV0Dv4gsgEbU29jrtNSsBAXMpxtjqW06ESClarwvVJ4COuEB0NL&#10;0RV4mYbPYLGWE7ZVLF7oiZDDHPhLFcChSqB5nQ3G+bZKV9vldjkbzSaL7WiWVtXo/a6cjRa77N28&#10;mlZlWWXfA89slreCMa4C1ZuJs9nfmeT6nAb73W18lyd5RI+SA9nbbyQd2xw6O3jkqNllb4PkoePg&#10;2xh8fWPhYfy6jlE//wk2PwAAAP//AwBQSwMEFAAGAAgAAAAhANDaOkbeAAAACAEAAA8AAABkcnMv&#10;ZG93bnJldi54bWxMj8FOwzAQRO9I/IO1SFxQ67SIkIY4VYWExAGoKP0AN17iCHsdxW4T/p7tid52&#10;d0azb6r15J044RC7QAoW8wwEUhNMR62C/dfLrAARkyajXSBU8IsR1vX1VaVLE0b6xNMutYJDKJZa&#10;gU2pL6WMjUWv4zz0SKx9h8HrxOvQSjPokcO9k8ssy6XXHfEHq3t8ttj87I5ewduHu9u+2qEYN942&#10;W9e+j6veKHV7M22eQCSc0r8ZzviMDjUzHcKRTBROwewxZ6eCZf4AgvX7xXk48KHIQNaVvCxQ/wEA&#10;AP//AwBQSwECLQAUAAYACAAAACEAtoM4kv4AAADhAQAAEwAAAAAAAAAAAAAAAAAAAAAAW0NvbnRl&#10;bnRfVHlwZXNdLnhtbFBLAQItABQABgAIAAAAIQA4/SH/1gAAAJQBAAALAAAAAAAAAAAAAAAAAC8B&#10;AABfcmVscy8ucmVsc1BLAQItABQABgAIAAAAIQAJnhhTMQIAAFEEAAAOAAAAAAAAAAAAAAAAAC4C&#10;AABkcnMvZTJvRG9jLnhtbFBLAQItABQABgAIAAAAIQDQ2jpG3gAAAAgBAAAPAAAAAAAAAAAAAAAA&#10;AIsEAABkcnMvZG93bnJldi54bWxQSwUGAAAAAAQABADzAAAAlgUAAAAA&#10;" strokecolor="#0d0d0d" strokeweight=".5pt">
                <v:stroke joinstyle="miter"/>
              </v:line>
            </w:pict>
          </mc:Fallback>
        </mc:AlternateContent>
      </w:r>
      <w:r w:rsidRPr="002F5AFB">
        <w:rPr>
          <w:noProof/>
        </w:rPr>
        <mc:AlternateContent>
          <mc:Choice Requires="wps">
            <w:drawing>
              <wp:anchor distT="4294967295" distB="4294967295" distL="114300" distR="114300" simplePos="0" relativeHeight="251667456" behindDoc="0" locked="0" layoutInCell="1" allowOverlap="1" wp14:anchorId="016EEF4A" wp14:editId="17DEAE12">
                <wp:simplePos x="0" y="0"/>
                <wp:positionH relativeFrom="column">
                  <wp:posOffset>3900170</wp:posOffset>
                </wp:positionH>
                <wp:positionV relativeFrom="paragraph">
                  <wp:posOffset>117475</wp:posOffset>
                </wp:positionV>
                <wp:extent cx="14954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5425"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7.1pt,9.25pt" to="424.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Qvl9AEAANsDAAAOAAAAZHJzL2Uyb0RvYy54bWysU8Fu2zAMvQ/YPwi6L06ypmiNOD0k6C7d&#10;FiDdB7CyHAuTREFU4+TvR8lJ1m63YT4IEkk98j09Lx+OzoqDjmTQN3I2mUqhvcLW+H0jfzw/frqT&#10;ghL4Fix63ciTJvmw+vhhOYRaz7FH2+ooGMRTPYRG9imFuqpI9doBTTBoz8kOo4PEx7iv2ggDoztb&#10;zafT22rA2IaIShNxdDMm5argd51W6XvXkU7CNpJnS2WNZX3Ja7VaQr2PEHqjzmPAP0zhwHhueoXa&#10;QALxGs1fUM6oiIRdmih0FXadUbpwYDaz6R9sdj0EXbiwOBSuMtH/g1XfDtsoTNvIuRQeHD/RLkUw&#10;+z6JNXrPAmIU86zTEKjm8rXfxsxUHf0uPKH6SZyr3iXzgcJYduyiy+VMVRyL7qer7vqYhOLg7OZ+&#10;cTNfSKEuuQrqy8UQKX3R6ETeNNIanyWBGg5PlHJrqC8lOezx0VhbntV6MTTy9vOCH14Bm6uzkHjr&#10;AtMlv5cC7J5dq1IsiITWtPl2xqETrW0UB2DjsN9aHJ55XCksUOIEcyhfuWhf3Vdsx9r7BcdHW3GY&#10;zTeGL1GedkQug7/rmFlsgPrxQkmNOM4k/kescY28G5uOtK3Pg+ri8rMWv5XPuxdsT9t4eR52UGl6&#10;dnu26Nsz79/+k6tfAAAA//8DAFBLAwQUAAYACAAAACEAj74EHN0AAAAJAQAADwAAAGRycy9kb3du&#10;cmV2LnhtbEyPwU7DMAyG70i8Q2QkLoilm8boStNpQkLiAEwMHiBrTFOROFWSreXtMeIAR/v/9Ptz&#10;vZm8EyeMqQ+kYD4rQCC1wfTUKXh/e7guQaSsyWgXCBV8YYJNc35W68qEkV7xtM+d4BJKlVZgcx4q&#10;KVNr0es0CwMSZx8hep15jJ00UY9c7p1cFMVKet0TX7B6wHuL7ef+6BU8vbir3aON5bj1tt257nlc&#10;D0apy4tpewci45T/YPjRZ3Vo2OkQjmSScApW8+WCUQ7KGxAMlMv1LYjD70I2tfz/QfMNAAD//wMA&#10;UEsBAi0AFAAGAAgAAAAhALaDOJL+AAAA4QEAABMAAAAAAAAAAAAAAAAAAAAAAFtDb250ZW50X1R5&#10;cGVzXS54bWxQSwECLQAUAAYACAAAACEAOP0h/9YAAACUAQAACwAAAAAAAAAAAAAAAAAvAQAAX3Jl&#10;bHMvLnJlbHNQSwECLQAUAAYACAAAACEAGuEL5fQBAADbAwAADgAAAAAAAAAAAAAAAAAuAgAAZHJz&#10;L2Uyb0RvYy54bWxQSwECLQAUAAYACAAAACEAj74EHN0AAAAJAQAADwAAAAAAAAAAAAAAAABOBAAA&#10;ZHJzL2Rvd25yZXYueG1sUEsFBgAAAAAEAAQA8wAAAFgFAAAAAA==&#10;" strokecolor="#0d0d0d" strokeweight=".5pt">
                <v:stroke joinstyle="miter"/>
                <o:lock v:ext="edit" shapetype="f"/>
              </v:line>
            </w:pict>
          </mc:Fallback>
        </mc:AlternateContent>
      </w:r>
      <w:r w:rsidRPr="002F5AFB">
        <w:rPr>
          <w:bCs/>
        </w:rPr>
        <w:t xml:space="preserve">             </w:t>
      </w:r>
    </w:p>
    <w:p w14:paraId="0620118C" w14:textId="77777777" w:rsidR="0003089F" w:rsidRPr="002F5AFB" w:rsidRDefault="0003089F" w:rsidP="0003089F">
      <w:pPr>
        <w:pStyle w:val="BodyText"/>
        <w:spacing w:before="0" w:line="276" w:lineRule="auto"/>
        <w:ind w:left="0"/>
        <w:rPr>
          <w:bCs/>
        </w:rPr>
      </w:pPr>
      <w:r>
        <w:rPr>
          <w:b/>
          <w:bCs/>
        </w:rPr>
        <w:t>DR. ABDULKAREEM USMAN</w:t>
      </w:r>
      <w:r>
        <w:rPr>
          <w:bCs/>
        </w:rPr>
        <w:tab/>
      </w:r>
      <w:r>
        <w:rPr>
          <w:bCs/>
        </w:rPr>
        <w:tab/>
      </w:r>
      <w:r>
        <w:rPr>
          <w:bCs/>
        </w:rPr>
        <w:tab/>
      </w:r>
      <w:r>
        <w:rPr>
          <w:bCs/>
        </w:rPr>
        <w:tab/>
      </w:r>
      <w:r w:rsidRPr="002F5AFB">
        <w:rPr>
          <w:bCs/>
        </w:rPr>
        <w:tab/>
      </w:r>
      <w:r w:rsidRPr="002F5AFB">
        <w:rPr>
          <w:bCs/>
        </w:rPr>
        <w:tab/>
        <w:t>Date</w:t>
      </w:r>
    </w:p>
    <w:p w14:paraId="174DCC94" w14:textId="77777777" w:rsidR="0003089F" w:rsidRPr="002F5AFB" w:rsidRDefault="0003089F" w:rsidP="0003089F">
      <w:pPr>
        <w:pStyle w:val="BodyText"/>
        <w:spacing w:before="0" w:line="276" w:lineRule="auto"/>
        <w:ind w:left="0"/>
        <w:rPr>
          <w:bCs/>
        </w:rPr>
      </w:pPr>
      <w:r w:rsidRPr="002F5AFB">
        <w:rPr>
          <w:bCs/>
        </w:rPr>
        <w:t>(</w:t>
      </w:r>
      <w:r>
        <w:rPr>
          <w:bCs/>
        </w:rPr>
        <w:t>Head of Department</w:t>
      </w:r>
      <w:r w:rsidRPr="002F5AFB">
        <w:rPr>
          <w:bCs/>
        </w:rPr>
        <w:t>)</w:t>
      </w:r>
    </w:p>
    <w:p w14:paraId="1EADFD65" w14:textId="77777777" w:rsidR="0003089F" w:rsidRDefault="0003089F" w:rsidP="002F5AFB">
      <w:pPr>
        <w:pStyle w:val="BodyText"/>
        <w:spacing w:before="0" w:line="276" w:lineRule="auto"/>
        <w:ind w:left="0"/>
        <w:rPr>
          <w:b/>
        </w:rPr>
      </w:pPr>
    </w:p>
    <w:p w14:paraId="13DEC4F1" w14:textId="77777777" w:rsidR="0003089F" w:rsidRDefault="0003089F" w:rsidP="002F5AFB">
      <w:pPr>
        <w:pStyle w:val="BodyText"/>
        <w:spacing w:before="0" w:line="276" w:lineRule="auto"/>
        <w:ind w:left="0"/>
        <w:rPr>
          <w:b/>
        </w:rPr>
      </w:pPr>
    </w:p>
    <w:p w14:paraId="6435FC55" w14:textId="77777777" w:rsidR="0003089F" w:rsidRDefault="0003089F" w:rsidP="002F5AFB">
      <w:pPr>
        <w:pStyle w:val="BodyText"/>
        <w:spacing w:before="0" w:line="276" w:lineRule="auto"/>
        <w:ind w:left="0"/>
        <w:rPr>
          <w:b/>
        </w:rPr>
      </w:pPr>
    </w:p>
    <w:p w14:paraId="061E3E38" w14:textId="77777777" w:rsidR="002F5AFB" w:rsidRPr="002F5AFB" w:rsidRDefault="002F5AFB" w:rsidP="002F5AFB">
      <w:pPr>
        <w:pStyle w:val="BodyText"/>
        <w:spacing w:before="0" w:line="276" w:lineRule="auto"/>
        <w:ind w:left="0"/>
        <w:rPr>
          <w:b/>
        </w:rPr>
      </w:pPr>
      <w:r w:rsidRPr="002F5AFB">
        <w:rPr>
          <w:noProof/>
        </w:rPr>
        <mc:AlternateContent>
          <mc:Choice Requires="wps">
            <w:drawing>
              <wp:anchor distT="4294967295" distB="4294967295" distL="114300" distR="114300" simplePos="0" relativeHeight="251663360" behindDoc="0" locked="0" layoutInCell="1" allowOverlap="1" wp14:anchorId="54C8A741" wp14:editId="30C54F3B">
                <wp:simplePos x="0" y="0"/>
                <wp:positionH relativeFrom="column">
                  <wp:posOffset>7620</wp:posOffset>
                </wp:positionH>
                <wp:positionV relativeFrom="paragraph">
                  <wp:posOffset>115570</wp:posOffset>
                </wp:positionV>
                <wp:extent cx="173355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35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9.1pt" to="137.1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hc2wEAAKYDAAAOAAAAZHJzL2Uyb0RvYy54bWysU8tu2zAQvBfoPxC8x/IDSQPBcg420kvQ&#10;GnD6ARuKkoiQXILLWvbfd0k/6rS3ojoQXC53dmc4Wj4dnBV7Hcmgb+RsMpVCe4Wt8X0jf7w+3z1K&#10;QQl8Cxa9buRRk3xaff60HEOt5zigbXUUDOKpHkMjh5RCXVWkBu2AJhi052SH0UHiMPZVG2FkdGer&#10;+XT6UI0Y2xBRaSI+3ZySclXwu06r9L3rSCdhG8mzpbLGsr7ltVotoe4jhMGo8xjwD1M4MJ6bXqE2&#10;kED8jOYvKGdURMIuTRS6CrvOKF04MJvZ9A82uwGCLlxYHApXmej/wapv+20Upm3kfC6FB8dvtEsR&#10;TD8ksUbvWUGMgpOs1Bio5oK138bMVR38LrygeifOVR+SOaBwunboosvXmaw4FOWPV+X1IQnFh7Mv&#10;i8X9PT+QuuQqqC+FIVL6qtGJvGmkNT6LAjXsXyjl1lBfruRjj8/G2vKw1ouxkQ+Lggxsr85C4iYu&#10;MGHyvRRge/atSrEgElrT5uqMQ0da2yj2wNZhx7U4vvK4UligxAnmUL4sDE/woTSPswEaTsUldXKa&#10;M4ntbo1r5ONttfW5oy6GPZP6LWHevWF73MaLzmyG0vRs3Oy225j3t7/X6hcAAAD//wMAUEsDBBQA&#10;BgAIAAAAIQCHS24t2QAAAAcBAAAPAAAAZHJzL2Rvd25yZXYueG1sTI7NTsNADITvSLzDykjc6IYU&#10;0SpkU6GiHriVFCSObtb5gaw3ym7a8PYYcYDT2J7R+Ms3s+vVicbQeTZwu0hAEVfedtwYeD3sbtag&#10;QkS22HsmA18UYFNcXuSYWX/mFzqVsVFSwiFDA22MQ6Z1qFpyGBZ+IBav9qPDKOvYaDviWcpdr9Mk&#10;udcOO5YPLQ60ban6LCdnYNpv66TbLeeP92Wpp+fV/u2pboy5vpofH0BFmuNfGH7wBR0KYTr6iW1Q&#10;veypBEXWomKnqzsZjr8HXeT6P3/xDQAA//8DAFBLAQItABQABgAIAAAAIQC2gziS/gAAAOEBAAAT&#10;AAAAAAAAAAAAAAAAAAAAAABbQ29udGVudF9UeXBlc10ueG1sUEsBAi0AFAAGAAgAAAAhADj9If/W&#10;AAAAlAEAAAsAAAAAAAAAAAAAAAAALwEAAF9yZWxzLy5yZWxzUEsBAi0AFAAGAAgAAAAhAP94aFzb&#10;AQAApgMAAA4AAAAAAAAAAAAAAAAALgIAAGRycy9lMm9Eb2MueG1sUEsBAi0AFAAGAAgAAAAhAIdL&#10;bi3ZAAAABwEAAA8AAAAAAAAAAAAAAAAANQQAAGRycy9kb3ducmV2LnhtbFBLBQYAAAAABAAEAPMA&#10;AAA7BQAAAAA=&#10;" strokecolor="windowText" strokeweight=".5pt">
                <v:stroke joinstyle="miter"/>
                <o:lock v:ext="edit" shapetype="f"/>
              </v:line>
            </w:pict>
          </mc:Fallback>
        </mc:AlternateContent>
      </w:r>
      <w:r w:rsidRPr="002F5AFB">
        <w:rPr>
          <w:noProof/>
        </w:rPr>
        <mc:AlternateContent>
          <mc:Choice Requires="wps">
            <w:drawing>
              <wp:anchor distT="4294967295" distB="4294967295" distL="114300" distR="114300" simplePos="0" relativeHeight="251664384" behindDoc="0" locked="0" layoutInCell="1" allowOverlap="1" wp14:anchorId="1C7D47CD" wp14:editId="0D385440">
                <wp:simplePos x="0" y="0"/>
                <wp:positionH relativeFrom="column">
                  <wp:posOffset>3921760</wp:posOffset>
                </wp:positionH>
                <wp:positionV relativeFrom="paragraph">
                  <wp:posOffset>115570</wp:posOffset>
                </wp:positionV>
                <wp:extent cx="1466850" cy="6350"/>
                <wp:effectExtent l="0" t="0" r="19050" b="317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6850" cy="63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8.8pt,9.1pt" to="424.3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Sii2gEAAKkDAAAOAAAAZHJzL2Uyb0RvYy54bWysU8tu2zAQvBfoPxC8x7Kd1jAEyznYSC9B&#10;a8DpB2woSiJKcgkua9l/3yX9yKO3ojoQ5D6GO8PR6uHorDjoSAZ9I2eTqRTaK2yN7xv58/nxbikF&#10;JfAtWPS6kSdN8mH9+dNqDLWe44C21VEwiKd6DI0cUgp1VZEatAOaYNCekx1GB4mPsa/aCCOjO1vN&#10;p9NFNWJsQ0SliTi6PSfluuB3nVbpR9eRTsI2kmdLZY1lfclrtV5B3UcIg1GXMeAfpnBgPF96g9pC&#10;AvE7mr+gnFERCbs0Uegq7DqjdOHAbGbTD2z2AwRduLA4FG4y0f+DVd8PuyhM28j5TAoPjt9onyKY&#10;fkhig96zghgFJ1mpMVDNDRu/i5mrOvp9eEL1izhXvUvmA4Vz2bGLLpczWXEsyp9uyutjEoqDsy+L&#10;xfIrP5Di3OKedxkS6mtviJS+aXQibxppjc+6QA2HJ0rn0mtJDnt8NNZyHGrrxXiBFArYYZ2FxPe4&#10;wJzJ91KA7dm6KsWCSGhNm7tzM51oY6M4ALuHTdfi+MwTS2GBEieYRvkuw75rzeNsgYZzc0mdzeZM&#10;Ysdb4xq5fNttfb5RF89eSL2qmHcv2J528So1+6EodPFuNtzbc3mQ1z9s/QcAAP//AwBQSwMEFAAG&#10;AAgAAAAhADQuocfeAAAACQEAAA8AAABkcnMvZG93bnJldi54bWxMj81OwzAQhO9IvIO1SNyo0xSl&#10;aRqnQkU9cCsBJI5uvPmBeB3FThvenuVEjzvzaXYm3822F2ccfedIwXIRgUCqnOmoUfD+dnhIQfig&#10;yejeESr4QQ+74vYm15lxF3rFcxkawSHkM62gDWHIpPRVi1b7hRuQ2KvdaHXgc2ykGfWFw20v4yhK&#10;pNUd8YdWD7hvsfouJ6tgOu7rqDus5q/PVSmnl/Xx47lulLq/m5+2IALO4R+Gv/pcHQrudHITGS96&#10;BclynTDKRhqDYCB9TFk4sbCJQRa5vF5Q/AIAAP//AwBQSwECLQAUAAYACAAAACEAtoM4kv4AAADh&#10;AQAAEwAAAAAAAAAAAAAAAAAAAAAAW0NvbnRlbnRfVHlwZXNdLnhtbFBLAQItABQABgAIAAAAIQA4&#10;/SH/1gAAAJQBAAALAAAAAAAAAAAAAAAAAC8BAABfcmVscy8ucmVsc1BLAQItABQABgAIAAAAIQDD&#10;uSii2gEAAKkDAAAOAAAAAAAAAAAAAAAAAC4CAABkcnMvZTJvRG9jLnhtbFBLAQItABQABgAIAAAA&#10;IQA0LqHH3gAAAAkBAAAPAAAAAAAAAAAAAAAAADQEAABkcnMvZG93bnJldi54bWxQSwUGAAAAAAQA&#10;BADzAAAAPwUAAAAA&#10;" strokecolor="windowText" strokeweight=".5pt">
                <v:stroke joinstyle="miter"/>
                <o:lock v:ext="edit" shapetype="f"/>
              </v:line>
            </w:pict>
          </mc:Fallback>
        </mc:AlternateContent>
      </w:r>
    </w:p>
    <w:p w14:paraId="5145AF0D" w14:textId="77777777" w:rsidR="002F5AFB" w:rsidRPr="002F5AFB" w:rsidRDefault="002F5AFB" w:rsidP="002F5AFB">
      <w:pPr>
        <w:pStyle w:val="BodyText"/>
        <w:spacing w:before="0" w:line="276" w:lineRule="auto"/>
        <w:ind w:left="0"/>
        <w:rPr>
          <w:b/>
        </w:rPr>
      </w:pPr>
      <w:r w:rsidRPr="002F5AFB">
        <w:rPr>
          <w:b/>
        </w:rPr>
        <w:t xml:space="preserve">External Examiner </w:t>
      </w:r>
      <w:r w:rsidRPr="002F5AFB">
        <w:rPr>
          <w:b/>
        </w:rPr>
        <w:tab/>
        <w:t xml:space="preserve">                             </w:t>
      </w:r>
      <w:r w:rsidRPr="002F5AFB">
        <w:rPr>
          <w:b/>
        </w:rPr>
        <w:tab/>
      </w:r>
      <w:r w:rsidRPr="002F5AFB">
        <w:rPr>
          <w:b/>
        </w:rPr>
        <w:tab/>
      </w:r>
      <w:r w:rsidRPr="002F5AFB">
        <w:rPr>
          <w:b/>
        </w:rPr>
        <w:tab/>
      </w:r>
      <w:r w:rsidRPr="002F5AFB">
        <w:rPr>
          <w:b/>
        </w:rPr>
        <w:tab/>
      </w:r>
      <w:r w:rsidRPr="002F5AFB">
        <w:rPr>
          <w:b/>
        </w:rPr>
        <w:tab/>
      </w:r>
      <w:r w:rsidRPr="002F5AFB">
        <w:t>Date</w:t>
      </w:r>
      <w:r w:rsidRPr="002F5AFB">
        <w:rPr>
          <w:b/>
        </w:rPr>
        <w:t xml:space="preserve"> </w:t>
      </w:r>
      <w:r w:rsidRPr="002F5AFB">
        <w:rPr>
          <w:b/>
        </w:rPr>
        <w:tab/>
      </w:r>
    </w:p>
    <w:p w14:paraId="79597536" w14:textId="77777777" w:rsidR="002F5AFB" w:rsidRPr="002F5AFB" w:rsidRDefault="002F5AFB" w:rsidP="002F5AFB">
      <w:pPr>
        <w:spacing w:line="480" w:lineRule="auto"/>
        <w:jc w:val="center"/>
        <w:rPr>
          <w:rFonts w:ascii="Times New Roman" w:hAnsi="Times New Roman" w:cs="Times New Roman"/>
          <w:b/>
          <w:sz w:val="24"/>
          <w:szCs w:val="24"/>
        </w:rPr>
      </w:pPr>
    </w:p>
    <w:p w14:paraId="77F2A39B" w14:textId="77777777" w:rsidR="002F5AFB" w:rsidRPr="002F5AFB" w:rsidRDefault="002F5AFB" w:rsidP="002F5AFB">
      <w:pPr>
        <w:spacing w:line="480" w:lineRule="auto"/>
        <w:jc w:val="center"/>
        <w:rPr>
          <w:rFonts w:ascii="Times New Roman" w:hAnsi="Times New Roman" w:cs="Times New Roman"/>
          <w:b/>
          <w:sz w:val="24"/>
          <w:szCs w:val="24"/>
        </w:rPr>
      </w:pPr>
    </w:p>
    <w:p w14:paraId="327B6F6A" w14:textId="77777777" w:rsidR="002F5AFB" w:rsidRDefault="002F5AFB" w:rsidP="0003089F">
      <w:pPr>
        <w:pStyle w:val="Heading2"/>
        <w:spacing w:line="360" w:lineRule="auto"/>
        <w:ind w:left="0" w:firstLine="0"/>
      </w:pPr>
      <w:bookmarkStart w:id="1" w:name="_Toc172679863"/>
    </w:p>
    <w:p w14:paraId="446E03F5" w14:textId="77777777" w:rsidR="002F5AFB" w:rsidRPr="002F5AFB" w:rsidRDefault="002F5AFB" w:rsidP="002F5AFB">
      <w:pPr>
        <w:pStyle w:val="Heading2"/>
        <w:spacing w:line="360" w:lineRule="auto"/>
        <w:jc w:val="center"/>
      </w:pPr>
      <w:r w:rsidRPr="002F5AFB">
        <w:lastRenderedPageBreak/>
        <w:t>DEDICATION</w:t>
      </w:r>
      <w:bookmarkEnd w:id="1"/>
    </w:p>
    <w:p w14:paraId="4B9AAEA9" w14:textId="77777777" w:rsidR="002F5AFB" w:rsidRPr="002F5AFB" w:rsidRDefault="002F5AFB" w:rsidP="002F5AFB">
      <w:pPr>
        <w:spacing w:line="360" w:lineRule="auto"/>
        <w:jc w:val="both"/>
        <w:rPr>
          <w:rFonts w:ascii="Times New Roman" w:hAnsi="Times New Roman" w:cs="Times New Roman"/>
          <w:sz w:val="24"/>
          <w:szCs w:val="24"/>
        </w:rPr>
      </w:pPr>
      <w:r w:rsidRPr="002F5AFB">
        <w:rPr>
          <w:rFonts w:ascii="Times New Roman" w:hAnsi="Times New Roman" w:cs="Times New Roman"/>
          <w:sz w:val="24"/>
          <w:szCs w:val="24"/>
        </w:rPr>
        <w:t>This research work is dedicated to God, the creator of the earth for his infinite mercies he bestow upon us during my academic years in Kwara State Polytechnic, Ilorin for giving me wisdom, knowledge and understanding to carry out this project successfully.</w:t>
      </w:r>
    </w:p>
    <w:p w14:paraId="082B6F60" w14:textId="77777777" w:rsidR="002F5AFB" w:rsidRPr="002F5AFB" w:rsidRDefault="002F5AFB" w:rsidP="002F5AFB">
      <w:pPr>
        <w:spacing w:line="480" w:lineRule="auto"/>
        <w:jc w:val="center"/>
        <w:rPr>
          <w:rFonts w:ascii="Times New Roman" w:hAnsi="Times New Roman" w:cs="Times New Roman"/>
          <w:b/>
          <w:sz w:val="24"/>
          <w:szCs w:val="24"/>
        </w:rPr>
      </w:pPr>
    </w:p>
    <w:p w14:paraId="055C7186" w14:textId="77777777" w:rsidR="002F5AFB" w:rsidRPr="002F5AFB" w:rsidRDefault="002F5AFB" w:rsidP="002F5AFB">
      <w:pPr>
        <w:spacing w:line="480" w:lineRule="auto"/>
        <w:jc w:val="center"/>
        <w:rPr>
          <w:rFonts w:ascii="Times New Roman" w:hAnsi="Times New Roman" w:cs="Times New Roman"/>
          <w:b/>
          <w:sz w:val="24"/>
          <w:szCs w:val="24"/>
        </w:rPr>
      </w:pPr>
    </w:p>
    <w:p w14:paraId="467BC545" w14:textId="77777777" w:rsidR="002F5AFB" w:rsidRPr="002F5AFB" w:rsidRDefault="002F5AFB" w:rsidP="002F5AFB">
      <w:pPr>
        <w:spacing w:line="480" w:lineRule="auto"/>
        <w:jc w:val="center"/>
        <w:rPr>
          <w:rFonts w:ascii="Times New Roman" w:hAnsi="Times New Roman" w:cs="Times New Roman"/>
          <w:b/>
          <w:sz w:val="24"/>
          <w:szCs w:val="24"/>
        </w:rPr>
      </w:pPr>
    </w:p>
    <w:p w14:paraId="154BCCA0" w14:textId="77777777" w:rsidR="002F5AFB" w:rsidRPr="002F5AFB" w:rsidRDefault="002F5AFB" w:rsidP="002F5AFB">
      <w:pPr>
        <w:spacing w:line="480" w:lineRule="auto"/>
        <w:jc w:val="center"/>
        <w:rPr>
          <w:rFonts w:ascii="Times New Roman" w:hAnsi="Times New Roman" w:cs="Times New Roman"/>
          <w:b/>
          <w:sz w:val="24"/>
          <w:szCs w:val="24"/>
        </w:rPr>
      </w:pPr>
    </w:p>
    <w:p w14:paraId="17F5C076" w14:textId="77777777" w:rsidR="002F5AFB" w:rsidRPr="002F5AFB" w:rsidRDefault="002F5AFB" w:rsidP="002F5AFB">
      <w:pPr>
        <w:spacing w:line="480" w:lineRule="auto"/>
        <w:jc w:val="center"/>
        <w:rPr>
          <w:rFonts w:ascii="Times New Roman" w:hAnsi="Times New Roman" w:cs="Times New Roman"/>
          <w:b/>
          <w:sz w:val="24"/>
          <w:szCs w:val="24"/>
        </w:rPr>
      </w:pPr>
    </w:p>
    <w:p w14:paraId="49E53A65" w14:textId="77777777" w:rsidR="002F5AFB" w:rsidRPr="002F5AFB" w:rsidRDefault="002F5AFB" w:rsidP="002F5AFB">
      <w:pPr>
        <w:spacing w:line="480" w:lineRule="auto"/>
        <w:rPr>
          <w:rFonts w:ascii="Times New Roman" w:hAnsi="Times New Roman" w:cs="Times New Roman"/>
          <w:b/>
          <w:sz w:val="24"/>
          <w:szCs w:val="24"/>
        </w:rPr>
      </w:pPr>
    </w:p>
    <w:p w14:paraId="79FE1220" w14:textId="77777777" w:rsidR="002F5AFB" w:rsidRPr="002F5AFB" w:rsidRDefault="002F5AFB" w:rsidP="002F5AFB">
      <w:pPr>
        <w:pStyle w:val="Heading2"/>
        <w:spacing w:line="360" w:lineRule="auto"/>
        <w:jc w:val="center"/>
      </w:pPr>
      <w:r w:rsidRPr="002F5AFB">
        <w:rPr>
          <w:rFonts w:eastAsiaTheme="majorEastAsia"/>
          <w:b w:val="0"/>
        </w:rPr>
        <w:br w:type="page"/>
      </w:r>
      <w:bookmarkStart w:id="2" w:name="_Toc172679864"/>
      <w:bookmarkStart w:id="3" w:name="_Toc172027847"/>
      <w:bookmarkStart w:id="4" w:name="_Toc172027780"/>
      <w:r w:rsidRPr="002F5AFB">
        <w:lastRenderedPageBreak/>
        <w:t>ACKNOWLEDGEMENT</w:t>
      </w:r>
      <w:bookmarkEnd w:id="2"/>
      <w:bookmarkEnd w:id="3"/>
      <w:bookmarkEnd w:id="4"/>
    </w:p>
    <w:p w14:paraId="230A42DF" w14:textId="77777777" w:rsidR="0012239B" w:rsidRPr="0012239B" w:rsidRDefault="0012239B" w:rsidP="0012239B">
      <w:pPr>
        <w:spacing w:line="360" w:lineRule="auto"/>
        <w:jc w:val="both"/>
        <w:rPr>
          <w:rFonts w:ascii="Times New Roman" w:hAnsi="Times New Roman" w:cs="Times New Roman"/>
          <w:sz w:val="24"/>
          <w:szCs w:val="24"/>
        </w:rPr>
      </w:pPr>
      <w:r w:rsidRPr="0012239B">
        <w:rPr>
          <w:rFonts w:ascii="Times New Roman" w:hAnsi="Times New Roman" w:cs="Times New Roman"/>
          <w:sz w:val="24"/>
          <w:szCs w:val="24"/>
        </w:rPr>
        <w:t>I give honor, glory and adoration to Almighty God, the protector, provider of knowledge, wisdom and understanding who has given me the opportunity to complete my National Diploma</w:t>
      </w:r>
      <w:r>
        <w:rPr>
          <w:rFonts w:ascii="Times New Roman" w:hAnsi="Times New Roman" w:cs="Times New Roman"/>
          <w:sz w:val="24"/>
          <w:szCs w:val="24"/>
        </w:rPr>
        <w:t xml:space="preserve"> (ND)</w:t>
      </w:r>
      <w:r w:rsidRPr="0012239B">
        <w:rPr>
          <w:rFonts w:ascii="Times New Roman" w:hAnsi="Times New Roman" w:cs="Times New Roman"/>
          <w:sz w:val="24"/>
          <w:szCs w:val="24"/>
        </w:rPr>
        <w:t>. It is never by my power but God did the best for me and made me succeed. For me, may the Almighty name be glorified.</w:t>
      </w:r>
    </w:p>
    <w:p w14:paraId="5BB43868" w14:textId="77777777" w:rsidR="0012239B" w:rsidRPr="0012239B" w:rsidRDefault="0012239B" w:rsidP="0012239B">
      <w:pPr>
        <w:spacing w:line="360" w:lineRule="auto"/>
        <w:jc w:val="both"/>
        <w:rPr>
          <w:rFonts w:ascii="Times New Roman" w:hAnsi="Times New Roman" w:cs="Times New Roman"/>
          <w:sz w:val="24"/>
          <w:szCs w:val="24"/>
        </w:rPr>
      </w:pPr>
      <w:r w:rsidRPr="0012239B">
        <w:rPr>
          <w:rFonts w:ascii="Times New Roman" w:hAnsi="Times New Roman" w:cs="Times New Roman"/>
          <w:sz w:val="24"/>
          <w:szCs w:val="24"/>
        </w:rPr>
        <w:t xml:space="preserve">I am greatly indebted to my amazing mother </w:t>
      </w:r>
      <w:r>
        <w:rPr>
          <w:rFonts w:ascii="Times New Roman" w:hAnsi="Times New Roman" w:cs="Times New Roman"/>
          <w:b/>
          <w:bCs/>
          <w:sz w:val="24"/>
          <w:szCs w:val="24"/>
        </w:rPr>
        <w:t>Mrs. Amos Omolade</w:t>
      </w:r>
      <w:r w:rsidRPr="0012239B">
        <w:rPr>
          <w:rFonts w:ascii="Times New Roman" w:hAnsi="Times New Roman" w:cs="Times New Roman"/>
          <w:b/>
          <w:bCs/>
          <w:sz w:val="24"/>
          <w:szCs w:val="24"/>
        </w:rPr>
        <w:t xml:space="preserve"> Abolupe</w:t>
      </w:r>
      <w:r w:rsidRPr="0012239B">
        <w:rPr>
          <w:rFonts w:ascii="Times New Roman" w:hAnsi="Times New Roman" w:cs="Times New Roman"/>
          <w:sz w:val="24"/>
          <w:szCs w:val="24"/>
        </w:rPr>
        <w:t xml:space="preserve"> for her support financially, spiritually, prayers and her words of advice toward the completion of this program. I pray that the blessings of the Almighty God upon you be endless in my su</w:t>
      </w:r>
      <w:r>
        <w:rPr>
          <w:rFonts w:ascii="Times New Roman" w:hAnsi="Times New Roman" w:cs="Times New Roman"/>
          <w:sz w:val="24"/>
          <w:szCs w:val="24"/>
        </w:rPr>
        <w:t xml:space="preserve">ccess and in life. May God </w:t>
      </w:r>
      <w:r w:rsidRPr="0012239B">
        <w:rPr>
          <w:rFonts w:ascii="Times New Roman" w:hAnsi="Times New Roman" w:cs="Times New Roman"/>
          <w:sz w:val="24"/>
          <w:szCs w:val="24"/>
        </w:rPr>
        <w:t>grant you long life in health and wealth in Jesus name (Amen).</w:t>
      </w:r>
    </w:p>
    <w:p w14:paraId="2BE4CDFE" w14:textId="77777777" w:rsidR="00EA4DFA" w:rsidRDefault="0012239B" w:rsidP="0012239B">
      <w:pPr>
        <w:spacing w:line="360" w:lineRule="auto"/>
        <w:jc w:val="both"/>
        <w:rPr>
          <w:rFonts w:ascii="Times New Roman" w:hAnsi="Times New Roman" w:cs="Times New Roman"/>
          <w:sz w:val="24"/>
          <w:szCs w:val="24"/>
        </w:rPr>
      </w:pPr>
      <w:r w:rsidRPr="0012239B">
        <w:rPr>
          <w:rFonts w:ascii="Times New Roman" w:hAnsi="Times New Roman" w:cs="Times New Roman"/>
          <w:sz w:val="24"/>
          <w:szCs w:val="24"/>
        </w:rPr>
        <w:t>My appreciation to my amiable</w:t>
      </w:r>
      <w:r>
        <w:rPr>
          <w:rFonts w:ascii="Times New Roman" w:hAnsi="Times New Roman" w:cs="Times New Roman"/>
          <w:sz w:val="24"/>
          <w:szCs w:val="24"/>
        </w:rPr>
        <w:t xml:space="preserve"> &amp;</w:t>
      </w:r>
      <w:r w:rsidRPr="0012239B">
        <w:rPr>
          <w:rFonts w:ascii="Times New Roman" w:hAnsi="Times New Roman" w:cs="Times New Roman"/>
          <w:sz w:val="24"/>
          <w:szCs w:val="24"/>
        </w:rPr>
        <w:t xml:space="preserve"> professional supervisor </w:t>
      </w:r>
      <w:r w:rsidRPr="0012239B">
        <w:rPr>
          <w:rFonts w:ascii="Times New Roman" w:hAnsi="Times New Roman" w:cs="Times New Roman"/>
          <w:b/>
          <w:bCs/>
          <w:sz w:val="24"/>
          <w:szCs w:val="24"/>
        </w:rPr>
        <w:t>Mr. Abdul</w:t>
      </w:r>
      <w:r>
        <w:rPr>
          <w:rFonts w:ascii="Times New Roman" w:hAnsi="Times New Roman" w:cs="Times New Roman"/>
          <w:b/>
          <w:bCs/>
          <w:sz w:val="24"/>
          <w:szCs w:val="24"/>
        </w:rPr>
        <w:t>R</w:t>
      </w:r>
      <w:r w:rsidRPr="0012239B">
        <w:rPr>
          <w:rFonts w:ascii="Times New Roman" w:hAnsi="Times New Roman" w:cs="Times New Roman"/>
          <w:b/>
          <w:bCs/>
          <w:sz w:val="24"/>
          <w:szCs w:val="24"/>
        </w:rPr>
        <w:t>ahman Bashir</w:t>
      </w:r>
      <w:r w:rsidR="0003089F">
        <w:rPr>
          <w:rFonts w:ascii="Times New Roman" w:hAnsi="Times New Roman" w:cs="Times New Roman"/>
          <w:b/>
          <w:bCs/>
          <w:sz w:val="24"/>
          <w:szCs w:val="24"/>
        </w:rPr>
        <w:t xml:space="preserve"> D.</w:t>
      </w:r>
      <w:r>
        <w:rPr>
          <w:rFonts w:ascii="Times New Roman" w:hAnsi="Times New Roman" w:cs="Times New Roman"/>
          <w:b/>
          <w:bCs/>
          <w:sz w:val="24"/>
          <w:szCs w:val="24"/>
        </w:rPr>
        <w:t>,</w:t>
      </w:r>
      <w:r w:rsidRPr="0012239B">
        <w:rPr>
          <w:rFonts w:ascii="Times New Roman" w:hAnsi="Times New Roman" w:cs="Times New Roman"/>
          <w:sz w:val="24"/>
          <w:szCs w:val="24"/>
        </w:rPr>
        <w:t xml:space="preserve"> for his kindness and efforts to end</w:t>
      </w:r>
      <w:r>
        <w:rPr>
          <w:rFonts w:ascii="Times New Roman" w:hAnsi="Times New Roman" w:cs="Times New Roman"/>
          <w:sz w:val="24"/>
          <w:szCs w:val="24"/>
        </w:rPr>
        <w:t xml:space="preserve"> this project work and to my Head of Department </w:t>
      </w:r>
      <w:r>
        <w:rPr>
          <w:rFonts w:ascii="Times New Roman" w:hAnsi="Times New Roman" w:cs="Times New Roman"/>
          <w:b/>
          <w:sz w:val="24"/>
          <w:szCs w:val="24"/>
        </w:rPr>
        <w:t xml:space="preserve">Dr. AbdulKareem </w:t>
      </w:r>
      <w:r w:rsidR="00EA4DFA">
        <w:rPr>
          <w:rFonts w:ascii="Times New Roman" w:hAnsi="Times New Roman" w:cs="Times New Roman"/>
          <w:b/>
          <w:sz w:val="24"/>
          <w:szCs w:val="24"/>
        </w:rPr>
        <w:t>Usman</w:t>
      </w:r>
      <w:r w:rsidRPr="0012239B">
        <w:rPr>
          <w:rFonts w:ascii="Times New Roman" w:hAnsi="Times New Roman" w:cs="Times New Roman"/>
          <w:sz w:val="24"/>
          <w:szCs w:val="24"/>
        </w:rPr>
        <w:t xml:space="preserve">, </w:t>
      </w:r>
      <w:r w:rsidR="0003089F">
        <w:rPr>
          <w:rFonts w:ascii="Times New Roman" w:hAnsi="Times New Roman" w:cs="Times New Roman"/>
          <w:sz w:val="24"/>
          <w:szCs w:val="24"/>
        </w:rPr>
        <w:t xml:space="preserve">our coordinator </w:t>
      </w:r>
      <w:r w:rsidR="00F20E5F">
        <w:rPr>
          <w:rFonts w:ascii="Times New Roman" w:hAnsi="Times New Roman" w:cs="Times New Roman"/>
          <w:b/>
          <w:sz w:val="24"/>
          <w:szCs w:val="24"/>
        </w:rPr>
        <w:t>Mr. Abdullah</w:t>
      </w:r>
      <w:r w:rsidR="0003089F">
        <w:rPr>
          <w:rFonts w:ascii="Times New Roman" w:hAnsi="Times New Roman" w:cs="Times New Roman"/>
          <w:b/>
          <w:sz w:val="24"/>
          <w:szCs w:val="24"/>
        </w:rPr>
        <w:t xml:space="preserve"> Z.L, </w:t>
      </w:r>
      <w:r w:rsidRPr="0012239B">
        <w:rPr>
          <w:rFonts w:ascii="Times New Roman" w:hAnsi="Times New Roman" w:cs="Times New Roman"/>
          <w:sz w:val="24"/>
          <w:szCs w:val="24"/>
        </w:rPr>
        <w:t xml:space="preserve">the staff both academic and non-academic of Kwara State Polytechnic. May the </w:t>
      </w:r>
      <w:r w:rsidR="00EA4DFA">
        <w:rPr>
          <w:rFonts w:ascii="Times New Roman" w:hAnsi="Times New Roman" w:cs="Times New Roman"/>
          <w:sz w:val="24"/>
          <w:szCs w:val="24"/>
        </w:rPr>
        <w:t>Lord bless you and your family.</w:t>
      </w:r>
    </w:p>
    <w:p w14:paraId="03BF4572" w14:textId="77777777" w:rsidR="0012239B" w:rsidRPr="0012239B" w:rsidRDefault="0012239B" w:rsidP="0012239B">
      <w:pPr>
        <w:spacing w:line="360" w:lineRule="auto"/>
        <w:jc w:val="both"/>
        <w:rPr>
          <w:rFonts w:ascii="Times New Roman" w:hAnsi="Times New Roman" w:cs="Times New Roman"/>
          <w:sz w:val="24"/>
          <w:szCs w:val="24"/>
        </w:rPr>
      </w:pPr>
      <w:r w:rsidRPr="0012239B">
        <w:rPr>
          <w:rFonts w:ascii="Times New Roman" w:hAnsi="Times New Roman" w:cs="Times New Roman"/>
          <w:sz w:val="24"/>
          <w:szCs w:val="24"/>
        </w:rPr>
        <w:t xml:space="preserve">I also want to use this </w:t>
      </w:r>
      <w:r w:rsidR="00EA4DFA">
        <w:rPr>
          <w:rFonts w:ascii="Times New Roman" w:hAnsi="Times New Roman" w:cs="Times New Roman"/>
          <w:sz w:val="24"/>
          <w:szCs w:val="24"/>
        </w:rPr>
        <w:t>medium &amp; opportunity</w:t>
      </w:r>
      <w:r w:rsidRPr="0012239B">
        <w:rPr>
          <w:rFonts w:ascii="Times New Roman" w:hAnsi="Times New Roman" w:cs="Times New Roman"/>
          <w:sz w:val="24"/>
          <w:szCs w:val="24"/>
        </w:rPr>
        <w:t xml:space="preserve"> to appreciate and </w:t>
      </w:r>
      <w:r w:rsidR="00EA4DFA" w:rsidRPr="0012239B">
        <w:rPr>
          <w:rFonts w:ascii="Times New Roman" w:hAnsi="Times New Roman" w:cs="Times New Roman"/>
          <w:sz w:val="24"/>
          <w:szCs w:val="24"/>
        </w:rPr>
        <w:t>honor</w:t>
      </w:r>
      <w:r w:rsidRPr="0012239B">
        <w:rPr>
          <w:rFonts w:ascii="Times New Roman" w:hAnsi="Times New Roman" w:cs="Times New Roman"/>
          <w:sz w:val="24"/>
          <w:szCs w:val="24"/>
        </w:rPr>
        <w:t xml:space="preserve"> my special and lovely sister and brother, </w:t>
      </w:r>
      <w:r w:rsidRPr="0012239B">
        <w:rPr>
          <w:rFonts w:ascii="Times New Roman" w:hAnsi="Times New Roman" w:cs="Times New Roman"/>
          <w:b/>
          <w:bCs/>
          <w:sz w:val="24"/>
          <w:szCs w:val="24"/>
        </w:rPr>
        <w:t>Amos Sarah Oluwato</w:t>
      </w:r>
      <w:r w:rsidR="00EA4DFA">
        <w:rPr>
          <w:rFonts w:ascii="Times New Roman" w:hAnsi="Times New Roman" w:cs="Times New Roman"/>
          <w:b/>
          <w:bCs/>
          <w:sz w:val="24"/>
          <w:szCs w:val="24"/>
        </w:rPr>
        <w:t>bi</w:t>
      </w:r>
      <w:r w:rsidRPr="0012239B">
        <w:rPr>
          <w:rFonts w:ascii="Times New Roman" w:hAnsi="Times New Roman" w:cs="Times New Roman"/>
          <w:sz w:val="24"/>
          <w:szCs w:val="24"/>
        </w:rPr>
        <w:t xml:space="preserve">, </w:t>
      </w:r>
      <w:r w:rsidRPr="0012239B">
        <w:rPr>
          <w:rFonts w:ascii="Times New Roman" w:hAnsi="Times New Roman" w:cs="Times New Roman"/>
          <w:b/>
          <w:bCs/>
          <w:sz w:val="24"/>
          <w:szCs w:val="24"/>
        </w:rPr>
        <w:t>Amos Joshua Oluwaseyi</w:t>
      </w:r>
      <w:r w:rsidRPr="0012239B">
        <w:rPr>
          <w:rFonts w:ascii="Times New Roman" w:hAnsi="Times New Roman" w:cs="Times New Roman"/>
          <w:sz w:val="24"/>
          <w:szCs w:val="24"/>
        </w:rPr>
        <w:t xml:space="preserve">, and my lovely daughter </w:t>
      </w:r>
      <w:r w:rsidR="00EA4DFA">
        <w:rPr>
          <w:rFonts w:ascii="Times New Roman" w:hAnsi="Times New Roman" w:cs="Times New Roman"/>
          <w:b/>
          <w:bCs/>
          <w:sz w:val="24"/>
          <w:szCs w:val="24"/>
        </w:rPr>
        <w:t>Oluwadabir</w:t>
      </w:r>
      <w:r w:rsidRPr="0012239B">
        <w:rPr>
          <w:rFonts w:ascii="Times New Roman" w:hAnsi="Times New Roman" w:cs="Times New Roman"/>
          <w:b/>
          <w:bCs/>
          <w:sz w:val="24"/>
          <w:szCs w:val="24"/>
        </w:rPr>
        <w:t>ah</w:t>
      </w:r>
      <w:r w:rsidRPr="0012239B">
        <w:rPr>
          <w:rFonts w:ascii="Times New Roman" w:hAnsi="Times New Roman" w:cs="Times New Roman"/>
          <w:sz w:val="24"/>
          <w:szCs w:val="24"/>
        </w:rPr>
        <w:t xml:space="preserve"> for their patience and supportive in the journey of my education. The mercy of God will speak for you in many ways (AMEN). Thank</w:t>
      </w:r>
      <w:r w:rsidR="00EA4DFA">
        <w:rPr>
          <w:rFonts w:ascii="Times New Roman" w:hAnsi="Times New Roman" w:cs="Times New Roman"/>
          <w:sz w:val="24"/>
          <w:szCs w:val="24"/>
        </w:rPr>
        <w:t>s so much my lovely Amos family,</w:t>
      </w:r>
      <w:r w:rsidRPr="0012239B">
        <w:rPr>
          <w:rFonts w:ascii="Times New Roman" w:hAnsi="Times New Roman" w:cs="Times New Roman"/>
          <w:sz w:val="24"/>
          <w:szCs w:val="24"/>
        </w:rPr>
        <w:t xml:space="preserve"> I rea</w:t>
      </w:r>
      <w:r w:rsidR="00EA4DFA">
        <w:rPr>
          <w:rFonts w:ascii="Times New Roman" w:hAnsi="Times New Roman" w:cs="Times New Roman"/>
          <w:sz w:val="24"/>
          <w:szCs w:val="24"/>
        </w:rPr>
        <w:t xml:space="preserve">lly appreciate. </w:t>
      </w:r>
      <w:r w:rsidRPr="0012239B">
        <w:rPr>
          <w:rFonts w:ascii="Times New Roman" w:hAnsi="Times New Roman" w:cs="Times New Roman"/>
          <w:sz w:val="24"/>
          <w:szCs w:val="24"/>
        </w:rPr>
        <w:t>My grat</w:t>
      </w:r>
      <w:r w:rsidR="00EA4DFA">
        <w:rPr>
          <w:rFonts w:ascii="Times New Roman" w:hAnsi="Times New Roman" w:cs="Times New Roman"/>
          <w:sz w:val="24"/>
          <w:szCs w:val="24"/>
        </w:rPr>
        <w:t>itude goes to all my amiable,</w:t>
      </w:r>
      <w:r w:rsidRPr="0012239B">
        <w:rPr>
          <w:rFonts w:ascii="Times New Roman" w:hAnsi="Times New Roman" w:cs="Times New Roman"/>
          <w:sz w:val="24"/>
          <w:szCs w:val="24"/>
        </w:rPr>
        <w:t xml:space="preserve"> dependable and successive friends </w:t>
      </w:r>
      <w:r w:rsidRPr="0012239B">
        <w:rPr>
          <w:rFonts w:ascii="Times New Roman" w:hAnsi="Times New Roman" w:cs="Times New Roman"/>
          <w:b/>
          <w:bCs/>
          <w:sz w:val="24"/>
          <w:szCs w:val="24"/>
        </w:rPr>
        <w:t>Samuel, Hannah, Ayomide, Gideon, Oluwatosin, M</w:t>
      </w:r>
      <w:r w:rsidR="00EA4DFA">
        <w:rPr>
          <w:rFonts w:ascii="Times New Roman" w:hAnsi="Times New Roman" w:cs="Times New Roman"/>
          <w:b/>
          <w:bCs/>
          <w:sz w:val="24"/>
          <w:szCs w:val="24"/>
        </w:rPr>
        <w:t>isturah</w:t>
      </w:r>
      <w:r w:rsidRPr="0012239B">
        <w:rPr>
          <w:rFonts w:ascii="Times New Roman" w:hAnsi="Times New Roman" w:cs="Times New Roman"/>
          <w:b/>
          <w:bCs/>
          <w:sz w:val="24"/>
          <w:szCs w:val="24"/>
        </w:rPr>
        <w:t>, Khadijah, Ola</w:t>
      </w:r>
      <w:r w:rsidR="00EA4DFA">
        <w:rPr>
          <w:rFonts w:ascii="Times New Roman" w:hAnsi="Times New Roman" w:cs="Times New Roman"/>
          <w:b/>
          <w:bCs/>
          <w:sz w:val="24"/>
          <w:szCs w:val="24"/>
        </w:rPr>
        <w:t>i</w:t>
      </w:r>
      <w:r w:rsidRPr="0012239B">
        <w:rPr>
          <w:rFonts w:ascii="Times New Roman" w:hAnsi="Times New Roman" w:cs="Times New Roman"/>
          <w:b/>
          <w:bCs/>
          <w:sz w:val="24"/>
          <w:szCs w:val="24"/>
        </w:rPr>
        <w:t>de</w:t>
      </w:r>
      <w:r w:rsidR="00EA4DFA">
        <w:rPr>
          <w:rFonts w:ascii="Times New Roman" w:hAnsi="Times New Roman" w:cs="Times New Roman"/>
          <w:sz w:val="24"/>
          <w:szCs w:val="24"/>
        </w:rPr>
        <w:t>; my amiable class-rep</w:t>
      </w:r>
      <w:r w:rsidRPr="0012239B">
        <w:rPr>
          <w:rFonts w:ascii="Times New Roman" w:hAnsi="Times New Roman" w:cs="Times New Roman"/>
          <w:sz w:val="24"/>
          <w:szCs w:val="24"/>
        </w:rPr>
        <w:t xml:space="preserve">, my special project colleagues, </w:t>
      </w:r>
      <w:r w:rsidR="00EA4DFA" w:rsidRPr="0012239B">
        <w:rPr>
          <w:rFonts w:ascii="Times New Roman" w:hAnsi="Times New Roman" w:cs="Times New Roman"/>
          <w:sz w:val="24"/>
          <w:szCs w:val="24"/>
        </w:rPr>
        <w:t>course mate</w:t>
      </w:r>
      <w:r w:rsidRPr="0012239B">
        <w:rPr>
          <w:rFonts w:ascii="Times New Roman" w:hAnsi="Times New Roman" w:cs="Times New Roman"/>
          <w:sz w:val="24"/>
          <w:szCs w:val="24"/>
        </w:rPr>
        <w:t xml:space="preserve"> and the entire students of </w:t>
      </w:r>
      <w:r w:rsidRPr="00EA4DFA">
        <w:rPr>
          <w:rFonts w:ascii="Times New Roman" w:hAnsi="Times New Roman" w:cs="Times New Roman"/>
          <w:bCs/>
          <w:sz w:val="24"/>
          <w:szCs w:val="24"/>
        </w:rPr>
        <w:t>Kwara State Polytechnic</w:t>
      </w:r>
      <w:r w:rsidRPr="0012239B">
        <w:rPr>
          <w:rFonts w:ascii="Times New Roman" w:hAnsi="Times New Roman" w:cs="Times New Roman"/>
          <w:sz w:val="24"/>
          <w:szCs w:val="24"/>
        </w:rPr>
        <w:t xml:space="preserve"> for their support always. I wish you all the be</w:t>
      </w:r>
      <w:r w:rsidR="00EA4DFA">
        <w:rPr>
          <w:rFonts w:ascii="Times New Roman" w:hAnsi="Times New Roman" w:cs="Times New Roman"/>
          <w:sz w:val="24"/>
          <w:szCs w:val="24"/>
        </w:rPr>
        <w:t xml:space="preserve">st in the journey of education. </w:t>
      </w:r>
      <w:r w:rsidRPr="0012239B">
        <w:rPr>
          <w:rFonts w:ascii="Times New Roman" w:hAnsi="Times New Roman" w:cs="Times New Roman"/>
          <w:sz w:val="24"/>
          <w:szCs w:val="24"/>
        </w:rPr>
        <w:t xml:space="preserve">In addition, using this privilege I cannot hide my standing surprise to </w:t>
      </w:r>
      <w:r w:rsidR="00EA4DFA">
        <w:rPr>
          <w:rFonts w:ascii="Times New Roman" w:hAnsi="Times New Roman" w:cs="Times New Roman"/>
          <w:bCs/>
          <w:sz w:val="24"/>
          <w:szCs w:val="24"/>
        </w:rPr>
        <w:t>my s</w:t>
      </w:r>
      <w:r w:rsidRPr="00EA4DFA">
        <w:rPr>
          <w:rFonts w:ascii="Times New Roman" w:hAnsi="Times New Roman" w:cs="Times New Roman"/>
          <w:bCs/>
          <w:sz w:val="24"/>
          <w:szCs w:val="24"/>
        </w:rPr>
        <w:t>chool Father like no other</w:t>
      </w:r>
      <w:r w:rsidRPr="0012239B">
        <w:rPr>
          <w:rFonts w:ascii="Times New Roman" w:hAnsi="Times New Roman" w:cs="Times New Roman"/>
          <w:b/>
          <w:bCs/>
          <w:sz w:val="24"/>
          <w:szCs w:val="24"/>
        </w:rPr>
        <w:t xml:space="preserve"> Mr. </w:t>
      </w:r>
      <w:r w:rsidR="00EA4DFA">
        <w:rPr>
          <w:rFonts w:ascii="Times New Roman" w:hAnsi="Times New Roman" w:cs="Times New Roman"/>
          <w:b/>
          <w:bCs/>
          <w:sz w:val="24"/>
          <w:szCs w:val="24"/>
        </w:rPr>
        <w:t>Gbenga Adekanye</w:t>
      </w:r>
      <w:r w:rsidRPr="0012239B">
        <w:rPr>
          <w:rFonts w:ascii="Times New Roman" w:hAnsi="Times New Roman" w:cs="Times New Roman"/>
          <w:sz w:val="24"/>
          <w:szCs w:val="24"/>
        </w:rPr>
        <w:t xml:space="preserve"> and his beautiful and precious wife and my wonderful amazing </w:t>
      </w:r>
      <w:r w:rsidRPr="0012239B">
        <w:rPr>
          <w:rFonts w:ascii="Times New Roman" w:hAnsi="Times New Roman" w:cs="Times New Roman"/>
          <w:sz w:val="24"/>
          <w:szCs w:val="24"/>
        </w:rPr>
        <w:lastRenderedPageBreak/>
        <w:t xml:space="preserve">family </w:t>
      </w:r>
      <w:r w:rsidR="00EA4DFA">
        <w:rPr>
          <w:rFonts w:ascii="Times New Roman" w:hAnsi="Times New Roman" w:cs="Times New Roman"/>
          <w:b/>
          <w:sz w:val="24"/>
          <w:szCs w:val="24"/>
        </w:rPr>
        <w:t>Mr. &amp; Mrs. S</w:t>
      </w:r>
      <w:r w:rsidRPr="0012239B">
        <w:rPr>
          <w:rFonts w:ascii="Times New Roman" w:hAnsi="Times New Roman" w:cs="Times New Roman"/>
          <w:b/>
          <w:bCs/>
          <w:sz w:val="24"/>
          <w:szCs w:val="24"/>
        </w:rPr>
        <w:t>anusi</w:t>
      </w:r>
      <w:r w:rsidRPr="0012239B">
        <w:rPr>
          <w:rFonts w:ascii="Times New Roman" w:hAnsi="Times New Roman" w:cs="Times New Roman"/>
          <w:sz w:val="24"/>
          <w:szCs w:val="24"/>
        </w:rPr>
        <w:t xml:space="preserve"> and my Church (</w:t>
      </w:r>
      <w:r w:rsidR="00EA4DFA">
        <w:rPr>
          <w:rFonts w:ascii="Times New Roman" w:hAnsi="Times New Roman" w:cs="Times New Roman"/>
          <w:b/>
          <w:sz w:val="24"/>
          <w:szCs w:val="24"/>
        </w:rPr>
        <w:t>U</w:t>
      </w:r>
      <w:r w:rsidRPr="0012239B">
        <w:rPr>
          <w:rFonts w:ascii="Times New Roman" w:hAnsi="Times New Roman" w:cs="Times New Roman"/>
          <w:b/>
          <w:bCs/>
          <w:sz w:val="24"/>
          <w:szCs w:val="24"/>
        </w:rPr>
        <w:t>.B.C</w:t>
      </w:r>
      <w:r w:rsidRPr="0012239B">
        <w:rPr>
          <w:rFonts w:ascii="Times New Roman" w:hAnsi="Times New Roman" w:cs="Times New Roman"/>
          <w:sz w:val="24"/>
          <w:szCs w:val="24"/>
        </w:rPr>
        <w:t>), may the Almighty God bless you all. I truly value your presence in my life.</w:t>
      </w:r>
    </w:p>
    <w:p w14:paraId="5BD7D46B" w14:textId="77777777" w:rsidR="002F5AFB" w:rsidRPr="002F5AFB" w:rsidRDefault="002F5AFB" w:rsidP="002F5AFB">
      <w:pPr>
        <w:jc w:val="center"/>
        <w:rPr>
          <w:rFonts w:ascii="Times New Roman" w:hAnsi="Times New Roman" w:cs="Times New Roman"/>
          <w:b/>
          <w:bCs/>
          <w:sz w:val="24"/>
          <w:szCs w:val="24"/>
        </w:rPr>
      </w:pPr>
      <w:r w:rsidRPr="002F5AFB">
        <w:rPr>
          <w:rFonts w:ascii="Times New Roman" w:hAnsi="Times New Roman" w:cs="Times New Roman"/>
          <w:b/>
          <w:bCs/>
          <w:sz w:val="24"/>
          <w:szCs w:val="24"/>
        </w:rPr>
        <w:t>TABLE OF CONTENT</w:t>
      </w:r>
    </w:p>
    <w:p w14:paraId="01FCFAF2" w14:textId="77777777" w:rsidR="002F5AFB" w:rsidRPr="002F5AFB" w:rsidRDefault="002F5AFB" w:rsidP="002F5AFB">
      <w:pPr>
        <w:spacing w:after="160"/>
        <w:rPr>
          <w:rFonts w:ascii="Times New Roman" w:hAnsi="Times New Roman" w:cs="Times New Roman"/>
          <w:sz w:val="24"/>
          <w:szCs w:val="24"/>
        </w:rPr>
      </w:pPr>
      <w:r w:rsidRPr="002F5AFB">
        <w:rPr>
          <w:rFonts w:ascii="Times New Roman" w:hAnsi="Times New Roman" w:cs="Times New Roman"/>
          <w:sz w:val="24"/>
          <w:szCs w:val="24"/>
        </w:rPr>
        <w:t>Title page</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i</w:t>
      </w:r>
    </w:p>
    <w:p w14:paraId="6133C2DF" w14:textId="77777777" w:rsidR="002F5AFB" w:rsidRPr="002F5AFB" w:rsidRDefault="002F5AFB" w:rsidP="002F5AFB">
      <w:pPr>
        <w:spacing w:after="160"/>
        <w:rPr>
          <w:rFonts w:ascii="Times New Roman" w:hAnsi="Times New Roman" w:cs="Times New Roman"/>
          <w:sz w:val="24"/>
          <w:szCs w:val="24"/>
        </w:rPr>
      </w:pPr>
      <w:r w:rsidRPr="002F5AFB">
        <w:rPr>
          <w:rFonts w:ascii="Times New Roman" w:hAnsi="Times New Roman" w:cs="Times New Roman"/>
          <w:sz w:val="24"/>
          <w:szCs w:val="24"/>
        </w:rPr>
        <w:t>Certification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ii</w:t>
      </w:r>
    </w:p>
    <w:p w14:paraId="19C7BE42" w14:textId="77777777" w:rsidR="002F5AFB" w:rsidRPr="002F5AFB" w:rsidRDefault="002F5AFB" w:rsidP="002F5AFB">
      <w:pPr>
        <w:spacing w:after="160"/>
        <w:rPr>
          <w:rFonts w:ascii="Times New Roman" w:hAnsi="Times New Roman" w:cs="Times New Roman"/>
          <w:sz w:val="24"/>
          <w:szCs w:val="24"/>
        </w:rPr>
      </w:pPr>
      <w:r w:rsidRPr="002F5AFB">
        <w:rPr>
          <w:rFonts w:ascii="Times New Roman" w:hAnsi="Times New Roman" w:cs="Times New Roman"/>
          <w:sz w:val="24"/>
          <w:szCs w:val="24"/>
        </w:rPr>
        <w:t>Dedication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iii</w:t>
      </w:r>
    </w:p>
    <w:p w14:paraId="1EDA9AE8" w14:textId="77777777" w:rsidR="002F5AFB" w:rsidRPr="002F5AFB" w:rsidRDefault="002F5AFB" w:rsidP="002F5AFB">
      <w:pPr>
        <w:spacing w:after="160"/>
        <w:rPr>
          <w:rFonts w:ascii="Times New Roman" w:hAnsi="Times New Roman" w:cs="Times New Roman"/>
          <w:sz w:val="24"/>
          <w:szCs w:val="24"/>
        </w:rPr>
      </w:pPr>
      <w:r w:rsidRPr="002F5AFB">
        <w:rPr>
          <w:rFonts w:ascii="Times New Roman" w:hAnsi="Times New Roman" w:cs="Times New Roman"/>
          <w:sz w:val="24"/>
          <w:szCs w:val="24"/>
        </w:rPr>
        <w:t>Acknowledgments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iv</w:t>
      </w:r>
    </w:p>
    <w:p w14:paraId="43758136" w14:textId="77777777" w:rsidR="002F5AFB" w:rsidRPr="002F5AFB" w:rsidRDefault="002F5AFB" w:rsidP="002F5AFB">
      <w:pPr>
        <w:spacing w:after="160"/>
        <w:rPr>
          <w:rFonts w:ascii="Times New Roman" w:hAnsi="Times New Roman" w:cs="Times New Roman"/>
          <w:sz w:val="24"/>
          <w:szCs w:val="24"/>
        </w:rPr>
      </w:pPr>
      <w:r w:rsidRPr="002F5AFB">
        <w:rPr>
          <w:rFonts w:ascii="Times New Roman" w:hAnsi="Times New Roman" w:cs="Times New Roman"/>
          <w:sz w:val="24"/>
          <w:szCs w:val="24"/>
        </w:rPr>
        <w:t>Table of Contents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v</w:t>
      </w:r>
    </w:p>
    <w:p w14:paraId="0DEAC0AC" w14:textId="77777777" w:rsidR="002F5AFB" w:rsidRPr="002F5AFB" w:rsidRDefault="002F5AFB" w:rsidP="002F5AFB">
      <w:pPr>
        <w:rPr>
          <w:rFonts w:ascii="Times New Roman" w:hAnsi="Times New Roman" w:cs="Times New Roman"/>
          <w:sz w:val="24"/>
          <w:szCs w:val="24"/>
        </w:rPr>
      </w:pPr>
      <w:r w:rsidRPr="002F5AFB">
        <w:rPr>
          <w:rFonts w:ascii="Times New Roman" w:hAnsi="Times New Roman" w:cs="Times New Roman"/>
          <w:sz w:val="24"/>
          <w:szCs w:val="24"/>
        </w:rPr>
        <w:t>Abstract</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vi</w:t>
      </w:r>
    </w:p>
    <w:p w14:paraId="01EE47FA" w14:textId="77777777" w:rsidR="002F5AFB" w:rsidRPr="002F5AFB" w:rsidRDefault="002F5AFB" w:rsidP="002F5AFB">
      <w:pPr>
        <w:rPr>
          <w:rFonts w:ascii="Times New Roman" w:hAnsi="Times New Roman" w:cs="Times New Roman"/>
          <w:b/>
          <w:bCs/>
          <w:sz w:val="24"/>
          <w:szCs w:val="24"/>
        </w:rPr>
      </w:pPr>
      <w:r w:rsidRPr="002F5AFB">
        <w:rPr>
          <w:rFonts w:ascii="Times New Roman" w:hAnsi="Times New Roman" w:cs="Times New Roman"/>
          <w:b/>
          <w:bCs/>
          <w:sz w:val="24"/>
          <w:szCs w:val="24"/>
        </w:rPr>
        <w:t>CHAPTER ONE: INTRODUCTION</w:t>
      </w:r>
    </w:p>
    <w:p w14:paraId="2D4BEBDB" w14:textId="77777777" w:rsidR="002F5AFB" w:rsidRPr="002F5AFB" w:rsidRDefault="007B2833" w:rsidP="002F5AFB">
      <w:pPr>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2F5AFB" w:rsidRPr="002F5AFB">
        <w:rPr>
          <w:rFonts w:ascii="Times New Roman" w:hAnsi="Times New Roman" w:cs="Times New Roman"/>
          <w:sz w:val="24"/>
          <w:szCs w:val="24"/>
        </w:rPr>
        <w:t>Antacids</w:t>
      </w:r>
      <w:r>
        <w:rPr>
          <w:rFonts w:ascii="Times New Roman" w:hAnsi="Times New Roman" w:cs="Times New Roman"/>
          <w:sz w:val="24"/>
          <w:szCs w:val="24"/>
        </w:rPr>
        <w:tab/>
      </w:r>
      <w:r>
        <w:rPr>
          <w:rFonts w:ascii="Times New Roman" w:hAnsi="Times New Roman" w:cs="Times New Roman"/>
          <w:sz w:val="24"/>
          <w:szCs w:val="24"/>
        </w:rPr>
        <w:tab/>
      </w:r>
      <w:r w:rsidR="002F5AFB" w:rsidRPr="002F5AFB">
        <w:rPr>
          <w:rFonts w:ascii="Times New Roman" w:hAnsi="Times New Roman" w:cs="Times New Roman"/>
          <w:sz w:val="24"/>
          <w:szCs w:val="24"/>
        </w:rPr>
        <w:tab/>
      </w:r>
      <w:r w:rsidR="002F5AFB" w:rsidRPr="002F5AFB">
        <w:rPr>
          <w:rFonts w:ascii="Times New Roman" w:hAnsi="Times New Roman" w:cs="Times New Roman"/>
          <w:sz w:val="24"/>
          <w:szCs w:val="24"/>
        </w:rPr>
        <w:tab/>
      </w:r>
      <w:r w:rsidR="002F5AFB" w:rsidRPr="002F5AFB">
        <w:rPr>
          <w:rFonts w:ascii="Times New Roman" w:hAnsi="Times New Roman" w:cs="Times New Roman"/>
          <w:sz w:val="24"/>
          <w:szCs w:val="24"/>
        </w:rPr>
        <w:tab/>
      </w:r>
      <w:r w:rsidR="002F5AFB" w:rsidRPr="002F5AFB">
        <w:rPr>
          <w:rFonts w:ascii="Times New Roman" w:hAnsi="Times New Roman" w:cs="Times New Roman"/>
          <w:sz w:val="24"/>
          <w:szCs w:val="24"/>
        </w:rPr>
        <w:tab/>
      </w:r>
      <w:r w:rsidR="002F5AFB" w:rsidRPr="002F5AFB">
        <w:rPr>
          <w:rFonts w:ascii="Times New Roman" w:hAnsi="Times New Roman" w:cs="Times New Roman"/>
          <w:sz w:val="24"/>
          <w:szCs w:val="24"/>
        </w:rPr>
        <w:tab/>
      </w:r>
      <w:r w:rsidR="002F5AFB" w:rsidRPr="002F5AFB">
        <w:rPr>
          <w:rFonts w:ascii="Times New Roman" w:hAnsi="Times New Roman" w:cs="Times New Roman"/>
          <w:sz w:val="24"/>
          <w:szCs w:val="24"/>
        </w:rPr>
        <w:tab/>
      </w:r>
      <w:r w:rsidR="002F5AFB" w:rsidRPr="002F5AFB">
        <w:rPr>
          <w:rFonts w:ascii="Times New Roman" w:hAnsi="Times New Roman" w:cs="Times New Roman"/>
          <w:sz w:val="24"/>
          <w:szCs w:val="24"/>
        </w:rPr>
        <w:tab/>
      </w:r>
      <w:r w:rsidR="002F5AFB" w:rsidRPr="002F5AFB">
        <w:rPr>
          <w:rFonts w:ascii="Times New Roman" w:hAnsi="Times New Roman" w:cs="Times New Roman"/>
          <w:sz w:val="24"/>
          <w:szCs w:val="24"/>
        </w:rPr>
        <w:tab/>
        <w:t>1</w:t>
      </w:r>
    </w:p>
    <w:p w14:paraId="54A40694" w14:textId="77777777" w:rsidR="002F5AFB" w:rsidRPr="002F5AFB" w:rsidRDefault="002F5AFB" w:rsidP="002F5AFB">
      <w:pPr>
        <w:pStyle w:val="ListParagraph"/>
        <w:numPr>
          <w:ilvl w:val="1"/>
          <w:numId w:val="15"/>
        </w:numPr>
        <w:spacing w:line="276" w:lineRule="auto"/>
        <w:rPr>
          <w:sz w:val="24"/>
          <w:szCs w:val="24"/>
        </w:rPr>
      </w:pPr>
      <w:r w:rsidRPr="002F5AFB">
        <w:rPr>
          <w:sz w:val="24"/>
          <w:szCs w:val="24"/>
        </w:rPr>
        <w:t>Common Antacids in Nigeria</w:t>
      </w:r>
      <w:r w:rsidR="007B2833">
        <w:rPr>
          <w:sz w:val="24"/>
          <w:szCs w:val="24"/>
        </w:rPr>
        <w:tab/>
      </w:r>
      <w:r w:rsidR="007B2833">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2</w:t>
      </w:r>
    </w:p>
    <w:p w14:paraId="339D3A54" w14:textId="77777777" w:rsidR="002F5AFB" w:rsidRPr="002F5AFB" w:rsidRDefault="002F5AFB" w:rsidP="002F5AFB">
      <w:pPr>
        <w:pStyle w:val="ListParagraph"/>
        <w:numPr>
          <w:ilvl w:val="1"/>
          <w:numId w:val="15"/>
        </w:numPr>
        <w:spacing w:line="276" w:lineRule="auto"/>
        <w:rPr>
          <w:sz w:val="24"/>
          <w:szCs w:val="24"/>
        </w:rPr>
      </w:pPr>
      <w:r w:rsidRPr="002F5AFB">
        <w:rPr>
          <w:sz w:val="24"/>
          <w:szCs w:val="24"/>
        </w:rPr>
        <w:t>Types of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3</w:t>
      </w:r>
    </w:p>
    <w:p w14:paraId="31D364D6" w14:textId="77777777" w:rsidR="002F5AFB" w:rsidRPr="002F5AFB" w:rsidRDefault="002F5AFB" w:rsidP="002F5AFB">
      <w:pPr>
        <w:pStyle w:val="ListParagraph"/>
        <w:spacing w:line="276" w:lineRule="auto"/>
        <w:ind w:left="720" w:firstLine="0"/>
        <w:rPr>
          <w:sz w:val="24"/>
          <w:szCs w:val="24"/>
        </w:rPr>
      </w:pPr>
      <w:r w:rsidRPr="002F5AFB">
        <w:rPr>
          <w:sz w:val="24"/>
          <w:szCs w:val="24"/>
        </w:rPr>
        <w:t>1.2.1</w:t>
      </w:r>
      <w:r w:rsidRPr="002F5AFB">
        <w:rPr>
          <w:sz w:val="24"/>
          <w:szCs w:val="24"/>
        </w:rPr>
        <w:tab/>
        <w:t>Aluminum-Based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3</w:t>
      </w:r>
    </w:p>
    <w:p w14:paraId="15D021B0" w14:textId="77777777" w:rsidR="002F5AFB" w:rsidRPr="002F5AFB" w:rsidRDefault="002F5AFB" w:rsidP="002F5AFB">
      <w:pPr>
        <w:pStyle w:val="ListParagraph"/>
        <w:spacing w:line="276" w:lineRule="auto"/>
        <w:ind w:left="720" w:firstLine="0"/>
        <w:rPr>
          <w:sz w:val="24"/>
          <w:szCs w:val="24"/>
        </w:rPr>
      </w:pPr>
      <w:r w:rsidRPr="002F5AFB">
        <w:rPr>
          <w:sz w:val="24"/>
          <w:szCs w:val="24"/>
        </w:rPr>
        <w:t>1.2.2</w:t>
      </w:r>
      <w:r w:rsidRPr="002F5AFB">
        <w:rPr>
          <w:sz w:val="24"/>
          <w:szCs w:val="24"/>
        </w:rPr>
        <w:tab/>
        <w:t>Magnesium-Based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3</w:t>
      </w:r>
    </w:p>
    <w:p w14:paraId="6CA91C66" w14:textId="77777777" w:rsidR="002F5AFB" w:rsidRPr="002F5AFB" w:rsidRDefault="002F5AFB" w:rsidP="002F5AFB">
      <w:pPr>
        <w:pStyle w:val="ListParagraph"/>
        <w:spacing w:line="276" w:lineRule="auto"/>
        <w:ind w:left="720" w:firstLine="0"/>
        <w:rPr>
          <w:sz w:val="24"/>
          <w:szCs w:val="24"/>
        </w:rPr>
      </w:pPr>
      <w:r w:rsidRPr="002F5AFB">
        <w:rPr>
          <w:sz w:val="24"/>
          <w:szCs w:val="24"/>
        </w:rPr>
        <w:t>1.2.3</w:t>
      </w:r>
      <w:r w:rsidRPr="002F5AFB">
        <w:rPr>
          <w:sz w:val="24"/>
          <w:szCs w:val="24"/>
        </w:rPr>
        <w:tab/>
        <w:t>Calcium-Based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4</w:t>
      </w:r>
    </w:p>
    <w:p w14:paraId="2EB36F7D" w14:textId="77777777" w:rsidR="002F5AFB" w:rsidRPr="002F5AFB" w:rsidRDefault="002F5AFB" w:rsidP="002F5AFB">
      <w:pPr>
        <w:pStyle w:val="ListParagraph"/>
        <w:spacing w:line="276" w:lineRule="auto"/>
        <w:ind w:left="720" w:firstLine="0"/>
        <w:rPr>
          <w:sz w:val="24"/>
          <w:szCs w:val="24"/>
        </w:rPr>
      </w:pPr>
      <w:r w:rsidRPr="002F5AFB">
        <w:rPr>
          <w:sz w:val="24"/>
          <w:szCs w:val="24"/>
        </w:rPr>
        <w:t>1.2.4</w:t>
      </w:r>
      <w:r w:rsidRPr="002F5AFB">
        <w:rPr>
          <w:sz w:val="24"/>
          <w:szCs w:val="24"/>
        </w:rPr>
        <w:tab/>
        <w:t>Sodium-Based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4</w:t>
      </w:r>
    </w:p>
    <w:p w14:paraId="34C8E09C" w14:textId="77777777" w:rsidR="002F5AFB" w:rsidRPr="002F5AFB" w:rsidRDefault="002F5AFB" w:rsidP="002F5AFB">
      <w:pPr>
        <w:pStyle w:val="ListParagraph"/>
        <w:spacing w:line="276" w:lineRule="auto"/>
        <w:ind w:left="720" w:firstLine="0"/>
        <w:rPr>
          <w:sz w:val="24"/>
          <w:szCs w:val="24"/>
        </w:rPr>
      </w:pPr>
      <w:r w:rsidRPr="002F5AFB">
        <w:rPr>
          <w:sz w:val="24"/>
          <w:szCs w:val="24"/>
        </w:rPr>
        <w:t>1.2.5</w:t>
      </w:r>
      <w:r w:rsidRPr="002F5AFB">
        <w:rPr>
          <w:sz w:val="24"/>
          <w:szCs w:val="24"/>
        </w:rPr>
        <w:tab/>
        <w:t xml:space="preserve"> Combination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4</w:t>
      </w:r>
    </w:p>
    <w:p w14:paraId="195D7E1E" w14:textId="77777777" w:rsidR="002F5AFB" w:rsidRPr="002F5AFB" w:rsidRDefault="002F5AFB" w:rsidP="002F5AFB">
      <w:pPr>
        <w:pStyle w:val="ListParagraph"/>
        <w:numPr>
          <w:ilvl w:val="1"/>
          <w:numId w:val="15"/>
        </w:numPr>
        <w:spacing w:line="276" w:lineRule="auto"/>
        <w:rPr>
          <w:sz w:val="24"/>
          <w:szCs w:val="24"/>
        </w:rPr>
      </w:pPr>
      <w:r w:rsidRPr="002F5AFB">
        <w:rPr>
          <w:sz w:val="24"/>
          <w:szCs w:val="24"/>
        </w:rPr>
        <w:t>Inorganic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5</w:t>
      </w:r>
    </w:p>
    <w:p w14:paraId="32BBF647" w14:textId="77777777" w:rsidR="002F5AFB" w:rsidRPr="002F5AFB" w:rsidRDefault="002F5AFB" w:rsidP="002F5AFB">
      <w:pPr>
        <w:pStyle w:val="ListParagraph"/>
        <w:spacing w:line="276" w:lineRule="auto"/>
        <w:ind w:left="720" w:firstLine="0"/>
        <w:rPr>
          <w:sz w:val="24"/>
          <w:szCs w:val="24"/>
        </w:rPr>
      </w:pPr>
      <w:r w:rsidRPr="002F5AFB">
        <w:rPr>
          <w:sz w:val="24"/>
          <w:szCs w:val="24"/>
        </w:rPr>
        <w:t>1.3.1</w:t>
      </w:r>
      <w:r w:rsidRPr="002F5AFB">
        <w:rPr>
          <w:sz w:val="24"/>
          <w:szCs w:val="24"/>
        </w:rPr>
        <w:tab/>
        <w:t>Aluminum Hydroxide</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5</w:t>
      </w:r>
    </w:p>
    <w:p w14:paraId="6FE3D02A" w14:textId="77777777" w:rsidR="002F5AFB" w:rsidRPr="002F5AFB" w:rsidRDefault="002F5AFB" w:rsidP="002F5AFB">
      <w:pPr>
        <w:pStyle w:val="ListParagraph"/>
        <w:spacing w:line="276" w:lineRule="auto"/>
        <w:ind w:left="720" w:firstLine="0"/>
        <w:rPr>
          <w:sz w:val="24"/>
          <w:szCs w:val="24"/>
        </w:rPr>
      </w:pPr>
      <w:r w:rsidRPr="002F5AFB">
        <w:rPr>
          <w:sz w:val="24"/>
          <w:szCs w:val="24"/>
        </w:rPr>
        <w:t>1.3.2</w:t>
      </w:r>
      <w:r w:rsidRPr="002F5AFB">
        <w:rPr>
          <w:sz w:val="24"/>
          <w:szCs w:val="24"/>
        </w:rPr>
        <w:tab/>
        <w:t>Magnesium Hydroxide</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5</w:t>
      </w:r>
    </w:p>
    <w:p w14:paraId="11B5DB50" w14:textId="77777777" w:rsidR="002F5AFB" w:rsidRPr="002F5AFB" w:rsidRDefault="002F5AFB" w:rsidP="002F5AFB">
      <w:pPr>
        <w:pStyle w:val="ListParagraph"/>
        <w:spacing w:line="276" w:lineRule="auto"/>
        <w:ind w:left="720" w:firstLine="0"/>
        <w:rPr>
          <w:sz w:val="24"/>
          <w:szCs w:val="24"/>
        </w:rPr>
      </w:pPr>
      <w:r w:rsidRPr="002F5AFB">
        <w:rPr>
          <w:sz w:val="24"/>
          <w:szCs w:val="24"/>
        </w:rPr>
        <w:lastRenderedPageBreak/>
        <w:t>1.3.3</w:t>
      </w:r>
      <w:r w:rsidRPr="002F5AFB">
        <w:rPr>
          <w:sz w:val="24"/>
          <w:szCs w:val="24"/>
        </w:rPr>
        <w:tab/>
        <w:t>Calcium Carbonate</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6</w:t>
      </w:r>
    </w:p>
    <w:p w14:paraId="08AB4FE0" w14:textId="77777777" w:rsidR="002F5AFB" w:rsidRPr="002F5AFB" w:rsidRDefault="002F5AFB" w:rsidP="002F5AFB">
      <w:pPr>
        <w:pStyle w:val="ListParagraph"/>
        <w:spacing w:line="276" w:lineRule="auto"/>
        <w:ind w:left="720" w:firstLine="0"/>
        <w:rPr>
          <w:sz w:val="24"/>
          <w:szCs w:val="24"/>
        </w:rPr>
      </w:pPr>
      <w:r w:rsidRPr="002F5AFB">
        <w:rPr>
          <w:sz w:val="24"/>
          <w:szCs w:val="24"/>
        </w:rPr>
        <w:t>1.3.4</w:t>
      </w:r>
      <w:r w:rsidRPr="002F5AFB">
        <w:rPr>
          <w:sz w:val="24"/>
          <w:szCs w:val="24"/>
        </w:rPr>
        <w:tab/>
        <w:t>Sodium Bicarbonate</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6</w:t>
      </w:r>
    </w:p>
    <w:p w14:paraId="2F24069D" w14:textId="77777777" w:rsidR="002F5AFB" w:rsidRDefault="002F5AFB" w:rsidP="002F5AFB">
      <w:pPr>
        <w:pStyle w:val="ListParagraph"/>
        <w:spacing w:line="276" w:lineRule="auto"/>
        <w:ind w:left="720" w:firstLine="0"/>
        <w:rPr>
          <w:sz w:val="24"/>
          <w:szCs w:val="24"/>
        </w:rPr>
      </w:pPr>
      <w:r w:rsidRPr="002F5AFB">
        <w:rPr>
          <w:sz w:val="24"/>
          <w:szCs w:val="24"/>
        </w:rPr>
        <w:t>1.3.5</w:t>
      </w:r>
      <w:r w:rsidRPr="002F5AFB">
        <w:rPr>
          <w:sz w:val="24"/>
          <w:szCs w:val="24"/>
        </w:rPr>
        <w:tab/>
        <w:t>Comparative Analysis and Considerations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6</w:t>
      </w:r>
    </w:p>
    <w:p w14:paraId="141E7E65" w14:textId="77777777" w:rsidR="00455718" w:rsidRPr="002F5AFB" w:rsidRDefault="00455718" w:rsidP="002F5AFB">
      <w:pPr>
        <w:pStyle w:val="ListParagraph"/>
        <w:spacing w:line="276" w:lineRule="auto"/>
        <w:ind w:left="720" w:firstLine="0"/>
        <w:rPr>
          <w:sz w:val="24"/>
          <w:szCs w:val="24"/>
        </w:rPr>
      </w:pPr>
    </w:p>
    <w:p w14:paraId="70E3957F" w14:textId="77777777" w:rsidR="002F5AFB" w:rsidRPr="002F5AFB" w:rsidRDefault="002F5AFB" w:rsidP="002F5AFB">
      <w:pPr>
        <w:pStyle w:val="ListParagraph"/>
        <w:numPr>
          <w:ilvl w:val="1"/>
          <w:numId w:val="15"/>
        </w:numPr>
        <w:spacing w:line="276" w:lineRule="auto"/>
        <w:rPr>
          <w:sz w:val="24"/>
          <w:szCs w:val="24"/>
        </w:rPr>
      </w:pPr>
      <w:r w:rsidRPr="002F5AFB">
        <w:rPr>
          <w:sz w:val="24"/>
          <w:szCs w:val="24"/>
        </w:rPr>
        <w:t>Organic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7</w:t>
      </w:r>
    </w:p>
    <w:p w14:paraId="65EB1ACD" w14:textId="77777777" w:rsidR="002F5AFB" w:rsidRPr="002F5AFB" w:rsidRDefault="002F5AFB" w:rsidP="002F5AFB">
      <w:pPr>
        <w:pStyle w:val="ListParagraph"/>
        <w:spacing w:line="276" w:lineRule="auto"/>
        <w:ind w:left="720" w:firstLine="0"/>
        <w:rPr>
          <w:sz w:val="24"/>
          <w:szCs w:val="24"/>
        </w:rPr>
      </w:pPr>
      <w:r w:rsidRPr="002F5AFB">
        <w:rPr>
          <w:sz w:val="24"/>
          <w:szCs w:val="24"/>
        </w:rPr>
        <w:t>1.4.1</w:t>
      </w:r>
      <w:r w:rsidRPr="002F5AFB">
        <w:rPr>
          <w:sz w:val="24"/>
          <w:szCs w:val="24"/>
        </w:rPr>
        <w:tab/>
        <w:t>Alginates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7</w:t>
      </w:r>
    </w:p>
    <w:p w14:paraId="07701972" w14:textId="77777777" w:rsidR="002F5AFB" w:rsidRPr="002F5AFB" w:rsidRDefault="002F5AFB" w:rsidP="002F5AFB">
      <w:pPr>
        <w:pStyle w:val="ListParagraph"/>
        <w:spacing w:line="276" w:lineRule="auto"/>
        <w:ind w:left="720" w:firstLine="0"/>
        <w:rPr>
          <w:sz w:val="24"/>
          <w:szCs w:val="24"/>
        </w:rPr>
      </w:pPr>
      <w:r w:rsidRPr="002F5AFB">
        <w:rPr>
          <w:sz w:val="24"/>
          <w:szCs w:val="24"/>
        </w:rPr>
        <w:t>1.4.2</w:t>
      </w:r>
      <w:r w:rsidRPr="002F5AFB">
        <w:rPr>
          <w:sz w:val="24"/>
          <w:szCs w:val="24"/>
        </w:rPr>
        <w:tab/>
        <w:t>Amino Acid-Based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7</w:t>
      </w:r>
    </w:p>
    <w:p w14:paraId="728CDE43" w14:textId="77777777" w:rsidR="002F5AFB" w:rsidRPr="002F5AFB" w:rsidRDefault="002F5AFB" w:rsidP="002F5AFB">
      <w:pPr>
        <w:pStyle w:val="ListParagraph"/>
        <w:spacing w:line="276" w:lineRule="auto"/>
        <w:ind w:left="720" w:firstLine="0"/>
        <w:rPr>
          <w:sz w:val="24"/>
          <w:szCs w:val="24"/>
        </w:rPr>
      </w:pPr>
      <w:r w:rsidRPr="002F5AFB">
        <w:rPr>
          <w:sz w:val="24"/>
          <w:szCs w:val="24"/>
        </w:rPr>
        <w:t>1.4.3</w:t>
      </w:r>
      <w:r w:rsidRPr="002F5AFB">
        <w:rPr>
          <w:sz w:val="24"/>
          <w:szCs w:val="24"/>
        </w:rPr>
        <w:tab/>
        <w:t>Sucralfate and Other Organic Buffers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8</w:t>
      </w:r>
    </w:p>
    <w:p w14:paraId="2137A4DB" w14:textId="77777777" w:rsidR="002F5AFB" w:rsidRPr="002F5AFB" w:rsidRDefault="002F5AFB" w:rsidP="002F5AFB">
      <w:pPr>
        <w:pStyle w:val="ListParagraph"/>
        <w:spacing w:line="276" w:lineRule="auto"/>
        <w:ind w:left="720" w:firstLine="0"/>
        <w:rPr>
          <w:sz w:val="24"/>
          <w:szCs w:val="24"/>
        </w:rPr>
      </w:pPr>
      <w:r w:rsidRPr="002F5AFB">
        <w:rPr>
          <w:sz w:val="24"/>
          <w:szCs w:val="24"/>
        </w:rPr>
        <w:t>1.4.4</w:t>
      </w:r>
      <w:r w:rsidRPr="002F5AFB">
        <w:rPr>
          <w:sz w:val="24"/>
          <w:szCs w:val="24"/>
        </w:rPr>
        <w:tab/>
        <w:t>Comparative Analysis and Considerations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8</w:t>
      </w:r>
    </w:p>
    <w:p w14:paraId="6EBC2A6A" w14:textId="77777777" w:rsidR="002F5AFB" w:rsidRPr="002F5AFB" w:rsidRDefault="002F5AFB" w:rsidP="002F5AFB">
      <w:pPr>
        <w:pStyle w:val="ListParagraph"/>
        <w:numPr>
          <w:ilvl w:val="1"/>
          <w:numId w:val="15"/>
        </w:numPr>
        <w:spacing w:line="276" w:lineRule="auto"/>
        <w:rPr>
          <w:sz w:val="24"/>
          <w:szCs w:val="24"/>
        </w:rPr>
      </w:pPr>
      <w:r w:rsidRPr="002F5AFB">
        <w:rPr>
          <w:sz w:val="24"/>
          <w:szCs w:val="24"/>
        </w:rPr>
        <w:t>Properties of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9</w:t>
      </w:r>
    </w:p>
    <w:p w14:paraId="43B421F0" w14:textId="77777777" w:rsidR="002F5AFB" w:rsidRPr="002F5AFB" w:rsidRDefault="002F5AFB" w:rsidP="002F5AFB">
      <w:pPr>
        <w:pStyle w:val="ListParagraph"/>
        <w:spacing w:line="276" w:lineRule="auto"/>
        <w:ind w:left="720" w:firstLine="0"/>
        <w:rPr>
          <w:sz w:val="24"/>
          <w:szCs w:val="24"/>
        </w:rPr>
      </w:pPr>
      <w:r w:rsidRPr="002F5AFB">
        <w:rPr>
          <w:sz w:val="24"/>
          <w:szCs w:val="24"/>
        </w:rPr>
        <w:t>1.5.1</w:t>
      </w:r>
      <w:r w:rsidRPr="002F5AFB">
        <w:rPr>
          <w:sz w:val="24"/>
          <w:szCs w:val="24"/>
        </w:rPr>
        <w:tab/>
        <w:t>Solubility and Reaction Speed</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9</w:t>
      </w:r>
    </w:p>
    <w:p w14:paraId="7086D092" w14:textId="77777777" w:rsidR="002F5AFB" w:rsidRPr="002F5AFB" w:rsidRDefault="002F5AFB" w:rsidP="002F5AFB">
      <w:pPr>
        <w:pStyle w:val="ListParagraph"/>
        <w:spacing w:line="276" w:lineRule="auto"/>
        <w:ind w:left="720" w:firstLine="0"/>
        <w:rPr>
          <w:sz w:val="24"/>
          <w:szCs w:val="24"/>
        </w:rPr>
      </w:pPr>
      <w:r w:rsidRPr="002F5AFB">
        <w:rPr>
          <w:sz w:val="24"/>
          <w:szCs w:val="24"/>
        </w:rPr>
        <w:t>1.5.2</w:t>
      </w:r>
      <w:r w:rsidRPr="002F5AFB">
        <w:rPr>
          <w:sz w:val="24"/>
          <w:szCs w:val="24"/>
        </w:rPr>
        <w:tab/>
        <w:t>Buffering Effect and pH Stability</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9</w:t>
      </w:r>
    </w:p>
    <w:p w14:paraId="7EFC6FD0" w14:textId="77777777" w:rsidR="002F5AFB" w:rsidRPr="002F5AFB" w:rsidRDefault="002F5AFB" w:rsidP="002F5AFB">
      <w:pPr>
        <w:pStyle w:val="ListParagraph"/>
        <w:spacing w:line="276" w:lineRule="auto"/>
        <w:ind w:left="720" w:firstLine="0"/>
        <w:rPr>
          <w:sz w:val="24"/>
          <w:szCs w:val="24"/>
        </w:rPr>
      </w:pPr>
      <w:r w:rsidRPr="002F5AFB">
        <w:rPr>
          <w:sz w:val="24"/>
          <w:szCs w:val="24"/>
        </w:rPr>
        <w:t>1.5.3</w:t>
      </w:r>
      <w:r w:rsidRPr="002F5AFB">
        <w:rPr>
          <w:sz w:val="24"/>
          <w:szCs w:val="24"/>
        </w:rPr>
        <w:tab/>
        <w:t>Duration of Action</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9</w:t>
      </w:r>
    </w:p>
    <w:p w14:paraId="355A8BA7" w14:textId="77777777" w:rsidR="002F5AFB" w:rsidRPr="002F5AFB" w:rsidRDefault="002F5AFB" w:rsidP="002F5AFB">
      <w:pPr>
        <w:pStyle w:val="ListParagraph"/>
        <w:spacing w:line="276" w:lineRule="auto"/>
        <w:ind w:left="720" w:firstLine="0"/>
        <w:rPr>
          <w:sz w:val="24"/>
          <w:szCs w:val="24"/>
        </w:rPr>
      </w:pPr>
      <w:r w:rsidRPr="002F5AFB">
        <w:rPr>
          <w:sz w:val="24"/>
          <w:szCs w:val="24"/>
        </w:rPr>
        <w:t>1.5.4</w:t>
      </w:r>
      <w:r w:rsidRPr="002F5AFB">
        <w:rPr>
          <w:sz w:val="24"/>
          <w:szCs w:val="24"/>
        </w:rPr>
        <w:tab/>
        <w:t>Side Effect Profile</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10</w:t>
      </w:r>
    </w:p>
    <w:p w14:paraId="6DAC60B4" w14:textId="77777777" w:rsidR="002F5AFB" w:rsidRPr="002F5AFB" w:rsidRDefault="002F5AFB" w:rsidP="002F5AFB">
      <w:pPr>
        <w:pStyle w:val="ListParagraph"/>
        <w:spacing w:line="276" w:lineRule="auto"/>
        <w:ind w:left="720" w:firstLine="0"/>
        <w:rPr>
          <w:sz w:val="24"/>
          <w:szCs w:val="24"/>
        </w:rPr>
      </w:pPr>
      <w:r w:rsidRPr="002F5AFB">
        <w:rPr>
          <w:sz w:val="24"/>
          <w:szCs w:val="24"/>
        </w:rPr>
        <w:t>1.5.5</w:t>
      </w:r>
      <w:r w:rsidRPr="002F5AFB">
        <w:rPr>
          <w:sz w:val="24"/>
          <w:szCs w:val="24"/>
        </w:rPr>
        <w:tab/>
        <w:t>Comparative Analysis of Antacid Properties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10</w:t>
      </w:r>
    </w:p>
    <w:p w14:paraId="0906CDD5" w14:textId="77777777" w:rsidR="002F5AFB" w:rsidRPr="002F5AFB" w:rsidRDefault="002F5AFB" w:rsidP="002F5AFB">
      <w:pPr>
        <w:pStyle w:val="ListParagraph"/>
        <w:numPr>
          <w:ilvl w:val="1"/>
          <w:numId w:val="15"/>
        </w:numPr>
        <w:spacing w:line="276" w:lineRule="auto"/>
        <w:rPr>
          <w:sz w:val="24"/>
          <w:szCs w:val="24"/>
        </w:rPr>
      </w:pPr>
      <w:r w:rsidRPr="002F5AFB">
        <w:rPr>
          <w:sz w:val="24"/>
          <w:szCs w:val="24"/>
        </w:rPr>
        <w:t>Factors Affecting Antacids’ Effectiveness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10</w:t>
      </w:r>
    </w:p>
    <w:p w14:paraId="65132231" w14:textId="77777777" w:rsidR="002F5AFB" w:rsidRPr="002F5AFB" w:rsidRDefault="002F5AFB" w:rsidP="002F5AFB">
      <w:pPr>
        <w:pStyle w:val="ListParagraph"/>
        <w:spacing w:line="276" w:lineRule="auto"/>
        <w:ind w:left="720" w:firstLine="0"/>
        <w:rPr>
          <w:sz w:val="24"/>
          <w:szCs w:val="24"/>
        </w:rPr>
      </w:pPr>
      <w:r w:rsidRPr="002F5AFB">
        <w:rPr>
          <w:sz w:val="24"/>
          <w:szCs w:val="24"/>
        </w:rPr>
        <w:t>1.6.1</w:t>
      </w:r>
      <w:r w:rsidRPr="002F5AFB">
        <w:rPr>
          <w:sz w:val="24"/>
          <w:szCs w:val="24"/>
        </w:rPr>
        <w:tab/>
        <w:t>Gastric pH and Acid Load</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10</w:t>
      </w:r>
    </w:p>
    <w:p w14:paraId="2A13AC63" w14:textId="77777777" w:rsidR="002F5AFB" w:rsidRPr="002F5AFB" w:rsidRDefault="002F5AFB" w:rsidP="002F5AFB">
      <w:pPr>
        <w:pStyle w:val="ListParagraph"/>
        <w:spacing w:line="276" w:lineRule="auto"/>
        <w:ind w:left="720" w:firstLine="0"/>
        <w:rPr>
          <w:sz w:val="24"/>
          <w:szCs w:val="24"/>
        </w:rPr>
      </w:pPr>
      <w:r w:rsidRPr="002F5AFB">
        <w:rPr>
          <w:sz w:val="24"/>
          <w:szCs w:val="24"/>
        </w:rPr>
        <w:t>1.6.2</w:t>
      </w:r>
      <w:r w:rsidRPr="002F5AFB">
        <w:rPr>
          <w:sz w:val="24"/>
          <w:szCs w:val="24"/>
        </w:rPr>
        <w:tab/>
        <w:t>Food Intake and Gastric Emptying Rate</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11</w:t>
      </w:r>
    </w:p>
    <w:p w14:paraId="4FC90BBC" w14:textId="77777777" w:rsidR="002F5AFB" w:rsidRPr="002F5AFB" w:rsidRDefault="002F5AFB" w:rsidP="002F5AFB">
      <w:pPr>
        <w:pStyle w:val="ListParagraph"/>
        <w:spacing w:line="276" w:lineRule="auto"/>
        <w:ind w:left="720" w:firstLine="0"/>
        <w:rPr>
          <w:sz w:val="24"/>
          <w:szCs w:val="24"/>
        </w:rPr>
      </w:pPr>
      <w:r w:rsidRPr="002F5AFB">
        <w:rPr>
          <w:sz w:val="24"/>
          <w:szCs w:val="24"/>
        </w:rPr>
        <w:lastRenderedPageBreak/>
        <w:t>1.6.3</w:t>
      </w:r>
      <w:r w:rsidRPr="002F5AFB">
        <w:rPr>
          <w:sz w:val="24"/>
          <w:szCs w:val="24"/>
        </w:rPr>
        <w:tab/>
        <w:t>Dosage and Frequency of Use</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11</w:t>
      </w:r>
    </w:p>
    <w:p w14:paraId="6ED406DB" w14:textId="77777777" w:rsidR="002F5AFB" w:rsidRPr="002F5AFB" w:rsidRDefault="002F5AFB" w:rsidP="002F5AFB">
      <w:pPr>
        <w:pStyle w:val="ListParagraph"/>
        <w:spacing w:line="276" w:lineRule="auto"/>
        <w:ind w:left="720" w:firstLine="0"/>
        <w:rPr>
          <w:sz w:val="24"/>
          <w:szCs w:val="24"/>
        </w:rPr>
      </w:pPr>
      <w:r w:rsidRPr="002F5AFB">
        <w:rPr>
          <w:sz w:val="24"/>
          <w:szCs w:val="24"/>
        </w:rPr>
        <w:t>1.6.4</w:t>
      </w:r>
      <w:r w:rsidRPr="002F5AFB">
        <w:rPr>
          <w:sz w:val="24"/>
          <w:szCs w:val="24"/>
        </w:rPr>
        <w:tab/>
        <w:t>Formulation Type (Liquid vs. Tablet vs. Effervescent)</w:t>
      </w:r>
      <w:r w:rsidRPr="002F5AFB">
        <w:rPr>
          <w:sz w:val="24"/>
          <w:szCs w:val="24"/>
        </w:rPr>
        <w:tab/>
      </w:r>
      <w:r w:rsidRPr="002F5AFB">
        <w:rPr>
          <w:sz w:val="24"/>
          <w:szCs w:val="24"/>
        </w:rPr>
        <w:tab/>
      </w:r>
      <w:r w:rsidRPr="002F5AFB">
        <w:rPr>
          <w:sz w:val="24"/>
          <w:szCs w:val="24"/>
        </w:rPr>
        <w:tab/>
        <w:t>11</w:t>
      </w:r>
    </w:p>
    <w:p w14:paraId="5717FE69" w14:textId="77777777" w:rsidR="002F5AFB" w:rsidRPr="002F5AFB" w:rsidRDefault="002F5AFB" w:rsidP="002F5AFB">
      <w:pPr>
        <w:pStyle w:val="ListParagraph"/>
        <w:spacing w:line="276" w:lineRule="auto"/>
        <w:ind w:left="720" w:firstLine="0"/>
        <w:rPr>
          <w:sz w:val="24"/>
          <w:szCs w:val="24"/>
        </w:rPr>
      </w:pPr>
      <w:r w:rsidRPr="002F5AFB">
        <w:rPr>
          <w:sz w:val="24"/>
          <w:szCs w:val="24"/>
        </w:rPr>
        <w:t xml:space="preserve">1.6.5 </w:t>
      </w:r>
      <w:r w:rsidRPr="002F5AFB">
        <w:rPr>
          <w:sz w:val="24"/>
          <w:szCs w:val="24"/>
        </w:rPr>
        <w:tab/>
        <w:t>Drug Interactions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12</w:t>
      </w:r>
    </w:p>
    <w:p w14:paraId="4E87EFEA" w14:textId="77777777" w:rsidR="002F5AFB" w:rsidRPr="002F5AFB" w:rsidRDefault="002F5AFB" w:rsidP="002F5AFB">
      <w:pPr>
        <w:pStyle w:val="ListParagraph"/>
        <w:spacing w:line="276" w:lineRule="auto"/>
        <w:ind w:left="720" w:firstLine="0"/>
        <w:rPr>
          <w:sz w:val="24"/>
          <w:szCs w:val="24"/>
        </w:rPr>
      </w:pPr>
      <w:r w:rsidRPr="002F5AFB">
        <w:rPr>
          <w:sz w:val="24"/>
          <w:szCs w:val="24"/>
        </w:rPr>
        <w:t>1.6.6</w:t>
      </w:r>
      <w:r w:rsidRPr="002F5AFB">
        <w:rPr>
          <w:sz w:val="24"/>
          <w:szCs w:val="24"/>
        </w:rPr>
        <w:tab/>
        <w:t>Patient-Specific Conditions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12</w:t>
      </w:r>
    </w:p>
    <w:p w14:paraId="500BC1D1" w14:textId="77777777" w:rsidR="002F5AFB" w:rsidRPr="002F5AFB" w:rsidRDefault="002F5AFB" w:rsidP="002F5AFB">
      <w:pPr>
        <w:pStyle w:val="ListParagraph"/>
        <w:numPr>
          <w:ilvl w:val="1"/>
          <w:numId w:val="15"/>
        </w:numPr>
        <w:spacing w:line="276" w:lineRule="auto"/>
        <w:rPr>
          <w:sz w:val="24"/>
          <w:szCs w:val="24"/>
        </w:rPr>
      </w:pPr>
      <w:r w:rsidRPr="002F5AFB">
        <w:rPr>
          <w:sz w:val="24"/>
          <w:szCs w:val="24"/>
        </w:rPr>
        <w:t>Acid Neutralizing Capacity (ANC)</w:t>
      </w:r>
      <w:r w:rsidRPr="002F5AFB">
        <w:rPr>
          <w:sz w:val="24"/>
          <w:szCs w:val="24"/>
        </w:rPr>
        <w:t> </w:t>
      </w:r>
      <w:r w:rsidR="00455718">
        <w:rPr>
          <w:sz w:val="24"/>
          <w:szCs w:val="24"/>
        </w:rPr>
        <w:tab/>
      </w:r>
      <w:r w:rsidR="00455718">
        <w:rPr>
          <w:sz w:val="24"/>
          <w:szCs w:val="24"/>
        </w:rPr>
        <w:tab/>
      </w:r>
      <w:r w:rsidR="00455718">
        <w:rPr>
          <w:sz w:val="24"/>
          <w:szCs w:val="24"/>
        </w:rPr>
        <w:tab/>
      </w:r>
      <w:r w:rsidR="00455718">
        <w:rPr>
          <w:sz w:val="24"/>
          <w:szCs w:val="24"/>
        </w:rPr>
        <w:tab/>
      </w:r>
      <w:r w:rsidRPr="002F5AFB">
        <w:rPr>
          <w:sz w:val="24"/>
          <w:szCs w:val="24"/>
        </w:rPr>
        <w:tab/>
      </w:r>
      <w:r w:rsidRPr="002F5AFB">
        <w:rPr>
          <w:sz w:val="24"/>
          <w:szCs w:val="24"/>
        </w:rPr>
        <w:tab/>
        <w:t>12</w:t>
      </w:r>
    </w:p>
    <w:p w14:paraId="6E1758A6" w14:textId="77777777" w:rsidR="002F5AFB" w:rsidRPr="002F5AFB" w:rsidRDefault="002F5AFB" w:rsidP="002F5AFB">
      <w:pPr>
        <w:pStyle w:val="ListParagraph"/>
        <w:spacing w:line="276" w:lineRule="auto"/>
        <w:ind w:left="720" w:firstLine="0"/>
        <w:rPr>
          <w:sz w:val="24"/>
          <w:szCs w:val="24"/>
        </w:rPr>
      </w:pPr>
      <w:r w:rsidRPr="002F5AFB">
        <w:rPr>
          <w:sz w:val="24"/>
          <w:szCs w:val="24"/>
        </w:rPr>
        <w:t>1.7.1</w:t>
      </w:r>
      <w:r w:rsidRPr="002F5AFB">
        <w:rPr>
          <w:sz w:val="24"/>
          <w:szCs w:val="24"/>
        </w:rPr>
        <w:tab/>
        <w:t>Factors Influencing ANC</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12</w:t>
      </w:r>
    </w:p>
    <w:p w14:paraId="10B0BD76" w14:textId="77777777" w:rsidR="002F5AFB" w:rsidRPr="002F5AFB" w:rsidRDefault="002F5AFB" w:rsidP="002F5AFB">
      <w:pPr>
        <w:pStyle w:val="ListParagraph"/>
        <w:spacing w:line="276" w:lineRule="auto"/>
        <w:ind w:left="720" w:firstLine="0"/>
        <w:rPr>
          <w:sz w:val="24"/>
          <w:szCs w:val="24"/>
        </w:rPr>
      </w:pPr>
      <w:r w:rsidRPr="002F5AFB">
        <w:rPr>
          <w:sz w:val="24"/>
          <w:szCs w:val="24"/>
        </w:rPr>
        <w:t>1.7.2</w:t>
      </w:r>
      <w:r w:rsidRPr="002F5AFB">
        <w:rPr>
          <w:sz w:val="24"/>
          <w:szCs w:val="24"/>
        </w:rPr>
        <w:tab/>
        <w:t>Methods for Determining ANC</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13</w:t>
      </w:r>
    </w:p>
    <w:p w14:paraId="67611395" w14:textId="77777777" w:rsidR="002F5AFB" w:rsidRPr="002F5AFB" w:rsidRDefault="002F5AFB" w:rsidP="002F5AFB">
      <w:pPr>
        <w:pStyle w:val="ListParagraph"/>
        <w:spacing w:line="276" w:lineRule="auto"/>
        <w:ind w:left="720" w:firstLine="0"/>
        <w:rPr>
          <w:sz w:val="24"/>
          <w:szCs w:val="24"/>
        </w:rPr>
      </w:pPr>
      <w:r w:rsidRPr="002F5AFB">
        <w:rPr>
          <w:sz w:val="24"/>
          <w:szCs w:val="24"/>
        </w:rPr>
        <w:t>1.7.3</w:t>
      </w:r>
      <w:r w:rsidRPr="002F5AFB">
        <w:rPr>
          <w:sz w:val="24"/>
          <w:szCs w:val="24"/>
        </w:rPr>
        <w:tab/>
        <w:t>Clinical Implications of ANC</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13</w:t>
      </w:r>
    </w:p>
    <w:p w14:paraId="1239326B" w14:textId="77777777" w:rsidR="002F5AFB" w:rsidRPr="002F5AFB" w:rsidRDefault="002F5AFB" w:rsidP="002F5AFB">
      <w:pPr>
        <w:pStyle w:val="ListParagraph"/>
        <w:spacing w:line="276" w:lineRule="auto"/>
        <w:ind w:left="720" w:firstLine="0"/>
        <w:rPr>
          <w:sz w:val="24"/>
          <w:szCs w:val="24"/>
        </w:rPr>
      </w:pPr>
      <w:r w:rsidRPr="002F5AFB">
        <w:rPr>
          <w:sz w:val="24"/>
          <w:szCs w:val="24"/>
        </w:rPr>
        <w:t>1.7.4</w:t>
      </w:r>
      <w:r w:rsidRPr="002F5AFB">
        <w:rPr>
          <w:sz w:val="24"/>
          <w:szCs w:val="24"/>
        </w:rPr>
        <w:tab/>
        <w:t>Comparison of ANC Among Antacid Formulations</w:t>
      </w:r>
      <w:r w:rsidRPr="002F5AFB">
        <w:rPr>
          <w:sz w:val="24"/>
          <w:szCs w:val="24"/>
        </w:rPr>
        <w:tab/>
      </w:r>
      <w:r w:rsidRPr="002F5AFB">
        <w:rPr>
          <w:sz w:val="24"/>
          <w:szCs w:val="24"/>
        </w:rPr>
        <w:tab/>
      </w:r>
      <w:r w:rsidRPr="002F5AFB">
        <w:rPr>
          <w:sz w:val="24"/>
          <w:szCs w:val="24"/>
        </w:rPr>
        <w:tab/>
      </w:r>
      <w:r w:rsidRPr="002F5AFB">
        <w:rPr>
          <w:sz w:val="24"/>
          <w:szCs w:val="24"/>
        </w:rPr>
        <w:tab/>
        <w:t>13</w:t>
      </w:r>
    </w:p>
    <w:p w14:paraId="374FECF1"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1.8</w:t>
      </w:r>
      <w:r w:rsidRPr="002F5AFB">
        <w:rPr>
          <w:rFonts w:ascii="Times New Roman" w:hAnsi="Times New Roman" w:cs="Times New Roman"/>
          <w:sz w:val="24"/>
          <w:szCs w:val="24"/>
        </w:rPr>
        <w:tab/>
        <w:t>Statement of the Problem</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14</w:t>
      </w:r>
    </w:p>
    <w:p w14:paraId="1041AAA0"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 xml:space="preserve">1.9 </w:t>
      </w:r>
      <w:r w:rsidRPr="002F5AFB">
        <w:rPr>
          <w:rFonts w:ascii="Times New Roman" w:hAnsi="Times New Roman" w:cs="Times New Roman"/>
          <w:sz w:val="24"/>
          <w:szCs w:val="24"/>
        </w:rPr>
        <w:tab/>
        <w:t>Significance of the Study</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15</w:t>
      </w:r>
    </w:p>
    <w:p w14:paraId="423B8422"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1.10</w:t>
      </w:r>
      <w:r w:rsidRPr="002F5AFB">
        <w:rPr>
          <w:rFonts w:ascii="Times New Roman" w:hAnsi="Times New Roman" w:cs="Times New Roman"/>
          <w:sz w:val="24"/>
          <w:szCs w:val="24"/>
        </w:rPr>
        <w:tab/>
        <w:t>Aims and Objectives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15</w:t>
      </w:r>
    </w:p>
    <w:p w14:paraId="0048D530" w14:textId="77777777" w:rsidR="002F5AFB" w:rsidRPr="002F5AFB" w:rsidRDefault="002F5AFB" w:rsidP="002F5AFB">
      <w:pPr>
        <w:spacing w:before="240"/>
        <w:rPr>
          <w:rFonts w:ascii="Times New Roman" w:hAnsi="Times New Roman" w:cs="Times New Roman"/>
          <w:b/>
          <w:sz w:val="24"/>
          <w:szCs w:val="24"/>
        </w:rPr>
      </w:pPr>
      <w:r w:rsidRPr="002F5AFB">
        <w:rPr>
          <w:rFonts w:ascii="Times New Roman" w:hAnsi="Times New Roman" w:cs="Times New Roman"/>
          <w:b/>
          <w:sz w:val="24"/>
          <w:szCs w:val="24"/>
        </w:rPr>
        <w:t>CHAPTER TWO: LITERATURE REVIEW</w:t>
      </w:r>
    </w:p>
    <w:p w14:paraId="052734D5"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2.1</w:t>
      </w:r>
      <w:r w:rsidRPr="002F5AFB">
        <w:rPr>
          <w:rFonts w:ascii="Times New Roman" w:hAnsi="Times New Roman" w:cs="Times New Roman"/>
          <w:sz w:val="24"/>
          <w:szCs w:val="24"/>
        </w:rPr>
        <w:tab/>
        <w:t>Mechanisms of Antacids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16</w:t>
      </w:r>
    </w:p>
    <w:p w14:paraId="4C22912B"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2.1.1</w:t>
      </w:r>
      <w:r w:rsidRPr="002F5AFB">
        <w:rPr>
          <w:rFonts w:ascii="Times New Roman" w:hAnsi="Times New Roman" w:cs="Times New Roman"/>
          <w:sz w:val="24"/>
          <w:szCs w:val="24"/>
        </w:rPr>
        <w:tab/>
        <w:t>Neutralization Reaction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16</w:t>
      </w:r>
    </w:p>
    <w:p w14:paraId="6527F2E6"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2.1.2</w:t>
      </w:r>
      <w:r w:rsidRPr="002F5AFB">
        <w:rPr>
          <w:rFonts w:ascii="Times New Roman" w:hAnsi="Times New Roman" w:cs="Times New Roman"/>
          <w:sz w:val="24"/>
          <w:szCs w:val="24"/>
        </w:rPr>
        <w:tab/>
        <w:t>Buffering and Mucosal Protection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17</w:t>
      </w:r>
    </w:p>
    <w:p w14:paraId="489E582A"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2.1.3</w:t>
      </w:r>
      <w:r w:rsidRPr="002F5AFB">
        <w:rPr>
          <w:rFonts w:ascii="Times New Roman" w:hAnsi="Times New Roman" w:cs="Times New Roman"/>
          <w:sz w:val="24"/>
          <w:szCs w:val="24"/>
        </w:rPr>
        <w:tab/>
        <w:t>Interaction with Pepsin and Bile Acids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17</w:t>
      </w:r>
    </w:p>
    <w:p w14:paraId="7DA931B3"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2.1.4</w:t>
      </w:r>
      <w:r w:rsidRPr="002F5AFB">
        <w:rPr>
          <w:rFonts w:ascii="Times New Roman" w:hAnsi="Times New Roman" w:cs="Times New Roman"/>
          <w:sz w:val="24"/>
          <w:szCs w:val="24"/>
        </w:rPr>
        <w:tab/>
        <w:t>Effect on Gastric Emptying and Gastrointestinal Motility</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17</w:t>
      </w:r>
    </w:p>
    <w:p w14:paraId="5EE49630"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2.2</w:t>
      </w:r>
      <w:r w:rsidRPr="002F5AFB">
        <w:rPr>
          <w:rFonts w:ascii="Times New Roman" w:hAnsi="Times New Roman" w:cs="Times New Roman"/>
          <w:sz w:val="24"/>
          <w:szCs w:val="24"/>
        </w:rPr>
        <w:tab/>
        <w:t>Chemical Neutralization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18</w:t>
      </w:r>
    </w:p>
    <w:p w14:paraId="02629A84"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lastRenderedPageBreak/>
        <w:t>2.3</w:t>
      </w:r>
      <w:r w:rsidRPr="002F5AFB">
        <w:rPr>
          <w:rFonts w:ascii="Times New Roman" w:hAnsi="Times New Roman" w:cs="Times New Roman"/>
          <w:sz w:val="24"/>
          <w:szCs w:val="24"/>
        </w:rPr>
        <w:tab/>
        <w:t>Methods of Evaluating Acid Neutralizing Capacity</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18</w:t>
      </w:r>
    </w:p>
    <w:p w14:paraId="1BCE5CB9"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2.3.1</w:t>
      </w:r>
      <w:r w:rsidRPr="002F5AFB">
        <w:rPr>
          <w:rFonts w:ascii="Times New Roman" w:hAnsi="Times New Roman" w:cs="Times New Roman"/>
          <w:sz w:val="24"/>
          <w:szCs w:val="24"/>
        </w:rPr>
        <w:tab/>
        <w:t>Titration Methods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18</w:t>
      </w:r>
    </w:p>
    <w:p w14:paraId="56C7E379"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2.3.2</w:t>
      </w:r>
      <w:r w:rsidRPr="002F5AFB">
        <w:rPr>
          <w:rFonts w:ascii="Times New Roman" w:hAnsi="Times New Roman" w:cs="Times New Roman"/>
          <w:sz w:val="24"/>
          <w:szCs w:val="24"/>
        </w:rPr>
        <w:tab/>
        <w:t>pH Analysis and pH Stat Methods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19</w:t>
      </w:r>
    </w:p>
    <w:p w14:paraId="4D6E87A0"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2.3.3</w:t>
      </w:r>
      <w:r w:rsidRPr="002F5AFB">
        <w:rPr>
          <w:rFonts w:ascii="Times New Roman" w:hAnsi="Times New Roman" w:cs="Times New Roman"/>
          <w:sz w:val="24"/>
          <w:szCs w:val="24"/>
        </w:rPr>
        <w:tab/>
        <w:t>In-Vitro Gastric Acid Simulation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19</w:t>
      </w:r>
    </w:p>
    <w:p w14:paraId="2455E9D5"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2.3.4</w:t>
      </w:r>
      <w:r w:rsidRPr="002F5AFB">
        <w:rPr>
          <w:rFonts w:ascii="Times New Roman" w:hAnsi="Times New Roman" w:cs="Times New Roman"/>
          <w:sz w:val="24"/>
          <w:szCs w:val="24"/>
        </w:rPr>
        <w:tab/>
        <w:t>Conductometric and Spectrophometric Analysis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19</w:t>
      </w:r>
    </w:p>
    <w:p w14:paraId="0EF848A7"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2.3.5</w:t>
      </w:r>
      <w:r w:rsidRPr="002F5AFB">
        <w:rPr>
          <w:rFonts w:ascii="Times New Roman" w:hAnsi="Times New Roman" w:cs="Times New Roman"/>
          <w:sz w:val="24"/>
          <w:szCs w:val="24"/>
        </w:rPr>
        <w:tab/>
        <w:t>Clinical and Pharmacokinetic Studies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20</w:t>
      </w:r>
    </w:p>
    <w:p w14:paraId="6607F1F4"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2.4</w:t>
      </w:r>
      <w:r w:rsidRPr="002F5AFB">
        <w:rPr>
          <w:rFonts w:ascii="Times New Roman" w:hAnsi="Times New Roman" w:cs="Times New Roman"/>
          <w:sz w:val="24"/>
          <w:szCs w:val="24"/>
        </w:rPr>
        <w:tab/>
        <w:t>Health Implications of Antacids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20</w:t>
      </w:r>
    </w:p>
    <w:p w14:paraId="59D9FBD3"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2.4.1</w:t>
      </w:r>
      <w:r w:rsidRPr="002F5AFB">
        <w:rPr>
          <w:rFonts w:ascii="Times New Roman" w:hAnsi="Times New Roman" w:cs="Times New Roman"/>
          <w:sz w:val="24"/>
          <w:szCs w:val="24"/>
        </w:rPr>
        <w:tab/>
        <w:t>Electrolyte and Metabolic Imbalances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20</w:t>
      </w:r>
    </w:p>
    <w:p w14:paraId="1A9EB3DB"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2.4.2</w:t>
      </w:r>
      <w:r w:rsidRPr="002F5AFB">
        <w:rPr>
          <w:rFonts w:ascii="Times New Roman" w:hAnsi="Times New Roman" w:cs="Times New Roman"/>
          <w:sz w:val="24"/>
          <w:szCs w:val="24"/>
        </w:rPr>
        <w:tab/>
        <w:t>Gastrointestinal Side Effects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20</w:t>
      </w:r>
    </w:p>
    <w:p w14:paraId="5566A91B"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2.4.3</w:t>
      </w:r>
      <w:r w:rsidRPr="002F5AFB">
        <w:rPr>
          <w:rFonts w:ascii="Times New Roman" w:hAnsi="Times New Roman" w:cs="Times New Roman"/>
          <w:sz w:val="24"/>
          <w:szCs w:val="24"/>
        </w:rPr>
        <w:tab/>
        <w:t>Drug Interactions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21</w:t>
      </w:r>
    </w:p>
    <w:p w14:paraId="5E7254C3"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2.4.4</w:t>
      </w:r>
      <w:r w:rsidRPr="002F5AFB">
        <w:rPr>
          <w:rFonts w:ascii="Times New Roman" w:hAnsi="Times New Roman" w:cs="Times New Roman"/>
          <w:sz w:val="24"/>
          <w:szCs w:val="24"/>
        </w:rPr>
        <w:tab/>
        <w:t>Risk of Acid Rebound</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21</w:t>
      </w:r>
    </w:p>
    <w:p w14:paraId="632AA284"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2.4.5</w:t>
      </w:r>
      <w:r w:rsidRPr="002F5AFB">
        <w:rPr>
          <w:rFonts w:ascii="Times New Roman" w:hAnsi="Times New Roman" w:cs="Times New Roman"/>
          <w:sz w:val="24"/>
          <w:szCs w:val="24"/>
        </w:rPr>
        <w:tab/>
        <w:t>Aluminum Toxicity and Neurological Effects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21</w:t>
      </w:r>
    </w:p>
    <w:p w14:paraId="75A98E72"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2.5</w:t>
      </w:r>
      <w:r w:rsidRPr="002F5AFB">
        <w:rPr>
          <w:rFonts w:ascii="Times New Roman" w:hAnsi="Times New Roman" w:cs="Times New Roman"/>
          <w:sz w:val="24"/>
          <w:szCs w:val="24"/>
        </w:rPr>
        <w:tab/>
        <w:t>Positive Effects of Antacids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22</w:t>
      </w:r>
    </w:p>
    <w:p w14:paraId="04CAAC38"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2.5.1</w:t>
      </w:r>
      <w:r w:rsidRPr="002F5AFB">
        <w:rPr>
          <w:rFonts w:ascii="Times New Roman" w:hAnsi="Times New Roman" w:cs="Times New Roman"/>
          <w:sz w:val="24"/>
          <w:szCs w:val="24"/>
        </w:rPr>
        <w:tab/>
        <w:t>Rapid Relief of Heartburn and Acid Reflux</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22</w:t>
      </w:r>
    </w:p>
    <w:p w14:paraId="6E3D9D1C"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2.5.2</w:t>
      </w:r>
      <w:r w:rsidRPr="002F5AFB">
        <w:rPr>
          <w:rFonts w:ascii="Times New Roman" w:hAnsi="Times New Roman" w:cs="Times New Roman"/>
          <w:sz w:val="24"/>
          <w:szCs w:val="24"/>
        </w:rPr>
        <w:tab/>
        <w:t>Prevention of Peptic Ulcer Complications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22</w:t>
      </w:r>
    </w:p>
    <w:p w14:paraId="4CC120ED"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2.5.3</w:t>
      </w:r>
      <w:r w:rsidRPr="002F5AFB">
        <w:rPr>
          <w:rFonts w:ascii="Times New Roman" w:hAnsi="Times New Roman" w:cs="Times New Roman"/>
          <w:sz w:val="24"/>
          <w:szCs w:val="24"/>
        </w:rPr>
        <w:tab/>
        <w:t>Enhancing Esophageal and Stomach Mucosal Protection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23</w:t>
      </w:r>
    </w:p>
    <w:p w14:paraId="2818F133"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lastRenderedPageBreak/>
        <w:tab/>
        <w:t>2.5.4</w:t>
      </w:r>
      <w:r w:rsidRPr="002F5AFB">
        <w:rPr>
          <w:rFonts w:ascii="Times New Roman" w:hAnsi="Times New Roman" w:cs="Times New Roman"/>
          <w:sz w:val="24"/>
          <w:szCs w:val="24"/>
        </w:rPr>
        <w:tab/>
        <w:t>Support for Bone Health (Calcium-Based Antacids)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23</w:t>
      </w:r>
    </w:p>
    <w:p w14:paraId="5FEA07D8"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2.5.5</w:t>
      </w:r>
      <w:r w:rsidRPr="002F5AFB">
        <w:rPr>
          <w:rFonts w:ascii="Times New Roman" w:hAnsi="Times New Roman" w:cs="Times New Roman"/>
          <w:sz w:val="24"/>
          <w:szCs w:val="24"/>
        </w:rPr>
        <w:tab/>
        <w:t>Reducing Phosphate Levels in Chronic Kidney Disease (CKD)</w:t>
      </w:r>
      <w:r w:rsidRPr="002F5AFB">
        <w:rPr>
          <w:rFonts w:ascii="Times New Roman" w:hAnsi="Times New Roman" w:cs="Times New Roman"/>
          <w:sz w:val="24"/>
          <w:szCs w:val="24"/>
        </w:rPr>
        <w:tab/>
      </w:r>
      <w:r w:rsidRPr="002F5AFB">
        <w:rPr>
          <w:rFonts w:ascii="Times New Roman" w:hAnsi="Times New Roman" w:cs="Times New Roman"/>
          <w:sz w:val="24"/>
          <w:szCs w:val="24"/>
        </w:rPr>
        <w:tab/>
        <w:t>23</w:t>
      </w:r>
    </w:p>
    <w:p w14:paraId="303BCCE6"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2.6</w:t>
      </w:r>
      <w:r w:rsidRPr="002F5AFB">
        <w:rPr>
          <w:rFonts w:ascii="Times New Roman" w:hAnsi="Times New Roman" w:cs="Times New Roman"/>
          <w:sz w:val="24"/>
          <w:szCs w:val="24"/>
        </w:rPr>
        <w:tab/>
        <w:t>Negative Effects of Antacids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24</w:t>
      </w:r>
    </w:p>
    <w:p w14:paraId="01306ED2"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2.6.1</w:t>
      </w:r>
      <w:r w:rsidRPr="002F5AFB">
        <w:rPr>
          <w:rFonts w:ascii="Times New Roman" w:hAnsi="Times New Roman" w:cs="Times New Roman"/>
          <w:sz w:val="24"/>
          <w:szCs w:val="24"/>
        </w:rPr>
        <w:tab/>
        <w:t>Electrolyte Imbalances and Metabolic Disorders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24</w:t>
      </w:r>
    </w:p>
    <w:p w14:paraId="3A182AE8"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2.6.2</w:t>
      </w:r>
      <w:r w:rsidRPr="002F5AFB">
        <w:rPr>
          <w:rFonts w:ascii="Times New Roman" w:hAnsi="Times New Roman" w:cs="Times New Roman"/>
          <w:sz w:val="24"/>
          <w:szCs w:val="24"/>
        </w:rPr>
        <w:tab/>
        <w:t>Gastrointestinal Side Effects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24</w:t>
      </w:r>
    </w:p>
    <w:p w14:paraId="4C32DE19"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2.6.3</w:t>
      </w:r>
      <w:r w:rsidRPr="002F5AFB">
        <w:rPr>
          <w:rFonts w:ascii="Times New Roman" w:hAnsi="Times New Roman" w:cs="Times New Roman"/>
          <w:sz w:val="24"/>
          <w:szCs w:val="24"/>
        </w:rPr>
        <w:tab/>
        <w:t>Drug Interactions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25</w:t>
      </w:r>
    </w:p>
    <w:p w14:paraId="567F45E3"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2.6.4</w:t>
      </w:r>
      <w:r w:rsidRPr="002F5AFB">
        <w:rPr>
          <w:rFonts w:ascii="Times New Roman" w:hAnsi="Times New Roman" w:cs="Times New Roman"/>
          <w:sz w:val="24"/>
          <w:szCs w:val="24"/>
        </w:rPr>
        <w:tab/>
        <w:t>Rebound Acid Hypersecretion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25</w:t>
      </w:r>
    </w:p>
    <w:p w14:paraId="6BA90960"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2.6.5</w:t>
      </w:r>
      <w:r w:rsidRPr="002F5AFB">
        <w:rPr>
          <w:rFonts w:ascii="Times New Roman" w:hAnsi="Times New Roman" w:cs="Times New Roman"/>
          <w:sz w:val="24"/>
          <w:szCs w:val="24"/>
        </w:rPr>
        <w:tab/>
        <w:t>Aluminum Toxicity and Neurological Concerns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25</w:t>
      </w:r>
    </w:p>
    <w:p w14:paraId="4ED9A800"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2.7</w:t>
      </w:r>
      <w:r w:rsidRPr="002F5AFB">
        <w:rPr>
          <w:rFonts w:ascii="Times New Roman" w:hAnsi="Times New Roman" w:cs="Times New Roman"/>
          <w:sz w:val="24"/>
          <w:szCs w:val="24"/>
        </w:rPr>
        <w:tab/>
        <w:t>Relief of Acid Reflux and Heartburn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26</w:t>
      </w:r>
    </w:p>
    <w:p w14:paraId="0F0EF912"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2.7.1</w:t>
      </w:r>
      <w:r w:rsidRPr="002F5AFB">
        <w:rPr>
          <w:rFonts w:ascii="Times New Roman" w:hAnsi="Times New Roman" w:cs="Times New Roman"/>
          <w:sz w:val="24"/>
          <w:szCs w:val="24"/>
        </w:rPr>
        <w:tab/>
        <w:t>Mechanism of Antacids in Acid Reflux Relief</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26</w:t>
      </w:r>
    </w:p>
    <w:p w14:paraId="4C75DEB0"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2.7.2</w:t>
      </w:r>
      <w:r w:rsidRPr="002F5AFB">
        <w:rPr>
          <w:rFonts w:ascii="Times New Roman" w:hAnsi="Times New Roman" w:cs="Times New Roman"/>
          <w:sz w:val="24"/>
          <w:szCs w:val="24"/>
        </w:rPr>
        <w:tab/>
        <w:t>Comparing Antacids with Other Acid Suppressors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26</w:t>
      </w:r>
    </w:p>
    <w:p w14:paraId="60ECD3C9"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2.7.3</w:t>
      </w:r>
      <w:r w:rsidRPr="002F5AFB">
        <w:rPr>
          <w:rFonts w:ascii="Times New Roman" w:hAnsi="Times New Roman" w:cs="Times New Roman"/>
          <w:sz w:val="24"/>
          <w:szCs w:val="24"/>
        </w:rPr>
        <w:tab/>
        <w:t>Combination Antacids for Enhanced Efficacy</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27</w:t>
      </w:r>
    </w:p>
    <w:p w14:paraId="7885BBA7" w14:textId="77777777" w:rsid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2.7.4</w:t>
      </w:r>
      <w:r w:rsidRPr="002F5AFB">
        <w:rPr>
          <w:rFonts w:ascii="Times New Roman" w:hAnsi="Times New Roman" w:cs="Times New Roman"/>
          <w:sz w:val="24"/>
          <w:szCs w:val="24"/>
        </w:rPr>
        <w:tab/>
        <w:t>Considerations and Precautions in Antacid Use</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27</w:t>
      </w:r>
    </w:p>
    <w:p w14:paraId="3D7CFC9D" w14:textId="77777777" w:rsidR="00455718" w:rsidRPr="002F5AFB" w:rsidRDefault="00455718" w:rsidP="002F5AFB">
      <w:pPr>
        <w:spacing w:before="240"/>
        <w:rPr>
          <w:rFonts w:ascii="Times New Roman" w:hAnsi="Times New Roman" w:cs="Times New Roman"/>
          <w:sz w:val="24"/>
          <w:szCs w:val="24"/>
        </w:rPr>
      </w:pPr>
    </w:p>
    <w:p w14:paraId="7EF3F21E"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2.8</w:t>
      </w:r>
      <w:r w:rsidRPr="002F5AFB">
        <w:rPr>
          <w:rFonts w:ascii="Times New Roman" w:hAnsi="Times New Roman" w:cs="Times New Roman"/>
          <w:sz w:val="24"/>
          <w:szCs w:val="24"/>
        </w:rPr>
        <w:tab/>
        <w:t>Antacid Use in Special Populations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27</w:t>
      </w:r>
    </w:p>
    <w:p w14:paraId="6F9C55FE"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2.8.1</w:t>
      </w:r>
      <w:r w:rsidRPr="002F5AFB">
        <w:rPr>
          <w:rFonts w:ascii="Times New Roman" w:hAnsi="Times New Roman" w:cs="Times New Roman"/>
          <w:sz w:val="24"/>
          <w:szCs w:val="24"/>
        </w:rPr>
        <w:tab/>
        <w:t>Antacid Use in Pregnant Women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27</w:t>
      </w:r>
    </w:p>
    <w:p w14:paraId="5B9BDD18"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lastRenderedPageBreak/>
        <w:tab/>
        <w:t>2.8.2</w:t>
      </w:r>
      <w:r w:rsidRPr="002F5AFB">
        <w:rPr>
          <w:rFonts w:ascii="Times New Roman" w:hAnsi="Times New Roman" w:cs="Times New Roman"/>
          <w:sz w:val="24"/>
          <w:szCs w:val="24"/>
        </w:rPr>
        <w:tab/>
        <w:t>Antacid Use in Elderly Individuals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28</w:t>
      </w:r>
    </w:p>
    <w:p w14:paraId="057DCA3F"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2.8.3</w:t>
      </w:r>
      <w:r w:rsidRPr="002F5AFB">
        <w:rPr>
          <w:rFonts w:ascii="Times New Roman" w:hAnsi="Times New Roman" w:cs="Times New Roman"/>
          <w:sz w:val="24"/>
          <w:szCs w:val="24"/>
        </w:rPr>
        <w:tab/>
        <w:t>Antacid Use in Children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28</w:t>
      </w:r>
    </w:p>
    <w:p w14:paraId="45C49546"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 xml:space="preserve">2.8.4 </w:t>
      </w:r>
      <w:r w:rsidRPr="002F5AFB">
        <w:rPr>
          <w:rFonts w:ascii="Times New Roman" w:hAnsi="Times New Roman" w:cs="Times New Roman"/>
          <w:sz w:val="24"/>
          <w:szCs w:val="24"/>
        </w:rPr>
        <w:tab/>
        <w:t>Antacid Use in Patients with Chronic Kidney Disease (CKD)</w:t>
      </w:r>
      <w:r w:rsidRPr="002F5AFB">
        <w:rPr>
          <w:rFonts w:ascii="Times New Roman" w:hAnsi="Times New Roman" w:cs="Times New Roman"/>
          <w:sz w:val="24"/>
          <w:szCs w:val="24"/>
        </w:rPr>
        <w:tab/>
      </w:r>
      <w:r w:rsidRPr="002F5AFB">
        <w:rPr>
          <w:rFonts w:ascii="Times New Roman" w:hAnsi="Times New Roman" w:cs="Times New Roman"/>
          <w:sz w:val="24"/>
          <w:szCs w:val="24"/>
        </w:rPr>
        <w:tab/>
        <w:t>29</w:t>
      </w:r>
    </w:p>
    <w:p w14:paraId="219F75B9"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2.8.5</w:t>
      </w:r>
      <w:r w:rsidRPr="002F5AFB">
        <w:rPr>
          <w:rFonts w:ascii="Times New Roman" w:hAnsi="Times New Roman" w:cs="Times New Roman"/>
          <w:sz w:val="24"/>
          <w:szCs w:val="24"/>
        </w:rPr>
        <w:tab/>
        <w:t>Antacid Use in Patients with Osteoporosis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29</w:t>
      </w:r>
    </w:p>
    <w:p w14:paraId="7D740522" w14:textId="77777777" w:rsidR="002F5AFB" w:rsidRPr="002F5AFB" w:rsidRDefault="002F5AFB" w:rsidP="002F5AFB">
      <w:pPr>
        <w:spacing w:before="240"/>
        <w:rPr>
          <w:rFonts w:ascii="Times New Roman" w:hAnsi="Times New Roman" w:cs="Times New Roman"/>
          <w:b/>
          <w:sz w:val="24"/>
          <w:szCs w:val="24"/>
        </w:rPr>
      </w:pPr>
      <w:r w:rsidRPr="002F5AFB">
        <w:rPr>
          <w:rFonts w:ascii="Times New Roman" w:hAnsi="Times New Roman" w:cs="Times New Roman"/>
          <w:b/>
          <w:sz w:val="24"/>
          <w:szCs w:val="24"/>
        </w:rPr>
        <w:t>CHAPTER THREE: MATERIAL AND METHOD</w:t>
      </w:r>
    </w:p>
    <w:p w14:paraId="66F5DBC4"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3.1</w:t>
      </w:r>
      <w:r w:rsidRPr="002F5AFB">
        <w:rPr>
          <w:rFonts w:ascii="Times New Roman" w:hAnsi="Times New Roman" w:cs="Times New Roman"/>
          <w:sz w:val="24"/>
          <w:szCs w:val="24"/>
        </w:rPr>
        <w:tab/>
        <w:t>Equipment and Reagent</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30</w:t>
      </w:r>
    </w:p>
    <w:p w14:paraId="00FCD622"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3.1.1</w:t>
      </w:r>
      <w:r w:rsidRPr="002F5AFB">
        <w:rPr>
          <w:rFonts w:ascii="Times New Roman" w:hAnsi="Times New Roman" w:cs="Times New Roman"/>
          <w:sz w:val="24"/>
          <w:szCs w:val="24"/>
        </w:rPr>
        <w:tab/>
        <w:t>Equipment</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30</w:t>
      </w:r>
    </w:p>
    <w:p w14:paraId="7EAF875A"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3.1.2</w:t>
      </w:r>
      <w:r w:rsidRPr="002F5AFB">
        <w:rPr>
          <w:rFonts w:ascii="Times New Roman" w:hAnsi="Times New Roman" w:cs="Times New Roman"/>
          <w:sz w:val="24"/>
          <w:szCs w:val="24"/>
        </w:rPr>
        <w:tab/>
        <w:t>Reagent</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30</w:t>
      </w:r>
    </w:p>
    <w:p w14:paraId="2EE87FF5"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3.1.3</w:t>
      </w:r>
      <w:r w:rsidRPr="002F5AFB">
        <w:rPr>
          <w:rFonts w:ascii="Times New Roman" w:hAnsi="Times New Roman" w:cs="Times New Roman"/>
          <w:sz w:val="24"/>
          <w:szCs w:val="24"/>
        </w:rPr>
        <w:tab/>
        <w:t>Reagent 2</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30</w:t>
      </w:r>
    </w:p>
    <w:p w14:paraId="2881AD67"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3.2</w:t>
      </w:r>
      <w:r w:rsidRPr="002F5AFB">
        <w:rPr>
          <w:rFonts w:ascii="Times New Roman" w:hAnsi="Times New Roman" w:cs="Times New Roman"/>
          <w:sz w:val="24"/>
          <w:szCs w:val="24"/>
        </w:rPr>
        <w:tab/>
        <w:t>Sample Preparation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30</w:t>
      </w:r>
    </w:p>
    <w:p w14:paraId="11E60244"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3.3</w:t>
      </w:r>
      <w:r w:rsidRPr="002F5AFB">
        <w:rPr>
          <w:rFonts w:ascii="Times New Roman" w:hAnsi="Times New Roman" w:cs="Times New Roman"/>
          <w:sz w:val="24"/>
          <w:szCs w:val="24"/>
        </w:rPr>
        <w:tab/>
        <w:t>Organoleptic Properties of Antacid Formulations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31</w:t>
      </w:r>
    </w:p>
    <w:p w14:paraId="3FF1A6DF" w14:textId="77777777" w:rsidR="002F5AFB" w:rsidRPr="002F5AFB" w:rsidRDefault="002F5AFB" w:rsidP="002F5AFB">
      <w:pPr>
        <w:spacing w:before="240"/>
        <w:rPr>
          <w:rFonts w:ascii="Times New Roman" w:hAnsi="Times New Roman" w:cs="Times New Roman"/>
          <w:b/>
          <w:sz w:val="24"/>
          <w:szCs w:val="24"/>
        </w:rPr>
      </w:pPr>
      <w:r w:rsidRPr="002F5AFB">
        <w:rPr>
          <w:rFonts w:ascii="Times New Roman" w:hAnsi="Times New Roman" w:cs="Times New Roman"/>
          <w:b/>
          <w:sz w:val="24"/>
          <w:szCs w:val="24"/>
        </w:rPr>
        <w:t>CHAPTER FOUR: RESULT AND DISCUSSION</w:t>
      </w:r>
    </w:p>
    <w:p w14:paraId="349B8D62"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4.1</w:t>
      </w:r>
      <w:r w:rsidRPr="002F5AFB">
        <w:rPr>
          <w:rFonts w:ascii="Times New Roman" w:hAnsi="Times New Roman" w:cs="Times New Roman"/>
          <w:sz w:val="24"/>
          <w:szCs w:val="24"/>
        </w:rPr>
        <w:tab/>
        <w:t>Result</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33</w:t>
      </w:r>
    </w:p>
    <w:p w14:paraId="4E8BB04F"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4.2</w:t>
      </w:r>
      <w:r w:rsidRPr="002F5AFB">
        <w:rPr>
          <w:rFonts w:ascii="Times New Roman" w:hAnsi="Times New Roman" w:cs="Times New Roman"/>
          <w:sz w:val="24"/>
          <w:szCs w:val="24"/>
        </w:rPr>
        <w:tab/>
        <w:t>Discussion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33</w:t>
      </w:r>
    </w:p>
    <w:p w14:paraId="5FF79A05" w14:textId="77777777" w:rsidR="002F5AFB" w:rsidRPr="002F5AFB" w:rsidRDefault="002F5AFB" w:rsidP="002F5AFB">
      <w:pPr>
        <w:spacing w:before="240"/>
        <w:rPr>
          <w:rFonts w:ascii="Times New Roman" w:hAnsi="Times New Roman" w:cs="Times New Roman"/>
          <w:b/>
          <w:sz w:val="24"/>
          <w:szCs w:val="24"/>
        </w:rPr>
      </w:pPr>
      <w:r w:rsidRPr="002F5AFB">
        <w:rPr>
          <w:rFonts w:ascii="Times New Roman" w:hAnsi="Times New Roman" w:cs="Times New Roman"/>
          <w:b/>
          <w:sz w:val="24"/>
          <w:szCs w:val="24"/>
        </w:rPr>
        <w:t>CHAPTER FIVE: CONCLUSION AND RECOMMENDATION</w:t>
      </w:r>
    </w:p>
    <w:p w14:paraId="38DC8B0F"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5.1</w:t>
      </w:r>
      <w:r w:rsidRPr="002F5AFB">
        <w:rPr>
          <w:rFonts w:ascii="Times New Roman" w:hAnsi="Times New Roman" w:cs="Times New Roman"/>
          <w:sz w:val="24"/>
          <w:szCs w:val="24"/>
        </w:rPr>
        <w:tab/>
        <w:t>Conclusion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35</w:t>
      </w:r>
    </w:p>
    <w:p w14:paraId="7FCF7EBC"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5.2</w:t>
      </w:r>
      <w:r w:rsidRPr="002F5AFB">
        <w:rPr>
          <w:rFonts w:ascii="Times New Roman" w:hAnsi="Times New Roman" w:cs="Times New Roman"/>
          <w:sz w:val="24"/>
          <w:szCs w:val="24"/>
        </w:rPr>
        <w:tab/>
        <w:t>Recommendation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35</w:t>
      </w:r>
    </w:p>
    <w:p w14:paraId="563DECA7" w14:textId="77777777" w:rsidR="002F5AFB" w:rsidRPr="002F5AFB" w:rsidRDefault="002F5AFB" w:rsidP="00455718">
      <w:pPr>
        <w:spacing w:before="240"/>
        <w:rPr>
          <w:rFonts w:ascii="Times New Roman" w:hAnsi="Times New Roman" w:cs="Times New Roman"/>
          <w:sz w:val="24"/>
          <w:szCs w:val="24"/>
        </w:rPr>
      </w:pPr>
      <w:r w:rsidRPr="002F5AFB">
        <w:rPr>
          <w:rFonts w:ascii="Times New Roman" w:hAnsi="Times New Roman" w:cs="Times New Roman"/>
          <w:sz w:val="24"/>
          <w:szCs w:val="24"/>
        </w:rPr>
        <w:tab/>
        <w:t>Reference</w:t>
      </w:r>
    </w:p>
    <w:p w14:paraId="20ACB456" w14:textId="77777777" w:rsidR="002F5AFB" w:rsidRPr="002F5AFB" w:rsidRDefault="002F5AFB" w:rsidP="002F5AFB">
      <w:pPr>
        <w:spacing w:line="360" w:lineRule="auto"/>
        <w:jc w:val="center"/>
        <w:rPr>
          <w:rFonts w:ascii="Times New Roman" w:hAnsi="Times New Roman" w:cs="Times New Roman"/>
          <w:b/>
          <w:sz w:val="24"/>
          <w:szCs w:val="24"/>
        </w:rPr>
      </w:pPr>
      <w:r w:rsidRPr="002F5AFB">
        <w:rPr>
          <w:rFonts w:ascii="Times New Roman" w:hAnsi="Times New Roman" w:cs="Times New Roman"/>
          <w:b/>
          <w:sz w:val="24"/>
          <w:szCs w:val="24"/>
        </w:rPr>
        <w:t>ABSTRACT</w:t>
      </w:r>
    </w:p>
    <w:p w14:paraId="1C8F0FC6" w14:textId="77777777" w:rsidR="002F5AFB" w:rsidRPr="002F5AFB" w:rsidRDefault="002F5AFB" w:rsidP="002F5AFB">
      <w:pPr>
        <w:pStyle w:val="NormalWeb"/>
        <w:spacing w:before="0" w:beforeAutospacing="0" w:line="360" w:lineRule="auto"/>
        <w:jc w:val="both"/>
        <w:rPr>
          <w:i/>
        </w:rPr>
      </w:pPr>
      <w:r w:rsidRPr="002F5AFB">
        <w:rPr>
          <w:i/>
        </w:rPr>
        <w:lastRenderedPageBreak/>
        <w:t>This study evaluated and compared the pH stability and acid neutralizing capacity (ANC) of five commercially available antacid and anti-ulcer drug brands: Kriscet (Cimetidine), Pherix, Krisnat Omeprazole, Gerdt, and Krisacid. Each sample was assessed for its initial pH, pH after 15 minutes, and ANC per standard dose. Results showed that while all drugs were alkaline at 0 minutes, significant variations existed in their buffering abilities and acid neutralization potential over time. Krisnat Omeprazole recorded the highest initial pH (9.35 ± 0.02) but had the lowest ANC (10.95 mEq/10 mL), suggesting systemic, rather than surface-level neutralization action. Gerdt and Krisacid demonstrated superior ANC values (13.80 and 13.25 mEq/10 mL, respectively) and relatively stable pH after 15 minutes, indicating better immediate acid neutralization potential. The study highlights the differences in formulation efficacy among antacid products and underscores the need for informed selection based on desired therapeutic outcomes.</w:t>
      </w:r>
    </w:p>
    <w:p w14:paraId="375CF22D" w14:textId="77777777" w:rsidR="002F5AFB" w:rsidRPr="009D24EB" w:rsidRDefault="002F5AFB" w:rsidP="002F5AFB"/>
    <w:p w14:paraId="03C37A9F" w14:textId="77777777" w:rsidR="00A32B4F" w:rsidRDefault="00A32B4F" w:rsidP="009A5A72">
      <w:pPr>
        <w:spacing w:after="0" w:line="360" w:lineRule="auto"/>
        <w:rPr>
          <w:rFonts w:ascii="Times New Roman" w:hAnsi="Times New Roman" w:cs="Times New Roman"/>
          <w:b/>
          <w:bCs/>
          <w:sz w:val="24"/>
          <w:szCs w:val="24"/>
        </w:rPr>
      </w:pPr>
    </w:p>
    <w:p w14:paraId="7D43EA2B" w14:textId="77777777" w:rsidR="00AC25C9" w:rsidRDefault="00AC25C9" w:rsidP="009A5A72">
      <w:pPr>
        <w:spacing w:after="0" w:line="360" w:lineRule="auto"/>
        <w:rPr>
          <w:rFonts w:ascii="Times New Roman" w:hAnsi="Times New Roman" w:cs="Times New Roman"/>
          <w:b/>
          <w:bCs/>
          <w:sz w:val="24"/>
          <w:szCs w:val="24"/>
        </w:rPr>
      </w:pPr>
    </w:p>
    <w:p w14:paraId="317B6D9B" w14:textId="77777777" w:rsidR="00AC25C9" w:rsidRDefault="00AC25C9" w:rsidP="009A5A72">
      <w:pPr>
        <w:spacing w:after="0" w:line="360" w:lineRule="auto"/>
        <w:rPr>
          <w:rFonts w:ascii="Times New Roman" w:hAnsi="Times New Roman" w:cs="Times New Roman"/>
          <w:b/>
          <w:bCs/>
          <w:sz w:val="24"/>
          <w:szCs w:val="24"/>
        </w:rPr>
      </w:pPr>
    </w:p>
    <w:p w14:paraId="6728A20E" w14:textId="77777777" w:rsidR="00AC25C9" w:rsidRDefault="00AC25C9" w:rsidP="009A5A72">
      <w:pPr>
        <w:spacing w:after="0" w:line="360" w:lineRule="auto"/>
        <w:rPr>
          <w:rFonts w:ascii="Times New Roman" w:hAnsi="Times New Roman" w:cs="Times New Roman"/>
          <w:b/>
          <w:bCs/>
          <w:sz w:val="24"/>
          <w:szCs w:val="24"/>
        </w:rPr>
      </w:pPr>
    </w:p>
    <w:p w14:paraId="1CDDEF9F" w14:textId="77777777" w:rsidR="00AC25C9" w:rsidRDefault="00AC25C9" w:rsidP="009A5A72">
      <w:pPr>
        <w:spacing w:after="0" w:line="360" w:lineRule="auto"/>
        <w:rPr>
          <w:rFonts w:ascii="Times New Roman" w:hAnsi="Times New Roman" w:cs="Times New Roman"/>
          <w:b/>
          <w:bCs/>
          <w:sz w:val="24"/>
          <w:szCs w:val="24"/>
        </w:rPr>
      </w:pPr>
    </w:p>
    <w:p w14:paraId="093E55E5" w14:textId="77777777" w:rsidR="00AC25C9" w:rsidRDefault="00AC25C9" w:rsidP="009A5A72">
      <w:pPr>
        <w:spacing w:after="0" w:line="360" w:lineRule="auto"/>
        <w:rPr>
          <w:rFonts w:ascii="Times New Roman" w:hAnsi="Times New Roman" w:cs="Times New Roman"/>
          <w:b/>
          <w:bCs/>
          <w:sz w:val="24"/>
          <w:szCs w:val="24"/>
        </w:rPr>
      </w:pPr>
    </w:p>
    <w:p w14:paraId="3771EF55" w14:textId="77777777" w:rsidR="00AC25C9" w:rsidRDefault="00AC25C9" w:rsidP="009A5A72">
      <w:pPr>
        <w:spacing w:after="0" w:line="360" w:lineRule="auto"/>
        <w:rPr>
          <w:rFonts w:ascii="Times New Roman" w:hAnsi="Times New Roman" w:cs="Times New Roman"/>
          <w:b/>
          <w:bCs/>
          <w:sz w:val="24"/>
          <w:szCs w:val="24"/>
        </w:rPr>
      </w:pPr>
    </w:p>
    <w:p w14:paraId="28F7721D" w14:textId="77777777" w:rsidR="00AC25C9" w:rsidRDefault="00AC25C9" w:rsidP="009A5A72">
      <w:pPr>
        <w:spacing w:after="0" w:line="360" w:lineRule="auto"/>
        <w:rPr>
          <w:rFonts w:ascii="Times New Roman" w:hAnsi="Times New Roman" w:cs="Times New Roman"/>
          <w:b/>
          <w:bCs/>
          <w:sz w:val="24"/>
          <w:szCs w:val="24"/>
        </w:rPr>
      </w:pPr>
    </w:p>
    <w:p w14:paraId="37E17B08" w14:textId="77777777" w:rsidR="00AC25C9" w:rsidRDefault="00AC25C9" w:rsidP="009A5A72">
      <w:pPr>
        <w:spacing w:after="0" w:line="360" w:lineRule="auto"/>
        <w:rPr>
          <w:rFonts w:ascii="Times New Roman" w:hAnsi="Times New Roman" w:cs="Times New Roman"/>
          <w:b/>
          <w:bCs/>
          <w:sz w:val="24"/>
          <w:szCs w:val="24"/>
        </w:rPr>
      </w:pPr>
    </w:p>
    <w:p w14:paraId="6039BA18" w14:textId="77777777" w:rsidR="00AC25C9" w:rsidRDefault="00AC25C9" w:rsidP="009A5A72">
      <w:pPr>
        <w:spacing w:after="0" w:line="360" w:lineRule="auto"/>
        <w:rPr>
          <w:rFonts w:ascii="Times New Roman" w:hAnsi="Times New Roman" w:cs="Times New Roman"/>
          <w:b/>
          <w:bCs/>
          <w:sz w:val="24"/>
          <w:szCs w:val="24"/>
        </w:rPr>
      </w:pPr>
    </w:p>
    <w:p w14:paraId="21A522E8" w14:textId="77777777" w:rsidR="00AC25C9" w:rsidRDefault="00AC25C9" w:rsidP="009A5A72">
      <w:pPr>
        <w:spacing w:after="0" w:line="360" w:lineRule="auto"/>
        <w:rPr>
          <w:rFonts w:ascii="Times New Roman" w:hAnsi="Times New Roman" w:cs="Times New Roman"/>
          <w:b/>
          <w:bCs/>
          <w:sz w:val="24"/>
          <w:szCs w:val="24"/>
        </w:rPr>
      </w:pPr>
    </w:p>
    <w:p w14:paraId="5738DF3E" w14:textId="77777777" w:rsidR="00AC25C9" w:rsidRDefault="00AC25C9" w:rsidP="009A5A72">
      <w:pPr>
        <w:spacing w:after="0" w:line="360" w:lineRule="auto"/>
        <w:rPr>
          <w:rFonts w:ascii="Times New Roman" w:hAnsi="Times New Roman" w:cs="Times New Roman"/>
          <w:b/>
          <w:bCs/>
          <w:sz w:val="24"/>
          <w:szCs w:val="24"/>
        </w:rPr>
      </w:pPr>
    </w:p>
    <w:p w14:paraId="3BD939DF" w14:textId="77777777" w:rsidR="000B4B76" w:rsidRDefault="000B4B76" w:rsidP="007B2833">
      <w:pPr>
        <w:spacing w:line="360" w:lineRule="auto"/>
        <w:jc w:val="center"/>
        <w:rPr>
          <w:rFonts w:ascii="Times New Roman" w:hAnsi="Times New Roman" w:cs="Times New Roman"/>
          <w:b/>
          <w:bCs/>
          <w:sz w:val="24"/>
          <w:szCs w:val="24"/>
        </w:rPr>
        <w:sectPr w:rsidR="000B4B76" w:rsidSect="007B2833">
          <w:footerReference w:type="default" r:id="rId7"/>
          <w:pgSz w:w="11808" w:h="15120"/>
          <w:pgMar w:top="1296" w:right="1282" w:bottom="2506" w:left="1282" w:header="0" w:footer="1440" w:gutter="0"/>
          <w:pgNumType w:fmt="lowerRoman" w:start="1"/>
          <w:cols w:space="720"/>
          <w:docGrid w:linePitch="299"/>
        </w:sectPr>
      </w:pPr>
    </w:p>
    <w:p w14:paraId="178DEC84" w14:textId="77777777" w:rsidR="00C308F5" w:rsidRDefault="00C308F5" w:rsidP="007B283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3AB748E3" w14:textId="77777777" w:rsidR="00C03B81" w:rsidRDefault="00C03B81" w:rsidP="007B283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24740A80" w14:textId="77777777" w:rsidR="00D659FE" w:rsidRPr="00D659FE" w:rsidRDefault="00C308F5" w:rsidP="007B2833">
      <w:pPr>
        <w:spacing w:line="360" w:lineRule="auto"/>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r>
      <w:r w:rsidR="00D659FE" w:rsidRPr="00D659FE">
        <w:rPr>
          <w:rFonts w:ascii="Times New Roman" w:hAnsi="Times New Roman" w:cs="Times New Roman"/>
          <w:b/>
          <w:bCs/>
          <w:sz w:val="24"/>
          <w:szCs w:val="24"/>
        </w:rPr>
        <w:t>ANTACIDS</w:t>
      </w:r>
    </w:p>
    <w:p w14:paraId="12C3A8C5"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Antacids are over-the-counter medications commonly used to relieve symptoms associated with acid reflux, heartburn, and indigestion. They work by neutralizing excess stomach acid (hydrochloric acid, HCl), thereby increasing the pH of gastric contents and providing symptomatic relief (Smith &amp; Johnson, 2021). The active ingredients in antacids vary but often include compounds such as magnesium hydroxide, aluminum hydroxide, calcium carbonate, and sodium bicarbonate. These compounds react with gastric acid to form salt and water, reducing acidity and alleviating discomfort (Brown </w:t>
      </w:r>
      <w:r w:rsidRPr="00C308F5">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14:paraId="772E3FFD"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mechanism of action of antacids is based on simple acid-base chemistry. For example, calcium carbonate (CaCO</w:t>
      </w:r>
      <w:r w:rsidRPr="00D659FE">
        <w:rPr>
          <w:rFonts w:ascii="Cambria Math" w:hAnsi="Cambria Math" w:cs="Cambria Math"/>
          <w:sz w:val="24"/>
          <w:szCs w:val="24"/>
        </w:rPr>
        <w:t>₃</w:t>
      </w:r>
      <w:r w:rsidRPr="00D659FE">
        <w:rPr>
          <w:rFonts w:ascii="Times New Roman" w:hAnsi="Times New Roman" w:cs="Times New Roman"/>
          <w:sz w:val="24"/>
          <w:szCs w:val="24"/>
        </w:rPr>
        <w:t>) reacts with hydrochloric acid (HCl) to form calcium chloride (CaCl</w:t>
      </w:r>
      <w:r w:rsidRPr="00D659FE">
        <w:rPr>
          <w:rFonts w:ascii="Cambria Math" w:hAnsi="Cambria Math" w:cs="Cambria Math"/>
          <w:sz w:val="24"/>
          <w:szCs w:val="24"/>
        </w:rPr>
        <w:t>₂</w:t>
      </w:r>
      <w:r w:rsidRPr="00D659FE">
        <w:rPr>
          <w:rFonts w:ascii="Times New Roman" w:hAnsi="Times New Roman" w:cs="Times New Roman"/>
          <w:sz w:val="24"/>
          <w:szCs w:val="24"/>
        </w:rPr>
        <w:t>), carbon dioxide (CO</w:t>
      </w:r>
      <w:r w:rsidRPr="00D659FE">
        <w:rPr>
          <w:rFonts w:ascii="Cambria Math" w:hAnsi="Cambria Math" w:cs="Cambria Math"/>
          <w:sz w:val="24"/>
          <w:szCs w:val="24"/>
        </w:rPr>
        <w:t>₂</w:t>
      </w:r>
      <w:r w:rsidRPr="00D659FE">
        <w:rPr>
          <w:rFonts w:ascii="Times New Roman" w:hAnsi="Times New Roman" w:cs="Times New Roman"/>
          <w:sz w:val="24"/>
          <w:szCs w:val="24"/>
        </w:rPr>
        <w:t>), and water (H</w:t>
      </w:r>
      <w:r w:rsidRPr="00D659FE">
        <w:rPr>
          <w:rFonts w:ascii="Cambria Math" w:hAnsi="Cambria Math" w:cs="Cambria Math"/>
          <w:sz w:val="24"/>
          <w:szCs w:val="24"/>
        </w:rPr>
        <w:t>₂</w:t>
      </w:r>
      <w:r w:rsidRPr="00D659FE">
        <w:rPr>
          <w:rFonts w:ascii="Times New Roman" w:hAnsi="Times New Roman" w:cs="Times New Roman"/>
          <w:sz w:val="24"/>
          <w:szCs w:val="24"/>
        </w:rPr>
        <w:t>O), effectively neutralizing the acid (Jones &amp; Patel, 2022). Similarly, magnesium hydroxide [Mg(OH)</w:t>
      </w:r>
      <w:r w:rsidRPr="00D659FE">
        <w:rPr>
          <w:rFonts w:ascii="Cambria Math" w:hAnsi="Cambria Math" w:cs="Cambria Math"/>
          <w:sz w:val="24"/>
          <w:szCs w:val="24"/>
        </w:rPr>
        <w:t>₂</w:t>
      </w:r>
      <w:r w:rsidRPr="00D659FE">
        <w:rPr>
          <w:rFonts w:ascii="Times New Roman" w:hAnsi="Times New Roman" w:cs="Times New Roman"/>
          <w:sz w:val="24"/>
          <w:szCs w:val="24"/>
        </w:rPr>
        <w:t>] reacts with HCl to form magnesium chloride (MgCl</w:t>
      </w:r>
      <w:r w:rsidRPr="00D659FE">
        <w:rPr>
          <w:rFonts w:ascii="Cambria Math" w:hAnsi="Cambria Math" w:cs="Cambria Math"/>
          <w:sz w:val="24"/>
          <w:szCs w:val="24"/>
        </w:rPr>
        <w:t>₂</w:t>
      </w:r>
      <w:r w:rsidRPr="00D659FE">
        <w:rPr>
          <w:rFonts w:ascii="Times New Roman" w:hAnsi="Times New Roman" w:cs="Times New Roman"/>
          <w:sz w:val="24"/>
          <w:szCs w:val="24"/>
        </w:rPr>
        <w:t xml:space="preserve">) and water. The effectiveness of an antacid depends on its neutralizing capacity, which varies among different formulations (Williams </w:t>
      </w:r>
      <w:r w:rsidRPr="00C308F5">
        <w:rPr>
          <w:rFonts w:ascii="Times New Roman" w:hAnsi="Times New Roman" w:cs="Times New Roman"/>
          <w:i/>
          <w:sz w:val="24"/>
          <w:szCs w:val="24"/>
        </w:rPr>
        <w:t>et al.,</w:t>
      </w:r>
      <w:r w:rsidRPr="00D659FE">
        <w:rPr>
          <w:rFonts w:ascii="Times New Roman" w:hAnsi="Times New Roman" w:cs="Times New Roman"/>
          <w:sz w:val="24"/>
          <w:szCs w:val="24"/>
        </w:rPr>
        <w:t xml:space="preserve"> 2024). Factors such as dissolution rate, formulation type (tablet, liquid, or gel), and presence of additional ingredients like alginates or simethicone influence how well and how quickly the antacid works (Miller &amp; Carter, 2020).</w:t>
      </w:r>
    </w:p>
    <w:p w14:paraId="4459D67B" w14:textId="77777777" w:rsidR="002F5AFB"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Evaluating the acid neutralizing capacity (ANC) of antacids is essential in determining their effectiveness and guiding their clinical use. Various methods, including back titration and pH- metric analysis, are used to quantify ANC in both laboratory and pharmaceutical settings (Garcia </w:t>
      </w:r>
      <w:r w:rsidRPr="00C308F5">
        <w:rPr>
          <w:rFonts w:ascii="Times New Roman" w:hAnsi="Times New Roman" w:cs="Times New Roman"/>
          <w:i/>
          <w:sz w:val="24"/>
          <w:szCs w:val="24"/>
        </w:rPr>
        <w:t>et al.,</w:t>
      </w:r>
      <w:r w:rsidRPr="00D659FE">
        <w:rPr>
          <w:rFonts w:ascii="Times New Roman" w:hAnsi="Times New Roman" w:cs="Times New Roman"/>
          <w:sz w:val="24"/>
          <w:szCs w:val="24"/>
        </w:rPr>
        <w:t xml:space="preserve"> 2021). Additionally, the prolonged use of certain antacids has been associated with potential health implications, such as altered </w:t>
      </w:r>
      <w:r w:rsidRPr="00D659FE">
        <w:rPr>
          <w:rFonts w:ascii="Times New Roman" w:hAnsi="Times New Roman" w:cs="Times New Roman"/>
          <w:sz w:val="24"/>
          <w:szCs w:val="24"/>
        </w:rPr>
        <w:lastRenderedPageBreak/>
        <w:t>calcium absorption, kidney stone formation, and metabolic alkalosis, necessitating appropriate usage recommendations (Roberts &amp; Lee, 2023).</w:t>
      </w:r>
    </w:p>
    <w:p w14:paraId="4585F30B" w14:textId="77777777" w:rsidR="00D659FE" w:rsidRPr="00C308F5" w:rsidRDefault="00C308F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sidR="00C03B81">
        <w:rPr>
          <w:rFonts w:ascii="Times New Roman" w:hAnsi="Times New Roman" w:cs="Times New Roman"/>
          <w:b/>
          <w:bCs/>
          <w:sz w:val="24"/>
          <w:szCs w:val="24"/>
        </w:rPr>
        <w:t>COMMON ANTACIDS IN NIGERIA</w:t>
      </w:r>
    </w:p>
    <w:p w14:paraId="3EC9B5FA" w14:textId="77777777" w:rsidR="00C308F5"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Antacids are widely used in Nigeria for the management of acid-related disorders such as heartburn, indigestion, and gastroesophageal reflux disease (GERD). The availability and affordability of these medications make them a popular choice for self-medication among Nigerians (Oluwaseun &amp; Adekunle, 2021). In Nigeria, commonly used antacids include brands and generic formulations containing active ingredients such as magnesium hydroxide, aluminum hydroxide, calcium carbonate, and sodium bicarbonate. These compounds function by neutralizing excess stomach acid, thereby relieving discomfort and protecting the stomach lining from irritation (Okeke </w:t>
      </w:r>
      <w:r w:rsidRPr="00C308F5">
        <w:rPr>
          <w:rFonts w:ascii="Times New Roman" w:hAnsi="Times New Roman" w:cs="Times New Roman"/>
          <w:i/>
          <w:sz w:val="24"/>
          <w:szCs w:val="24"/>
        </w:rPr>
        <w:t>et al.,</w:t>
      </w:r>
      <w:r w:rsidR="00C308F5">
        <w:rPr>
          <w:rFonts w:ascii="Times New Roman" w:hAnsi="Times New Roman" w:cs="Times New Roman"/>
          <w:sz w:val="24"/>
          <w:szCs w:val="24"/>
        </w:rPr>
        <w:t xml:space="preserve"> 2023).</w:t>
      </w:r>
    </w:p>
    <w:p w14:paraId="5B570E83" w14:textId="77777777" w:rsidR="00D659FE" w:rsidRPr="00C308F5" w:rsidRDefault="00D659FE" w:rsidP="009A5A72">
      <w:pPr>
        <w:spacing w:after="0" w:line="360" w:lineRule="auto"/>
        <w:jc w:val="both"/>
        <w:rPr>
          <w:rFonts w:ascii="Times New Roman" w:hAnsi="Times New Roman" w:cs="Times New Roman"/>
          <w:sz w:val="24"/>
          <w:szCs w:val="24"/>
        </w:rPr>
      </w:pPr>
      <w:r w:rsidRPr="00C308F5">
        <w:rPr>
          <w:rFonts w:ascii="Times New Roman" w:hAnsi="Times New Roman" w:cs="Times New Roman"/>
          <w:sz w:val="24"/>
          <w:szCs w:val="24"/>
        </w:rPr>
        <w:t xml:space="preserve">Among the most widely recognized antacid brands in Nigeria is Gestid, which contains a combination of aluminum hydroxide, magnesium hydroxide, and simethicone. This formulation provides effective acid neutralization while the simethicone component helps reduce bloating and gas formation (Adebayo &amp; Chukwuma, 2022). Another popular antacid is Andrews Liver Salt, which contains sodium bicarbonate and citric acid. It acts as an effervescent antacid, providing rapid relief from acid indigestion and bloating (Emmanuel &amp; Uchenna, 2023). Gaviscon, a well-known international brand also available in Nigeria, contains sodium alginate in addition to antacid compounds. It not only neutralizes acid but also forms a protective barrier to prevent acid reflux, making it a preferred choice for GERD management (Chidiebere </w:t>
      </w:r>
      <w:r w:rsidRPr="00C308F5">
        <w:rPr>
          <w:rFonts w:ascii="Times New Roman" w:hAnsi="Times New Roman" w:cs="Times New Roman"/>
          <w:i/>
          <w:sz w:val="24"/>
          <w:szCs w:val="24"/>
        </w:rPr>
        <w:t>et al.,</w:t>
      </w:r>
      <w:r w:rsidRPr="00C308F5">
        <w:rPr>
          <w:rFonts w:ascii="Times New Roman" w:hAnsi="Times New Roman" w:cs="Times New Roman"/>
          <w:sz w:val="24"/>
          <w:szCs w:val="24"/>
        </w:rPr>
        <w:t xml:space="preserve"> 2024).</w:t>
      </w:r>
    </w:p>
    <w:p w14:paraId="35D49780" w14:textId="77777777" w:rsidR="00C308F5" w:rsidRDefault="00D659FE" w:rsidP="009A5A72">
      <w:pPr>
        <w:spacing w:after="0" w:line="360" w:lineRule="auto"/>
        <w:jc w:val="both"/>
        <w:rPr>
          <w:rFonts w:ascii="Times New Roman" w:hAnsi="Times New Roman" w:cs="Times New Roman"/>
          <w:sz w:val="24"/>
          <w:szCs w:val="24"/>
        </w:rPr>
      </w:pPr>
      <w:r w:rsidRPr="00C308F5">
        <w:rPr>
          <w:rFonts w:ascii="Times New Roman" w:hAnsi="Times New Roman" w:cs="Times New Roman"/>
          <w:sz w:val="24"/>
          <w:szCs w:val="24"/>
        </w:rPr>
        <w:t xml:space="preserve">Additionally, Eno Fruit Salt, another effervescent antacid, is commonly used for quick relief from acidity and bloating. It contains sodium bicarbonate, citric acid, and sodium carbonate, which react with gastric acid to form carbon dioxide, facilitating fast neutralization (Ogundipe &amp; Williams, 2021). Magnesium Trisilicate, a generic </w:t>
      </w:r>
      <w:r w:rsidRPr="00C308F5">
        <w:rPr>
          <w:rFonts w:ascii="Times New Roman" w:hAnsi="Times New Roman" w:cs="Times New Roman"/>
          <w:sz w:val="24"/>
          <w:szCs w:val="24"/>
        </w:rPr>
        <w:lastRenderedPageBreak/>
        <w:t>formulation available in Nigeria, is also widely used and functions by coating the stomach lining while providing a sustained neutralizing effect (Okon &amp; Bello, 2022).</w:t>
      </w:r>
    </w:p>
    <w:p w14:paraId="37C4D029"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The preference for specific antacids in Nigeria often depends on accessibility, affordability, and perceived effectiveness. However, concerns have been raised about the indiscriminate use of antacids, especially those containing sodium bicarbonate, due to potential side effects such as alkalosis, electrolyte imbalances, and kidney-related complications when used excessively (Akinyemi </w:t>
      </w:r>
      <w:r w:rsidRPr="00C308F5">
        <w:rPr>
          <w:rFonts w:ascii="Times New Roman" w:hAnsi="Times New Roman" w:cs="Times New Roman"/>
          <w:i/>
          <w:sz w:val="24"/>
          <w:szCs w:val="24"/>
        </w:rPr>
        <w:t>et al.,</w:t>
      </w:r>
      <w:r w:rsidRPr="00D659FE">
        <w:rPr>
          <w:rFonts w:ascii="Times New Roman" w:hAnsi="Times New Roman" w:cs="Times New Roman"/>
          <w:sz w:val="24"/>
          <w:szCs w:val="24"/>
        </w:rPr>
        <w:t xml:space="preserve"> 2023). Therefore, understanding the acid-neutralizing capacity of these formulations is essential for guiding their appropriate use and ensuring optimal gastrointestinal health outcomes.</w:t>
      </w:r>
    </w:p>
    <w:p w14:paraId="14727363" w14:textId="77777777" w:rsidR="00D659FE" w:rsidRPr="00C308F5" w:rsidRDefault="00C308F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sidR="00D659FE" w:rsidRPr="00C308F5">
        <w:rPr>
          <w:rFonts w:ascii="Times New Roman" w:hAnsi="Times New Roman" w:cs="Times New Roman"/>
          <w:b/>
          <w:bCs/>
          <w:sz w:val="24"/>
          <w:szCs w:val="24"/>
        </w:rPr>
        <w:t>TYPES OF ANTACIDS</w:t>
      </w:r>
    </w:p>
    <w:p w14:paraId="05C1632D" w14:textId="77777777" w:rsidR="00584B9B" w:rsidRPr="00C308F5" w:rsidRDefault="00D659FE" w:rsidP="009A5A72">
      <w:pPr>
        <w:spacing w:after="0" w:line="360" w:lineRule="auto"/>
        <w:jc w:val="both"/>
        <w:rPr>
          <w:rFonts w:ascii="Times New Roman" w:hAnsi="Times New Roman" w:cs="Times New Roman"/>
          <w:sz w:val="24"/>
          <w:szCs w:val="24"/>
        </w:rPr>
      </w:pPr>
      <w:r w:rsidRPr="00C308F5">
        <w:rPr>
          <w:rFonts w:ascii="Times New Roman" w:hAnsi="Times New Roman" w:cs="Times New Roman"/>
          <w:sz w:val="24"/>
          <w:szCs w:val="24"/>
        </w:rPr>
        <w:t>Antacids are classified based on their active ingredients, which determine their acid- neutralizing capacity and overall effectiveness in managing gastric acidity. The primary types of antacids include aluminum-based, magnesium-based, calcium-based, sodium- based, and combination antacids. Each type has unique properties, benefits, and potential side effects, making them suitable for different patient needs (Okonkwo &amp; Adeyemi, 2021).</w:t>
      </w:r>
    </w:p>
    <w:p w14:paraId="67067064" w14:textId="77777777" w:rsidR="00D659FE" w:rsidRPr="007F7090" w:rsidRDefault="007F7090"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1.2.1</w:t>
      </w:r>
      <w:r>
        <w:rPr>
          <w:rFonts w:ascii="Times New Roman" w:hAnsi="Times New Roman" w:cs="Times New Roman"/>
          <w:b/>
          <w:bCs/>
          <w:sz w:val="24"/>
          <w:szCs w:val="24"/>
        </w:rPr>
        <w:tab/>
      </w:r>
      <w:r w:rsidR="00D659FE" w:rsidRPr="007F7090">
        <w:rPr>
          <w:rFonts w:ascii="Times New Roman" w:hAnsi="Times New Roman" w:cs="Times New Roman"/>
          <w:b/>
          <w:bCs/>
          <w:sz w:val="24"/>
          <w:szCs w:val="24"/>
        </w:rPr>
        <w:t>Aluminum-Based Antacids</w:t>
      </w:r>
    </w:p>
    <w:p w14:paraId="7D128B42"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Aluminum hydroxide is a common ingredient in many antacid formulations. It neutralizes stomach acid by forming aluminum chloride and water, providin</w:t>
      </w:r>
      <w:r w:rsidR="007F7090">
        <w:rPr>
          <w:rFonts w:ascii="Times New Roman" w:hAnsi="Times New Roman" w:cs="Times New Roman"/>
          <w:sz w:val="24"/>
          <w:szCs w:val="24"/>
        </w:rPr>
        <w:t xml:space="preserve">g effective relief from acidity </w:t>
      </w:r>
      <w:r w:rsidRPr="00D659FE">
        <w:rPr>
          <w:rFonts w:ascii="Times New Roman" w:hAnsi="Times New Roman" w:cs="Times New Roman"/>
          <w:sz w:val="24"/>
          <w:szCs w:val="24"/>
        </w:rPr>
        <w:t xml:space="preserve">and heartburn. One of its advantages is its ability to form a protective layer on the stomach lining, reducing irritation and promoting ulcer healing (Eze </w:t>
      </w:r>
      <w:r w:rsidRPr="007F7090">
        <w:rPr>
          <w:rFonts w:ascii="Times New Roman" w:hAnsi="Times New Roman" w:cs="Times New Roman"/>
          <w:i/>
          <w:sz w:val="24"/>
          <w:szCs w:val="24"/>
        </w:rPr>
        <w:t>et al.,</w:t>
      </w:r>
      <w:r w:rsidRPr="00D659FE">
        <w:rPr>
          <w:rFonts w:ascii="Times New Roman" w:hAnsi="Times New Roman" w:cs="Times New Roman"/>
          <w:sz w:val="24"/>
          <w:szCs w:val="24"/>
        </w:rPr>
        <w:t xml:space="preserve"> 2023). However, prolonged use of aluminum-based antacids has been associated with constipation and potential interference with phosphate absorption, which may lead to hypophosphatemia, especially in long-term users (Williams &amp; Chukwudi, 2022).</w:t>
      </w:r>
    </w:p>
    <w:p w14:paraId="4B756880" w14:textId="77777777" w:rsidR="00D659FE" w:rsidRPr="00BC1219" w:rsidRDefault="00BC1219" w:rsidP="009A5A7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1.2.2</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Magnesium-Based Antacids</w:t>
      </w:r>
    </w:p>
    <w:p w14:paraId="7236C433"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Magnesium hydroxide and magnesium trisilicate are commonly used in antacid formulations due to their rapid acid-neutralizing action. Magnesium-based antacids </w:t>
      </w:r>
      <w:r w:rsidRPr="00D659FE">
        <w:rPr>
          <w:rFonts w:ascii="Times New Roman" w:hAnsi="Times New Roman" w:cs="Times New Roman"/>
          <w:sz w:val="24"/>
          <w:szCs w:val="24"/>
        </w:rPr>
        <w:lastRenderedPageBreak/>
        <w:t>work by reacting with hydrochloric acid to form magnesium chloride and water, leading to a quick increase in gastric</w:t>
      </w:r>
      <w:r w:rsidR="007F7090">
        <w:rPr>
          <w:rFonts w:ascii="Times New Roman" w:hAnsi="Times New Roman" w:cs="Times New Roman"/>
          <w:sz w:val="24"/>
          <w:szCs w:val="24"/>
        </w:rPr>
        <w:t xml:space="preserve"> </w:t>
      </w:r>
      <w:r w:rsidRPr="00D659FE">
        <w:rPr>
          <w:rFonts w:ascii="Times New Roman" w:hAnsi="Times New Roman" w:cs="Times New Roman"/>
          <w:sz w:val="24"/>
          <w:szCs w:val="24"/>
        </w:rPr>
        <w:t xml:space="preserve">pH (Ogunleye </w:t>
      </w:r>
      <w:r w:rsidRPr="007F7090">
        <w:rPr>
          <w:rFonts w:ascii="Times New Roman" w:hAnsi="Times New Roman" w:cs="Times New Roman"/>
          <w:i/>
          <w:sz w:val="24"/>
          <w:szCs w:val="24"/>
        </w:rPr>
        <w:t>et al.,</w:t>
      </w:r>
      <w:r w:rsidRPr="00D659FE">
        <w:rPr>
          <w:rFonts w:ascii="Times New Roman" w:hAnsi="Times New Roman" w:cs="Times New Roman"/>
          <w:sz w:val="24"/>
          <w:szCs w:val="24"/>
        </w:rPr>
        <w:t xml:space="preserve"> 2023). Unlike aluminum-based antacids, they tend to have a laxative effect, which can be beneficial for individuals prone to constipation. However, excessive use may result in diarrhea or hypermagnesemia, particularly in patients with renal impairment (Adebayo &amp; Yusuf, 2024).</w:t>
      </w:r>
    </w:p>
    <w:p w14:paraId="3A11C03B" w14:textId="77777777" w:rsidR="007F7090"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1.2.3</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Calcium-Based Antacids</w:t>
      </w:r>
    </w:p>
    <w:p w14:paraId="560859E5" w14:textId="77777777" w:rsidR="00D659FE" w:rsidRPr="007F7090" w:rsidRDefault="00D659FE" w:rsidP="009A5A72">
      <w:pPr>
        <w:spacing w:after="0" w:line="360" w:lineRule="auto"/>
        <w:rPr>
          <w:rFonts w:ascii="Times New Roman" w:hAnsi="Times New Roman" w:cs="Times New Roman"/>
          <w:b/>
          <w:bCs/>
          <w:sz w:val="24"/>
          <w:szCs w:val="24"/>
        </w:rPr>
      </w:pPr>
      <w:r w:rsidRPr="007F7090">
        <w:rPr>
          <w:rFonts w:ascii="Times New Roman" w:hAnsi="Times New Roman" w:cs="Times New Roman"/>
          <w:sz w:val="24"/>
          <w:szCs w:val="24"/>
        </w:rPr>
        <w:t xml:space="preserve">Calcium carbonate is widely used in antacid preparations due to its strong acid-neutralizing capacity. It reacts with stomach acid to form calcium chloride, carbon dioxide, and water, providing quick and long-lasting relief from acid reflux and indigestion (Chidiebere &amp; Okafor, 2023). Additionally, calcium-based antacids contribute to calcium intake, which can be beneficial for bone health. However, excessive consumption may lead to hypercalcemia, milk- alkali syndrome, and rebound acid secretion, where the stomach produces more acid after the initial neutralization effect wears off (Oluwaseun </w:t>
      </w:r>
      <w:r w:rsidRPr="007F7090">
        <w:rPr>
          <w:rFonts w:ascii="Times New Roman" w:hAnsi="Times New Roman" w:cs="Times New Roman"/>
          <w:i/>
          <w:sz w:val="24"/>
          <w:szCs w:val="24"/>
        </w:rPr>
        <w:t>et al.,</w:t>
      </w:r>
      <w:r w:rsidRPr="007F7090">
        <w:rPr>
          <w:rFonts w:ascii="Times New Roman" w:hAnsi="Times New Roman" w:cs="Times New Roman"/>
          <w:sz w:val="24"/>
          <w:szCs w:val="24"/>
        </w:rPr>
        <w:t xml:space="preserve"> 2022).</w:t>
      </w:r>
    </w:p>
    <w:p w14:paraId="196D8474" w14:textId="77777777" w:rsidR="00D659FE" w:rsidRPr="00BC1219" w:rsidRDefault="00D659FE" w:rsidP="009A5A72">
      <w:pPr>
        <w:pStyle w:val="ListParagraph"/>
        <w:numPr>
          <w:ilvl w:val="2"/>
          <w:numId w:val="2"/>
        </w:numPr>
        <w:spacing w:line="360" w:lineRule="auto"/>
        <w:jc w:val="both"/>
        <w:rPr>
          <w:b/>
          <w:bCs/>
          <w:sz w:val="24"/>
          <w:szCs w:val="24"/>
        </w:rPr>
      </w:pPr>
      <w:r w:rsidRPr="00BC1219">
        <w:rPr>
          <w:b/>
          <w:bCs/>
          <w:sz w:val="24"/>
          <w:szCs w:val="24"/>
        </w:rPr>
        <w:t>Sodium-Based Antacids</w:t>
      </w:r>
    </w:p>
    <w:p w14:paraId="197F1CF3"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Sodium bicarbonate is a fast-acting antacid that provides immediate relief from heartburn and acid indigestion by reacting with hydrochloric acid to produce carbon dioxide, water, and sodium chloride. It is commonly found in effervescent antacid formulations, such as Eno and Andrews Liver Salt (Emmanuel &amp; Okechukwu, 2021). While effective, sodium- based antacids are not recommended for long-term use due to their high sodium content, which can contribute to hypertension and fluid retention, particularly in individuals with cardiovascular or kidney conditions (Akinyemi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14:paraId="3C8662B4" w14:textId="77777777" w:rsidR="00D659FE" w:rsidRPr="00BC1219" w:rsidRDefault="00D659FE" w:rsidP="009A5A72">
      <w:pPr>
        <w:pStyle w:val="ListParagraph"/>
        <w:numPr>
          <w:ilvl w:val="2"/>
          <w:numId w:val="2"/>
        </w:numPr>
        <w:spacing w:line="360" w:lineRule="auto"/>
        <w:jc w:val="both"/>
        <w:rPr>
          <w:b/>
          <w:bCs/>
          <w:sz w:val="24"/>
          <w:szCs w:val="24"/>
        </w:rPr>
      </w:pPr>
      <w:r w:rsidRPr="00BC1219">
        <w:rPr>
          <w:b/>
          <w:bCs/>
          <w:sz w:val="24"/>
          <w:szCs w:val="24"/>
        </w:rPr>
        <w:t>Combination Antacids</w:t>
      </w:r>
    </w:p>
    <w:p w14:paraId="0A8577B9"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lastRenderedPageBreak/>
        <w:t>Many commercial antacids combine multiple active ingredients to balance efficacy and minimize side effects. For instance, magnesium and aluminum hydroxides are often combined to counteract the laxative effect of magnesium with the constipating effect of aluminum (Ogundipe &amp; Williams, 2022). Another example is the inclusion of alginates in some formulations, such as Gaviscon, which not only neutralizes acid but also creates a protective barrier against reflux (Okon &amp; Bello, 2023). These combination antacids are particularly effective for individuals requiring sustained acid suppression with minimal gastrointestinal side effects.</w:t>
      </w:r>
    </w:p>
    <w:p w14:paraId="3D4EB000"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The choice of antacid depends on the severity of symptoms, underlying health conditions, and potential side effects. While antacids provide effective short-term relief, excessive or prolonged use can lead to electrolyte imbalances, metabolic disturbances, and interactions with other medications (Olawale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2024). Therefore, proper evaluation of their acid- neutralizing capacity is crucial for optimizing their use and ensuring safety.</w:t>
      </w:r>
    </w:p>
    <w:p w14:paraId="0EC2C7E5" w14:textId="77777777" w:rsidR="00D659FE" w:rsidRPr="00556125" w:rsidRDefault="0055612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r>
      <w:r w:rsidR="00D659FE" w:rsidRPr="00556125">
        <w:rPr>
          <w:rFonts w:ascii="Times New Roman" w:hAnsi="Times New Roman" w:cs="Times New Roman"/>
          <w:b/>
          <w:bCs/>
          <w:sz w:val="24"/>
          <w:szCs w:val="24"/>
        </w:rPr>
        <w:t>INORGANIC ANTACIDS</w:t>
      </w:r>
    </w:p>
    <w:p w14:paraId="617B5223"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Inorganic antacids are compounds derived from minerals and inorganic salts that help neutralize gastric acid, providing relief from conditions such as acid reflux, heartburn, and indigestion. These antacids typically contain metal hydroxides, carbonates, or bicarbonates that react with hydrochloric acid (HCl) in the stomach to form water and neutral salts, thereby increasing gastric pH and reducing acidity (Okonkwo &amp; Adeyemi, 2021). The most commonly used inorganic antacids include aluminum hydroxide, magnesium hydroxide, calcium carbonate, and sodium bicarbonate.</w:t>
      </w:r>
    </w:p>
    <w:p w14:paraId="530B0086" w14:textId="77777777"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1.3.1</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Aluminum Hydroxide</w:t>
      </w:r>
    </w:p>
    <w:p w14:paraId="681FFF86" w14:textId="77777777" w:rsidR="005E1AA2"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Aluminum hydroxide [Al(OH)</w:t>
      </w:r>
      <w:r w:rsidRPr="00D659FE">
        <w:rPr>
          <w:rFonts w:ascii="Cambria Math" w:hAnsi="Cambria Math" w:cs="Cambria Math"/>
          <w:sz w:val="24"/>
          <w:szCs w:val="24"/>
        </w:rPr>
        <w:t>₃</w:t>
      </w:r>
      <w:r w:rsidRPr="00D659FE">
        <w:rPr>
          <w:rFonts w:ascii="Times New Roman" w:hAnsi="Times New Roman" w:cs="Times New Roman"/>
          <w:sz w:val="24"/>
          <w:szCs w:val="24"/>
        </w:rPr>
        <w:t>] is a widely used antacid that neutralizes stomach acid by forming aluminum chloride (AlCl</w:t>
      </w:r>
      <w:r w:rsidRPr="00D659FE">
        <w:rPr>
          <w:rFonts w:ascii="Cambria Math" w:hAnsi="Cambria Math" w:cs="Cambria Math"/>
          <w:sz w:val="24"/>
          <w:szCs w:val="24"/>
        </w:rPr>
        <w:t>₃</w:t>
      </w:r>
      <w:r w:rsidRPr="00D659FE">
        <w:rPr>
          <w:rFonts w:ascii="Times New Roman" w:hAnsi="Times New Roman" w:cs="Times New Roman"/>
          <w:sz w:val="24"/>
          <w:szCs w:val="24"/>
        </w:rPr>
        <w:t xml:space="preserve">) and water. It is known for its ability to provide prolonged acid suppression and is often used in combination with other antacids to enhance its efficacy (Eze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2023). One of its advantages is its protective effect on </w:t>
      </w:r>
      <w:r w:rsidRPr="00D659FE">
        <w:rPr>
          <w:rFonts w:ascii="Times New Roman" w:hAnsi="Times New Roman" w:cs="Times New Roman"/>
          <w:sz w:val="24"/>
          <w:szCs w:val="24"/>
        </w:rPr>
        <w:lastRenderedPageBreak/>
        <w:t>the gastric lining, making it useful in ulcer treatment. However, prolonged use may lead to constipation and phosphate depletion, resulting in hypophosphatemia, which can weaken bones and cause other metabolic disturbances (Williams &amp; Chukwudi, 2022).</w:t>
      </w:r>
    </w:p>
    <w:p w14:paraId="2E9AB8A2" w14:textId="77777777"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1.3.2</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Magnesium Hydroxide</w:t>
      </w:r>
    </w:p>
    <w:p w14:paraId="00A9E97C"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Magnesium hydroxide [Mg(OH)</w:t>
      </w:r>
      <w:r w:rsidRPr="00D659FE">
        <w:rPr>
          <w:rFonts w:ascii="Cambria Math" w:hAnsi="Cambria Math" w:cs="Cambria Math"/>
          <w:sz w:val="24"/>
          <w:szCs w:val="24"/>
        </w:rPr>
        <w:t>₂</w:t>
      </w:r>
      <w:r w:rsidRPr="00D659FE">
        <w:rPr>
          <w:rFonts w:ascii="Times New Roman" w:hAnsi="Times New Roman" w:cs="Times New Roman"/>
          <w:sz w:val="24"/>
          <w:szCs w:val="24"/>
        </w:rPr>
        <w:t>], also known as milk of magnesia, is an inorganic antacid with a rapid acid-neutralizing effect. It reacts with hydrochloric acid to produce magnesium chloride (MgCl</w:t>
      </w:r>
      <w:r w:rsidRPr="00D659FE">
        <w:rPr>
          <w:rFonts w:ascii="Cambria Math" w:hAnsi="Cambria Math" w:cs="Cambria Math"/>
          <w:sz w:val="24"/>
          <w:szCs w:val="24"/>
        </w:rPr>
        <w:t>₂</w:t>
      </w:r>
      <w:r w:rsidRPr="00D659FE">
        <w:rPr>
          <w:rFonts w:ascii="Times New Roman" w:hAnsi="Times New Roman" w:cs="Times New Roman"/>
          <w:sz w:val="24"/>
          <w:szCs w:val="24"/>
        </w:rPr>
        <w:t xml:space="preserve">) and water, effectively increasing gastric pH (Ogunleye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2023). In addition to its antacid properties, it has a mild laxative effect, which can be beneficial for individuals suffering from constipation. However, excessive intake may lead to diarrhea and, in patients with kidney disease, hypermagnesemia, which can cause neurological and cardiovascular complications (Adebayo &amp; Yusuf, 2024).</w:t>
      </w:r>
    </w:p>
    <w:p w14:paraId="116EEA3B" w14:textId="77777777"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1.3.3</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Calcium Carbonate</w:t>
      </w:r>
    </w:p>
    <w:p w14:paraId="671C850A"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Calcium carbonate (CaCO</w:t>
      </w:r>
      <w:r w:rsidRPr="00D659FE">
        <w:rPr>
          <w:rFonts w:ascii="Cambria Math" w:hAnsi="Cambria Math" w:cs="Cambria Math"/>
          <w:sz w:val="24"/>
          <w:szCs w:val="24"/>
        </w:rPr>
        <w:t>₃</w:t>
      </w:r>
      <w:r w:rsidRPr="00D659FE">
        <w:rPr>
          <w:rFonts w:ascii="Times New Roman" w:hAnsi="Times New Roman" w:cs="Times New Roman"/>
          <w:sz w:val="24"/>
          <w:szCs w:val="24"/>
        </w:rPr>
        <w:t>) is a potent inorganic antacid that provides quick and long- lasting relief from acid-related discomfort. It reacts with hydrochloric acid to form calcium chloride (CaCl</w:t>
      </w:r>
      <w:r w:rsidRPr="00D659FE">
        <w:rPr>
          <w:rFonts w:ascii="Cambria Math" w:hAnsi="Cambria Math" w:cs="Cambria Math"/>
          <w:sz w:val="24"/>
          <w:szCs w:val="24"/>
        </w:rPr>
        <w:t>₂</w:t>
      </w:r>
      <w:r w:rsidRPr="00D659FE">
        <w:rPr>
          <w:rFonts w:ascii="Times New Roman" w:hAnsi="Times New Roman" w:cs="Times New Roman"/>
          <w:sz w:val="24"/>
          <w:szCs w:val="24"/>
        </w:rPr>
        <w:t>), carbon dioxide (CO</w:t>
      </w:r>
      <w:r w:rsidRPr="00D659FE">
        <w:rPr>
          <w:rFonts w:ascii="Cambria Math" w:hAnsi="Cambria Math" w:cs="Cambria Math"/>
          <w:sz w:val="24"/>
          <w:szCs w:val="24"/>
        </w:rPr>
        <w:t>₂</w:t>
      </w:r>
      <w:r w:rsidRPr="00D659FE">
        <w:rPr>
          <w:rFonts w:ascii="Times New Roman" w:hAnsi="Times New Roman" w:cs="Times New Roman"/>
          <w:sz w:val="24"/>
          <w:szCs w:val="24"/>
        </w:rPr>
        <w:t xml:space="preserve">), and water, which increases gastric pH and reduces acidity (Chidiebere &amp; Okafor, 2023). Due to its high neutralizing capacity, calcium carbonate is commonly used in chewable and effervescent antacid formulations. Additionally, it contributes to calcium intake, which is beneficial for bone health. However, excessive use can lead to hypercalcemia, kidney stone formation, and rebound acid secretion, where the stomach produces more acid after the neutralization effect wears off (Oluwaseun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2022).</w:t>
      </w:r>
    </w:p>
    <w:p w14:paraId="4C28D166" w14:textId="77777777"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1.3.4</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Sodium Bicarbonate</w:t>
      </w:r>
    </w:p>
    <w:p w14:paraId="54F6027B"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Sodium bicarbonate (NaHCO</w:t>
      </w:r>
      <w:r w:rsidRPr="00D659FE">
        <w:rPr>
          <w:rFonts w:ascii="Cambria Math" w:hAnsi="Cambria Math" w:cs="Cambria Math"/>
          <w:sz w:val="24"/>
          <w:szCs w:val="24"/>
        </w:rPr>
        <w:t>₃</w:t>
      </w:r>
      <w:r w:rsidRPr="00D659FE">
        <w:rPr>
          <w:rFonts w:ascii="Times New Roman" w:hAnsi="Times New Roman" w:cs="Times New Roman"/>
          <w:sz w:val="24"/>
          <w:szCs w:val="24"/>
        </w:rPr>
        <w:t>) is a fast-acting inorganic antacid that neutralizes stomach acid by producing carbon dioxide (CO</w:t>
      </w:r>
      <w:r w:rsidRPr="00D659FE">
        <w:rPr>
          <w:rFonts w:ascii="Cambria Math" w:hAnsi="Cambria Math" w:cs="Cambria Math"/>
          <w:sz w:val="24"/>
          <w:szCs w:val="24"/>
        </w:rPr>
        <w:t>₂</w:t>
      </w:r>
      <w:r w:rsidRPr="00D659FE">
        <w:rPr>
          <w:rFonts w:ascii="Times New Roman" w:hAnsi="Times New Roman" w:cs="Times New Roman"/>
          <w:sz w:val="24"/>
          <w:szCs w:val="24"/>
        </w:rPr>
        <w:t xml:space="preserve">), water, and sodium chloride (NaCl). It is commonly found in effervescent antacids such as Eno and Andrews Liver Salt, providing rapid relief from acid indigestion and bloating (Emmanuel &amp; Okechukwu, 2021). Despite its effectiveness, sodium bicarbonate is not recommended for long-term </w:t>
      </w:r>
      <w:r w:rsidRPr="00D659FE">
        <w:rPr>
          <w:rFonts w:ascii="Times New Roman" w:hAnsi="Times New Roman" w:cs="Times New Roman"/>
          <w:sz w:val="24"/>
          <w:szCs w:val="24"/>
        </w:rPr>
        <w:lastRenderedPageBreak/>
        <w:t xml:space="preserve">use due to its high sodium content, which can contribute to hypertension, fluid retention, and metabolic alkalosis (Akinyemi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2023). Additionally, the release of carbon dioxide can cause bloating and discomfort in some individuals (Ogundipe &amp; Williams, 2022).</w:t>
      </w:r>
    </w:p>
    <w:p w14:paraId="7CCA0D02" w14:textId="77777777"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1.3.5</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Comparative Analysis and Considerations</w:t>
      </w:r>
    </w:p>
    <w:p w14:paraId="6E620E3E"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Inorganic antacids vary in their acid-neutralizing capacity, duration of action, and side effects. While aluminum and calcium-based antacids provide longer-lasting relief, they may cause constipation or rebound acid secretion. Magnesium-based antacids act quickly but can induce diarrhea, making combination formulations a preferred choice to balance their effects (Okon &amp; Bello, 2023). Sodium bicarbonate, though effective for im</w:t>
      </w:r>
      <w:r w:rsidR="00556125">
        <w:rPr>
          <w:rFonts w:ascii="Times New Roman" w:hAnsi="Times New Roman" w:cs="Times New Roman"/>
          <w:sz w:val="24"/>
          <w:szCs w:val="24"/>
        </w:rPr>
        <w:t xml:space="preserve">mediate relief, has significant </w:t>
      </w:r>
      <w:r w:rsidRPr="00D659FE">
        <w:rPr>
          <w:rFonts w:ascii="Times New Roman" w:hAnsi="Times New Roman" w:cs="Times New Roman"/>
          <w:sz w:val="24"/>
          <w:szCs w:val="24"/>
        </w:rPr>
        <w:t xml:space="preserve">risks when used excessively, particularly in individuals with cardiovascular or renal conditions (Olawale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2024).</w:t>
      </w:r>
    </w:p>
    <w:p w14:paraId="42C95EC7"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evaluation of inorganic antacids' acid-neutralizing capacity is essential for determining their effectiveness and ensuring their safe use. Excessive reliance on these medications without medical supervision can lead to metabolic imbalances and other health complications. Therefore, proper dosing and consideration of patient-specific factors are necessary to optimize their benefits while minimizing risks.</w:t>
      </w:r>
    </w:p>
    <w:p w14:paraId="4245D4AE" w14:textId="77777777" w:rsidR="00D659FE" w:rsidRPr="00B56C0D" w:rsidRDefault="00B56C0D"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r>
      <w:r w:rsidR="00D659FE" w:rsidRPr="00B56C0D">
        <w:rPr>
          <w:rFonts w:ascii="Times New Roman" w:hAnsi="Times New Roman" w:cs="Times New Roman"/>
          <w:b/>
          <w:bCs/>
          <w:sz w:val="24"/>
          <w:szCs w:val="24"/>
        </w:rPr>
        <w:t>ORGANIC ANTACIDS</w:t>
      </w:r>
    </w:p>
    <w:p w14:paraId="0BFCEFA1"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Organic antacids are less common than their inorganic counterparts but play a significant role in acid neutralization and gastrointestinal protection. These antacids are derived from organic compounds, including naturally occurring substances such as alginates and amino acid-based formulations. They act by neutralizing stomach acid, forming protective barriers, or buffering gastric pH to alleviate conditions such as acid reflux, heartburn, and indigestion (Okonkwo &amp; Adeyemi, 2021). Unlike inorganic antacids, organic antacids often have additional properties, such as mucosal protection and anti-inflammatory effects, making them useful for specific patient populations.</w:t>
      </w:r>
    </w:p>
    <w:p w14:paraId="0181B3DB" w14:textId="77777777"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1.4.1</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Alginates</w:t>
      </w:r>
    </w:p>
    <w:p w14:paraId="67DD8D28"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lastRenderedPageBreak/>
        <w:t xml:space="preserve">One of the most widely used organic antacid components is alginic acid, commonly found in formulations such as Gaviscon. Alginates, derived from brown seaweed, work by forming a gel-like barrier that floats on top of stomach contents, preventing acid reflux into the esophagus (Eze </w:t>
      </w:r>
      <w:r w:rsidRPr="00B56C0D">
        <w:rPr>
          <w:rFonts w:ascii="Times New Roman" w:hAnsi="Times New Roman" w:cs="Times New Roman"/>
          <w:i/>
          <w:sz w:val="24"/>
          <w:szCs w:val="24"/>
        </w:rPr>
        <w:t>et al.,</w:t>
      </w:r>
      <w:r w:rsidRPr="00D659FE">
        <w:rPr>
          <w:rFonts w:ascii="Times New Roman" w:hAnsi="Times New Roman" w:cs="Times New Roman"/>
          <w:sz w:val="24"/>
          <w:szCs w:val="24"/>
        </w:rPr>
        <w:t xml:space="preserve"> 2023). When combined with bicarbonates, alginates produce a foamy protective layer that reduces gastroesophageal reflux, providing longer-lasting relief than standard acid neutralization (Williams &amp; Chukwudi, 2022). This makes alginate-based antacids particularly beneficial for individuals with gastroesophageal reflux disease (GERD).</w:t>
      </w:r>
    </w:p>
    <w:p w14:paraId="397D2501" w14:textId="77777777"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1.4.2</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Amino Acid-Based Antacids</w:t>
      </w:r>
    </w:p>
    <w:p w14:paraId="110164C4" w14:textId="77777777" w:rsidR="005E1AA2"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Some organic antacids incorporate amino acid salts, such as glycine and alginate-amino acid complexes, which help buffer stomach acid while supporting gastric mucosal healing. These compounds act as weak bases, neutralizing excess hydrochloric acid while also promoting a balanced gastric environment (Ogunleye </w:t>
      </w:r>
      <w:r w:rsidRPr="00B56C0D">
        <w:rPr>
          <w:rFonts w:ascii="Times New Roman" w:hAnsi="Times New Roman" w:cs="Times New Roman"/>
          <w:i/>
          <w:sz w:val="24"/>
          <w:szCs w:val="24"/>
        </w:rPr>
        <w:t>et al.,</w:t>
      </w:r>
      <w:r w:rsidRPr="00D659FE">
        <w:rPr>
          <w:rFonts w:ascii="Times New Roman" w:hAnsi="Times New Roman" w:cs="Times New Roman"/>
          <w:sz w:val="24"/>
          <w:szCs w:val="24"/>
        </w:rPr>
        <w:t xml:space="preserve"> 2023). Amino acid-based antacids are considered gentler on the digestive system and are sometimes used in combination with inorganic antacids to enhance efficacy while minimizing potential side effects.</w:t>
      </w:r>
    </w:p>
    <w:p w14:paraId="7D837F07" w14:textId="77777777" w:rsidR="00D659FE" w:rsidRPr="00BC1219" w:rsidRDefault="00D659FE" w:rsidP="009A5A72">
      <w:pPr>
        <w:pStyle w:val="ListParagraph"/>
        <w:numPr>
          <w:ilvl w:val="2"/>
          <w:numId w:val="3"/>
        </w:numPr>
        <w:spacing w:line="360" w:lineRule="auto"/>
        <w:rPr>
          <w:b/>
          <w:bCs/>
          <w:sz w:val="24"/>
          <w:szCs w:val="24"/>
        </w:rPr>
      </w:pPr>
      <w:r w:rsidRPr="00BC1219">
        <w:rPr>
          <w:b/>
          <w:bCs/>
          <w:sz w:val="24"/>
          <w:szCs w:val="24"/>
        </w:rPr>
        <w:t>Sucralfate and Other Organic Buffers</w:t>
      </w:r>
    </w:p>
    <w:p w14:paraId="38AD28DA" w14:textId="77777777" w:rsidR="00BC1219"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Though not a traditional antacid, </w:t>
      </w:r>
      <w:r w:rsidRPr="00D659FE">
        <w:rPr>
          <w:rFonts w:ascii="Times New Roman" w:hAnsi="Times New Roman" w:cs="Times New Roman"/>
          <w:b/>
          <w:sz w:val="24"/>
          <w:szCs w:val="24"/>
        </w:rPr>
        <w:t xml:space="preserve">sucralfate </w:t>
      </w:r>
      <w:r w:rsidRPr="00D659FE">
        <w:rPr>
          <w:rFonts w:ascii="Times New Roman" w:hAnsi="Times New Roman" w:cs="Times New Roman"/>
          <w:sz w:val="24"/>
          <w:szCs w:val="24"/>
        </w:rPr>
        <w:t>is an organic compound that exhibits acid- buffering properties. It forms a protective coating over ulcers and erosions in the stomach lining, reducing exposure to gastric acid and allowing healing to occur (Adebayo &amp; Yusuf, 2024). Unlike conventional antacids, sucralfate does not significantly alter stomach pH but provides symptomatic relief by protecting damaged mucosa. It is often used in patients with peptic ulcers and those at risk of gastrointestinal bleeding due to prolonged acid exposure (Chidiebere &amp; Okafor, 2023).</w:t>
      </w:r>
    </w:p>
    <w:p w14:paraId="66051008" w14:textId="77777777" w:rsidR="00D659FE" w:rsidRPr="00BC1219" w:rsidRDefault="00BC1219" w:rsidP="009A5A72">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1.4.4</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Comparative Analysis and Considerations</w:t>
      </w:r>
    </w:p>
    <w:p w14:paraId="6B44DEC4"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Organic antacids differ from inorganic ones in their mode of action and additional therapeutic benefits. While inorganic antacids focus primarily on neutralizing acid, </w:t>
      </w:r>
      <w:r w:rsidRPr="00D659FE">
        <w:rPr>
          <w:rFonts w:ascii="Times New Roman" w:hAnsi="Times New Roman" w:cs="Times New Roman"/>
          <w:sz w:val="24"/>
          <w:szCs w:val="24"/>
        </w:rPr>
        <w:lastRenderedPageBreak/>
        <w:t xml:space="preserve">organic antacids often provide mechanical protection and mucosal support. Alginates are particularly effective for reflux conditions, whereas amino acid-based antacids and sucralfate support gastric healing and ulcer management (Oluwaseun </w:t>
      </w:r>
      <w:r w:rsidRPr="00B56C0D">
        <w:rPr>
          <w:rFonts w:ascii="Times New Roman" w:hAnsi="Times New Roman" w:cs="Times New Roman"/>
          <w:i/>
          <w:sz w:val="24"/>
          <w:szCs w:val="24"/>
        </w:rPr>
        <w:t>et al.,</w:t>
      </w:r>
      <w:r w:rsidRPr="00D659FE">
        <w:rPr>
          <w:rFonts w:ascii="Times New Roman" w:hAnsi="Times New Roman" w:cs="Times New Roman"/>
          <w:sz w:val="24"/>
          <w:szCs w:val="24"/>
        </w:rPr>
        <w:t xml:space="preserve"> 2022). Furthermore, organic antacids generally have fewer side effects, making them suitable for long-term use in individuals with chronic acid- related conditions.</w:t>
      </w:r>
    </w:p>
    <w:p w14:paraId="4C22F991"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The evaluation of organic antacids' effectiveness involves assessing their acid-neutralizing capacity, ability to form protective barriers, and impact on gastric motility. Research continues to explore novel organic antacid formulations that optimize relief while minimizing complications associated with prolonged acid suppression (Emmanuel &amp; Okechukwu, 2021). As the demand for safer, more sustainable acid-neutralizing agents increases, organic antacids may play a larger role in managing gastrointestinal disorders with fewer adverse effects compared to traditional inorganic antacids (Akinyemi </w:t>
      </w:r>
      <w:r w:rsidRPr="00B56C0D">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14:paraId="74CD0CF5" w14:textId="77777777" w:rsidR="00D659FE" w:rsidRPr="00B56C0D" w:rsidRDefault="00B56C0D"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sidR="00D659FE" w:rsidRPr="00B56C0D">
        <w:rPr>
          <w:rFonts w:ascii="Times New Roman" w:hAnsi="Times New Roman" w:cs="Times New Roman"/>
          <w:b/>
          <w:bCs/>
          <w:sz w:val="24"/>
          <w:szCs w:val="24"/>
        </w:rPr>
        <w:t>PROPERTIES OF ANTACIDS</w:t>
      </w:r>
    </w:p>
    <w:p w14:paraId="797718AC" w14:textId="77777777" w:rsidR="00584B9B"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possess several key properties that determine their effectiveness in neutralizing gastric acid, alleviating symptoms of acid-related disorders, and ensuring patient safety. These properti</w:t>
      </w:r>
      <w:r w:rsidRPr="00B56C0D">
        <w:rPr>
          <w:rFonts w:ascii="Times New Roman" w:hAnsi="Times New Roman" w:cs="Times New Roman"/>
          <w:sz w:val="24"/>
          <w:szCs w:val="24"/>
        </w:rPr>
        <w:t>es include acid-neutralizing capacity, solubility, reaction speed, buffering effect, duration of action, and side effect profile. The choice of an antacid depends on these charact</w:t>
      </w:r>
      <w:r w:rsidRPr="00D659FE">
        <w:rPr>
          <w:rFonts w:ascii="Times New Roman" w:hAnsi="Times New Roman" w:cs="Times New Roman"/>
          <w:sz w:val="24"/>
          <w:szCs w:val="24"/>
        </w:rPr>
        <w:t>eristics, which influence its clinical application and therapeutic benefits (Okonkwo &amp; Adeyemi, 2021).</w:t>
      </w:r>
    </w:p>
    <w:p w14:paraId="68FA807C" w14:textId="77777777" w:rsidR="00BC1219" w:rsidRPr="009A5A72" w:rsidRDefault="009A5A72" w:rsidP="009A5A7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1.5.1</w:t>
      </w:r>
      <w:r>
        <w:rPr>
          <w:rFonts w:ascii="Times New Roman" w:hAnsi="Times New Roman" w:cs="Times New Roman"/>
          <w:b/>
          <w:bCs/>
          <w:sz w:val="24"/>
          <w:szCs w:val="24"/>
        </w:rPr>
        <w:tab/>
      </w:r>
      <w:r w:rsidR="00D659FE" w:rsidRPr="009A5A72">
        <w:rPr>
          <w:rFonts w:ascii="Times New Roman" w:hAnsi="Times New Roman" w:cs="Times New Roman"/>
          <w:b/>
          <w:bCs/>
          <w:sz w:val="24"/>
          <w:szCs w:val="24"/>
        </w:rPr>
        <w:t>Solubility and Reaction Speed</w:t>
      </w:r>
    </w:p>
    <w:p w14:paraId="6D1FF494"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The solubility of an antacid affects its onset of action. Highly soluble antacids, such as sodium bicarbonate, dissolve quickly in gastric fluid and neutralize acid rapidly, providing almost immediate relief from symptoms (Ogunleye </w:t>
      </w:r>
      <w:r w:rsidRPr="00D64514">
        <w:rPr>
          <w:rFonts w:ascii="Times New Roman" w:hAnsi="Times New Roman" w:cs="Times New Roman"/>
          <w:i/>
          <w:sz w:val="24"/>
          <w:szCs w:val="24"/>
        </w:rPr>
        <w:t>et al.,</w:t>
      </w:r>
      <w:r w:rsidRPr="00D659FE">
        <w:rPr>
          <w:rFonts w:ascii="Times New Roman" w:hAnsi="Times New Roman" w:cs="Times New Roman"/>
          <w:sz w:val="24"/>
          <w:szCs w:val="24"/>
        </w:rPr>
        <w:t xml:space="preserve"> 2023). However, their effect is short-lived, and they can cause bloating due to carbon dioxide release. On the other hand, poorly soluble antacids, such as aluminum hydroxide, have a </w:t>
      </w:r>
      <w:r w:rsidRPr="00D659FE">
        <w:rPr>
          <w:rFonts w:ascii="Times New Roman" w:hAnsi="Times New Roman" w:cs="Times New Roman"/>
          <w:sz w:val="24"/>
          <w:szCs w:val="24"/>
        </w:rPr>
        <w:lastRenderedPageBreak/>
        <w:t>slower onset but provide prolonged acid suppression, making them useful for sustained relief (Adebayo &amp; Yusuf, 2024).</w:t>
      </w:r>
    </w:p>
    <w:p w14:paraId="7DF6C24E" w14:textId="77777777" w:rsidR="00D659FE" w:rsidRPr="00BC1219" w:rsidRDefault="00D659FE" w:rsidP="009A5A72">
      <w:pPr>
        <w:pStyle w:val="ListParagraph"/>
        <w:numPr>
          <w:ilvl w:val="2"/>
          <w:numId w:val="4"/>
        </w:numPr>
        <w:spacing w:line="360" w:lineRule="auto"/>
        <w:jc w:val="both"/>
        <w:rPr>
          <w:b/>
          <w:bCs/>
          <w:sz w:val="24"/>
          <w:szCs w:val="24"/>
        </w:rPr>
      </w:pPr>
      <w:r w:rsidRPr="00BC1219">
        <w:rPr>
          <w:b/>
          <w:bCs/>
          <w:sz w:val="24"/>
          <w:szCs w:val="24"/>
        </w:rPr>
        <w:t>Buffering Effect and pH Stability</w:t>
      </w:r>
    </w:p>
    <w:p w14:paraId="7E8923CB"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Some antacids not only neutralize acid but also act as buffers, helping maintain a stable gastric pH. This is particularly important for preventing drastic pH fluctuations that may trigger rebound acid secretion. For example, calcium carbonate provides a strong neutralizing effect but may lead to increased acid production once its effects wear off, whereas magnesium- aluminum combinations help stabilize pH without causing rebound acidity (Chidiebere &amp; Okafor, 2023).</w:t>
      </w:r>
    </w:p>
    <w:p w14:paraId="6E2F0D84" w14:textId="77777777" w:rsidR="00D659FE" w:rsidRPr="00D659FE" w:rsidRDefault="00D659FE" w:rsidP="009A5A72">
      <w:pPr>
        <w:numPr>
          <w:ilvl w:val="2"/>
          <w:numId w:val="4"/>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Duration of Action</w:t>
      </w:r>
    </w:p>
    <w:p w14:paraId="1E267B04" w14:textId="77777777" w:rsidR="005E1AA2"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The duration of an antacid’s effect depends on its formulation and interaction with gastric contents. Liquid antacids generally work faster but have a shorter duration, whereas tablet formulations provide longer-lasting relief (Oluwaseun </w:t>
      </w:r>
      <w:r w:rsidRPr="00D64514">
        <w:rPr>
          <w:rFonts w:ascii="Times New Roman" w:hAnsi="Times New Roman" w:cs="Times New Roman"/>
          <w:i/>
          <w:sz w:val="24"/>
          <w:szCs w:val="24"/>
        </w:rPr>
        <w:t>et al.,</w:t>
      </w:r>
      <w:r w:rsidRPr="00D659FE">
        <w:rPr>
          <w:rFonts w:ascii="Times New Roman" w:hAnsi="Times New Roman" w:cs="Times New Roman"/>
          <w:sz w:val="24"/>
          <w:szCs w:val="24"/>
        </w:rPr>
        <w:t xml:space="preserve"> 2022). Combination antacids that include alginates, such as Gaviscon, not only neutralize acid but also form a protective barrier against reflux, extending their effectiveness beyond simple acid neutralization (Emmanuel &amp; Okechukwu, 2021).</w:t>
      </w:r>
    </w:p>
    <w:p w14:paraId="4549F7E2" w14:textId="77777777" w:rsidR="00D659FE" w:rsidRPr="00D659FE" w:rsidRDefault="00D659FE" w:rsidP="009A5A72">
      <w:pPr>
        <w:numPr>
          <w:ilvl w:val="2"/>
          <w:numId w:val="4"/>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Side Effect Profile</w:t>
      </w:r>
    </w:p>
    <w:p w14:paraId="41B7721E"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Each type of antacid has specific side effects based on its composition. Aluminum- containing antacids can cause constipation and phosphate depletion, while magnesium-based antacids may lead to diarrhea. Calcium carbonate can contribute to kidney stone formation and metabolic alkalosis if consumed in excess (Akinyemi </w:t>
      </w:r>
      <w:r w:rsidRPr="00D64514">
        <w:rPr>
          <w:rFonts w:ascii="Times New Roman" w:hAnsi="Times New Roman" w:cs="Times New Roman"/>
          <w:i/>
          <w:sz w:val="24"/>
          <w:szCs w:val="24"/>
        </w:rPr>
        <w:t>et al.,</w:t>
      </w:r>
      <w:r w:rsidRPr="00D659FE">
        <w:rPr>
          <w:rFonts w:ascii="Times New Roman" w:hAnsi="Times New Roman" w:cs="Times New Roman"/>
          <w:sz w:val="24"/>
          <w:szCs w:val="24"/>
        </w:rPr>
        <w:t xml:space="preserve"> 2023). Sodium bicarbonate, due to its high sodium content, is not recommended for hypertensive patients as it can cause fluid retention and cardiovascular complications (Ogundipe &amp; Williams, 2022).</w:t>
      </w:r>
    </w:p>
    <w:p w14:paraId="35A1BAA5" w14:textId="77777777" w:rsidR="00D659FE" w:rsidRPr="00D659FE" w:rsidRDefault="00D659FE" w:rsidP="009A5A72">
      <w:pPr>
        <w:numPr>
          <w:ilvl w:val="2"/>
          <w:numId w:val="4"/>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Comparative Analysis of Antacid Properties</w:t>
      </w:r>
    </w:p>
    <w:p w14:paraId="18822C4D"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 well-balanced antacid should provide effective acid neutralization, have minimal side effects, and offer sustained relief. Magnesium-aluminum hydroxide combinations are </w:t>
      </w:r>
      <w:r w:rsidRPr="00D659FE">
        <w:rPr>
          <w:rFonts w:ascii="Times New Roman" w:hAnsi="Times New Roman" w:cs="Times New Roman"/>
          <w:sz w:val="24"/>
          <w:szCs w:val="24"/>
        </w:rPr>
        <w:lastRenderedPageBreak/>
        <w:t xml:space="preserve">widely preferred because they balance rapid action with prolonged effects while minimizing gastrointestinal disturbances (Okon &amp; Bello, 2023). Additionally, modern antacid formulations incorporate ingredients such as simethicone to reduce bloating and alginates to prevent acid reflux, enhancing their overall therapeutic benefits (Olawale </w:t>
      </w:r>
      <w:r w:rsidRPr="00D64514">
        <w:rPr>
          <w:rFonts w:ascii="Times New Roman" w:hAnsi="Times New Roman" w:cs="Times New Roman"/>
          <w:i/>
          <w:sz w:val="24"/>
          <w:szCs w:val="24"/>
        </w:rPr>
        <w:t>et al.,</w:t>
      </w:r>
      <w:r w:rsidRPr="00D659FE">
        <w:rPr>
          <w:rFonts w:ascii="Times New Roman" w:hAnsi="Times New Roman" w:cs="Times New Roman"/>
          <w:sz w:val="24"/>
          <w:szCs w:val="24"/>
        </w:rPr>
        <w:t xml:space="preserve"> 2024).</w:t>
      </w:r>
    </w:p>
    <w:p w14:paraId="54EA5013"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Understanding the properties of antacids is crucial in selecting the most suitable formulation for different clinical conditions. Ongoing research aims to develop improved antacid formulations that maximize efficacy while reducing adverse effects, ensuring better management of acid-related disorders (Eze </w:t>
      </w:r>
      <w:r w:rsidRPr="00D64514">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14:paraId="3C0EDB65" w14:textId="77777777" w:rsidR="00D659FE" w:rsidRPr="00D64514" w:rsidRDefault="00D64514"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r>
      <w:r w:rsidR="00D659FE" w:rsidRPr="00D64514">
        <w:rPr>
          <w:rFonts w:ascii="Times New Roman" w:hAnsi="Times New Roman" w:cs="Times New Roman"/>
          <w:b/>
          <w:bCs/>
          <w:sz w:val="24"/>
          <w:szCs w:val="24"/>
        </w:rPr>
        <w:t>FACTORS AFFECTING ANTACIDS’ EFFECTIVENESS</w:t>
      </w:r>
    </w:p>
    <w:p w14:paraId="21037A26" w14:textId="77777777" w:rsidR="00D659FE" w:rsidRPr="00D659FE"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1.6.1</w:t>
      </w:r>
      <w:r>
        <w:rPr>
          <w:rFonts w:ascii="Times New Roman" w:hAnsi="Times New Roman" w:cs="Times New Roman"/>
          <w:b/>
          <w:bCs/>
          <w:sz w:val="24"/>
          <w:szCs w:val="24"/>
        </w:rPr>
        <w:tab/>
      </w:r>
      <w:r w:rsidR="00D659FE" w:rsidRPr="00D659FE">
        <w:rPr>
          <w:rFonts w:ascii="Times New Roman" w:hAnsi="Times New Roman" w:cs="Times New Roman"/>
          <w:b/>
          <w:bCs/>
          <w:sz w:val="24"/>
          <w:szCs w:val="24"/>
        </w:rPr>
        <w:t>Gastric pH and Acid Load</w:t>
      </w:r>
    </w:p>
    <w:p w14:paraId="1D71D016"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The pre-existing acidity level in the stomach affects how well an antacid works. When gastric pH is extremely low (high acidity), a stronger antacid with higher ANC is required to achieve the desired neutralization effect (Ogunleye </w:t>
      </w:r>
      <w:r w:rsidRPr="00D167D5">
        <w:rPr>
          <w:rFonts w:ascii="Times New Roman" w:hAnsi="Times New Roman" w:cs="Times New Roman"/>
          <w:i/>
          <w:sz w:val="24"/>
          <w:szCs w:val="24"/>
        </w:rPr>
        <w:t>et al.,</w:t>
      </w:r>
      <w:r w:rsidRPr="00D659FE">
        <w:rPr>
          <w:rFonts w:ascii="Times New Roman" w:hAnsi="Times New Roman" w:cs="Times New Roman"/>
          <w:sz w:val="24"/>
          <w:szCs w:val="24"/>
        </w:rPr>
        <w:t xml:space="preserve"> 2023). Additionally, if the stomach produces excessive acid due to stress, diet, or underlying conditions such as gastroesophageal reflux disease (GERD), a single dose of an antacid may not provide sufficient relief, necessitating repeated administration (Adebayo &amp; Yusuf, 2024).</w:t>
      </w:r>
    </w:p>
    <w:p w14:paraId="32488C06" w14:textId="77777777"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1.6.2</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Food Intake and Gastric Emptying Rate</w:t>
      </w:r>
    </w:p>
    <w:p w14:paraId="24308637"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Food consumption can significantly impact antacid effectiveness. Taking antacids after meals prolongs their duration of action because food delays gastric emptying, allowing the antacid to remain in the stomach for a longer period (Chidiebere &amp; Okafor, 2023). However, taking antacids on an empty stomach leads to rapid gastric clearance, reducing their effectiveness as they are quickly expelled into the intestines. Fatty and protein-rich foods can also influence acid secretion, affecting how much acid needs to be neutralized (Oluwaseun </w:t>
      </w:r>
      <w:r w:rsidRPr="00D167D5">
        <w:rPr>
          <w:rFonts w:ascii="Times New Roman" w:hAnsi="Times New Roman" w:cs="Times New Roman"/>
          <w:i/>
          <w:sz w:val="24"/>
          <w:szCs w:val="24"/>
        </w:rPr>
        <w:t>et al.,</w:t>
      </w:r>
      <w:r w:rsidRPr="00D659FE">
        <w:rPr>
          <w:rFonts w:ascii="Times New Roman" w:hAnsi="Times New Roman" w:cs="Times New Roman"/>
          <w:sz w:val="24"/>
          <w:szCs w:val="24"/>
        </w:rPr>
        <w:t xml:space="preserve"> 2022).</w:t>
      </w:r>
    </w:p>
    <w:p w14:paraId="7499C31F" w14:textId="77777777" w:rsidR="00D659FE" w:rsidRPr="00BC1219" w:rsidRDefault="00D659FE" w:rsidP="009A5A72">
      <w:pPr>
        <w:pStyle w:val="ListParagraph"/>
        <w:numPr>
          <w:ilvl w:val="2"/>
          <w:numId w:val="5"/>
        </w:numPr>
        <w:spacing w:line="360" w:lineRule="auto"/>
        <w:jc w:val="both"/>
        <w:rPr>
          <w:b/>
          <w:bCs/>
          <w:sz w:val="24"/>
          <w:szCs w:val="24"/>
        </w:rPr>
      </w:pPr>
      <w:r w:rsidRPr="00BC1219">
        <w:rPr>
          <w:b/>
          <w:bCs/>
          <w:sz w:val="24"/>
          <w:szCs w:val="24"/>
        </w:rPr>
        <w:t>Dosage and Frequency of Use</w:t>
      </w:r>
    </w:p>
    <w:p w14:paraId="49DF5F9E"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lastRenderedPageBreak/>
        <w:t>The effectiveness of antacids is also dependen</w:t>
      </w:r>
      <w:r w:rsidRPr="00D167D5">
        <w:rPr>
          <w:rFonts w:ascii="Times New Roman" w:hAnsi="Times New Roman" w:cs="Times New Roman"/>
          <w:sz w:val="24"/>
          <w:szCs w:val="24"/>
        </w:rPr>
        <w:t>t on the correct dosage and frequency of administration. Underuse may result in insuffi</w:t>
      </w:r>
      <w:r w:rsidRPr="00D659FE">
        <w:rPr>
          <w:rFonts w:ascii="Times New Roman" w:hAnsi="Times New Roman" w:cs="Times New Roman"/>
          <w:sz w:val="24"/>
          <w:szCs w:val="24"/>
        </w:rPr>
        <w:t xml:space="preserve">cient acid neutralization, while excessive use can lead to side effects such as alkalosis, electrolyte imbalances, or rebound acid hypersecretion (Emmanuel &amp; Okechukwu, 2021). Some formulations, such as chewable tablets, require thorough chewing for optimal effectiveness, as incomplete chewing may reduce the dissolution rate and delay acid neutralization (Akinyemi </w:t>
      </w:r>
      <w:r w:rsidRPr="00D167D5">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14:paraId="196404B2" w14:textId="77777777" w:rsidR="00D659FE" w:rsidRPr="00BC1219" w:rsidRDefault="00D659FE" w:rsidP="009A5A72">
      <w:pPr>
        <w:pStyle w:val="ListParagraph"/>
        <w:numPr>
          <w:ilvl w:val="2"/>
          <w:numId w:val="5"/>
        </w:numPr>
        <w:spacing w:line="360" w:lineRule="auto"/>
        <w:jc w:val="both"/>
        <w:rPr>
          <w:b/>
          <w:bCs/>
          <w:sz w:val="24"/>
          <w:szCs w:val="24"/>
        </w:rPr>
      </w:pPr>
      <w:r w:rsidRPr="00BC1219">
        <w:rPr>
          <w:b/>
          <w:bCs/>
          <w:sz w:val="24"/>
          <w:szCs w:val="24"/>
        </w:rPr>
        <w:t>Formulation Type (Liquid vs. Tablet vs. Effervescent)</w:t>
      </w:r>
    </w:p>
    <w:p w14:paraId="2D14E167" w14:textId="77777777" w:rsidR="009A5A72" w:rsidRDefault="00D659FE" w:rsidP="009A5A72">
      <w:pPr>
        <w:spacing w:after="0" w:line="360" w:lineRule="auto"/>
        <w:jc w:val="both"/>
        <w:rPr>
          <w:rFonts w:ascii="Times New Roman" w:hAnsi="Times New Roman" w:cs="Times New Roman"/>
          <w:sz w:val="24"/>
          <w:szCs w:val="24"/>
        </w:rPr>
      </w:pPr>
      <w:r w:rsidRPr="00D167D5">
        <w:rPr>
          <w:rFonts w:ascii="Times New Roman" w:hAnsi="Times New Roman" w:cs="Times New Roman"/>
          <w:sz w:val="24"/>
          <w:szCs w:val="24"/>
        </w:rPr>
        <w:t>The physical formulation of an antacid plays a crucial role in determining its onset of action and overall efficacy. Liquid antacids act faster because they are already dissolved and can immediately interact with gastric acid (Ogundipe &amp; Williams, 2022). In contrast, chewable tablets require time to break down and dissolve in the stomach, leading to a slightly delayed effect. Effervescent antacids, such as sodium bicarbonate-based formulations, dissolve quickly in water and provide rapid relief but may cause bloating due to carbon dioxide release (Okon &amp; Bello, 2023).</w:t>
      </w:r>
    </w:p>
    <w:p w14:paraId="151803DD" w14:textId="77777777" w:rsidR="00957AE2" w:rsidRPr="00D167D5" w:rsidRDefault="00957AE2" w:rsidP="009A5A72">
      <w:pPr>
        <w:spacing w:after="0" w:line="360" w:lineRule="auto"/>
        <w:jc w:val="both"/>
        <w:rPr>
          <w:rFonts w:ascii="Times New Roman" w:hAnsi="Times New Roman" w:cs="Times New Roman"/>
          <w:sz w:val="24"/>
          <w:szCs w:val="24"/>
        </w:rPr>
      </w:pPr>
    </w:p>
    <w:p w14:paraId="5558E7C9" w14:textId="77777777" w:rsidR="00D659FE" w:rsidRPr="00D659FE" w:rsidRDefault="00D659FE" w:rsidP="009A5A72">
      <w:pPr>
        <w:numPr>
          <w:ilvl w:val="2"/>
          <w:numId w:val="5"/>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Drug Interactions</w:t>
      </w:r>
    </w:p>
    <w:p w14:paraId="4EC0F431" w14:textId="77777777" w:rsidR="00814E70"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Antacids can interact with other medications, affecting their absorption and overall therapeutic action. For example, aluminum and magnesium-based antacids can reduce the absorption of antibiotics such as tetracyclines and fluoroquinolones, leading to decreased antibiotic effectiveness (Olawale </w:t>
      </w:r>
      <w:r w:rsidRPr="00D167D5">
        <w:rPr>
          <w:rFonts w:ascii="Times New Roman" w:hAnsi="Times New Roman" w:cs="Times New Roman"/>
          <w:i/>
          <w:sz w:val="24"/>
          <w:szCs w:val="24"/>
        </w:rPr>
        <w:t>et al.,</w:t>
      </w:r>
      <w:r w:rsidRPr="00D659FE">
        <w:rPr>
          <w:rFonts w:ascii="Times New Roman" w:hAnsi="Times New Roman" w:cs="Times New Roman"/>
          <w:sz w:val="24"/>
          <w:szCs w:val="24"/>
        </w:rPr>
        <w:t xml:space="preserve"> 2024). Antacids can also interfere with the absorption of iron supplements and thyroid medications, making it necessary to space out their administration by at least two hours (Eze </w:t>
      </w:r>
      <w:r w:rsidRPr="00D167D5">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14:paraId="5B64E466" w14:textId="77777777" w:rsidR="00D659FE" w:rsidRPr="00D659FE" w:rsidRDefault="00D659FE" w:rsidP="009A5A72">
      <w:pPr>
        <w:numPr>
          <w:ilvl w:val="2"/>
          <w:numId w:val="5"/>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Patient-Specific Conditions</w:t>
      </w:r>
    </w:p>
    <w:p w14:paraId="489B0CC6" w14:textId="77777777" w:rsidR="00A9662E" w:rsidRPr="009A5A72"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Individual health conditions</w:t>
      </w:r>
      <w:r w:rsidRPr="00D167D5">
        <w:rPr>
          <w:rFonts w:ascii="Times New Roman" w:hAnsi="Times New Roman" w:cs="Times New Roman"/>
          <w:sz w:val="24"/>
          <w:szCs w:val="24"/>
        </w:rPr>
        <w:t xml:space="preserve"> can influence how well an antacid works. Patients with chronic kidney disease (CKD) sh</w:t>
      </w:r>
      <w:r w:rsidRPr="00D659FE">
        <w:rPr>
          <w:rFonts w:ascii="Times New Roman" w:hAnsi="Times New Roman" w:cs="Times New Roman"/>
          <w:sz w:val="24"/>
          <w:szCs w:val="24"/>
        </w:rPr>
        <w:t xml:space="preserve">ould avoid magnesium-based antacids because impaired kidney function can lead to magnesium accumulation, causing toxicity </w:t>
      </w:r>
      <w:r w:rsidRPr="00D659FE">
        <w:rPr>
          <w:rFonts w:ascii="Times New Roman" w:hAnsi="Times New Roman" w:cs="Times New Roman"/>
          <w:sz w:val="24"/>
          <w:szCs w:val="24"/>
        </w:rPr>
        <w:lastRenderedPageBreak/>
        <w:t>(Williams &amp; Chukwudi, 2022). Similarly, individuals with cardiovascular conditions should limit sodium bicarbonate intake due to its high sodium content, which can contribute to hypertension and fluid retention (Adebayo &amp; Yusuf, 2024). Pregnant women are often advised to use calcium- based antacids, as they provide additional calcium benefits, but excessive intake can lead to hypercalcemia and kidney stone formation (Chidiebere &amp; Okafor, 2023).</w:t>
      </w:r>
    </w:p>
    <w:p w14:paraId="7F45DB19" w14:textId="77777777" w:rsidR="00D659FE" w:rsidRPr="004A5A28" w:rsidRDefault="004A5A28"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r>
      <w:r w:rsidR="00D659FE" w:rsidRPr="004A5A28">
        <w:rPr>
          <w:rFonts w:ascii="Times New Roman" w:hAnsi="Times New Roman" w:cs="Times New Roman"/>
          <w:b/>
          <w:bCs/>
          <w:sz w:val="24"/>
          <w:szCs w:val="24"/>
        </w:rPr>
        <w:t>ACID NEUTRALIZING CAPACITY (ANC)</w:t>
      </w:r>
    </w:p>
    <w:p w14:paraId="35F33FC0" w14:textId="77777777" w:rsidR="00C35E98"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Acid Neutralizing Capacity (ANC) is a critical parameter used to measure the effectiveness of antacids in counteracting gastric acid. It is defined as the amount of hydrochloric acid (HCl) that an antacid can neutralize per unit dose, usually expressed in milliequivalents (mEq) of acid neutralized (Okonkwo &amp; Adeyemi, 2021). The ANC of an antacid determines its ability to relieve acid-related conditions such as heartburn, acid reflux, and indigestion. A higher ANC indicates greater potency, meaning that less of the antacid is required to achieve acid neutralization.</w:t>
      </w:r>
    </w:p>
    <w:p w14:paraId="4FE1715B" w14:textId="77777777"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1.7.1</w:t>
      </w:r>
      <w:r>
        <w:rPr>
          <w:rFonts w:ascii="Times New Roman" w:hAnsi="Times New Roman" w:cs="Times New Roman"/>
          <w:b/>
          <w:bCs/>
          <w:sz w:val="24"/>
          <w:szCs w:val="24"/>
        </w:rPr>
        <w:tab/>
      </w:r>
      <w:r w:rsidR="005E1AA2" w:rsidRPr="00BC1219">
        <w:rPr>
          <w:rFonts w:ascii="Times New Roman" w:hAnsi="Times New Roman" w:cs="Times New Roman"/>
          <w:b/>
          <w:bCs/>
          <w:sz w:val="24"/>
          <w:szCs w:val="24"/>
        </w:rPr>
        <w:t>Factors Influencing ANC</w:t>
      </w:r>
    </w:p>
    <w:p w14:paraId="16C68A46"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Several factors influence the ANC of an antacid, including its chemical composition, solubility, and reaction kinetics. Magnesium hydroxide and calcium carbonate are known for their high ANC, making them effective in neutralizing large amounts of gastric acid within a short period (Eze </w:t>
      </w:r>
      <w:r w:rsidRPr="004A5A28">
        <w:rPr>
          <w:rFonts w:ascii="Times New Roman" w:hAnsi="Times New Roman" w:cs="Times New Roman"/>
          <w:i/>
          <w:sz w:val="24"/>
          <w:szCs w:val="24"/>
        </w:rPr>
        <w:t>et al.,</w:t>
      </w:r>
      <w:r w:rsidRPr="00D659FE">
        <w:rPr>
          <w:rFonts w:ascii="Times New Roman" w:hAnsi="Times New Roman" w:cs="Times New Roman"/>
          <w:sz w:val="24"/>
          <w:szCs w:val="24"/>
        </w:rPr>
        <w:t xml:space="preserve"> 2023). In contrast, aluminum hydroxide has a lower ANC but provides a prolonged buffering effect, making it suitable for sustained acid suppression (Williams &amp; Chukwudi, 2022). Sodium bicarbonate, another commonly used antacid, has a very high ANC but can cause rapid CO</w:t>
      </w:r>
      <w:r w:rsidRPr="00D659FE">
        <w:rPr>
          <w:rFonts w:ascii="Cambria Math" w:hAnsi="Cambria Math" w:cs="Cambria Math"/>
          <w:sz w:val="24"/>
          <w:szCs w:val="24"/>
        </w:rPr>
        <w:t>₂</w:t>
      </w:r>
      <w:r w:rsidRPr="00D659FE">
        <w:rPr>
          <w:rFonts w:ascii="Times New Roman" w:hAnsi="Times New Roman" w:cs="Times New Roman"/>
          <w:sz w:val="24"/>
          <w:szCs w:val="24"/>
        </w:rPr>
        <w:t xml:space="preserve"> production, leading to bloating and belching (Ogunleye </w:t>
      </w:r>
      <w:r w:rsidRPr="004A5A28">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14:paraId="59B36D94" w14:textId="77777777" w:rsidR="00D659FE" w:rsidRPr="00BC1219" w:rsidRDefault="005E1AA2" w:rsidP="009A5A72">
      <w:pPr>
        <w:pStyle w:val="ListParagraph"/>
        <w:numPr>
          <w:ilvl w:val="2"/>
          <w:numId w:val="6"/>
        </w:numPr>
        <w:spacing w:line="360" w:lineRule="auto"/>
        <w:jc w:val="both"/>
        <w:rPr>
          <w:b/>
          <w:bCs/>
          <w:sz w:val="24"/>
          <w:szCs w:val="24"/>
        </w:rPr>
      </w:pPr>
      <w:r w:rsidRPr="00BC1219">
        <w:rPr>
          <w:b/>
          <w:bCs/>
          <w:sz w:val="24"/>
          <w:szCs w:val="24"/>
        </w:rPr>
        <w:t>Methods For Determining ANC</w:t>
      </w:r>
    </w:p>
    <w:p w14:paraId="537FB1EA"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ANC of a</w:t>
      </w:r>
      <w:r w:rsidRPr="004A5A28">
        <w:rPr>
          <w:rFonts w:ascii="Times New Roman" w:hAnsi="Times New Roman" w:cs="Times New Roman"/>
          <w:sz w:val="24"/>
          <w:szCs w:val="24"/>
        </w:rPr>
        <w:t xml:space="preserve">n antacid is typically evaluated using back titration techniques, where a known excess of standardized hydrochloric acid is added to a sample of the antacid, and the remaining acid is titrated with a base such as sodium hydroxide (NaOH) </w:t>
      </w:r>
      <w:r w:rsidRPr="004A5A28">
        <w:rPr>
          <w:rFonts w:ascii="Times New Roman" w:hAnsi="Times New Roman" w:cs="Times New Roman"/>
          <w:sz w:val="24"/>
          <w:szCs w:val="24"/>
        </w:rPr>
        <w:lastRenderedPageBreak/>
        <w:t>(Adebayo &amp; Yusuf, 2024). This method allows researchers to quantify the exact amount of acid neutralized by the antacid, providing an objective measure of its effectiveness. Additionally, pH-stat titration is used in advanced studies to continuously monitor pH changes in simulated gastric conditions, offering a real-time asses</w:t>
      </w:r>
      <w:r w:rsidRPr="00D659FE">
        <w:rPr>
          <w:rFonts w:ascii="Times New Roman" w:hAnsi="Times New Roman" w:cs="Times New Roman"/>
          <w:sz w:val="24"/>
          <w:szCs w:val="24"/>
        </w:rPr>
        <w:t>sment of ANC (Chidiebere &amp; Okafor, 2023).</w:t>
      </w:r>
    </w:p>
    <w:p w14:paraId="64D92E1B" w14:textId="77777777" w:rsidR="00D659FE" w:rsidRPr="00BC1219" w:rsidRDefault="005E1AA2" w:rsidP="009A5A72">
      <w:pPr>
        <w:pStyle w:val="ListParagraph"/>
        <w:numPr>
          <w:ilvl w:val="2"/>
          <w:numId w:val="6"/>
        </w:numPr>
        <w:spacing w:line="360" w:lineRule="auto"/>
        <w:jc w:val="both"/>
        <w:rPr>
          <w:b/>
          <w:bCs/>
          <w:sz w:val="24"/>
          <w:szCs w:val="24"/>
        </w:rPr>
      </w:pPr>
      <w:r w:rsidRPr="00BC1219">
        <w:rPr>
          <w:b/>
          <w:bCs/>
          <w:sz w:val="24"/>
          <w:szCs w:val="24"/>
        </w:rPr>
        <w:t>Clinical Implications of</w:t>
      </w:r>
      <w:r w:rsidR="00D659FE" w:rsidRPr="00BC1219">
        <w:rPr>
          <w:b/>
          <w:bCs/>
          <w:sz w:val="24"/>
          <w:szCs w:val="24"/>
        </w:rPr>
        <w:t xml:space="preserve"> ANC</w:t>
      </w:r>
    </w:p>
    <w:p w14:paraId="7ACAA250"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Understanding the ANC of antacids is essential for ensuring appropriate dosing and maximizing therapeutic benefits. Patients with conditions such as gastroesophageal reflux disease (GERD) require antacids with a higher ANC to effectively counteract persistent acid exposure (Oluwaseun </w:t>
      </w:r>
      <w:r w:rsidRPr="004A5A28">
        <w:rPr>
          <w:rFonts w:ascii="Times New Roman" w:hAnsi="Times New Roman" w:cs="Times New Roman"/>
          <w:i/>
          <w:sz w:val="24"/>
          <w:szCs w:val="24"/>
        </w:rPr>
        <w:t>et al.,</w:t>
      </w:r>
      <w:r w:rsidRPr="00D659FE">
        <w:rPr>
          <w:rFonts w:ascii="Times New Roman" w:hAnsi="Times New Roman" w:cs="Times New Roman"/>
          <w:sz w:val="24"/>
          <w:szCs w:val="24"/>
        </w:rPr>
        <w:t xml:space="preserve"> 2022). However, excessive ANC can lead to alkalosis, electrolyte imbalances, or rebound acid hypersecretion, where the stomach produces more acid in response to sudden pH changes (Emmanuel &amp; Okechukwu, 2021).</w:t>
      </w:r>
    </w:p>
    <w:p w14:paraId="4AC1D577" w14:textId="77777777" w:rsidR="00D659FE" w:rsidRPr="00D659FE" w:rsidRDefault="005E1AA2" w:rsidP="009A5A72">
      <w:pPr>
        <w:numPr>
          <w:ilvl w:val="2"/>
          <w:numId w:val="6"/>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Comparison o</w:t>
      </w:r>
      <w:r w:rsidRPr="00D659FE">
        <w:rPr>
          <w:rFonts w:ascii="Times New Roman" w:hAnsi="Times New Roman" w:cs="Times New Roman"/>
          <w:b/>
          <w:bCs/>
          <w:sz w:val="24"/>
          <w:szCs w:val="24"/>
        </w:rPr>
        <w:t>f A</w:t>
      </w:r>
      <w:r>
        <w:rPr>
          <w:rFonts w:ascii="Times New Roman" w:hAnsi="Times New Roman" w:cs="Times New Roman"/>
          <w:b/>
          <w:bCs/>
          <w:sz w:val="24"/>
          <w:szCs w:val="24"/>
        </w:rPr>
        <w:t>NC</w:t>
      </w:r>
      <w:r w:rsidRPr="00D659FE">
        <w:rPr>
          <w:rFonts w:ascii="Times New Roman" w:hAnsi="Times New Roman" w:cs="Times New Roman"/>
          <w:b/>
          <w:bCs/>
          <w:sz w:val="24"/>
          <w:szCs w:val="24"/>
        </w:rPr>
        <w:t xml:space="preserve"> Among Antacid Formulations</w:t>
      </w:r>
    </w:p>
    <w:p w14:paraId="0927208F" w14:textId="77777777" w:rsid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D</w:t>
      </w:r>
      <w:r w:rsidRPr="004A5A28">
        <w:rPr>
          <w:rFonts w:ascii="Times New Roman" w:hAnsi="Times New Roman" w:cs="Times New Roman"/>
          <w:sz w:val="24"/>
          <w:szCs w:val="24"/>
        </w:rPr>
        <w:t>ifferent formulations, such as liquid, tablet, and effervescent antacids, exhibit varying ANC values. Liquid antacids generally have a higher ANC because they are already dissolved and can react with gastric acid immediately (Ogundipe &amp; Williams, 2022). Chewable tablets may have slightly lower ANC due to the time required for dissolution. Effervescent formulations dissolve quickly in water, providing rapid acid neutralization but sometimes leading to gas- related side effects such as bloating (Okon &amp; Bello, 2023).</w:t>
      </w:r>
    </w:p>
    <w:p w14:paraId="3D18B7C2" w14:textId="77777777" w:rsidR="00C03B81" w:rsidRDefault="00C03B81" w:rsidP="009A5A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1.1: Comparation of Different forms of antacids available in Nigeria markets</w:t>
      </w:r>
    </w:p>
    <w:tbl>
      <w:tblPr>
        <w:tblStyle w:val="TableGrid"/>
        <w:tblW w:w="0" w:type="auto"/>
        <w:tblLook w:val="04A0" w:firstRow="1" w:lastRow="0" w:firstColumn="1" w:lastColumn="0" w:noHBand="0" w:noVBand="1"/>
      </w:tblPr>
      <w:tblGrid>
        <w:gridCol w:w="617"/>
        <w:gridCol w:w="1550"/>
        <w:gridCol w:w="2622"/>
        <w:gridCol w:w="3004"/>
        <w:gridCol w:w="1667"/>
      </w:tblGrid>
      <w:tr w:rsidR="007E33BA" w:rsidRPr="007E33BA" w14:paraId="02D911DC" w14:textId="77777777" w:rsidTr="009A5A72">
        <w:tc>
          <w:tcPr>
            <w:tcW w:w="0" w:type="auto"/>
            <w:hideMark/>
          </w:tcPr>
          <w:p w14:paraId="784E74F3" w14:textId="77777777" w:rsidR="007E33BA" w:rsidRPr="007E33BA" w:rsidRDefault="007E33BA" w:rsidP="009A5A72">
            <w:pPr>
              <w:spacing w:line="360" w:lineRule="auto"/>
              <w:jc w:val="center"/>
              <w:rPr>
                <w:rFonts w:ascii="Times New Roman" w:eastAsia="Times New Roman" w:hAnsi="Times New Roman" w:cs="Times New Roman"/>
                <w:b/>
                <w:bCs/>
                <w:sz w:val="24"/>
                <w:szCs w:val="24"/>
              </w:rPr>
            </w:pPr>
            <w:r w:rsidRPr="007E33BA">
              <w:rPr>
                <w:rFonts w:ascii="Times New Roman" w:eastAsia="Times New Roman" w:hAnsi="Times New Roman" w:cs="Times New Roman"/>
                <w:b/>
                <w:bCs/>
                <w:sz w:val="24"/>
                <w:szCs w:val="24"/>
              </w:rPr>
              <w:t>S/N</w:t>
            </w:r>
          </w:p>
        </w:tc>
        <w:tc>
          <w:tcPr>
            <w:tcW w:w="0" w:type="auto"/>
            <w:hideMark/>
          </w:tcPr>
          <w:p w14:paraId="74E9888F" w14:textId="77777777" w:rsidR="007E33BA" w:rsidRPr="007E33BA" w:rsidRDefault="007E33BA" w:rsidP="009A5A72">
            <w:pPr>
              <w:spacing w:line="360" w:lineRule="auto"/>
              <w:jc w:val="center"/>
              <w:rPr>
                <w:rFonts w:ascii="Times New Roman" w:eastAsia="Times New Roman" w:hAnsi="Times New Roman" w:cs="Times New Roman"/>
                <w:b/>
                <w:bCs/>
                <w:sz w:val="24"/>
                <w:szCs w:val="24"/>
              </w:rPr>
            </w:pPr>
            <w:r w:rsidRPr="007E33BA">
              <w:rPr>
                <w:rFonts w:ascii="Times New Roman" w:eastAsia="Times New Roman" w:hAnsi="Times New Roman" w:cs="Times New Roman"/>
                <w:b/>
                <w:bCs/>
                <w:sz w:val="24"/>
                <w:szCs w:val="24"/>
              </w:rPr>
              <w:t>Antacids</w:t>
            </w:r>
          </w:p>
        </w:tc>
        <w:tc>
          <w:tcPr>
            <w:tcW w:w="0" w:type="auto"/>
            <w:hideMark/>
          </w:tcPr>
          <w:p w14:paraId="3E28C093" w14:textId="77777777" w:rsidR="007E33BA" w:rsidRPr="007E33BA" w:rsidRDefault="007E33BA" w:rsidP="009A5A72">
            <w:pPr>
              <w:spacing w:line="360" w:lineRule="auto"/>
              <w:jc w:val="center"/>
              <w:rPr>
                <w:rFonts w:ascii="Times New Roman" w:eastAsia="Times New Roman" w:hAnsi="Times New Roman" w:cs="Times New Roman"/>
                <w:b/>
                <w:bCs/>
                <w:sz w:val="24"/>
                <w:szCs w:val="24"/>
              </w:rPr>
            </w:pPr>
            <w:r w:rsidRPr="007E33BA">
              <w:rPr>
                <w:rFonts w:ascii="Times New Roman" w:eastAsia="Times New Roman" w:hAnsi="Times New Roman" w:cs="Times New Roman"/>
                <w:b/>
                <w:bCs/>
                <w:sz w:val="24"/>
                <w:szCs w:val="24"/>
              </w:rPr>
              <w:t>Advantage</w:t>
            </w:r>
          </w:p>
        </w:tc>
        <w:tc>
          <w:tcPr>
            <w:tcW w:w="0" w:type="auto"/>
            <w:hideMark/>
          </w:tcPr>
          <w:p w14:paraId="3C708D29" w14:textId="77777777" w:rsidR="007E33BA" w:rsidRPr="007E33BA" w:rsidRDefault="007E33BA" w:rsidP="009A5A72">
            <w:pPr>
              <w:spacing w:line="360" w:lineRule="auto"/>
              <w:jc w:val="center"/>
              <w:rPr>
                <w:rFonts w:ascii="Times New Roman" w:eastAsia="Times New Roman" w:hAnsi="Times New Roman" w:cs="Times New Roman"/>
                <w:b/>
                <w:bCs/>
                <w:sz w:val="24"/>
                <w:szCs w:val="24"/>
              </w:rPr>
            </w:pPr>
            <w:r w:rsidRPr="007E33BA">
              <w:rPr>
                <w:rFonts w:ascii="Times New Roman" w:eastAsia="Times New Roman" w:hAnsi="Times New Roman" w:cs="Times New Roman"/>
                <w:b/>
                <w:bCs/>
                <w:sz w:val="24"/>
                <w:szCs w:val="24"/>
              </w:rPr>
              <w:t>Disadvantage</w:t>
            </w:r>
          </w:p>
        </w:tc>
        <w:tc>
          <w:tcPr>
            <w:tcW w:w="0" w:type="auto"/>
            <w:hideMark/>
          </w:tcPr>
          <w:p w14:paraId="44E43BDB" w14:textId="77777777" w:rsidR="007E33BA" w:rsidRPr="007E33BA" w:rsidRDefault="007E33BA" w:rsidP="009A5A72">
            <w:pPr>
              <w:spacing w:line="360" w:lineRule="auto"/>
              <w:jc w:val="center"/>
              <w:rPr>
                <w:rFonts w:ascii="Times New Roman" w:eastAsia="Times New Roman" w:hAnsi="Times New Roman" w:cs="Times New Roman"/>
                <w:b/>
                <w:bCs/>
                <w:sz w:val="24"/>
                <w:szCs w:val="24"/>
              </w:rPr>
            </w:pPr>
            <w:r w:rsidRPr="007E33BA">
              <w:rPr>
                <w:rFonts w:ascii="Times New Roman" w:eastAsia="Times New Roman" w:hAnsi="Times New Roman" w:cs="Times New Roman"/>
                <w:b/>
                <w:bCs/>
                <w:sz w:val="24"/>
                <w:szCs w:val="24"/>
              </w:rPr>
              <w:t>Reference</w:t>
            </w:r>
          </w:p>
        </w:tc>
      </w:tr>
      <w:tr w:rsidR="007E33BA" w:rsidRPr="007E33BA" w14:paraId="6B0482BC" w14:textId="77777777" w:rsidTr="009A5A72">
        <w:tc>
          <w:tcPr>
            <w:tcW w:w="0" w:type="auto"/>
            <w:hideMark/>
          </w:tcPr>
          <w:p w14:paraId="5C8EDB78" w14:textId="77777777"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1</w:t>
            </w:r>
          </w:p>
        </w:tc>
        <w:tc>
          <w:tcPr>
            <w:tcW w:w="0" w:type="auto"/>
            <w:hideMark/>
          </w:tcPr>
          <w:p w14:paraId="6F866D6D" w14:textId="77777777"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bCs/>
                <w:sz w:val="24"/>
                <w:szCs w:val="24"/>
              </w:rPr>
              <w:t>Liquid</w:t>
            </w:r>
          </w:p>
        </w:tc>
        <w:tc>
          <w:tcPr>
            <w:tcW w:w="0" w:type="auto"/>
            <w:hideMark/>
          </w:tcPr>
          <w:p w14:paraId="1320CF7C" w14:textId="77777777"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High ANC; already dissolved, acts quickly</w:t>
            </w:r>
          </w:p>
        </w:tc>
        <w:tc>
          <w:tcPr>
            <w:tcW w:w="0" w:type="auto"/>
            <w:hideMark/>
          </w:tcPr>
          <w:p w14:paraId="6CC47646" w14:textId="77777777"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Bulky to carry; may require refrigeration; may have unpleasant taste</w:t>
            </w:r>
          </w:p>
        </w:tc>
        <w:tc>
          <w:tcPr>
            <w:tcW w:w="0" w:type="auto"/>
            <w:hideMark/>
          </w:tcPr>
          <w:p w14:paraId="47FA5E67" w14:textId="77777777"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Ogundipe &amp; Williams, 2022</w:t>
            </w:r>
          </w:p>
        </w:tc>
      </w:tr>
      <w:tr w:rsidR="007E33BA" w:rsidRPr="007E33BA" w14:paraId="2004ADDA" w14:textId="77777777" w:rsidTr="009A5A72">
        <w:tc>
          <w:tcPr>
            <w:tcW w:w="0" w:type="auto"/>
            <w:hideMark/>
          </w:tcPr>
          <w:p w14:paraId="27186707" w14:textId="77777777"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lastRenderedPageBreak/>
              <w:t>2</w:t>
            </w:r>
          </w:p>
        </w:tc>
        <w:tc>
          <w:tcPr>
            <w:tcW w:w="0" w:type="auto"/>
            <w:hideMark/>
          </w:tcPr>
          <w:p w14:paraId="6E352D44" w14:textId="77777777"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bCs/>
                <w:sz w:val="24"/>
                <w:szCs w:val="24"/>
              </w:rPr>
              <w:t>Effervescent</w:t>
            </w:r>
          </w:p>
        </w:tc>
        <w:tc>
          <w:tcPr>
            <w:tcW w:w="0" w:type="auto"/>
            <w:hideMark/>
          </w:tcPr>
          <w:p w14:paraId="09166C9D" w14:textId="77777777"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Rapid dissolution in water; fast-acting; easy to ingest</w:t>
            </w:r>
          </w:p>
        </w:tc>
        <w:tc>
          <w:tcPr>
            <w:tcW w:w="0" w:type="auto"/>
            <w:hideMark/>
          </w:tcPr>
          <w:p w14:paraId="3C516D85" w14:textId="77777777"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May cause bloating due to gas release; not suitable for patients on low sodium diets</w:t>
            </w:r>
          </w:p>
        </w:tc>
        <w:tc>
          <w:tcPr>
            <w:tcW w:w="0" w:type="auto"/>
            <w:hideMark/>
          </w:tcPr>
          <w:p w14:paraId="1AE360C9" w14:textId="77777777"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Okon &amp; Bello, 2023</w:t>
            </w:r>
          </w:p>
        </w:tc>
      </w:tr>
      <w:tr w:rsidR="007E33BA" w:rsidRPr="007E33BA" w14:paraId="41906D46" w14:textId="77777777" w:rsidTr="009A5A72">
        <w:tc>
          <w:tcPr>
            <w:tcW w:w="0" w:type="auto"/>
            <w:hideMark/>
          </w:tcPr>
          <w:p w14:paraId="6E8E4BD3" w14:textId="77777777"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3</w:t>
            </w:r>
          </w:p>
        </w:tc>
        <w:tc>
          <w:tcPr>
            <w:tcW w:w="0" w:type="auto"/>
            <w:hideMark/>
          </w:tcPr>
          <w:p w14:paraId="63FFD05E" w14:textId="77777777"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bCs/>
                <w:sz w:val="24"/>
                <w:szCs w:val="24"/>
              </w:rPr>
              <w:t>Tablet</w:t>
            </w:r>
          </w:p>
        </w:tc>
        <w:tc>
          <w:tcPr>
            <w:tcW w:w="0" w:type="auto"/>
            <w:hideMark/>
          </w:tcPr>
          <w:p w14:paraId="67E98395" w14:textId="77777777"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Convenient to use and store; longer shelf life</w:t>
            </w:r>
          </w:p>
        </w:tc>
        <w:tc>
          <w:tcPr>
            <w:tcW w:w="0" w:type="auto"/>
            <w:hideMark/>
          </w:tcPr>
          <w:p w14:paraId="0469D861" w14:textId="77777777"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Slower onset of action due to need for dissolution; may have lower ANC</w:t>
            </w:r>
          </w:p>
        </w:tc>
        <w:tc>
          <w:tcPr>
            <w:tcW w:w="0" w:type="auto"/>
            <w:hideMark/>
          </w:tcPr>
          <w:p w14:paraId="6B9EAE45" w14:textId="77777777"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Ogundipe &amp; Williams, 2022</w:t>
            </w:r>
          </w:p>
        </w:tc>
      </w:tr>
      <w:tr w:rsidR="007E33BA" w:rsidRPr="007E33BA" w14:paraId="1AF56209" w14:textId="77777777" w:rsidTr="009A5A72">
        <w:tc>
          <w:tcPr>
            <w:tcW w:w="0" w:type="auto"/>
            <w:hideMark/>
          </w:tcPr>
          <w:p w14:paraId="5CBCF8F5" w14:textId="77777777"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4</w:t>
            </w:r>
          </w:p>
        </w:tc>
        <w:tc>
          <w:tcPr>
            <w:tcW w:w="0" w:type="auto"/>
            <w:hideMark/>
          </w:tcPr>
          <w:p w14:paraId="58A7C9BC" w14:textId="77777777"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bCs/>
                <w:sz w:val="24"/>
                <w:szCs w:val="24"/>
              </w:rPr>
              <w:t>Suspension</w:t>
            </w:r>
          </w:p>
        </w:tc>
        <w:tc>
          <w:tcPr>
            <w:tcW w:w="0" w:type="auto"/>
            <w:hideMark/>
          </w:tcPr>
          <w:p w14:paraId="37F31F5E" w14:textId="77777777"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Combines fast action with ease of swallowing; suitable for children and elderly</w:t>
            </w:r>
          </w:p>
        </w:tc>
        <w:tc>
          <w:tcPr>
            <w:tcW w:w="0" w:type="auto"/>
            <w:hideMark/>
          </w:tcPr>
          <w:p w14:paraId="05072C79" w14:textId="77777777"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Requires shaking before use; may settle quickly; short shelf stability</w:t>
            </w:r>
          </w:p>
        </w:tc>
        <w:tc>
          <w:tcPr>
            <w:tcW w:w="0" w:type="auto"/>
            <w:hideMark/>
          </w:tcPr>
          <w:p w14:paraId="7F41D0D4" w14:textId="77777777"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Adebayo &amp; Yusuf, 2024</w:t>
            </w:r>
          </w:p>
        </w:tc>
      </w:tr>
    </w:tbl>
    <w:p w14:paraId="52BEA0E6" w14:textId="77777777" w:rsidR="00954D10" w:rsidRDefault="00954D10" w:rsidP="009A5A72">
      <w:pPr>
        <w:spacing w:line="360" w:lineRule="auto"/>
      </w:pPr>
    </w:p>
    <w:p w14:paraId="762F8925" w14:textId="77777777" w:rsidR="00954D10" w:rsidRPr="00954D10" w:rsidRDefault="00954D10" w:rsidP="009A5A72">
      <w:pPr>
        <w:pStyle w:val="Heading3"/>
        <w:spacing w:before="0" w:line="360" w:lineRule="auto"/>
        <w:jc w:val="both"/>
        <w:rPr>
          <w:rFonts w:ascii="Times New Roman" w:hAnsi="Times New Roman" w:cs="Times New Roman"/>
          <w:color w:val="auto"/>
          <w:sz w:val="24"/>
          <w:szCs w:val="24"/>
        </w:rPr>
      </w:pPr>
      <w:r w:rsidRPr="00954D10">
        <w:rPr>
          <w:rStyle w:val="Strong"/>
          <w:rFonts w:ascii="Times New Roman" w:hAnsi="Times New Roman" w:cs="Times New Roman"/>
          <w:b/>
          <w:bCs/>
          <w:color w:val="auto"/>
          <w:sz w:val="24"/>
          <w:szCs w:val="24"/>
        </w:rPr>
        <w:t>1.8</w:t>
      </w:r>
      <w:r w:rsidRPr="00954D10">
        <w:rPr>
          <w:rStyle w:val="Strong"/>
          <w:rFonts w:ascii="Times New Roman" w:hAnsi="Times New Roman" w:cs="Times New Roman"/>
          <w:b/>
          <w:bCs/>
          <w:color w:val="auto"/>
          <w:sz w:val="24"/>
          <w:szCs w:val="24"/>
        </w:rPr>
        <w:tab/>
        <w:t xml:space="preserve"> </w:t>
      </w:r>
      <w:r w:rsidR="00B7318F" w:rsidRPr="00954D10">
        <w:rPr>
          <w:rStyle w:val="Strong"/>
          <w:rFonts w:ascii="Times New Roman" w:hAnsi="Times New Roman" w:cs="Times New Roman"/>
          <w:b/>
          <w:bCs/>
          <w:color w:val="auto"/>
          <w:sz w:val="24"/>
          <w:szCs w:val="24"/>
        </w:rPr>
        <w:t>STATEMENT OF THE PROBLEM</w:t>
      </w:r>
    </w:p>
    <w:p w14:paraId="18AD385F" w14:textId="77777777" w:rsidR="00954D10" w:rsidRPr="00954D10" w:rsidRDefault="00954D10" w:rsidP="009A5A72">
      <w:pPr>
        <w:pStyle w:val="NormalWeb"/>
        <w:spacing w:before="0" w:beforeAutospacing="0" w:line="360" w:lineRule="auto"/>
        <w:jc w:val="both"/>
      </w:pPr>
      <w:r w:rsidRPr="00954D10">
        <w:t>Gastric acidity and related gastrointestinal disorders remain a prevalent global health concern, especially in developing countries like Nigeria, where over-the-counter (OTC) access to antacid and anti-ulcer medications is widespread. However, many of these medications vary in formulation, efficacy, and therapeutic outcomes, often without clear guidance for consumers or adequate regulatory evaluation. Inconsistent or substandard performance in pH stabilization and acid neutralization can lead to inadequate symptom relief, prolonged discomfort, or potential adverse effects. The lack of comparative analysis and empirical data on the quality and performance of these formulations presents a gap in both clinical knowledge and consumer safety. Therefore, a scientific evaluation of the acid neutralizing capacity and pH stability of these commonly used brands is necessary to ensure their efficacy and appropriate use.</w:t>
      </w:r>
    </w:p>
    <w:p w14:paraId="48584597" w14:textId="77777777" w:rsidR="00954D10" w:rsidRPr="00954D10" w:rsidRDefault="00B7318F" w:rsidP="009A5A72">
      <w:pPr>
        <w:pStyle w:val="Heading3"/>
        <w:spacing w:before="0"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lastRenderedPageBreak/>
        <w:t>1.9</w:t>
      </w:r>
      <w:r>
        <w:rPr>
          <w:rStyle w:val="Strong"/>
          <w:rFonts w:ascii="Times New Roman" w:hAnsi="Times New Roman" w:cs="Times New Roman"/>
          <w:b/>
          <w:bCs/>
          <w:color w:val="auto"/>
          <w:sz w:val="24"/>
          <w:szCs w:val="24"/>
        </w:rPr>
        <w:tab/>
      </w:r>
      <w:r w:rsidRPr="00954D10">
        <w:rPr>
          <w:rStyle w:val="Strong"/>
          <w:rFonts w:ascii="Times New Roman" w:hAnsi="Times New Roman" w:cs="Times New Roman"/>
          <w:b/>
          <w:bCs/>
          <w:color w:val="auto"/>
          <w:sz w:val="24"/>
          <w:szCs w:val="24"/>
        </w:rPr>
        <w:t>SIGNIFICANCE OF THE STUDY</w:t>
      </w:r>
    </w:p>
    <w:p w14:paraId="7D728AB8" w14:textId="77777777" w:rsidR="00954D10" w:rsidRPr="00954D10" w:rsidRDefault="00954D10" w:rsidP="009A5A72">
      <w:pPr>
        <w:pStyle w:val="NormalWeb"/>
        <w:spacing w:before="0" w:beforeAutospacing="0" w:line="360" w:lineRule="auto"/>
        <w:jc w:val="both"/>
      </w:pPr>
      <w:r w:rsidRPr="00954D10">
        <w:t>This study provides valuable insight into the comparative effectiveness of popular antacid and anti-ulcer drug formulations available in the Nigerian pharmaceutical market. By analyzing their pH behavior and acid neutralizing capacities, the research offers evidence-based data to guide medical practitioners in prescribing appropriate therapies for acid-related disorders. Additionally, the findings help consumers make informed choices when purchasing over-the-counter remedies. On a broader scale, this research supports regulatory bodies in post-market surveillance and quality assurance efforts. It also serves as a reference for future pharmacological and pharmaceutical research on gastrointestinal medications.</w:t>
      </w:r>
    </w:p>
    <w:p w14:paraId="2E409F05" w14:textId="77777777" w:rsidR="00954D10" w:rsidRPr="00954D10" w:rsidRDefault="009A5A72" w:rsidP="009A5A72">
      <w:pPr>
        <w:pStyle w:val="Heading3"/>
        <w:spacing w:before="0"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1.10</w:t>
      </w:r>
      <w:r>
        <w:rPr>
          <w:rStyle w:val="Strong"/>
          <w:rFonts w:ascii="Times New Roman" w:hAnsi="Times New Roman" w:cs="Times New Roman"/>
          <w:b/>
          <w:bCs/>
          <w:color w:val="auto"/>
          <w:sz w:val="24"/>
          <w:szCs w:val="24"/>
        </w:rPr>
        <w:tab/>
      </w:r>
      <w:r w:rsidR="00B7318F" w:rsidRPr="00954D10">
        <w:rPr>
          <w:rStyle w:val="Strong"/>
          <w:rFonts w:ascii="Times New Roman" w:hAnsi="Times New Roman" w:cs="Times New Roman"/>
          <w:b/>
          <w:bCs/>
          <w:color w:val="auto"/>
          <w:sz w:val="24"/>
          <w:szCs w:val="24"/>
        </w:rPr>
        <w:t xml:space="preserve"> AIMS AND OBJECTIVES</w:t>
      </w:r>
    </w:p>
    <w:p w14:paraId="00214522" w14:textId="77777777" w:rsidR="00954D10" w:rsidRPr="00954D10" w:rsidRDefault="00954D10" w:rsidP="009A5A72">
      <w:pPr>
        <w:pStyle w:val="NormalWeb"/>
        <w:spacing w:before="0" w:beforeAutospacing="0" w:after="0" w:afterAutospacing="0" w:line="360" w:lineRule="auto"/>
        <w:jc w:val="both"/>
      </w:pPr>
      <w:r>
        <w:rPr>
          <w:rStyle w:val="Strong"/>
        </w:rPr>
        <w:t>1.10.1</w:t>
      </w:r>
      <w:r w:rsidR="009A5A72">
        <w:rPr>
          <w:rStyle w:val="Strong"/>
        </w:rPr>
        <w:tab/>
      </w:r>
      <w:r>
        <w:rPr>
          <w:rStyle w:val="Strong"/>
        </w:rPr>
        <w:t>Aim</w:t>
      </w:r>
      <w:r w:rsidR="00B7318F">
        <w:rPr>
          <w:rStyle w:val="Strong"/>
        </w:rPr>
        <w:t>:</w:t>
      </w:r>
      <w:r w:rsidRPr="00954D10">
        <w:br/>
      </w:r>
      <w:r>
        <w:t>T</w:t>
      </w:r>
      <w:r w:rsidRPr="00954D10">
        <w:t>he aim of this study is to evaluate and compare the pH stability and acid neutralizing capacity (ANC) of selected commercially available antacid and anti-ulcer drugs to determine their relative effectiveness in neutralizing gastric acid.</w:t>
      </w:r>
    </w:p>
    <w:p w14:paraId="1765D350" w14:textId="77777777" w:rsidR="00954D10" w:rsidRPr="00954D10" w:rsidRDefault="00954D10" w:rsidP="009A5A72">
      <w:pPr>
        <w:pStyle w:val="NormalWeb"/>
        <w:spacing w:before="0" w:beforeAutospacing="0" w:after="0" w:afterAutospacing="0" w:line="360" w:lineRule="auto"/>
        <w:jc w:val="both"/>
      </w:pPr>
      <w:r>
        <w:rPr>
          <w:rStyle w:val="Strong"/>
        </w:rPr>
        <w:t>1.10.2</w:t>
      </w:r>
      <w:r>
        <w:rPr>
          <w:rStyle w:val="Strong"/>
        </w:rPr>
        <w:tab/>
      </w:r>
      <w:r w:rsidRPr="00954D10">
        <w:rPr>
          <w:rStyle w:val="Strong"/>
        </w:rPr>
        <w:t>Objectives:</w:t>
      </w:r>
    </w:p>
    <w:p w14:paraId="3868731D" w14:textId="77777777" w:rsidR="00954D10" w:rsidRPr="00954D10" w:rsidRDefault="00954D10" w:rsidP="009A5A72">
      <w:pPr>
        <w:pStyle w:val="NormalWeb"/>
        <w:numPr>
          <w:ilvl w:val="0"/>
          <w:numId w:val="13"/>
        </w:numPr>
        <w:spacing w:before="0" w:beforeAutospacing="0" w:line="360" w:lineRule="auto"/>
        <w:jc w:val="both"/>
      </w:pPr>
      <w:r w:rsidRPr="00954D10">
        <w:t>To measure the initial (0 minute) pH of each selected drug formulation.</w:t>
      </w:r>
    </w:p>
    <w:p w14:paraId="1A14F995" w14:textId="77777777" w:rsidR="00954D10" w:rsidRPr="00954D10" w:rsidRDefault="00954D10" w:rsidP="009A5A72">
      <w:pPr>
        <w:pStyle w:val="NormalWeb"/>
        <w:numPr>
          <w:ilvl w:val="0"/>
          <w:numId w:val="13"/>
        </w:numPr>
        <w:spacing w:before="0" w:beforeAutospacing="0" w:line="360" w:lineRule="auto"/>
        <w:jc w:val="both"/>
      </w:pPr>
      <w:r w:rsidRPr="00954D10">
        <w:t>To determine the pH variation of each drug after 15 minutes of preparation.</w:t>
      </w:r>
    </w:p>
    <w:p w14:paraId="31B79136" w14:textId="77777777" w:rsidR="00954D10" w:rsidRPr="00954D10" w:rsidRDefault="00954D10" w:rsidP="009A5A72">
      <w:pPr>
        <w:pStyle w:val="NormalWeb"/>
        <w:numPr>
          <w:ilvl w:val="0"/>
          <w:numId w:val="13"/>
        </w:numPr>
        <w:spacing w:before="0" w:beforeAutospacing="0" w:line="360" w:lineRule="auto"/>
        <w:jc w:val="both"/>
      </w:pPr>
      <w:r w:rsidRPr="00954D10">
        <w:t>To calculate the acid neutralizing capacity (ANC) per standard dose of each formulation.</w:t>
      </w:r>
    </w:p>
    <w:p w14:paraId="6A4A946A" w14:textId="77777777" w:rsidR="00954D10" w:rsidRPr="00954D10" w:rsidRDefault="00954D10" w:rsidP="009A5A72">
      <w:pPr>
        <w:pStyle w:val="NormalWeb"/>
        <w:numPr>
          <w:ilvl w:val="0"/>
          <w:numId w:val="13"/>
        </w:numPr>
        <w:spacing w:before="0" w:beforeAutospacing="0" w:line="360" w:lineRule="auto"/>
        <w:jc w:val="both"/>
      </w:pPr>
      <w:r w:rsidRPr="00954D10">
        <w:t>To compare the buffering capacities and therapeutic implications of the tested brands.</w:t>
      </w:r>
    </w:p>
    <w:p w14:paraId="4A2C9181" w14:textId="77777777" w:rsidR="00A9662E" w:rsidRDefault="00954D10" w:rsidP="009A5A72">
      <w:pPr>
        <w:pStyle w:val="NormalWeb"/>
        <w:numPr>
          <w:ilvl w:val="0"/>
          <w:numId w:val="13"/>
        </w:numPr>
        <w:spacing w:before="0" w:beforeAutospacing="0" w:line="360" w:lineRule="auto"/>
        <w:jc w:val="both"/>
      </w:pPr>
      <w:r w:rsidRPr="00954D10">
        <w:t>To provide data that can guide healthcare professionals and consumers in the rational selection of antacid and anti-ulcer products.</w:t>
      </w:r>
    </w:p>
    <w:p w14:paraId="2AD6EA64" w14:textId="77777777" w:rsidR="00B7318F" w:rsidRPr="00C35E98" w:rsidRDefault="00B7318F" w:rsidP="00B7318F">
      <w:pPr>
        <w:pStyle w:val="NormalWeb"/>
        <w:spacing w:before="0" w:beforeAutospacing="0" w:line="360" w:lineRule="auto"/>
        <w:jc w:val="both"/>
      </w:pPr>
    </w:p>
    <w:p w14:paraId="11EAC0B8" w14:textId="77777777" w:rsidR="007E33BA" w:rsidRDefault="007E33BA" w:rsidP="009A5A72">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14:paraId="75F003C5" w14:textId="77777777" w:rsidR="00954D10" w:rsidRPr="007E33BA" w:rsidRDefault="00954D10" w:rsidP="00B7318F">
      <w:pPr>
        <w:spacing w:before="240" w:after="0"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13CD8DDC" w14:textId="77777777" w:rsidR="00D659FE" w:rsidRPr="00B7318F" w:rsidRDefault="00B7318F" w:rsidP="00B7318F">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00D659FE" w:rsidRPr="00B7318F">
        <w:rPr>
          <w:rFonts w:ascii="Times New Roman" w:hAnsi="Times New Roman" w:cs="Times New Roman"/>
          <w:b/>
          <w:bCs/>
          <w:sz w:val="24"/>
          <w:szCs w:val="24"/>
        </w:rPr>
        <w:t>MECHANISMS OF ANTACIDS</w:t>
      </w:r>
    </w:p>
    <w:p w14:paraId="4FC7FCF9" w14:textId="77777777" w:rsidR="00D659FE" w:rsidRPr="007E33BA" w:rsidRDefault="00D659FE" w:rsidP="009A5A72">
      <w:pPr>
        <w:spacing w:after="0" w:line="360" w:lineRule="auto"/>
        <w:jc w:val="both"/>
        <w:rPr>
          <w:rFonts w:ascii="Times New Roman" w:hAnsi="Times New Roman" w:cs="Times New Roman"/>
          <w:sz w:val="24"/>
          <w:szCs w:val="24"/>
        </w:rPr>
      </w:pPr>
      <w:r w:rsidRPr="007E33BA">
        <w:rPr>
          <w:rFonts w:ascii="Times New Roman" w:hAnsi="Times New Roman" w:cs="Times New Roman"/>
          <w:sz w:val="24"/>
          <w:szCs w:val="24"/>
        </w:rPr>
        <w:t>Antacids function primarily by neutralizing gastric acid (HCl) in the stomach, thereby increasing the pH and reducing acidity-related symptoms such as heartburn, indigestion, and acid reflux. These compounds are weak bases that react with hydrochloric acid to form salt and water, thereby lowering acidity (Okonkwo &amp; Adeyemi, 2021). The efficiency of an antacid depends on its chemical composition, solubility, and rate of reaction with stomach acid.</w:t>
      </w:r>
    </w:p>
    <w:p w14:paraId="4640C44F" w14:textId="77777777" w:rsidR="00D659FE" w:rsidRPr="00C45905" w:rsidRDefault="00C4590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2.1.1</w:t>
      </w:r>
      <w:r>
        <w:rPr>
          <w:rFonts w:ascii="Times New Roman" w:hAnsi="Times New Roman" w:cs="Times New Roman"/>
          <w:b/>
          <w:bCs/>
          <w:sz w:val="24"/>
          <w:szCs w:val="24"/>
        </w:rPr>
        <w:tab/>
      </w:r>
      <w:r w:rsidR="00D659FE" w:rsidRPr="00C45905">
        <w:rPr>
          <w:rFonts w:ascii="Times New Roman" w:hAnsi="Times New Roman" w:cs="Times New Roman"/>
          <w:b/>
          <w:bCs/>
          <w:sz w:val="24"/>
          <w:szCs w:val="24"/>
        </w:rPr>
        <w:t>Neutralization Reaction</w:t>
      </w:r>
    </w:p>
    <w:p w14:paraId="3DB7DB19"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fundamental mechanism of antacids is the direct chemical neutralization of</w:t>
      </w:r>
    </w:p>
    <w:p w14:paraId="515D2419" w14:textId="77777777" w:rsidR="00D659FE" w:rsidRPr="007E33BA" w:rsidRDefault="00D659FE" w:rsidP="009A5A72">
      <w:pPr>
        <w:spacing w:after="0" w:line="360" w:lineRule="auto"/>
        <w:jc w:val="both"/>
        <w:rPr>
          <w:rFonts w:ascii="Times New Roman" w:hAnsi="Times New Roman" w:cs="Times New Roman"/>
          <w:sz w:val="24"/>
          <w:szCs w:val="24"/>
        </w:rPr>
      </w:pPr>
      <w:r w:rsidRPr="007E33BA">
        <w:rPr>
          <w:rFonts w:ascii="Times New Roman" w:hAnsi="Times New Roman" w:cs="Times New Roman"/>
          <w:sz w:val="24"/>
          <w:szCs w:val="24"/>
        </w:rPr>
        <w:t>hydrochloric acid (HCl) in the stomach. Different antacids react with HCl in various ways:</w:t>
      </w:r>
    </w:p>
    <w:p w14:paraId="7D3EC100" w14:textId="77777777" w:rsidR="00D659FE" w:rsidRPr="00C45905" w:rsidRDefault="00D659FE" w:rsidP="009A5A72">
      <w:pPr>
        <w:pStyle w:val="ListParagraph"/>
        <w:numPr>
          <w:ilvl w:val="3"/>
          <w:numId w:val="1"/>
        </w:numPr>
        <w:spacing w:line="360" w:lineRule="auto"/>
        <w:rPr>
          <w:bCs/>
          <w:sz w:val="24"/>
          <w:szCs w:val="24"/>
        </w:rPr>
      </w:pPr>
      <w:r w:rsidRPr="00C45905">
        <w:rPr>
          <w:b/>
          <w:bCs/>
          <w:sz w:val="24"/>
          <w:szCs w:val="24"/>
        </w:rPr>
        <w:t>Magnesium hydroxide (Mg(OH)</w:t>
      </w:r>
      <w:r w:rsidRPr="00C45905">
        <w:rPr>
          <w:rFonts w:ascii="Cambria Math" w:hAnsi="Cambria Math" w:cs="Cambria Math"/>
          <w:bCs/>
          <w:sz w:val="24"/>
          <w:szCs w:val="24"/>
        </w:rPr>
        <w:t>₂</w:t>
      </w:r>
      <w:r w:rsidRPr="00C45905">
        <w:rPr>
          <w:b/>
          <w:bCs/>
          <w:sz w:val="24"/>
          <w:szCs w:val="24"/>
        </w:rPr>
        <w:t>)</w:t>
      </w:r>
      <w:r w:rsidRPr="00C45905">
        <w:rPr>
          <w:bCs/>
          <w:sz w:val="24"/>
          <w:szCs w:val="24"/>
        </w:rPr>
        <w:t>:</w:t>
      </w:r>
    </w:p>
    <w:p w14:paraId="6B7F08BF" w14:textId="77777777" w:rsidR="00D659FE" w:rsidRPr="00D659FE" w:rsidRDefault="003C1FF7" w:rsidP="009A5A72">
      <w:pPr>
        <w:spacing w:after="0" w:line="360" w:lineRule="auto"/>
        <w:jc w:val="center"/>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Mg(OH)</m:t>
            </m:r>
          </m:e>
          <m:sub>
            <m:r>
              <m:rPr>
                <m:sty m:val="p"/>
              </m:rPr>
              <w:rPr>
                <w:rFonts w:ascii="Cambria Math" w:hAnsi="Cambria Math" w:cs="Times New Roman"/>
                <w:sz w:val="24"/>
                <w:szCs w:val="24"/>
              </w:rPr>
              <m:t>2</m:t>
            </m:r>
          </m:sub>
        </m:sSub>
      </m:oMath>
      <w:r w:rsidR="00AA70DC">
        <w:rPr>
          <w:rFonts w:ascii="Times New Roman" w:eastAsiaTheme="minorEastAsia" w:hAnsi="Times New Roman" w:cs="Times New Roman"/>
          <w:sz w:val="24"/>
          <w:szCs w:val="24"/>
        </w:rPr>
        <w:t xml:space="preserve"> </w:t>
      </w:r>
      <w:r w:rsidR="00D659FE" w:rsidRPr="00D659FE">
        <w:rPr>
          <w:rFonts w:ascii="Times New Roman" w:hAnsi="Times New Roman" w:cs="Times New Roman"/>
          <w:sz w:val="24"/>
          <w:szCs w:val="24"/>
        </w:rPr>
        <w:t>+</w:t>
      </w:r>
      <w:r w:rsidR="00AA70DC">
        <w:rPr>
          <w:rFonts w:ascii="Times New Roman" w:hAnsi="Times New Roman" w:cs="Times New Roman"/>
          <w:sz w:val="24"/>
          <w:szCs w:val="24"/>
        </w:rPr>
        <w:t xml:space="preserve"> </w:t>
      </w:r>
      <w:r w:rsidR="00D659FE" w:rsidRPr="00D659FE">
        <w:rPr>
          <w:rFonts w:ascii="Times New Roman" w:hAnsi="Times New Roman" w:cs="Times New Roman"/>
          <w:sz w:val="24"/>
          <w:szCs w:val="24"/>
        </w:rPr>
        <w:t>2HCl</w:t>
      </w:r>
      <w:r w:rsidR="00AA70DC">
        <w:rPr>
          <w:rFonts w:ascii="Times New Roman" w:hAnsi="Times New Roman" w:cs="Times New Roman"/>
          <w:sz w:val="24"/>
          <w:szCs w:val="24"/>
        </w:rPr>
        <w:t xml:space="preserve"> </w:t>
      </w:r>
      <w:r w:rsidR="00D659FE" w:rsidRPr="00D659FE">
        <w:rPr>
          <w:rFonts w:ascii="Times New Roman" w:hAnsi="Times New Roman" w:cs="Times New Roman"/>
          <w:sz w:val="24"/>
          <w:szCs w:val="24"/>
        </w:rPr>
        <w:t>→</w:t>
      </w:r>
      <w:r w:rsidR="00AA70DC">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MgCl</m:t>
            </m:r>
          </m:e>
          <m:sub>
            <m:r>
              <m:rPr>
                <m:sty m:val="p"/>
              </m:rPr>
              <w:rPr>
                <w:rFonts w:ascii="Cambria Math" w:hAnsi="Cambria Math" w:cs="Times New Roman"/>
                <w:sz w:val="24"/>
                <w:szCs w:val="24"/>
              </w:rPr>
              <m:t>2</m:t>
            </m:r>
          </m:sub>
        </m:sSub>
      </m:oMath>
      <w:r w:rsidR="00D659FE" w:rsidRPr="00D659FE">
        <w:rPr>
          <w:rFonts w:ascii="Times New Roman" w:hAnsi="Times New Roman" w:cs="Times New Roman"/>
          <w:sz w:val="24"/>
          <w:szCs w:val="24"/>
        </w:rPr>
        <w:t>+</w:t>
      </w:r>
      <m:oMath>
        <m:sSub>
          <m:sSubPr>
            <m:ctrlPr>
              <w:rPr>
                <w:rFonts w:ascii="Cambria Math" w:hAnsi="Cambria Math" w:cs="Times New Roman"/>
                <w:sz w:val="24"/>
                <w:szCs w:val="24"/>
              </w:rPr>
            </m:ctrlPr>
          </m:sSubPr>
          <m:e>
            <m:r>
              <m:rPr>
                <m:sty m:val="p"/>
              </m:rPr>
              <w:rPr>
                <w:rFonts w:ascii="Cambria Math" w:hAnsi="Cambria Math" w:cs="Times New Roman"/>
                <w:sz w:val="24"/>
                <w:szCs w:val="24"/>
              </w:rPr>
              <m:t xml:space="preserve"> 2H</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O</m:t>
        </m:r>
      </m:oMath>
    </w:p>
    <w:p w14:paraId="037F68DF"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This reaction neutralizes acid effectively and ha</w:t>
      </w:r>
      <w:r w:rsidRPr="00C664FF">
        <w:rPr>
          <w:rFonts w:ascii="Times New Roman" w:hAnsi="Times New Roman" w:cs="Times New Roman"/>
          <w:sz w:val="24"/>
          <w:szCs w:val="24"/>
        </w:rPr>
        <w:t xml:space="preserve">s a fast onset of action </w:t>
      </w:r>
      <w:r w:rsidRPr="00D659FE">
        <w:rPr>
          <w:rFonts w:ascii="Times New Roman" w:hAnsi="Times New Roman" w:cs="Times New Roman"/>
          <w:sz w:val="24"/>
          <w:szCs w:val="24"/>
        </w:rPr>
        <w:t xml:space="preserve">(Eze </w:t>
      </w:r>
      <w:r w:rsidRPr="00C664FF">
        <w:rPr>
          <w:rFonts w:ascii="Times New Roman" w:hAnsi="Times New Roman" w:cs="Times New Roman"/>
          <w:i/>
          <w:sz w:val="24"/>
          <w:szCs w:val="24"/>
        </w:rPr>
        <w:t>et al.,</w:t>
      </w:r>
      <w:r w:rsidRPr="00D659FE">
        <w:rPr>
          <w:rFonts w:ascii="Times New Roman" w:hAnsi="Times New Roman" w:cs="Times New Roman"/>
          <w:sz w:val="24"/>
          <w:szCs w:val="24"/>
        </w:rPr>
        <w:t xml:space="preserve"> 2023). However, magnesium-based antacids can cause diarrhea when used in excess.</w:t>
      </w:r>
    </w:p>
    <w:p w14:paraId="49E6F2A0" w14:textId="77777777" w:rsidR="00D659FE" w:rsidRPr="00D659FE" w:rsidRDefault="00D659FE" w:rsidP="009A5A72">
      <w:pPr>
        <w:numPr>
          <w:ilvl w:val="3"/>
          <w:numId w:val="1"/>
        </w:numPr>
        <w:spacing w:after="0" w:line="360" w:lineRule="auto"/>
        <w:jc w:val="both"/>
        <w:rPr>
          <w:rFonts w:ascii="Times New Roman" w:hAnsi="Times New Roman" w:cs="Times New Roman"/>
          <w:bCs/>
          <w:sz w:val="24"/>
          <w:szCs w:val="24"/>
        </w:rPr>
      </w:pPr>
      <w:r w:rsidRPr="00D659FE">
        <w:rPr>
          <w:rFonts w:ascii="Times New Roman" w:hAnsi="Times New Roman" w:cs="Times New Roman"/>
          <w:b/>
          <w:bCs/>
          <w:sz w:val="24"/>
          <w:szCs w:val="24"/>
        </w:rPr>
        <w:t>Aluminum hydroxide (Al(OH)</w:t>
      </w:r>
      <w:r w:rsidRPr="00D659FE">
        <w:rPr>
          <w:rFonts w:ascii="Cambria Math" w:hAnsi="Cambria Math" w:cs="Cambria Math"/>
          <w:bCs/>
          <w:sz w:val="24"/>
          <w:szCs w:val="24"/>
        </w:rPr>
        <w:t>₃</w:t>
      </w:r>
      <w:r w:rsidRPr="00D659FE">
        <w:rPr>
          <w:rFonts w:ascii="Times New Roman" w:hAnsi="Times New Roman" w:cs="Times New Roman"/>
          <w:b/>
          <w:bCs/>
          <w:sz w:val="24"/>
          <w:szCs w:val="24"/>
        </w:rPr>
        <w:t>)</w:t>
      </w:r>
      <w:r w:rsidRPr="00D659FE">
        <w:rPr>
          <w:rFonts w:ascii="Times New Roman" w:hAnsi="Times New Roman" w:cs="Times New Roman"/>
          <w:bCs/>
          <w:sz w:val="24"/>
          <w:szCs w:val="24"/>
        </w:rPr>
        <w:t>:</w:t>
      </w:r>
    </w:p>
    <w:p w14:paraId="3BF6C622" w14:textId="77777777" w:rsidR="00C664FF" w:rsidRPr="00C664FF" w:rsidRDefault="00C664FF" w:rsidP="009A5A72">
      <w:pPr>
        <w:spacing w:after="0" w:line="360" w:lineRule="auto"/>
        <w:ind w:left="165"/>
        <w:jc w:val="both"/>
        <w:rPr>
          <w:rFonts w:ascii="Times New Roman" w:hAnsi="Times New Roman"/>
          <w:sz w:val="24"/>
          <w:szCs w:val="24"/>
        </w:rPr>
      </w:pPr>
      <m:oMath>
        <m:r>
          <m:rPr>
            <m:sty m:val="p"/>
          </m:rPr>
          <w:rPr>
            <w:rFonts w:ascii="Cambria Math" w:hAnsi="Cambria Math"/>
            <w:sz w:val="24"/>
            <w:szCs w:val="24"/>
          </w:rPr>
          <m:t>Al</m:t>
        </m:r>
        <m:sSub>
          <m:sSubPr>
            <m:ctrlPr>
              <w:rPr>
                <w:rFonts w:ascii="Cambria Math" w:hAnsi="Cambria Math"/>
                <w:sz w:val="24"/>
                <w:szCs w:val="24"/>
              </w:rPr>
            </m:ctrlPr>
          </m:sSubPr>
          <m:e>
            <m:r>
              <m:rPr>
                <m:sty m:val="p"/>
              </m:rPr>
              <w:rPr>
                <w:rFonts w:ascii="Cambria Math" w:hAnsi="Cambria Math"/>
                <w:sz w:val="24"/>
                <w:szCs w:val="24"/>
              </w:rPr>
              <m:t>(OH)</m:t>
            </m:r>
          </m:e>
          <m:sub>
            <m:r>
              <m:rPr>
                <m:sty m:val="p"/>
              </m:rPr>
              <w:rPr>
                <w:rFonts w:ascii="Cambria Math" w:hAnsi="Cambria Math"/>
                <w:sz w:val="24"/>
                <w:szCs w:val="24"/>
              </w:rPr>
              <m:t>3</m:t>
            </m:r>
          </m:sub>
        </m:sSub>
      </m:oMath>
      <w:r w:rsidRPr="00C664FF">
        <w:rPr>
          <w:rFonts w:ascii="Times New Roman" w:eastAsiaTheme="minorEastAsia" w:hAnsi="Times New Roman"/>
          <w:sz w:val="24"/>
          <w:szCs w:val="24"/>
        </w:rPr>
        <w:t xml:space="preserve"> </w:t>
      </w:r>
      <w:r w:rsidRPr="00C664FF">
        <w:rPr>
          <w:rFonts w:ascii="Times New Roman" w:hAnsi="Times New Roman"/>
          <w:sz w:val="24"/>
          <w:szCs w:val="24"/>
        </w:rPr>
        <w:t xml:space="preserve">+ </w:t>
      </w:r>
      <w:r>
        <w:rPr>
          <w:rFonts w:ascii="Times New Roman" w:hAnsi="Times New Roman"/>
          <w:sz w:val="24"/>
          <w:szCs w:val="24"/>
        </w:rPr>
        <w:t>3</w:t>
      </w:r>
      <w:r w:rsidRPr="00C664FF">
        <w:rPr>
          <w:rFonts w:ascii="Times New Roman" w:hAnsi="Times New Roman"/>
          <w:sz w:val="24"/>
          <w:szCs w:val="24"/>
        </w:rPr>
        <w:t xml:space="preserve">HCl → </w:t>
      </w:r>
      <m:oMath>
        <m:sSub>
          <m:sSubPr>
            <m:ctrlPr>
              <w:rPr>
                <w:rFonts w:ascii="Cambria Math" w:hAnsi="Cambria Math"/>
                <w:sz w:val="24"/>
                <w:szCs w:val="24"/>
              </w:rPr>
            </m:ctrlPr>
          </m:sSubPr>
          <m:e>
            <m:r>
              <m:rPr>
                <m:sty m:val="p"/>
              </m:rPr>
              <w:rPr>
                <w:rFonts w:ascii="Cambria Math" w:hAnsi="Cambria Math"/>
                <w:sz w:val="24"/>
                <w:szCs w:val="24"/>
              </w:rPr>
              <m:t>AlCl</m:t>
            </m:r>
          </m:e>
          <m:sub>
            <m:r>
              <m:rPr>
                <m:sty m:val="p"/>
              </m:rPr>
              <w:rPr>
                <w:rFonts w:ascii="Cambria Math" w:hAnsi="Cambria Math"/>
                <w:sz w:val="24"/>
                <w:szCs w:val="24"/>
              </w:rPr>
              <m:t>3</m:t>
            </m:r>
          </m:sub>
        </m:sSub>
      </m:oMath>
      <w:r w:rsidRPr="00C664FF">
        <w:rPr>
          <w:rFonts w:ascii="Times New Roman" w:hAnsi="Times New Roman"/>
          <w:sz w:val="24"/>
          <w:szCs w:val="24"/>
        </w:rPr>
        <w:t>+</w:t>
      </w:r>
      <m:oMath>
        <m:sSub>
          <m:sSubPr>
            <m:ctrlPr>
              <w:rPr>
                <w:rFonts w:ascii="Cambria Math" w:hAnsi="Cambria Math"/>
                <w:sz w:val="24"/>
                <w:szCs w:val="24"/>
              </w:rPr>
            </m:ctrlPr>
          </m:sSubPr>
          <m:e>
            <m:r>
              <m:rPr>
                <m:sty m:val="p"/>
              </m:rPr>
              <w:rPr>
                <w:rFonts w:ascii="Cambria Math" w:hAnsi="Cambria Math"/>
                <w:sz w:val="24"/>
                <w:szCs w:val="24"/>
              </w:rPr>
              <m:t xml:space="preserve"> 3H</m:t>
            </m:r>
          </m:e>
          <m:sub>
            <m:r>
              <m:rPr>
                <m:sty m:val="p"/>
              </m:rPr>
              <w:rPr>
                <w:rFonts w:ascii="Cambria Math" w:hAnsi="Cambria Math"/>
                <w:sz w:val="24"/>
                <w:szCs w:val="24"/>
              </w:rPr>
              <m:t>2</m:t>
            </m:r>
          </m:sub>
        </m:sSub>
        <m:r>
          <m:rPr>
            <m:sty m:val="p"/>
          </m:rPr>
          <w:rPr>
            <w:rFonts w:ascii="Cambria Math" w:hAnsi="Cambria Math"/>
            <w:sz w:val="24"/>
            <w:szCs w:val="24"/>
          </w:rPr>
          <m:t>O</m:t>
        </m:r>
      </m:oMath>
    </w:p>
    <w:p w14:paraId="051BD04F"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This reaction occurs mor</w:t>
      </w:r>
      <w:r w:rsidRPr="00083D48">
        <w:rPr>
          <w:rFonts w:ascii="Times New Roman" w:hAnsi="Times New Roman" w:cs="Times New Roman"/>
          <w:sz w:val="24"/>
          <w:szCs w:val="24"/>
        </w:rPr>
        <w:t>e slowly, providing sustained acid suppression (Williams &amp; Chukwudi, 2022). Alumin</w:t>
      </w:r>
      <w:r w:rsidRPr="00D659FE">
        <w:rPr>
          <w:rFonts w:ascii="Times New Roman" w:hAnsi="Times New Roman" w:cs="Times New Roman"/>
          <w:sz w:val="24"/>
          <w:szCs w:val="24"/>
        </w:rPr>
        <w:t>um hydroxide is often combined with magnesium hydroxide to balance their respective effects on bowel movements.</w:t>
      </w:r>
    </w:p>
    <w:p w14:paraId="171324E4" w14:textId="77777777" w:rsidR="00D659FE" w:rsidRPr="00D659FE" w:rsidRDefault="00D659FE" w:rsidP="009A5A72">
      <w:pPr>
        <w:numPr>
          <w:ilvl w:val="3"/>
          <w:numId w:val="1"/>
        </w:numPr>
        <w:spacing w:after="0" w:line="360" w:lineRule="auto"/>
        <w:jc w:val="both"/>
        <w:rPr>
          <w:rFonts w:ascii="Times New Roman" w:hAnsi="Times New Roman" w:cs="Times New Roman"/>
          <w:bCs/>
          <w:sz w:val="24"/>
          <w:szCs w:val="24"/>
        </w:rPr>
      </w:pPr>
      <w:r w:rsidRPr="00D659FE">
        <w:rPr>
          <w:rFonts w:ascii="Times New Roman" w:hAnsi="Times New Roman" w:cs="Times New Roman"/>
          <w:b/>
          <w:bCs/>
          <w:sz w:val="24"/>
          <w:szCs w:val="24"/>
        </w:rPr>
        <w:t>Calcium carbonate (CaCO</w:t>
      </w:r>
      <w:r w:rsidRPr="00D659FE">
        <w:rPr>
          <w:rFonts w:ascii="Cambria Math" w:hAnsi="Cambria Math" w:cs="Cambria Math"/>
          <w:bCs/>
          <w:sz w:val="24"/>
          <w:szCs w:val="24"/>
        </w:rPr>
        <w:t>₃</w:t>
      </w:r>
      <w:r w:rsidRPr="00D659FE">
        <w:rPr>
          <w:rFonts w:ascii="Times New Roman" w:hAnsi="Times New Roman" w:cs="Times New Roman"/>
          <w:b/>
          <w:bCs/>
          <w:sz w:val="24"/>
          <w:szCs w:val="24"/>
        </w:rPr>
        <w:t>)</w:t>
      </w:r>
      <w:r w:rsidRPr="00D659FE">
        <w:rPr>
          <w:rFonts w:ascii="Times New Roman" w:hAnsi="Times New Roman" w:cs="Times New Roman"/>
          <w:bCs/>
          <w:sz w:val="24"/>
          <w:szCs w:val="24"/>
        </w:rPr>
        <w:t>:</w:t>
      </w:r>
    </w:p>
    <w:p w14:paraId="547B0F86" w14:textId="77777777" w:rsidR="00D659FE" w:rsidRPr="00083D48" w:rsidRDefault="00083D48" w:rsidP="009A5A72">
      <w:pPr>
        <w:spacing w:after="0" w:line="360" w:lineRule="auto"/>
        <w:ind w:left="165"/>
        <w:jc w:val="both"/>
        <w:rPr>
          <w:rFonts w:ascii="Times New Roman" w:hAnsi="Times New Roman"/>
          <w:sz w:val="24"/>
          <w:szCs w:val="24"/>
        </w:rPr>
      </w:pPr>
      <m:oMath>
        <m:r>
          <m:rPr>
            <m:sty m:val="p"/>
          </m:rPr>
          <w:rPr>
            <w:rFonts w:ascii="Cambria Math" w:hAnsi="Cambria Math"/>
            <w:sz w:val="24"/>
            <w:szCs w:val="24"/>
          </w:rPr>
          <m:t>Ca</m:t>
        </m:r>
        <m:sSub>
          <m:sSubPr>
            <m:ctrlPr>
              <w:rPr>
                <w:rFonts w:ascii="Cambria Math" w:hAnsi="Cambria Math"/>
                <w:sz w:val="24"/>
                <w:szCs w:val="24"/>
              </w:rPr>
            </m:ctrlPr>
          </m:sSubPr>
          <m:e>
            <m:r>
              <m:rPr>
                <m:sty m:val="p"/>
              </m:rPr>
              <w:rPr>
                <w:rFonts w:ascii="Cambria Math" w:hAnsi="Cambria Math"/>
                <w:sz w:val="24"/>
                <w:szCs w:val="24"/>
              </w:rPr>
              <m:t>CO</m:t>
            </m:r>
          </m:e>
          <m:sub>
            <m:r>
              <m:rPr>
                <m:sty m:val="p"/>
              </m:rPr>
              <w:rPr>
                <w:rFonts w:ascii="Cambria Math" w:hAnsi="Cambria Math"/>
                <w:sz w:val="24"/>
                <w:szCs w:val="24"/>
              </w:rPr>
              <m:t>3</m:t>
            </m:r>
          </m:sub>
        </m:sSub>
      </m:oMath>
      <w:r w:rsidRPr="00083D48">
        <w:rPr>
          <w:rFonts w:ascii="Times New Roman" w:eastAsiaTheme="minorEastAsia" w:hAnsi="Times New Roman"/>
          <w:sz w:val="24"/>
          <w:szCs w:val="24"/>
        </w:rPr>
        <w:t xml:space="preserve"> </w:t>
      </w:r>
      <w:r w:rsidRPr="00083D48">
        <w:rPr>
          <w:rFonts w:ascii="Times New Roman" w:hAnsi="Times New Roman"/>
          <w:sz w:val="24"/>
          <w:szCs w:val="24"/>
        </w:rPr>
        <w:t xml:space="preserve">+ </w:t>
      </w:r>
      <w:r>
        <w:rPr>
          <w:rFonts w:ascii="Times New Roman" w:hAnsi="Times New Roman"/>
          <w:sz w:val="24"/>
          <w:szCs w:val="24"/>
        </w:rPr>
        <w:t>2</w:t>
      </w:r>
      <w:r w:rsidRPr="00083D48">
        <w:rPr>
          <w:rFonts w:ascii="Times New Roman" w:hAnsi="Times New Roman"/>
          <w:sz w:val="24"/>
          <w:szCs w:val="24"/>
        </w:rPr>
        <w:t xml:space="preserve">HCl → </w:t>
      </w:r>
      <m:oMath>
        <m:sSub>
          <m:sSubPr>
            <m:ctrlPr>
              <w:rPr>
                <w:rFonts w:ascii="Cambria Math" w:hAnsi="Cambria Math"/>
                <w:sz w:val="24"/>
                <w:szCs w:val="24"/>
              </w:rPr>
            </m:ctrlPr>
          </m:sSubPr>
          <m:e>
            <m:r>
              <m:rPr>
                <m:sty m:val="p"/>
              </m:rPr>
              <w:rPr>
                <w:rFonts w:ascii="Cambria Math" w:hAnsi="Cambria Math"/>
                <w:sz w:val="24"/>
                <w:szCs w:val="24"/>
              </w:rPr>
              <m:t>CaCl</m:t>
            </m:r>
          </m:e>
          <m:sub>
            <m:r>
              <m:rPr>
                <m:sty m:val="p"/>
              </m:rPr>
              <w:rPr>
                <w:rFonts w:ascii="Cambria Math" w:hAnsi="Cambria Math"/>
                <w:sz w:val="24"/>
                <w:szCs w:val="24"/>
              </w:rPr>
              <m:t>3</m:t>
            </m:r>
          </m:sub>
        </m:sSub>
      </m:oMath>
      <w:r>
        <w:rPr>
          <w:rFonts w:ascii="Times New Roman" w:eastAsiaTheme="minorEastAsia" w:hAnsi="Times New Roman"/>
          <w:sz w:val="24"/>
          <w:szCs w:val="24"/>
        </w:rPr>
        <w:t xml:space="preserve"> </w:t>
      </w:r>
      <w:r w:rsidRPr="00083D48">
        <w:rPr>
          <w:rFonts w:ascii="Times New Roman" w:hAnsi="Times New Roman"/>
          <w:sz w:val="24"/>
          <w:szCs w:val="24"/>
        </w:rPr>
        <w:t>+</w:t>
      </w:r>
      <m:oMath>
        <m:sSub>
          <m:sSubPr>
            <m:ctrlPr>
              <w:rPr>
                <w:rFonts w:ascii="Cambria Math" w:hAnsi="Cambria Math"/>
                <w:sz w:val="24"/>
                <w:szCs w:val="24"/>
              </w:rPr>
            </m:ctrlPr>
          </m:sSubPr>
          <m:e>
            <m:r>
              <m:rPr>
                <m:sty m:val="p"/>
              </m:rPr>
              <w:rPr>
                <w:rFonts w:ascii="Cambria Math" w:hAnsi="Cambria Math"/>
                <w:sz w:val="24"/>
                <w:szCs w:val="24"/>
              </w:rPr>
              <m:t xml:space="preserve"> CO</m:t>
            </m:r>
          </m:e>
          <m:sub>
            <m:r>
              <m:rPr>
                <m:sty m:val="p"/>
              </m:rPr>
              <w:rPr>
                <w:rFonts w:ascii="Cambria Math" w:hAnsi="Cambria Math"/>
                <w:sz w:val="24"/>
                <w:szCs w:val="24"/>
              </w:rPr>
              <m:t>2</m:t>
            </m:r>
          </m:sub>
        </m:sSub>
        <m:sSub>
          <m:sSubPr>
            <m:ctrlPr>
              <w:rPr>
                <w:rFonts w:ascii="Cambria Math" w:hAnsi="Cambria Math"/>
                <w:sz w:val="24"/>
                <w:szCs w:val="24"/>
              </w:rPr>
            </m:ctrlPr>
          </m:sSubPr>
          <m:e>
            <m:r>
              <m:rPr>
                <m:sty m:val="p"/>
              </m:rPr>
              <w:rPr>
                <w:rFonts w:ascii="Cambria Math" w:hAnsi="Cambria Math"/>
                <w:sz w:val="24"/>
                <w:szCs w:val="24"/>
              </w:rPr>
              <m:t xml:space="preserve"> + H</m:t>
            </m:r>
          </m:e>
          <m:sub>
            <m:r>
              <m:rPr>
                <m:sty m:val="p"/>
              </m:rPr>
              <w:rPr>
                <w:rFonts w:ascii="Cambria Math" w:hAnsi="Cambria Math"/>
                <w:sz w:val="24"/>
                <w:szCs w:val="24"/>
              </w:rPr>
              <m:t>2</m:t>
            </m:r>
          </m:sub>
        </m:sSub>
        <m:r>
          <m:rPr>
            <m:sty m:val="p"/>
          </m:rPr>
          <w:rPr>
            <w:rFonts w:ascii="Cambria Math" w:hAnsi="Cambria Math"/>
            <w:sz w:val="24"/>
            <w:szCs w:val="24"/>
          </w:rPr>
          <m:t>O</m:t>
        </m:r>
      </m:oMath>
    </w:p>
    <w:p w14:paraId="100F7993"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lastRenderedPageBreak/>
        <w:t xml:space="preserve">This reaction produces </w:t>
      </w:r>
      <w:r w:rsidRPr="00083D48">
        <w:rPr>
          <w:rFonts w:ascii="Times New Roman" w:hAnsi="Times New Roman" w:cs="Times New Roman"/>
          <w:sz w:val="24"/>
          <w:szCs w:val="24"/>
        </w:rPr>
        <w:t>carbon dioxide (CO</w:t>
      </w:r>
      <w:r w:rsidRPr="00083D48">
        <w:rPr>
          <w:rFonts w:ascii="Cambria Math" w:hAnsi="Cambria Math" w:cs="Cambria Math"/>
          <w:sz w:val="24"/>
          <w:szCs w:val="24"/>
        </w:rPr>
        <w:t>₂</w:t>
      </w:r>
      <w:r w:rsidRPr="00083D48">
        <w:rPr>
          <w:rFonts w:ascii="Times New Roman" w:hAnsi="Times New Roman" w:cs="Times New Roman"/>
          <w:sz w:val="24"/>
          <w:szCs w:val="24"/>
        </w:rPr>
        <w:t xml:space="preserve">), which may cause bloating and belching. However, calcium carbonate has a high acid-neutralizing capacity (ANC), making it effective for rapid relief (Ogunleye </w:t>
      </w:r>
      <w:r w:rsidRPr="00083D48">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14:paraId="3CB7B37A" w14:textId="77777777" w:rsidR="00D659FE" w:rsidRPr="00D659FE" w:rsidRDefault="00D659FE" w:rsidP="009A5A72">
      <w:pPr>
        <w:numPr>
          <w:ilvl w:val="3"/>
          <w:numId w:val="1"/>
        </w:numPr>
        <w:spacing w:after="0" w:line="360" w:lineRule="auto"/>
        <w:jc w:val="both"/>
        <w:rPr>
          <w:rFonts w:ascii="Times New Roman" w:hAnsi="Times New Roman" w:cs="Times New Roman"/>
          <w:bCs/>
          <w:sz w:val="24"/>
          <w:szCs w:val="24"/>
        </w:rPr>
      </w:pPr>
      <w:r w:rsidRPr="00D659FE">
        <w:rPr>
          <w:rFonts w:ascii="Times New Roman" w:hAnsi="Times New Roman" w:cs="Times New Roman"/>
          <w:b/>
          <w:bCs/>
          <w:sz w:val="24"/>
          <w:szCs w:val="24"/>
        </w:rPr>
        <w:t>Sodium bicarbonate (NaHCO</w:t>
      </w:r>
      <w:r w:rsidRPr="00D659FE">
        <w:rPr>
          <w:rFonts w:ascii="Cambria Math" w:hAnsi="Cambria Math" w:cs="Cambria Math"/>
          <w:bCs/>
          <w:sz w:val="24"/>
          <w:szCs w:val="24"/>
        </w:rPr>
        <w:t>₃</w:t>
      </w:r>
      <w:r w:rsidRPr="00D659FE">
        <w:rPr>
          <w:rFonts w:ascii="Times New Roman" w:hAnsi="Times New Roman" w:cs="Times New Roman"/>
          <w:b/>
          <w:bCs/>
          <w:sz w:val="24"/>
          <w:szCs w:val="24"/>
        </w:rPr>
        <w:t>)</w:t>
      </w:r>
      <w:r w:rsidRPr="00D659FE">
        <w:rPr>
          <w:rFonts w:ascii="Times New Roman" w:hAnsi="Times New Roman" w:cs="Times New Roman"/>
          <w:bCs/>
          <w:sz w:val="24"/>
          <w:szCs w:val="24"/>
        </w:rPr>
        <w:t>:</w:t>
      </w:r>
    </w:p>
    <w:p w14:paraId="6E6D1633" w14:textId="77777777" w:rsidR="00083D48" w:rsidRPr="00083D48" w:rsidRDefault="00083D48" w:rsidP="009A5A72">
      <w:pPr>
        <w:spacing w:after="0" w:line="360" w:lineRule="auto"/>
        <w:ind w:left="165"/>
        <w:jc w:val="both"/>
        <w:rPr>
          <w:rFonts w:ascii="Times New Roman" w:hAnsi="Times New Roman"/>
          <w:sz w:val="24"/>
          <w:szCs w:val="24"/>
        </w:rPr>
      </w:pPr>
      <m:oMath>
        <m:r>
          <m:rPr>
            <m:sty m:val="p"/>
          </m:rPr>
          <w:rPr>
            <w:rFonts w:ascii="Cambria Math" w:hAnsi="Cambria Math"/>
            <w:sz w:val="24"/>
            <w:szCs w:val="24"/>
          </w:rPr>
          <m:t>NaH</m:t>
        </m:r>
        <m:sSub>
          <m:sSubPr>
            <m:ctrlPr>
              <w:rPr>
                <w:rFonts w:ascii="Cambria Math" w:hAnsi="Cambria Math"/>
                <w:sz w:val="24"/>
                <w:szCs w:val="24"/>
              </w:rPr>
            </m:ctrlPr>
          </m:sSubPr>
          <m:e>
            <m:r>
              <m:rPr>
                <m:sty m:val="p"/>
              </m:rPr>
              <w:rPr>
                <w:rFonts w:ascii="Cambria Math" w:hAnsi="Cambria Math"/>
                <w:sz w:val="24"/>
                <w:szCs w:val="24"/>
              </w:rPr>
              <m:t>CO</m:t>
            </m:r>
          </m:e>
          <m:sub>
            <m:r>
              <m:rPr>
                <m:sty m:val="p"/>
              </m:rPr>
              <w:rPr>
                <w:rFonts w:ascii="Cambria Math" w:hAnsi="Cambria Math"/>
                <w:sz w:val="24"/>
                <w:szCs w:val="24"/>
              </w:rPr>
              <m:t>3</m:t>
            </m:r>
          </m:sub>
        </m:sSub>
      </m:oMath>
      <w:r w:rsidRPr="00083D48">
        <w:rPr>
          <w:rFonts w:ascii="Times New Roman" w:eastAsiaTheme="minorEastAsia" w:hAnsi="Times New Roman"/>
          <w:sz w:val="24"/>
          <w:szCs w:val="24"/>
        </w:rPr>
        <w:t xml:space="preserve"> </w:t>
      </w:r>
      <w:r w:rsidRPr="00083D48">
        <w:rPr>
          <w:rFonts w:ascii="Times New Roman" w:hAnsi="Times New Roman"/>
          <w:sz w:val="24"/>
          <w:szCs w:val="24"/>
        </w:rPr>
        <w:t xml:space="preserve">+ HCl → </w:t>
      </w:r>
      <w:r>
        <w:rPr>
          <w:rFonts w:ascii="Times New Roman" w:hAnsi="Times New Roman"/>
          <w:sz w:val="24"/>
          <w:szCs w:val="24"/>
        </w:rPr>
        <w:t>NaCl</w:t>
      </w:r>
      <w:r w:rsidRPr="00083D48">
        <w:rPr>
          <w:rFonts w:ascii="Times New Roman" w:eastAsiaTheme="minorEastAsia" w:hAnsi="Times New Roman"/>
          <w:sz w:val="24"/>
          <w:szCs w:val="24"/>
        </w:rPr>
        <w:t xml:space="preserve"> </w:t>
      </w:r>
      <w:r w:rsidRPr="00083D48">
        <w:rPr>
          <w:rFonts w:ascii="Times New Roman" w:hAnsi="Times New Roman"/>
          <w:sz w:val="24"/>
          <w:szCs w:val="24"/>
        </w:rPr>
        <w:t>+</w:t>
      </w:r>
      <m:oMath>
        <m:sSub>
          <m:sSubPr>
            <m:ctrlPr>
              <w:rPr>
                <w:rFonts w:ascii="Cambria Math" w:hAnsi="Cambria Math"/>
                <w:sz w:val="24"/>
                <w:szCs w:val="24"/>
              </w:rPr>
            </m:ctrlPr>
          </m:sSubPr>
          <m:e>
            <m:r>
              <m:rPr>
                <m:sty m:val="p"/>
              </m:rPr>
              <w:rPr>
                <w:rFonts w:ascii="Cambria Math" w:hAnsi="Cambria Math"/>
                <w:sz w:val="24"/>
                <w:szCs w:val="24"/>
              </w:rPr>
              <m:t xml:space="preserve"> CO</m:t>
            </m:r>
          </m:e>
          <m:sub>
            <m:r>
              <m:rPr>
                <m:sty m:val="p"/>
              </m:rPr>
              <w:rPr>
                <w:rFonts w:ascii="Cambria Math" w:hAnsi="Cambria Math"/>
                <w:sz w:val="24"/>
                <w:szCs w:val="24"/>
              </w:rPr>
              <m:t>2</m:t>
            </m:r>
          </m:sub>
        </m:sSub>
        <m:sSub>
          <m:sSubPr>
            <m:ctrlPr>
              <w:rPr>
                <w:rFonts w:ascii="Cambria Math" w:hAnsi="Cambria Math"/>
                <w:sz w:val="24"/>
                <w:szCs w:val="24"/>
              </w:rPr>
            </m:ctrlPr>
          </m:sSubPr>
          <m:e>
            <m:r>
              <m:rPr>
                <m:sty m:val="p"/>
              </m:rPr>
              <w:rPr>
                <w:rFonts w:ascii="Cambria Math" w:hAnsi="Cambria Math"/>
                <w:sz w:val="24"/>
                <w:szCs w:val="24"/>
              </w:rPr>
              <m:t xml:space="preserve"> + H</m:t>
            </m:r>
          </m:e>
          <m:sub>
            <m:r>
              <m:rPr>
                <m:sty m:val="p"/>
              </m:rPr>
              <w:rPr>
                <w:rFonts w:ascii="Cambria Math" w:hAnsi="Cambria Math"/>
                <w:sz w:val="24"/>
                <w:szCs w:val="24"/>
              </w:rPr>
              <m:t>2</m:t>
            </m:r>
          </m:sub>
        </m:sSub>
        <m:r>
          <m:rPr>
            <m:sty m:val="p"/>
          </m:rPr>
          <w:rPr>
            <w:rFonts w:ascii="Cambria Math" w:hAnsi="Cambria Math"/>
            <w:sz w:val="24"/>
            <w:szCs w:val="24"/>
          </w:rPr>
          <m:t>O</m:t>
        </m:r>
      </m:oMath>
    </w:p>
    <w:p w14:paraId="69F99C49" w14:textId="77777777" w:rsidR="00D659FE" w:rsidRPr="00D659FE" w:rsidRDefault="00D659FE" w:rsidP="009A5A72">
      <w:pPr>
        <w:spacing w:after="0" w:line="360" w:lineRule="auto"/>
        <w:jc w:val="both"/>
        <w:rPr>
          <w:rFonts w:ascii="Times New Roman" w:hAnsi="Times New Roman" w:cs="Times New Roman"/>
          <w:sz w:val="24"/>
          <w:szCs w:val="24"/>
        </w:rPr>
      </w:pPr>
      <w:r w:rsidRPr="00083D48">
        <w:rPr>
          <w:rFonts w:ascii="Times New Roman" w:hAnsi="Times New Roman" w:cs="Times New Roman"/>
          <w:sz w:val="24"/>
          <w:szCs w:val="24"/>
        </w:rPr>
        <w:t xml:space="preserve">While sodium bicarbonate provides immediate relief, it can lead to systemic alkalosis and sodium retention, making it unsuitable for long-term use, especially in patients with </w:t>
      </w:r>
      <w:r w:rsidRPr="00D659FE">
        <w:rPr>
          <w:rFonts w:ascii="Times New Roman" w:hAnsi="Times New Roman" w:cs="Times New Roman"/>
          <w:sz w:val="24"/>
          <w:szCs w:val="24"/>
        </w:rPr>
        <w:t>hypertension (Adebayo &amp; Yusuf, 2024).</w:t>
      </w:r>
    </w:p>
    <w:p w14:paraId="27ED7CCE" w14:textId="77777777" w:rsidR="00D659FE" w:rsidRPr="00C45905" w:rsidRDefault="00C4590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2.1.2</w:t>
      </w:r>
      <w:r>
        <w:rPr>
          <w:rFonts w:ascii="Times New Roman" w:hAnsi="Times New Roman" w:cs="Times New Roman"/>
          <w:b/>
          <w:bCs/>
          <w:sz w:val="24"/>
          <w:szCs w:val="24"/>
        </w:rPr>
        <w:tab/>
      </w:r>
      <w:r w:rsidR="00D659FE" w:rsidRPr="00C45905">
        <w:rPr>
          <w:rFonts w:ascii="Times New Roman" w:hAnsi="Times New Roman" w:cs="Times New Roman"/>
          <w:b/>
          <w:bCs/>
          <w:sz w:val="24"/>
          <w:szCs w:val="24"/>
        </w:rPr>
        <w:t>Buffering and Mucosal Protection</w:t>
      </w:r>
    </w:p>
    <w:p w14:paraId="5CD9ADF8" w14:textId="77777777" w:rsidR="00D659FE" w:rsidRPr="00083D48"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Apart from direct acid neutralization</w:t>
      </w:r>
      <w:r w:rsidRPr="00083D48">
        <w:rPr>
          <w:rFonts w:ascii="Times New Roman" w:hAnsi="Times New Roman" w:cs="Times New Roman"/>
          <w:sz w:val="24"/>
          <w:szCs w:val="24"/>
        </w:rPr>
        <w:t xml:space="preserve">, some antacids act as buffers that help maintain a stable gastric pH over time. This reduces rebound acid secretion, a phenomenon where the stomach produces more acid in response to sudden pH changes (Chidiebere &amp; Okafor, 2023). Additionally, some formulations contain alginates, which form a gel-like barrier that prevents acid reflux, particularly in conditions such as gastroesophageal reflux disease (GERD) (Oluwaseun </w:t>
      </w:r>
      <w:r w:rsidRPr="00083D48">
        <w:rPr>
          <w:rFonts w:ascii="Times New Roman" w:hAnsi="Times New Roman" w:cs="Times New Roman"/>
          <w:i/>
          <w:sz w:val="24"/>
          <w:szCs w:val="24"/>
        </w:rPr>
        <w:t>et al.,</w:t>
      </w:r>
      <w:r w:rsidRPr="00083D48">
        <w:rPr>
          <w:rFonts w:ascii="Times New Roman" w:hAnsi="Times New Roman" w:cs="Times New Roman"/>
          <w:sz w:val="24"/>
          <w:szCs w:val="24"/>
        </w:rPr>
        <w:t xml:space="preserve"> 2022).</w:t>
      </w:r>
    </w:p>
    <w:p w14:paraId="25F3F9B5" w14:textId="77777777" w:rsidR="00D659FE" w:rsidRPr="00C45905" w:rsidRDefault="00D659FE" w:rsidP="009A5A72">
      <w:pPr>
        <w:pStyle w:val="ListParagraph"/>
        <w:numPr>
          <w:ilvl w:val="2"/>
          <w:numId w:val="7"/>
        </w:numPr>
        <w:spacing w:line="360" w:lineRule="auto"/>
        <w:rPr>
          <w:b/>
          <w:bCs/>
          <w:sz w:val="24"/>
          <w:szCs w:val="24"/>
        </w:rPr>
      </w:pPr>
      <w:r w:rsidRPr="00C45905">
        <w:rPr>
          <w:b/>
          <w:bCs/>
          <w:sz w:val="24"/>
          <w:szCs w:val="24"/>
        </w:rPr>
        <w:t>Interaction with Pepsin and Bile Acids</w:t>
      </w:r>
    </w:p>
    <w:p w14:paraId="1BBF5CD6"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Some antacids</w:t>
      </w:r>
      <w:r w:rsidRPr="00083D48">
        <w:rPr>
          <w:rFonts w:ascii="Times New Roman" w:hAnsi="Times New Roman" w:cs="Times New Roman"/>
          <w:sz w:val="24"/>
          <w:szCs w:val="24"/>
        </w:rPr>
        <w:t xml:space="preserve"> inactivate pepsin, a digestive enzyme that contributes to mucosal damage when gastric pH is too low. Aluminum hydroxide and magnesium hydroxide have been found to reduce pepsin activity, providing additional protective effects for the stomach lining (Emmanuel &amp; Okechukwu, 2021). Moreover, certain antacids help neutralize bile acids, reducing irritat</w:t>
      </w:r>
      <w:r w:rsidRPr="00D659FE">
        <w:rPr>
          <w:rFonts w:ascii="Times New Roman" w:hAnsi="Times New Roman" w:cs="Times New Roman"/>
          <w:sz w:val="24"/>
          <w:szCs w:val="24"/>
        </w:rPr>
        <w:t xml:space="preserve">ion in patients with bile reflux (Akinyemi </w:t>
      </w:r>
      <w:r w:rsidRPr="00083D48">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14:paraId="17594D8B" w14:textId="77777777" w:rsidR="00D659FE" w:rsidRPr="00D659FE" w:rsidRDefault="00D659FE" w:rsidP="009A5A72">
      <w:pPr>
        <w:numPr>
          <w:ilvl w:val="2"/>
          <w:numId w:val="7"/>
        </w:numPr>
        <w:spacing w:after="0" w:line="360" w:lineRule="auto"/>
        <w:rPr>
          <w:rFonts w:ascii="Times New Roman" w:hAnsi="Times New Roman" w:cs="Times New Roman"/>
          <w:b/>
          <w:bCs/>
          <w:sz w:val="24"/>
          <w:szCs w:val="24"/>
        </w:rPr>
      </w:pPr>
      <w:r w:rsidRPr="00D659FE">
        <w:rPr>
          <w:rFonts w:ascii="Times New Roman" w:hAnsi="Times New Roman" w:cs="Times New Roman"/>
          <w:b/>
          <w:bCs/>
          <w:sz w:val="24"/>
          <w:szCs w:val="24"/>
        </w:rPr>
        <w:t>Effect on Gastric Emptying and Gastrointestinal Motility</w:t>
      </w:r>
    </w:p>
    <w:p w14:paraId="58009221" w14:textId="77777777" w:rsidR="00D659FE" w:rsidRPr="00083D48"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Different antacids influence</w:t>
      </w:r>
      <w:r w:rsidRPr="00083D48">
        <w:rPr>
          <w:rFonts w:ascii="Times New Roman" w:hAnsi="Times New Roman" w:cs="Times New Roman"/>
          <w:sz w:val="24"/>
          <w:szCs w:val="24"/>
        </w:rPr>
        <w:t xml:space="preserve"> gastric emptying rates and gut motility. Magnesium-based antacids tend to promote faster bowel movements, potentially leading to diarrhea, while aluminum-based compounds slow gastric emptying, increasing the risk of constipation (Ogundipe &amp; Williams, 2022). Combination formulations, such as </w:t>
      </w:r>
      <w:r w:rsidRPr="00083D48">
        <w:rPr>
          <w:rFonts w:ascii="Times New Roman" w:hAnsi="Times New Roman" w:cs="Times New Roman"/>
          <w:sz w:val="24"/>
          <w:szCs w:val="24"/>
        </w:rPr>
        <w:lastRenderedPageBreak/>
        <w:t>magnesium-aluminum mixtures, help balance these effects, minimizing gastrointestinal side effects (Okon &amp; Bello, 2023).</w:t>
      </w:r>
    </w:p>
    <w:p w14:paraId="28F2E484" w14:textId="77777777" w:rsidR="00B7318F" w:rsidRDefault="00B7318F" w:rsidP="00B7318F">
      <w:pPr>
        <w:spacing w:before="240" w:after="0" w:line="360" w:lineRule="auto"/>
        <w:rPr>
          <w:rFonts w:ascii="Times New Roman" w:hAnsi="Times New Roman" w:cs="Times New Roman"/>
          <w:b/>
          <w:bCs/>
          <w:sz w:val="24"/>
          <w:szCs w:val="24"/>
        </w:rPr>
      </w:pPr>
    </w:p>
    <w:p w14:paraId="09355E58" w14:textId="77777777" w:rsidR="00B7318F" w:rsidRDefault="00B7318F" w:rsidP="00B7318F">
      <w:pPr>
        <w:spacing w:before="240" w:after="0" w:line="360" w:lineRule="auto"/>
        <w:rPr>
          <w:rFonts w:ascii="Times New Roman" w:hAnsi="Times New Roman" w:cs="Times New Roman"/>
          <w:b/>
          <w:bCs/>
          <w:sz w:val="24"/>
          <w:szCs w:val="24"/>
        </w:rPr>
      </w:pPr>
    </w:p>
    <w:p w14:paraId="5F7106E5" w14:textId="77777777" w:rsidR="00D659FE" w:rsidRPr="007D6963" w:rsidRDefault="007D6963" w:rsidP="00B7318F">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00D659FE" w:rsidRPr="007D6963">
        <w:rPr>
          <w:rFonts w:ascii="Times New Roman" w:hAnsi="Times New Roman" w:cs="Times New Roman"/>
          <w:b/>
          <w:bCs/>
          <w:sz w:val="24"/>
          <w:szCs w:val="24"/>
        </w:rPr>
        <w:t>CHEMICAL NEUTRALIZATION</w:t>
      </w:r>
    </w:p>
    <w:p w14:paraId="0E22707D" w14:textId="77777777" w:rsidR="00A9662E" w:rsidRPr="00B7318F" w:rsidRDefault="00D659FE" w:rsidP="00B7318F">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pri</w:t>
      </w:r>
      <w:r w:rsidRPr="007D6963">
        <w:rPr>
          <w:rFonts w:ascii="Times New Roman" w:hAnsi="Times New Roman" w:cs="Times New Roman"/>
          <w:sz w:val="24"/>
          <w:szCs w:val="24"/>
        </w:rPr>
        <w:t>mary mechanism through which antacids relieve acid-related disorders is chemical neutralization, a process in which weakly basic compounds react with gastric hydrochloric acid (HCl) to form salt and water (Okonkwo &amp; Adeyemi, 2021</w:t>
      </w:r>
      <w:r w:rsidR="007D6963">
        <w:rPr>
          <w:rFonts w:ascii="Times New Roman" w:hAnsi="Times New Roman" w:cs="Times New Roman"/>
          <w:sz w:val="24"/>
          <w:szCs w:val="24"/>
        </w:rPr>
        <w:t xml:space="preserve">). This neutralization reaction </w:t>
      </w:r>
      <w:r w:rsidRPr="007D6963">
        <w:rPr>
          <w:rFonts w:ascii="Times New Roman" w:hAnsi="Times New Roman" w:cs="Times New Roman"/>
          <w:sz w:val="24"/>
          <w:szCs w:val="24"/>
        </w:rPr>
        <w:t xml:space="preserve">reduces stomach acidity, increasing the pH and alleviating symptoms such as heartburn, indigestion, and acid reflux. The efficiency of an antacid’s acid-neutralizing capacity (ANC) is determined by its chemical composition, solubility, and rate of reaction with gastric acid (Eze </w:t>
      </w:r>
      <w:r w:rsidRPr="007D6963">
        <w:rPr>
          <w:rFonts w:ascii="Times New Roman" w:hAnsi="Times New Roman" w:cs="Times New Roman"/>
          <w:i/>
          <w:sz w:val="24"/>
          <w:szCs w:val="24"/>
        </w:rPr>
        <w:t>et al.,</w:t>
      </w:r>
      <w:r w:rsidRPr="007D6963">
        <w:rPr>
          <w:rFonts w:ascii="Times New Roman" w:hAnsi="Times New Roman" w:cs="Times New Roman"/>
          <w:sz w:val="24"/>
          <w:szCs w:val="24"/>
        </w:rPr>
        <w:t xml:space="preserve"> 2023).</w:t>
      </w:r>
    </w:p>
    <w:p w14:paraId="5A421119" w14:textId="77777777" w:rsidR="00D659FE" w:rsidRPr="007D6963" w:rsidRDefault="007D6963" w:rsidP="00B7318F">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00D659FE" w:rsidRPr="007D6963">
        <w:rPr>
          <w:rFonts w:ascii="Times New Roman" w:hAnsi="Times New Roman" w:cs="Times New Roman"/>
          <w:b/>
          <w:bCs/>
          <w:sz w:val="24"/>
          <w:szCs w:val="24"/>
        </w:rPr>
        <w:t>METHODS OF EVALUATING ACID NEUTRALIZING CAPACITY</w:t>
      </w:r>
    </w:p>
    <w:p w14:paraId="3396D3EF" w14:textId="77777777" w:rsidR="00D659FE" w:rsidRPr="007D696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The </w:t>
      </w:r>
      <w:r w:rsidRPr="007D6963">
        <w:rPr>
          <w:rFonts w:ascii="Times New Roman" w:hAnsi="Times New Roman" w:cs="Times New Roman"/>
          <w:sz w:val="24"/>
          <w:szCs w:val="24"/>
        </w:rPr>
        <w:t xml:space="preserve">acid neutralizing capacity (ANC) of an antacid refers to its ability to neutralize gastric acid and maintain an optimal pH level in the stomach. Evaluating ANC is crucial for determining the effectiveness of different antacid formulations, ensuring proper dosage recommendations, and comparing various commercial products (Okonkwo &amp; Adeyemi, 2021). Several experimental methods have been developed to assess the ANC of antacids, with the most common techniques including titration methods, pH analysis, and in-vitro gastric acid simulation (Eze </w:t>
      </w:r>
      <w:r w:rsidRPr="007D6963">
        <w:rPr>
          <w:rFonts w:ascii="Times New Roman" w:hAnsi="Times New Roman" w:cs="Times New Roman"/>
          <w:i/>
          <w:sz w:val="24"/>
          <w:szCs w:val="24"/>
        </w:rPr>
        <w:t>et al.,</w:t>
      </w:r>
      <w:r w:rsidRPr="007D6963">
        <w:rPr>
          <w:rFonts w:ascii="Times New Roman" w:hAnsi="Times New Roman" w:cs="Times New Roman"/>
          <w:sz w:val="24"/>
          <w:szCs w:val="24"/>
        </w:rPr>
        <w:t xml:space="preserve"> 2023).</w:t>
      </w:r>
    </w:p>
    <w:p w14:paraId="3C4D4839" w14:textId="77777777" w:rsidR="00D659FE" w:rsidRPr="00C45905" w:rsidRDefault="00C4590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2.3.1</w:t>
      </w:r>
      <w:r>
        <w:rPr>
          <w:rFonts w:ascii="Times New Roman" w:hAnsi="Times New Roman" w:cs="Times New Roman"/>
          <w:b/>
          <w:bCs/>
          <w:sz w:val="24"/>
          <w:szCs w:val="24"/>
        </w:rPr>
        <w:tab/>
      </w:r>
      <w:r w:rsidR="00F03613" w:rsidRPr="00C45905">
        <w:rPr>
          <w:rFonts w:ascii="Times New Roman" w:hAnsi="Times New Roman" w:cs="Times New Roman"/>
          <w:b/>
          <w:bCs/>
          <w:sz w:val="24"/>
          <w:szCs w:val="24"/>
        </w:rPr>
        <w:t>Titration Methods</w:t>
      </w:r>
    </w:p>
    <w:p w14:paraId="7BD888B9"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One of the m</w:t>
      </w:r>
      <w:r w:rsidRPr="007D6963">
        <w:rPr>
          <w:rFonts w:ascii="Times New Roman" w:hAnsi="Times New Roman" w:cs="Times New Roman"/>
          <w:sz w:val="24"/>
          <w:szCs w:val="24"/>
        </w:rPr>
        <w:t xml:space="preserve">ost widely used techniques for evaluating ANC is acid-base titration, which determines the amount of acid required to neutralize an antacid formulation. In this method, a known concentration of hydrochloric acid (HCl), usually 0.1 M, is added to a suspension of the antacid under controlled conditions. The reaction continues until </w:t>
      </w:r>
      <w:r w:rsidRPr="007D6963">
        <w:rPr>
          <w:rFonts w:ascii="Times New Roman" w:hAnsi="Times New Roman" w:cs="Times New Roman"/>
          <w:sz w:val="24"/>
          <w:szCs w:val="24"/>
        </w:rPr>
        <w:lastRenderedPageBreak/>
        <w:t>the pH reaches a pre-defined endpoint, typically around 3–4, which mimics the acidic environment of the stomach (Williams &amp; C</w:t>
      </w:r>
      <w:r w:rsidRPr="00D659FE">
        <w:rPr>
          <w:rFonts w:ascii="Times New Roman" w:hAnsi="Times New Roman" w:cs="Times New Roman"/>
          <w:sz w:val="24"/>
          <w:szCs w:val="24"/>
        </w:rPr>
        <w:t>hukwudi, 2022).</w:t>
      </w:r>
    </w:p>
    <w:p w14:paraId="3D020F21"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volume o</w:t>
      </w:r>
      <w:r w:rsidRPr="007D6963">
        <w:rPr>
          <w:rFonts w:ascii="Times New Roman" w:hAnsi="Times New Roman" w:cs="Times New Roman"/>
          <w:sz w:val="24"/>
          <w:szCs w:val="24"/>
        </w:rPr>
        <w:t xml:space="preserve">f acid required to reach the endpoint provides a measure of the neutralizing power of the antacid. More effective antacids require less volume of HCl to reach the desired pH level, indicating a higher ANC (Ogunleye </w:t>
      </w:r>
      <w:r w:rsidRPr="007D6963">
        <w:rPr>
          <w:rFonts w:ascii="Times New Roman" w:hAnsi="Times New Roman" w:cs="Times New Roman"/>
          <w:i/>
          <w:sz w:val="24"/>
          <w:szCs w:val="24"/>
        </w:rPr>
        <w:t>et al.,</w:t>
      </w:r>
      <w:r w:rsidRPr="007D6963">
        <w:rPr>
          <w:rFonts w:ascii="Times New Roman" w:hAnsi="Times New Roman" w:cs="Times New Roman"/>
          <w:sz w:val="24"/>
          <w:szCs w:val="24"/>
        </w:rPr>
        <w:t xml:space="preserve"> 2023). Back titration is also commonly used, where excess acid is added to the antacid, and the remaining unreacted acid is titrated with a strong base (NaOH)</w:t>
      </w:r>
      <w:r w:rsidRPr="00D659FE">
        <w:rPr>
          <w:rFonts w:ascii="Times New Roman" w:hAnsi="Times New Roman" w:cs="Times New Roman"/>
          <w:b/>
          <w:sz w:val="24"/>
          <w:szCs w:val="24"/>
        </w:rPr>
        <w:t xml:space="preserve"> </w:t>
      </w:r>
      <w:r w:rsidRPr="00D659FE">
        <w:rPr>
          <w:rFonts w:ascii="Times New Roman" w:hAnsi="Times New Roman" w:cs="Times New Roman"/>
          <w:sz w:val="24"/>
          <w:szCs w:val="24"/>
        </w:rPr>
        <w:t>to determine ANC more precisely (Adebayo &amp; Yusuf, 2024).</w:t>
      </w:r>
    </w:p>
    <w:p w14:paraId="130B2A73" w14:textId="77777777" w:rsidR="00D659FE" w:rsidRPr="00C45905" w:rsidRDefault="00D659FE" w:rsidP="009A5A72">
      <w:pPr>
        <w:pStyle w:val="ListParagraph"/>
        <w:numPr>
          <w:ilvl w:val="2"/>
          <w:numId w:val="8"/>
        </w:numPr>
        <w:spacing w:line="360" w:lineRule="auto"/>
        <w:jc w:val="both"/>
        <w:rPr>
          <w:b/>
          <w:bCs/>
          <w:sz w:val="24"/>
          <w:szCs w:val="24"/>
        </w:rPr>
      </w:pPr>
      <w:r w:rsidRPr="00C45905">
        <w:rPr>
          <w:b/>
          <w:bCs/>
          <w:sz w:val="24"/>
          <w:szCs w:val="24"/>
        </w:rPr>
        <w:t xml:space="preserve">pH </w:t>
      </w:r>
      <w:r w:rsidR="00F03613">
        <w:rPr>
          <w:b/>
          <w:bCs/>
          <w:sz w:val="24"/>
          <w:szCs w:val="24"/>
        </w:rPr>
        <w:t>Analysis a</w:t>
      </w:r>
      <w:r w:rsidR="00F03613" w:rsidRPr="00C45905">
        <w:rPr>
          <w:b/>
          <w:bCs/>
          <w:sz w:val="24"/>
          <w:szCs w:val="24"/>
        </w:rPr>
        <w:t xml:space="preserve">nd </w:t>
      </w:r>
      <w:r w:rsidR="00F03613">
        <w:rPr>
          <w:b/>
          <w:bCs/>
          <w:sz w:val="24"/>
          <w:szCs w:val="24"/>
        </w:rPr>
        <w:t>pH</w:t>
      </w:r>
      <w:r w:rsidR="00F03613" w:rsidRPr="00C45905">
        <w:rPr>
          <w:b/>
          <w:bCs/>
          <w:sz w:val="24"/>
          <w:szCs w:val="24"/>
        </w:rPr>
        <w:t>-Stat Methods</w:t>
      </w:r>
    </w:p>
    <w:p w14:paraId="2E683FDE"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Another widely used method for assessin</w:t>
      </w:r>
      <w:r w:rsidRPr="007D6963">
        <w:rPr>
          <w:rFonts w:ascii="Times New Roman" w:hAnsi="Times New Roman" w:cs="Times New Roman"/>
          <w:sz w:val="24"/>
          <w:szCs w:val="24"/>
        </w:rPr>
        <w:t>g ANC involves monitoring real-time pH changes when an antacid is introduced into an acidic solution. The pH-stat method involves continuously measuring the pH of a gastric acid solution as antacid is added, ensuring that the pH remains within the physiologically relev</w:t>
      </w:r>
      <w:r w:rsidRPr="00D659FE">
        <w:rPr>
          <w:rFonts w:ascii="Times New Roman" w:hAnsi="Times New Roman" w:cs="Times New Roman"/>
          <w:sz w:val="24"/>
          <w:szCs w:val="24"/>
        </w:rPr>
        <w:t>ant range (Chidiebere &amp; Okafor, 2023).</w:t>
      </w:r>
    </w:p>
    <w:p w14:paraId="7066E310" w14:textId="77777777" w:rsidR="00D659FE" w:rsidRPr="007D696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w:t>
      </w:r>
      <w:r w:rsidRPr="007D6963">
        <w:rPr>
          <w:rFonts w:ascii="Times New Roman" w:hAnsi="Times New Roman" w:cs="Times New Roman"/>
          <w:sz w:val="24"/>
          <w:szCs w:val="24"/>
        </w:rPr>
        <w:t xml:space="preserve"> pH maintenance time—how long the antacid keeps the solution within an optimal pH range—is a critical factor in determining the duration of antacid action. Antacids that provide a longer duration of pH stability are generally considered more effective in controlling hyperacidity and acid reflux symptoms (Oluwaseun </w:t>
      </w:r>
      <w:r w:rsidRPr="007D6963">
        <w:rPr>
          <w:rFonts w:ascii="Times New Roman" w:hAnsi="Times New Roman" w:cs="Times New Roman"/>
          <w:i/>
          <w:sz w:val="24"/>
          <w:szCs w:val="24"/>
        </w:rPr>
        <w:t>et al.,</w:t>
      </w:r>
      <w:r w:rsidRPr="007D6963">
        <w:rPr>
          <w:rFonts w:ascii="Times New Roman" w:hAnsi="Times New Roman" w:cs="Times New Roman"/>
          <w:sz w:val="24"/>
          <w:szCs w:val="24"/>
        </w:rPr>
        <w:t xml:space="preserve"> 2022).</w:t>
      </w:r>
    </w:p>
    <w:p w14:paraId="3621DE97" w14:textId="77777777" w:rsidR="00D659FE" w:rsidRPr="00C45905" w:rsidRDefault="00D659FE" w:rsidP="009A5A72">
      <w:pPr>
        <w:pStyle w:val="ListParagraph"/>
        <w:numPr>
          <w:ilvl w:val="2"/>
          <w:numId w:val="8"/>
        </w:numPr>
        <w:spacing w:line="360" w:lineRule="auto"/>
        <w:jc w:val="both"/>
        <w:rPr>
          <w:b/>
          <w:bCs/>
          <w:sz w:val="24"/>
          <w:szCs w:val="24"/>
        </w:rPr>
      </w:pPr>
      <w:r w:rsidRPr="00C45905">
        <w:rPr>
          <w:b/>
          <w:bCs/>
          <w:sz w:val="24"/>
          <w:szCs w:val="24"/>
        </w:rPr>
        <w:t>In-Vitro Gastric Acid Simulation</w:t>
      </w:r>
    </w:p>
    <w:p w14:paraId="4C651169" w14:textId="77777777" w:rsidR="00D659FE" w:rsidRPr="0068456B" w:rsidRDefault="00D659FE" w:rsidP="009A5A72">
      <w:pPr>
        <w:spacing w:after="0" w:line="360" w:lineRule="auto"/>
        <w:jc w:val="both"/>
        <w:rPr>
          <w:rFonts w:ascii="Times New Roman" w:hAnsi="Times New Roman" w:cs="Times New Roman"/>
          <w:sz w:val="24"/>
          <w:szCs w:val="24"/>
        </w:rPr>
      </w:pPr>
      <w:r w:rsidRPr="0068456B">
        <w:rPr>
          <w:rFonts w:ascii="Times New Roman" w:hAnsi="Times New Roman" w:cs="Times New Roman"/>
          <w:sz w:val="24"/>
          <w:szCs w:val="24"/>
        </w:rPr>
        <w:t>To more accurately simulate real gastric conditions, in-vitro gastric models have been developed to test antacid effectiveness. These models involve synthetic gastric fluid, which mimics the composition and acidity of human stomach secretions. Antacids are added to the system, and their impact on pH stability and acid neutralization is assessed over time (Emmanuel &amp; Okechukwu, 2021).</w:t>
      </w:r>
    </w:p>
    <w:p w14:paraId="5C59B8B8" w14:textId="77777777" w:rsidR="00D659FE" w:rsidRPr="0068456B" w:rsidRDefault="00D659FE" w:rsidP="009A5A72">
      <w:pPr>
        <w:spacing w:after="0" w:line="360" w:lineRule="auto"/>
        <w:jc w:val="both"/>
        <w:rPr>
          <w:rFonts w:ascii="Times New Roman" w:hAnsi="Times New Roman" w:cs="Times New Roman"/>
          <w:sz w:val="24"/>
          <w:szCs w:val="24"/>
        </w:rPr>
      </w:pPr>
      <w:r w:rsidRPr="0068456B">
        <w:rPr>
          <w:rFonts w:ascii="Times New Roman" w:hAnsi="Times New Roman" w:cs="Times New Roman"/>
          <w:sz w:val="24"/>
          <w:szCs w:val="24"/>
        </w:rPr>
        <w:t xml:space="preserve">Some advanced gastric models include dynamic systems, which simulate gastric motility and food presence, providing a more realistic evaluation of how antacids </w:t>
      </w:r>
      <w:r w:rsidRPr="0068456B">
        <w:rPr>
          <w:rFonts w:ascii="Times New Roman" w:hAnsi="Times New Roman" w:cs="Times New Roman"/>
          <w:sz w:val="24"/>
          <w:szCs w:val="24"/>
        </w:rPr>
        <w:lastRenderedPageBreak/>
        <w:t xml:space="preserve">function inside the stomach. These tests help predict how quickly an antacid dissolves, reacts, and provides symptom relief in real-world conditions (Akinyemi </w:t>
      </w:r>
      <w:r w:rsidRPr="0068456B">
        <w:rPr>
          <w:rFonts w:ascii="Times New Roman" w:hAnsi="Times New Roman" w:cs="Times New Roman"/>
          <w:i/>
          <w:sz w:val="24"/>
          <w:szCs w:val="24"/>
        </w:rPr>
        <w:t>et al.,</w:t>
      </w:r>
      <w:r w:rsidRPr="0068456B">
        <w:rPr>
          <w:rFonts w:ascii="Times New Roman" w:hAnsi="Times New Roman" w:cs="Times New Roman"/>
          <w:sz w:val="24"/>
          <w:szCs w:val="24"/>
        </w:rPr>
        <w:t xml:space="preserve"> 2023).</w:t>
      </w:r>
    </w:p>
    <w:p w14:paraId="791040EF" w14:textId="77777777" w:rsidR="00D659FE" w:rsidRPr="00D659FE" w:rsidRDefault="00D659FE" w:rsidP="009A5A72">
      <w:pPr>
        <w:numPr>
          <w:ilvl w:val="2"/>
          <w:numId w:val="8"/>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Conductometric and Spectrophotometric Analysis</w:t>
      </w:r>
    </w:p>
    <w:p w14:paraId="7F9805B5" w14:textId="77777777" w:rsidR="00D659FE" w:rsidRPr="0068456B"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Modern techniques such a</w:t>
      </w:r>
      <w:r w:rsidRPr="0068456B">
        <w:rPr>
          <w:rFonts w:ascii="Times New Roman" w:hAnsi="Times New Roman" w:cs="Times New Roman"/>
          <w:sz w:val="24"/>
          <w:szCs w:val="24"/>
        </w:rPr>
        <w:t>s conductometric analysis and UV-visible spectrophotometry</w:t>
      </w:r>
    </w:p>
    <w:p w14:paraId="061FFEBF" w14:textId="77777777" w:rsidR="00D659FE" w:rsidRPr="0068456B" w:rsidRDefault="00D659FE" w:rsidP="009A5A72">
      <w:pPr>
        <w:spacing w:after="0" w:line="360" w:lineRule="auto"/>
        <w:jc w:val="both"/>
        <w:rPr>
          <w:rFonts w:ascii="Times New Roman" w:hAnsi="Times New Roman" w:cs="Times New Roman"/>
          <w:sz w:val="24"/>
          <w:szCs w:val="24"/>
        </w:rPr>
      </w:pPr>
      <w:r w:rsidRPr="0068456B">
        <w:rPr>
          <w:rFonts w:ascii="Times New Roman" w:hAnsi="Times New Roman" w:cs="Times New Roman"/>
          <w:sz w:val="24"/>
          <w:szCs w:val="24"/>
        </w:rPr>
        <w:t>have also been employed in ANC evaluation. Conductometric analysis measures the change in electrical conductivity of the solution as the antacid reacts with acid, providing insights into the rate and extent of neutralization (Ogundipe &amp; Williams, 2022).</w:t>
      </w:r>
    </w:p>
    <w:p w14:paraId="147CA0F5" w14:textId="77777777" w:rsidR="00D659FE" w:rsidRPr="0068456B" w:rsidRDefault="00D659FE" w:rsidP="009A5A72">
      <w:pPr>
        <w:spacing w:after="0" w:line="360" w:lineRule="auto"/>
        <w:jc w:val="both"/>
        <w:rPr>
          <w:rFonts w:ascii="Times New Roman" w:hAnsi="Times New Roman" w:cs="Times New Roman"/>
          <w:sz w:val="24"/>
          <w:szCs w:val="24"/>
        </w:rPr>
      </w:pPr>
      <w:r w:rsidRPr="0068456B">
        <w:rPr>
          <w:rFonts w:ascii="Times New Roman" w:hAnsi="Times New Roman" w:cs="Times New Roman"/>
          <w:sz w:val="24"/>
          <w:szCs w:val="24"/>
        </w:rPr>
        <w:t>Similarly, UV-visible spectrophotometry helps determine active ingredient concentration and reaction completion, making it a valuable tool for quality control in pharmaceutical formulations (Okon &amp; Bello, 2023).</w:t>
      </w:r>
    </w:p>
    <w:p w14:paraId="0C3799FE" w14:textId="77777777" w:rsidR="00D659FE" w:rsidRPr="00D659FE" w:rsidRDefault="00D659FE" w:rsidP="009A5A72">
      <w:pPr>
        <w:numPr>
          <w:ilvl w:val="2"/>
          <w:numId w:val="8"/>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Clinical and Pharmacokinetic Studies</w:t>
      </w:r>
    </w:p>
    <w:p w14:paraId="4C1B6796" w14:textId="77777777" w:rsidR="00A9662E" w:rsidRPr="00F0361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In addition to laboratory-based A</w:t>
      </w:r>
      <w:r w:rsidRPr="0068456B">
        <w:rPr>
          <w:rFonts w:ascii="Times New Roman" w:hAnsi="Times New Roman" w:cs="Times New Roman"/>
          <w:sz w:val="24"/>
          <w:szCs w:val="24"/>
        </w:rPr>
        <w:t xml:space="preserve">NC evaluation, clinical studies assess the real-world effectiveness of antacids in managing symptoms like acid reflux and heartburn. Pharmacokinetic studies analyze how antacids interact with gastric secretions and their onset and duration of action in human subjects (Olawale </w:t>
      </w:r>
      <w:r w:rsidRPr="0068456B">
        <w:rPr>
          <w:rFonts w:ascii="Times New Roman" w:hAnsi="Times New Roman" w:cs="Times New Roman"/>
          <w:i/>
          <w:sz w:val="24"/>
          <w:szCs w:val="24"/>
        </w:rPr>
        <w:t>et al.,</w:t>
      </w:r>
      <w:r w:rsidRPr="0068456B">
        <w:rPr>
          <w:rFonts w:ascii="Times New Roman" w:hAnsi="Times New Roman" w:cs="Times New Roman"/>
          <w:sz w:val="24"/>
          <w:szCs w:val="24"/>
        </w:rPr>
        <w:t xml:space="preserve"> 2024). These studies help refine antacid formulations and improve treatment recommendations for acid-related disorders</w:t>
      </w:r>
      <w:r w:rsidR="0068681A">
        <w:rPr>
          <w:rFonts w:ascii="Times New Roman" w:hAnsi="Times New Roman" w:cs="Times New Roman"/>
          <w:sz w:val="24"/>
          <w:szCs w:val="24"/>
        </w:rPr>
        <w:t>.</w:t>
      </w:r>
    </w:p>
    <w:p w14:paraId="5261B5D1" w14:textId="77777777" w:rsidR="00D659FE" w:rsidRPr="00D659FE" w:rsidRDefault="0068681A" w:rsidP="00F03613">
      <w:pPr>
        <w:spacing w:before="240" w:after="0" w:line="360" w:lineRule="auto"/>
        <w:jc w:val="both"/>
        <w:rPr>
          <w:rFonts w:ascii="Times New Roman" w:hAnsi="Times New Roman" w:cs="Times New Roman"/>
          <w:b/>
          <w:bCs/>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00D659FE" w:rsidRPr="00D659FE">
        <w:rPr>
          <w:rFonts w:ascii="Times New Roman" w:hAnsi="Times New Roman" w:cs="Times New Roman"/>
          <w:b/>
          <w:bCs/>
          <w:sz w:val="24"/>
          <w:szCs w:val="24"/>
        </w:rPr>
        <w:t>HEALTH IMPLICATIONS OF ANTACIDS</w:t>
      </w:r>
    </w:p>
    <w:p w14:paraId="0988E1FB" w14:textId="77777777" w:rsidR="00D659FE" w:rsidRPr="0068681A"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w:t>
      </w:r>
      <w:r w:rsidRPr="0068681A">
        <w:rPr>
          <w:rFonts w:ascii="Times New Roman" w:hAnsi="Times New Roman" w:cs="Times New Roman"/>
          <w:sz w:val="24"/>
          <w:szCs w:val="24"/>
        </w:rPr>
        <w:t>s play a crucial role in managing acid-related disorders, including gastroesophageal reflux disease (GERD), peptic ulcers, and dyspepsia. They provide rapid relief by neutralizing stomach acid, improving patient comfort and quality of life (Okonkwo &amp; Adeyemi, 2021). However, their prolonged or excessive use can lead to various health implications, including metabolic imbalances, drug interactions, and gastrointestinal disturbances (Williams &amp; Chukwudi, 2022).</w:t>
      </w:r>
    </w:p>
    <w:p w14:paraId="6351FF7F" w14:textId="77777777" w:rsidR="00D659FE" w:rsidRPr="00C45905" w:rsidRDefault="00C4590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2.4.1</w:t>
      </w:r>
      <w:r>
        <w:rPr>
          <w:rFonts w:ascii="Times New Roman" w:hAnsi="Times New Roman" w:cs="Times New Roman"/>
          <w:b/>
          <w:bCs/>
          <w:sz w:val="24"/>
          <w:szCs w:val="24"/>
        </w:rPr>
        <w:tab/>
      </w:r>
      <w:r w:rsidR="00D659FE" w:rsidRPr="00C45905">
        <w:rPr>
          <w:rFonts w:ascii="Times New Roman" w:hAnsi="Times New Roman" w:cs="Times New Roman"/>
          <w:b/>
          <w:bCs/>
          <w:sz w:val="24"/>
          <w:szCs w:val="24"/>
        </w:rPr>
        <w:t>Electrolyte and Metabolic Imbalances</w:t>
      </w:r>
    </w:p>
    <w:p w14:paraId="5BC39682" w14:textId="77777777" w:rsidR="00D659FE" w:rsidRPr="0068681A"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lastRenderedPageBreak/>
        <w:t>Frequent use</w:t>
      </w:r>
      <w:r w:rsidRPr="0068681A">
        <w:rPr>
          <w:rFonts w:ascii="Times New Roman" w:hAnsi="Times New Roman" w:cs="Times New Roman"/>
          <w:sz w:val="24"/>
          <w:szCs w:val="24"/>
        </w:rPr>
        <w:t xml:space="preserve"> of calcium-based antacids, such as calcium carbonate, can result in hypercalcemia, leading to kidney stone formation, altered heart rhythms, and muscle weakness (Ogunleye </w:t>
      </w:r>
      <w:r w:rsidRPr="0068681A">
        <w:rPr>
          <w:rFonts w:ascii="Times New Roman" w:hAnsi="Times New Roman" w:cs="Times New Roman"/>
          <w:i/>
          <w:sz w:val="24"/>
          <w:szCs w:val="24"/>
        </w:rPr>
        <w:t>et al.,</w:t>
      </w:r>
      <w:r w:rsidRPr="0068681A">
        <w:rPr>
          <w:rFonts w:ascii="Times New Roman" w:hAnsi="Times New Roman" w:cs="Times New Roman"/>
          <w:sz w:val="24"/>
          <w:szCs w:val="24"/>
        </w:rPr>
        <w:t xml:space="preserve"> 2023). Similarly, excessive consumption of magnesium-based antacids may cause hypermagnesemia, characterized by symptoms such as hypotension, respiratory depression, and confusion (Adebayo &amp; Yusuf, 2024).</w:t>
      </w:r>
    </w:p>
    <w:p w14:paraId="7971DE3A" w14:textId="77777777" w:rsidR="00D659FE" w:rsidRPr="00D659FE" w:rsidRDefault="00D659FE" w:rsidP="009A5A72">
      <w:pPr>
        <w:spacing w:after="0" w:line="360" w:lineRule="auto"/>
        <w:jc w:val="both"/>
        <w:rPr>
          <w:rFonts w:ascii="Times New Roman" w:hAnsi="Times New Roman" w:cs="Times New Roman"/>
          <w:sz w:val="24"/>
          <w:szCs w:val="24"/>
        </w:rPr>
      </w:pPr>
      <w:r w:rsidRPr="0068681A">
        <w:rPr>
          <w:rFonts w:ascii="Times New Roman" w:hAnsi="Times New Roman" w:cs="Times New Roman"/>
          <w:sz w:val="24"/>
          <w:szCs w:val="24"/>
        </w:rPr>
        <w:t>Another common issue is metabolic alkalosis, which occurs due to the overconsumption of bicarbonate-containing antacids. This condition leads to symptoms such as nausea, muscle twitching, and electrolyte imbalances (Chidiebere &amp; Okafor, 2023). Patients with renal insufficiency are particularly vulnerable, as their kidneys may struggle to excrete excess calcium, magnesium, or aluminum from pro</w:t>
      </w:r>
      <w:r w:rsidRPr="00D659FE">
        <w:rPr>
          <w:rFonts w:ascii="Times New Roman" w:hAnsi="Times New Roman" w:cs="Times New Roman"/>
          <w:sz w:val="24"/>
          <w:szCs w:val="24"/>
        </w:rPr>
        <w:t xml:space="preserve">longed antacid use (Oluwaseun </w:t>
      </w:r>
      <w:r w:rsidRPr="0068681A">
        <w:rPr>
          <w:rFonts w:ascii="Times New Roman" w:hAnsi="Times New Roman" w:cs="Times New Roman"/>
          <w:i/>
          <w:sz w:val="24"/>
          <w:szCs w:val="24"/>
        </w:rPr>
        <w:t>et al.,</w:t>
      </w:r>
      <w:r w:rsidRPr="00D659FE">
        <w:rPr>
          <w:rFonts w:ascii="Times New Roman" w:hAnsi="Times New Roman" w:cs="Times New Roman"/>
          <w:sz w:val="24"/>
          <w:szCs w:val="24"/>
        </w:rPr>
        <w:t xml:space="preserve"> 2022).</w:t>
      </w:r>
    </w:p>
    <w:p w14:paraId="20675195" w14:textId="77777777" w:rsidR="00D659FE" w:rsidRPr="00C45905" w:rsidRDefault="00C4590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2.4.2</w:t>
      </w:r>
      <w:r>
        <w:rPr>
          <w:rFonts w:ascii="Times New Roman" w:hAnsi="Times New Roman" w:cs="Times New Roman"/>
          <w:b/>
          <w:bCs/>
          <w:sz w:val="24"/>
          <w:szCs w:val="24"/>
        </w:rPr>
        <w:tab/>
      </w:r>
      <w:r w:rsidR="00D659FE" w:rsidRPr="00C45905">
        <w:rPr>
          <w:rFonts w:ascii="Times New Roman" w:hAnsi="Times New Roman" w:cs="Times New Roman"/>
          <w:b/>
          <w:bCs/>
          <w:sz w:val="24"/>
          <w:szCs w:val="24"/>
        </w:rPr>
        <w:t>Gastrointestinal Side Effects</w:t>
      </w:r>
    </w:p>
    <w:p w14:paraId="36B17402" w14:textId="77777777" w:rsidR="00D659FE" w:rsidRPr="00866A7B"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cont</w:t>
      </w:r>
      <w:r w:rsidRPr="00866A7B">
        <w:rPr>
          <w:rFonts w:ascii="Times New Roman" w:hAnsi="Times New Roman" w:cs="Times New Roman"/>
          <w:sz w:val="24"/>
          <w:szCs w:val="24"/>
        </w:rPr>
        <w:t xml:space="preserve">aining magnesium hydroxide can have a laxative effect, leading to diarrhea, while those with aluminum hydroxide may cause constipation (Emmanuel &amp; Okechukwu, 2021). This alternating effect is why some formulations combine magnesium and aluminum compounds to balance their effects (Akinyemi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2023).</w:t>
      </w:r>
    </w:p>
    <w:p w14:paraId="50BC3104" w14:textId="77777777" w:rsidR="00D659FE" w:rsidRPr="00866A7B" w:rsidRDefault="00D659FE" w:rsidP="009A5A72">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Long-term use of aluminum-based antacids has been associated with hypophosphatemia, a condition where phosphate absorption is reduced, leading to bone demineralization, muscle weakness, and osteoporosis (Ogundipe &amp; Williams, 2022). This effect is particularly concerning for elderly patients and individuals with chronic kidney disease.</w:t>
      </w:r>
    </w:p>
    <w:p w14:paraId="5EB13A72" w14:textId="77777777" w:rsidR="00D659FE" w:rsidRPr="00C45905" w:rsidRDefault="00D659FE" w:rsidP="00F03613">
      <w:pPr>
        <w:pStyle w:val="ListParagraph"/>
        <w:numPr>
          <w:ilvl w:val="2"/>
          <w:numId w:val="9"/>
        </w:numPr>
        <w:spacing w:before="0" w:line="360" w:lineRule="auto"/>
        <w:jc w:val="both"/>
        <w:rPr>
          <w:b/>
          <w:bCs/>
          <w:sz w:val="24"/>
          <w:szCs w:val="24"/>
        </w:rPr>
      </w:pPr>
      <w:r w:rsidRPr="00C45905">
        <w:rPr>
          <w:b/>
          <w:bCs/>
          <w:sz w:val="24"/>
          <w:szCs w:val="24"/>
        </w:rPr>
        <w:t>Drug Interactions</w:t>
      </w:r>
    </w:p>
    <w:p w14:paraId="501C1901" w14:textId="77777777" w:rsidR="00D659FE" w:rsidRPr="00866A7B"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can interfere with the</w:t>
      </w:r>
      <w:r w:rsidRPr="00866A7B">
        <w:rPr>
          <w:rFonts w:ascii="Times New Roman" w:hAnsi="Times New Roman" w:cs="Times New Roman"/>
          <w:sz w:val="24"/>
          <w:szCs w:val="24"/>
        </w:rPr>
        <w:t xml:space="preserve"> absorption and effectiveness of various medications, leading to potential therapeutic failures. Aluminum hydroxide and magnesium hydroxide </w:t>
      </w:r>
      <w:r w:rsidR="00866A7B">
        <w:rPr>
          <w:rFonts w:ascii="Times New Roman" w:hAnsi="Times New Roman" w:cs="Times New Roman"/>
          <w:sz w:val="24"/>
          <w:szCs w:val="24"/>
        </w:rPr>
        <w:t xml:space="preserve">can bind </w:t>
      </w:r>
      <w:r w:rsidRPr="00866A7B">
        <w:rPr>
          <w:rFonts w:ascii="Times New Roman" w:hAnsi="Times New Roman" w:cs="Times New Roman"/>
          <w:sz w:val="24"/>
          <w:szCs w:val="24"/>
        </w:rPr>
        <w:t xml:space="preserve">to certain antibiotics, such as tetracyclines and fluoroquinolones, reducing their absorption and effectiveness (Okon &amp; Bello, 2023). Similarly, antacids </w:t>
      </w:r>
      <w:r w:rsidRPr="00866A7B">
        <w:rPr>
          <w:rFonts w:ascii="Times New Roman" w:hAnsi="Times New Roman" w:cs="Times New Roman"/>
          <w:sz w:val="24"/>
          <w:szCs w:val="24"/>
        </w:rPr>
        <w:lastRenderedPageBreak/>
        <w:t xml:space="preserve">may alter the bioavailability of medications such as levothyroxine, digoxin, and bisphosphonates, making dosage adjustments necessary (Adebayo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2024).</w:t>
      </w:r>
    </w:p>
    <w:p w14:paraId="60F8234A" w14:textId="77777777" w:rsidR="00D659FE" w:rsidRPr="00D659FE" w:rsidRDefault="00D659FE" w:rsidP="009A5A72">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 xml:space="preserve">Additionally, antacids increase gastric pH, which can affect the dissolution and absorption of pH-dependent drugs, such as ketoconazole and atazanavir (Eze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2023). Patients taking multiple medications should be advised to space antacid administration by at least two hours from other drugs to minimize in</w:t>
      </w:r>
      <w:r w:rsidRPr="00D659FE">
        <w:rPr>
          <w:rFonts w:ascii="Times New Roman" w:hAnsi="Times New Roman" w:cs="Times New Roman"/>
          <w:sz w:val="24"/>
          <w:szCs w:val="24"/>
        </w:rPr>
        <w:t>teractions (Ogundipe &amp; Williams, 2022).</w:t>
      </w:r>
    </w:p>
    <w:p w14:paraId="2A6EA540" w14:textId="77777777" w:rsidR="00D659FE" w:rsidRPr="00C45905" w:rsidRDefault="00D659FE" w:rsidP="00F03613">
      <w:pPr>
        <w:pStyle w:val="ListParagraph"/>
        <w:numPr>
          <w:ilvl w:val="2"/>
          <w:numId w:val="9"/>
        </w:numPr>
        <w:spacing w:before="0" w:line="360" w:lineRule="auto"/>
        <w:jc w:val="both"/>
        <w:rPr>
          <w:b/>
          <w:bCs/>
          <w:sz w:val="24"/>
          <w:szCs w:val="24"/>
        </w:rPr>
      </w:pPr>
      <w:r w:rsidRPr="00C45905">
        <w:rPr>
          <w:b/>
          <w:bCs/>
          <w:sz w:val="24"/>
          <w:szCs w:val="24"/>
        </w:rPr>
        <w:t>Risk of Acid Rebound</w:t>
      </w:r>
    </w:p>
    <w:p w14:paraId="71C65A25"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 significant concern with prolonged antacid use i</w:t>
      </w:r>
      <w:r w:rsidRPr="00866A7B">
        <w:rPr>
          <w:rFonts w:ascii="Times New Roman" w:hAnsi="Times New Roman" w:cs="Times New Roman"/>
          <w:sz w:val="24"/>
          <w:szCs w:val="24"/>
        </w:rPr>
        <w:t xml:space="preserve">s acid rebound, where gastric acid secretion increases after the medication is discontinued. This is particularly notable with calcium carbonate-based antacids, which stimulate gastrin release, leading to increased acid production once the antacid wears off (Ogunleye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2023). Acid rebound can worsen GERD symptoms, making long-term management challenging for patients (Adebayo &amp; Yusuf, 2024).</w:t>
      </w:r>
    </w:p>
    <w:p w14:paraId="617D2BBC" w14:textId="77777777" w:rsidR="00D659FE" w:rsidRPr="00D659FE" w:rsidRDefault="00D659FE" w:rsidP="009A5A72">
      <w:pPr>
        <w:numPr>
          <w:ilvl w:val="2"/>
          <w:numId w:val="9"/>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Aluminum Toxicity and Neurological Effects</w:t>
      </w:r>
    </w:p>
    <w:p w14:paraId="1A03B386" w14:textId="77777777" w:rsidR="00866A7B" w:rsidRPr="00C03B81"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Long-term use o</w:t>
      </w:r>
      <w:r w:rsidRPr="00866A7B">
        <w:rPr>
          <w:rFonts w:ascii="Times New Roman" w:hAnsi="Times New Roman" w:cs="Times New Roman"/>
          <w:sz w:val="24"/>
          <w:szCs w:val="24"/>
        </w:rPr>
        <w:t>f aluminum-containing antacids has been linked to aluminum accumulation in the body, particularly in patients with chronic kidney disease (CKD). Elevated aluminum levels have been associated with cognitive impairments, osteomalacia (soft bones), and anemia (Chidiebere &amp; Okafor, 2023). Some studies suggest that chronic exposure to aluminum may contribute to neurodegenerative disorders, including Alzheimer’s disease, though conclusive evide</w:t>
      </w:r>
      <w:r w:rsidRPr="00D659FE">
        <w:rPr>
          <w:rFonts w:ascii="Times New Roman" w:hAnsi="Times New Roman" w:cs="Times New Roman"/>
          <w:sz w:val="24"/>
          <w:szCs w:val="24"/>
        </w:rPr>
        <w:t xml:space="preserve">nce is still debated (Oluwaseun </w:t>
      </w:r>
      <w:r w:rsidRPr="00866A7B">
        <w:rPr>
          <w:rFonts w:ascii="Times New Roman" w:hAnsi="Times New Roman" w:cs="Times New Roman"/>
          <w:i/>
          <w:sz w:val="24"/>
          <w:szCs w:val="24"/>
        </w:rPr>
        <w:t>et al.,</w:t>
      </w:r>
      <w:r w:rsidRPr="00D659FE">
        <w:rPr>
          <w:rFonts w:ascii="Times New Roman" w:hAnsi="Times New Roman" w:cs="Times New Roman"/>
          <w:sz w:val="24"/>
          <w:szCs w:val="24"/>
        </w:rPr>
        <w:t xml:space="preserve"> 2022).</w:t>
      </w:r>
    </w:p>
    <w:p w14:paraId="1B0AE88F" w14:textId="77777777" w:rsidR="00D659FE" w:rsidRPr="00D659FE" w:rsidRDefault="00C03B81" w:rsidP="00F03613">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2.5</w:t>
      </w:r>
      <w:r w:rsidR="00866A7B">
        <w:rPr>
          <w:rFonts w:ascii="Times New Roman" w:hAnsi="Times New Roman" w:cs="Times New Roman"/>
          <w:b/>
          <w:bCs/>
          <w:sz w:val="24"/>
          <w:szCs w:val="24"/>
        </w:rPr>
        <w:tab/>
      </w:r>
      <w:r w:rsidR="00D659FE" w:rsidRPr="00D659FE">
        <w:rPr>
          <w:rFonts w:ascii="Times New Roman" w:hAnsi="Times New Roman" w:cs="Times New Roman"/>
          <w:b/>
          <w:bCs/>
          <w:sz w:val="24"/>
          <w:szCs w:val="24"/>
        </w:rPr>
        <w:t>POSITIVE EFFECTS OF ANTACIDS</w:t>
      </w:r>
    </w:p>
    <w:p w14:paraId="0C88775D"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w:t>
      </w:r>
      <w:r w:rsidRPr="00866A7B">
        <w:rPr>
          <w:rFonts w:ascii="Times New Roman" w:hAnsi="Times New Roman" w:cs="Times New Roman"/>
          <w:sz w:val="24"/>
          <w:szCs w:val="24"/>
        </w:rPr>
        <w:t xml:space="preserve">s are widely used for the management of acid-related gastrointestinal disorders, offering rapid relief from symptoms such as heartburn, indigestion, and gastroesophageal reflux disease (GERD). Their mechanism of action involves neutralizing excess stomach acid, which helps protect the esophageal and gastric </w:t>
      </w:r>
      <w:r w:rsidRPr="00866A7B">
        <w:rPr>
          <w:rFonts w:ascii="Times New Roman" w:hAnsi="Times New Roman" w:cs="Times New Roman"/>
          <w:sz w:val="24"/>
          <w:szCs w:val="24"/>
        </w:rPr>
        <w:lastRenderedPageBreak/>
        <w:t>lining from irritation and damage (Okonkwo &amp; Adeyemi, 2021). Apart from their primary role in acid neutralization, antacids also have several additional health benefits that contribute to improved gastrointestinal functio</w:t>
      </w:r>
      <w:r w:rsidRPr="00D659FE">
        <w:rPr>
          <w:rFonts w:ascii="Times New Roman" w:hAnsi="Times New Roman" w:cs="Times New Roman"/>
          <w:sz w:val="24"/>
          <w:szCs w:val="24"/>
        </w:rPr>
        <w:t>n and overall well-being.</w:t>
      </w:r>
    </w:p>
    <w:p w14:paraId="6A57F436" w14:textId="77777777"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2.5</w:t>
      </w:r>
      <w:r w:rsidR="00C45905">
        <w:rPr>
          <w:rFonts w:ascii="Times New Roman" w:hAnsi="Times New Roman" w:cs="Times New Roman"/>
          <w:b/>
          <w:bCs/>
          <w:sz w:val="24"/>
          <w:szCs w:val="24"/>
        </w:rPr>
        <w:t>.1</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Rapid Relief of Heartburn and Acid Reflux</w:t>
      </w:r>
    </w:p>
    <w:p w14:paraId="4B40BC1E"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One of the mo</w:t>
      </w:r>
      <w:r w:rsidRPr="00866A7B">
        <w:rPr>
          <w:rFonts w:ascii="Times New Roman" w:hAnsi="Times New Roman" w:cs="Times New Roman"/>
          <w:sz w:val="24"/>
          <w:szCs w:val="24"/>
        </w:rPr>
        <w:t xml:space="preserve">st significant benefits of antacids is their ability to quickly relieve heartburn and acid reflux symptoms by neutralizing gastric acid. Unlike proton pump inhibitors (PPIs) and H2-receptor antagonists, which take longer to act, antacids work within minutes, making them a preferred choice for individuals needing immediate relief (Williams &amp; Chukwudi, 2022). This fast action is particularly beneficial for patients experiencing occasional acid reflux or those who consume acidic or spicy foods that </w:t>
      </w:r>
      <w:r w:rsidRPr="00D659FE">
        <w:rPr>
          <w:rFonts w:ascii="Times New Roman" w:hAnsi="Times New Roman" w:cs="Times New Roman"/>
          <w:sz w:val="24"/>
          <w:szCs w:val="24"/>
        </w:rPr>
        <w:t>trigger heartburn.</w:t>
      </w:r>
    </w:p>
    <w:p w14:paraId="0D7DB872" w14:textId="77777777"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2.5</w:t>
      </w:r>
      <w:r w:rsidR="00C45905">
        <w:rPr>
          <w:rFonts w:ascii="Times New Roman" w:hAnsi="Times New Roman" w:cs="Times New Roman"/>
          <w:b/>
          <w:bCs/>
          <w:sz w:val="24"/>
          <w:szCs w:val="24"/>
        </w:rPr>
        <w:t>.2</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Prevention of Peptic Ulcer Complications</w:t>
      </w:r>
    </w:p>
    <w:p w14:paraId="2B19B652" w14:textId="77777777" w:rsidR="00D659FE" w:rsidRPr="00866A7B"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Peptic ulcers r</w:t>
      </w:r>
      <w:r w:rsidRPr="00866A7B">
        <w:rPr>
          <w:rFonts w:ascii="Times New Roman" w:hAnsi="Times New Roman" w:cs="Times New Roman"/>
          <w:sz w:val="24"/>
          <w:szCs w:val="24"/>
        </w:rPr>
        <w:t xml:space="preserve">esult from excess gastric acid secretion, often exacerbated by Helicobacter pylori infection or prolonged nonsteroidal anti-inflammatory drug (NSAID) use. Antacids buffer the stomach environment, reducing acidic irritation and promoting ulcer healing. Some formulations, such as magnesium-aluminum combinations, form a protective coating over ulcerated areas, shielding them from further damage (Ogunleye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2023).</w:t>
      </w:r>
    </w:p>
    <w:p w14:paraId="14743784" w14:textId="77777777" w:rsidR="00D659FE" w:rsidRDefault="00D659FE" w:rsidP="009A5A72">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Additionally, studies suggest that aluminum hydroxide-containing antacids can bind to bile acids, reducing their harmful effects on gastric mucosa, thus preventing ulcer aggravation (Adebayo &amp; Yusuf, 2024).</w:t>
      </w:r>
    </w:p>
    <w:p w14:paraId="4982809E" w14:textId="77777777" w:rsidR="00F03613" w:rsidRPr="00866A7B" w:rsidRDefault="00F03613" w:rsidP="009A5A72">
      <w:pPr>
        <w:spacing w:after="0" w:line="360" w:lineRule="auto"/>
        <w:jc w:val="both"/>
        <w:rPr>
          <w:rFonts w:ascii="Times New Roman" w:hAnsi="Times New Roman" w:cs="Times New Roman"/>
          <w:sz w:val="24"/>
          <w:szCs w:val="24"/>
        </w:rPr>
      </w:pPr>
    </w:p>
    <w:p w14:paraId="2E8D1A0C" w14:textId="77777777"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2.5</w:t>
      </w:r>
      <w:r w:rsidR="00C45905">
        <w:rPr>
          <w:rFonts w:ascii="Times New Roman" w:hAnsi="Times New Roman" w:cs="Times New Roman"/>
          <w:b/>
          <w:bCs/>
          <w:sz w:val="24"/>
          <w:szCs w:val="24"/>
        </w:rPr>
        <w:t>.3</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Enhancing Esophageal and Stomach Mucosal Protection</w:t>
      </w:r>
    </w:p>
    <w:p w14:paraId="762D005E" w14:textId="77777777" w:rsidR="00D659FE" w:rsidRPr="00866A7B"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Certain antacid</w:t>
      </w:r>
      <w:r w:rsidRPr="00866A7B">
        <w:rPr>
          <w:rFonts w:ascii="Times New Roman" w:hAnsi="Times New Roman" w:cs="Times New Roman"/>
          <w:sz w:val="24"/>
          <w:szCs w:val="24"/>
        </w:rPr>
        <w:t xml:space="preserve">s, such as alginic acid formulations, provide physical protection in addition to acid neutralization. When combined with sodium bicarbonate, alginic acid forms a viscous gel-like barrier that floats on top of stomach contents, preventing acid </w:t>
      </w:r>
      <w:r w:rsidRPr="00866A7B">
        <w:rPr>
          <w:rFonts w:ascii="Times New Roman" w:hAnsi="Times New Roman" w:cs="Times New Roman"/>
          <w:sz w:val="24"/>
          <w:szCs w:val="24"/>
        </w:rPr>
        <w:lastRenderedPageBreak/>
        <w:t>from refluxing into the esophagus (Chidiebere &amp; Okafor, 2023). This effect is particularly useful for patients with GERD and laryngopharyngeal reflux (LPR).</w:t>
      </w:r>
    </w:p>
    <w:p w14:paraId="37741753" w14:textId="77777777" w:rsidR="00D659FE" w:rsidRPr="00D659FE" w:rsidRDefault="00D659FE" w:rsidP="009A5A72">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 xml:space="preserve">Moreover, antacids containing calcium carbonate stimulate mucosal protective factors, including the secretion of prostaglandins and bicarbonate, which further reinforce the stomach lining </w:t>
      </w:r>
      <w:r w:rsidRPr="00D659FE">
        <w:rPr>
          <w:rFonts w:ascii="Times New Roman" w:hAnsi="Times New Roman" w:cs="Times New Roman"/>
          <w:sz w:val="24"/>
          <w:szCs w:val="24"/>
        </w:rPr>
        <w:t xml:space="preserve">(Oluwaseun </w:t>
      </w:r>
      <w:r w:rsidRPr="00866A7B">
        <w:rPr>
          <w:rFonts w:ascii="Times New Roman" w:hAnsi="Times New Roman" w:cs="Times New Roman"/>
          <w:i/>
          <w:sz w:val="24"/>
          <w:szCs w:val="24"/>
        </w:rPr>
        <w:t>et al.,</w:t>
      </w:r>
      <w:r w:rsidRPr="00D659FE">
        <w:rPr>
          <w:rFonts w:ascii="Times New Roman" w:hAnsi="Times New Roman" w:cs="Times New Roman"/>
          <w:sz w:val="24"/>
          <w:szCs w:val="24"/>
        </w:rPr>
        <w:t xml:space="preserve"> 2022).</w:t>
      </w:r>
    </w:p>
    <w:p w14:paraId="7BAFAAAF" w14:textId="77777777"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2.5</w:t>
      </w:r>
      <w:r w:rsidR="00C45905">
        <w:rPr>
          <w:rFonts w:ascii="Times New Roman" w:hAnsi="Times New Roman" w:cs="Times New Roman"/>
          <w:b/>
          <w:bCs/>
          <w:sz w:val="24"/>
          <w:szCs w:val="24"/>
        </w:rPr>
        <w:t>.4</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Support for Bone Health (Calcium-Based Antacids)</w:t>
      </w:r>
    </w:p>
    <w:p w14:paraId="1D33EC1E" w14:textId="77777777" w:rsidR="00D659FE" w:rsidRPr="00866A7B"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conta</w:t>
      </w:r>
      <w:r w:rsidRPr="00866A7B">
        <w:rPr>
          <w:rFonts w:ascii="Times New Roman" w:hAnsi="Times New Roman" w:cs="Times New Roman"/>
          <w:sz w:val="24"/>
          <w:szCs w:val="24"/>
        </w:rPr>
        <w:t>ining calcium carbonate serve as a supplemental source of calcium, which is essential for bone health and the prevention of osteoporosis. Studies indicate that calcium supplementation through diet or antacids can help reduce the risk of fractures in postmenopausal women and elderly individuals (Emmanuel &amp; Okechukwu, 2021).</w:t>
      </w:r>
    </w:p>
    <w:p w14:paraId="6BF60DFE" w14:textId="77777777" w:rsidR="00D659FE" w:rsidRPr="00866A7B" w:rsidRDefault="00D659FE" w:rsidP="009A5A72">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However, excessive consumption should be monitored to avoid hypercalcemia and kidney stone formation.</w:t>
      </w:r>
    </w:p>
    <w:p w14:paraId="5983B3F8" w14:textId="77777777"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2.5</w:t>
      </w:r>
      <w:r w:rsidR="00C45905">
        <w:rPr>
          <w:rFonts w:ascii="Times New Roman" w:hAnsi="Times New Roman" w:cs="Times New Roman"/>
          <w:b/>
          <w:bCs/>
          <w:sz w:val="24"/>
          <w:szCs w:val="24"/>
        </w:rPr>
        <w:t>.5</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Reducing Phosphate Levels in Chronic Kidney Disease (CKD)</w:t>
      </w:r>
    </w:p>
    <w:p w14:paraId="2C9C241C" w14:textId="77777777" w:rsidR="00D659FE" w:rsidRPr="00866A7B"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For individual</w:t>
      </w:r>
      <w:r w:rsidRPr="00866A7B">
        <w:rPr>
          <w:rFonts w:ascii="Times New Roman" w:hAnsi="Times New Roman" w:cs="Times New Roman"/>
          <w:sz w:val="24"/>
          <w:szCs w:val="24"/>
        </w:rPr>
        <w:t xml:space="preserve">s with chronic kidney disease (CKD), controlling serum phosphate levels is crucial to prevent complications such as vascular calcification and secondary hyperparathyroidism. Aluminum hydroxide and calcium carbonate-based antacids are frequently used as phosphate binders, reducing phosphate absorption in the intestines (Akinyemi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2023).</w:t>
      </w:r>
    </w:p>
    <w:p w14:paraId="7D22190A" w14:textId="77777777" w:rsidR="00D659FE" w:rsidRPr="00866A7B" w:rsidRDefault="00D659FE" w:rsidP="009A5A72">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By lowering serum phosphate, these antacids help protect kidney function and bone metabolism, making them beneficial for patients undergoing dialysis or managing advanced CKD (Ogundipe &amp; Williams, 2022).</w:t>
      </w:r>
    </w:p>
    <w:p w14:paraId="202790CB" w14:textId="77777777" w:rsidR="00F03613" w:rsidRDefault="00F03613" w:rsidP="009A5A72">
      <w:pPr>
        <w:spacing w:after="0" w:line="360" w:lineRule="auto"/>
        <w:rPr>
          <w:rFonts w:ascii="Times New Roman" w:hAnsi="Times New Roman" w:cs="Times New Roman"/>
          <w:b/>
          <w:bCs/>
          <w:sz w:val="24"/>
          <w:szCs w:val="24"/>
        </w:rPr>
      </w:pPr>
    </w:p>
    <w:p w14:paraId="28EA6E79" w14:textId="77777777" w:rsidR="00F03613" w:rsidRDefault="00F03613" w:rsidP="009A5A72">
      <w:pPr>
        <w:spacing w:after="0" w:line="360" w:lineRule="auto"/>
        <w:rPr>
          <w:rFonts w:ascii="Times New Roman" w:hAnsi="Times New Roman" w:cs="Times New Roman"/>
          <w:b/>
          <w:bCs/>
          <w:sz w:val="24"/>
          <w:szCs w:val="24"/>
        </w:rPr>
      </w:pPr>
    </w:p>
    <w:p w14:paraId="449CF0AC" w14:textId="77777777" w:rsidR="00D659FE" w:rsidRPr="00866A7B"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2.6</w:t>
      </w:r>
      <w:r w:rsidR="00866A7B">
        <w:rPr>
          <w:rFonts w:ascii="Times New Roman" w:hAnsi="Times New Roman" w:cs="Times New Roman"/>
          <w:b/>
          <w:bCs/>
          <w:sz w:val="24"/>
          <w:szCs w:val="24"/>
        </w:rPr>
        <w:tab/>
      </w:r>
      <w:r w:rsidR="00D659FE" w:rsidRPr="00866A7B">
        <w:rPr>
          <w:rFonts w:ascii="Times New Roman" w:hAnsi="Times New Roman" w:cs="Times New Roman"/>
          <w:b/>
          <w:bCs/>
          <w:sz w:val="24"/>
          <w:szCs w:val="24"/>
        </w:rPr>
        <w:t>NEGATIVE EFFECTS OF ANTACIDS</w:t>
      </w:r>
    </w:p>
    <w:p w14:paraId="53C9D2B8"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While </w:t>
      </w:r>
      <w:r w:rsidRPr="00866A7B">
        <w:rPr>
          <w:rFonts w:ascii="Times New Roman" w:hAnsi="Times New Roman" w:cs="Times New Roman"/>
          <w:sz w:val="24"/>
          <w:szCs w:val="24"/>
        </w:rPr>
        <w:t xml:space="preserve">antacids provide rapid relief from acid-related disorders, their prolonged or excessive use can result in adverse health effects. These negative effects range from </w:t>
      </w:r>
      <w:r w:rsidRPr="00866A7B">
        <w:rPr>
          <w:rFonts w:ascii="Times New Roman" w:hAnsi="Times New Roman" w:cs="Times New Roman"/>
          <w:sz w:val="24"/>
          <w:szCs w:val="24"/>
        </w:rPr>
        <w:lastRenderedPageBreak/>
        <w:t>electrolyte imbalances and metabolic disorders to gastrointestinal disturbances and drug interactions. The long-term implications of antacid misuse highlight the importance of appropriate dosing and medical supervision (Okonkwo</w:t>
      </w:r>
      <w:r w:rsidRPr="00D659FE">
        <w:rPr>
          <w:rFonts w:ascii="Times New Roman" w:hAnsi="Times New Roman" w:cs="Times New Roman"/>
          <w:sz w:val="24"/>
          <w:szCs w:val="24"/>
        </w:rPr>
        <w:t xml:space="preserve"> &amp; Adeyemi, 2021).</w:t>
      </w:r>
    </w:p>
    <w:p w14:paraId="00A5CDB1" w14:textId="77777777"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2.6</w:t>
      </w:r>
      <w:r w:rsidR="00C45905">
        <w:rPr>
          <w:rFonts w:ascii="Times New Roman" w:hAnsi="Times New Roman" w:cs="Times New Roman"/>
          <w:b/>
          <w:bCs/>
          <w:sz w:val="24"/>
          <w:szCs w:val="24"/>
        </w:rPr>
        <w:t>.1</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Electrolyte Imbalances and Metabolic Disorders</w:t>
      </w:r>
    </w:p>
    <w:p w14:paraId="73D0A18A" w14:textId="77777777"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The use of </w:t>
      </w:r>
      <w:r w:rsidRPr="008E21D3">
        <w:rPr>
          <w:rFonts w:ascii="Times New Roman" w:hAnsi="Times New Roman" w:cs="Times New Roman"/>
          <w:sz w:val="24"/>
          <w:szCs w:val="24"/>
        </w:rPr>
        <w:t xml:space="preserve">calcium-based antacids, such as calcium carbonate, has been associated with hypercalcemia (excess calcium in the blood). This condition can lead to kidney stone formation, muscle weakness, and cardiac abnormalities (Williams &amp; Chukwudi, 2022). Additionally, excessive consumption of bicarbonate-containing antacids may cause metabolic alkalosis, a condition characterized by symptoms such as nausea, muscle spasms, and confusion (Ogunleye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w:t>
      </w:r>
    </w:p>
    <w:p w14:paraId="25D22BB6" w14:textId="77777777" w:rsidR="00D659FE" w:rsidRPr="00D659FE" w:rsidRDefault="00D659FE" w:rsidP="009A5A72">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 xml:space="preserve">Similarly, magnesium-based antacids can cause hypermagnesemia, particularly in patients with kidney disease. Elevated magnesium levels can result in hypotension, drowsiness, and respiratory distress (Adebayo &amp; Yusuf, 2024). In contrast, aluminum- based antacids have been linked to hypophosphatemia, which can weaken bones and lead to osteomalacia (Chidiebere </w:t>
      </w:r>
      <w:r w:rsidRPr="00D659FE">
        <w:rPr>
          <w:rFonts w:ascii="Times New Roman" w:hAnsi="Times New Roman" w:cs="Times New Roman"/>
          <w:sz w:val="24"/>
          <w:szCs w:val="24"/>
        </w:rPr>
        <w:t>&amp; Okafor, 2023).</w:t>
      </w:r>
    </w:p>
    <w:p w14:paraId="0AE3BECF" w14:textId="77777777"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2.6</w:t>
      </w:r>
      <w:r w:rsidR="00C45905">
        <w:rPr>
          <w:rFonts w:ascii="Times New Roman" w:hAnsi="Times New Roman" w:cs="Times New Roman"/>
          <w:b/>
          <w:bCs/>
          <w:sz w:val="24"/>
          <w:szCs w:val="24"/>
        </w:rPr>
        <w:t>.2</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Gastrointestinal Side Effects</w:t>
      </w:r>
    </w:p>
    <w:p w14:paraId="5E1BCEEF" w14:textId="77777777"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Differe</w:t>
      </w:r>
      <w:r w:rsidRPr="008E21D3">
        <w:rPr>
          <w:rFonts w:ascii="Times New Roman" w:hAnsi="Times New Roman" w:cs="Times New Roman"/>
          <w:sz w:val="24"/>
          <w:szCs w:val="24"/>
        </w:rPr>
        <w:t xml:space="preserve">nt antacid formulations can have varying effects on gastrointestinal motility. For instance, magnesium-containing antacids are known to have a laxative effect, leading to diarrhea. On the other hand, aluminum hydroxide-based antacids tend to cause constipation due to their ability to slow down intestinal motility (Oluwaseun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2022).</w:t>
      </w:r>
    </w:p>
    <w:p w14:paraId="6BDE8874" w14:textId="77777777" w:rsidR="00D659FE" w:rsidRPr="008E21D3" w:rsidRDefault="00D659FE" w:rsidP="009A5A72">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Long-term use of aluminum-containing antacids has also been associated with bloating, nausea, and gastric discomfort. These effects can be particularly distressing for individuals with irritable bowel syndrome (IBS) or other functional gastrointestinal disorders (Emmanuel &amp; Okechukwu, 2021).</w:t>
      </w:r>
    </w:p>
    <w:p w14:paraId="5325BDFB" w14:textId="77777777"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2.6</w:t>
      </w:r>
      <w:r w:rsidR="00C45905">
        <w:rPr>
          <w:rFonts w:ascii="Times New Roman" w:hAnsi="Times New Roman" w:cs="Times New Roman"/>
          <w:b/>
          <w:bCs/>
          <w:sz w:val="24"/>
          <w:szCs w:val="24"/>
        </w:rPr>
        <w:t>.3</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Drug Interactions</w:t>
      </w:r>
    </w:p>
    <w:p w14:paraId="69F618FA" w14:textId="77777777"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lastRenderedPageBreak/>
        <w:t>Antacids can</w:t>
      </w:r>
      <w:r w:rsidRPr="008E21D3">
        <w:rPr>
          <w:rFonts w:ascii="Times New Roman" w:hAnsi="Times New Roman" w:cs="Times New Roman"/>
          <w:sz w:val="24"/>
          <w:szCs w:val="24"/>
        </w:rPr>
        <w:t xml:space="preserve"> interfere with the absorption and bioavailability of several medications, potentially reducing their effectiveness. Aluminum hydroxide and magnesium hydroxide can bind to antibiotics like tetracyclines and fluoroquinolones, preventing their proper absorption (Akinyemi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 This interaction can lead to treatment failure in bacterial infections.</w:t>
      </w:r>
    </w:p>
    <w:p w14:paraId="21292403" w14:textId="77777777" w:rsidR="00D659FE" w:rsidRPr="00D659FE" w:rsidRDefault="00D659FE" w:rsidP="009A5A72">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 xml:space="preserve">Additionally, antacids may impair the absorption of iron, calcium, and vitamin B12, leading to nutritional deficiencies over time. Individuals on levothyroxine, digoxin, or bisphosphonates should avoid taking antacids simultaneously, as they can significantly reduce the efficacy of </w:t>
      </w:r>
      <w:r w:rsidRPr="00D659FE">
        <w:rPr>
          <w:rFonts w:ascii="Times New Roman" w:hAnsi="Times New Roman" w:cs="Times New Roman"/>
          <w:sz w:val="24"/>
          <w:szCs w:val="24"/>
        </w:rPr>
        <w:t>these medications (Ogundipe &amp; Williams, 2022).</w:t>
      </w:r>
    </w:p>
    <w:p w14:paraId="42573DDD" w14:textId="77777777"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2.6</w:t>
      </w:r>
      <w:r w:rsidR="00C45905">
        <w:rPr>
          <w:rFonts w:ascii="Times New Roman" w:hAnsi="Times New Roman" w:cs="Times New Roman"/>
          <w:b/>
          <w:bCs/>
          <w:sz w:val="24"/>
          <w:szCs w:val="24"/>
        </w:rPr>
        <w:t>.4</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Rebound Acid Hypersecretion</w:t>
      </w:r>
    </w:p>
    <w:p w14:paraId="27ED18A9" w14:textId="77777777"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Frequent use o</w:t>
      </w:r>
      <w:r w:rsidRPr="008E21D3">
        <w:rPr>
          <w:rFonts w:ascii="Times New Roman" w:hAnsi="Times New Roman" w:cs="Times New Roman"/>
          <w:sz w:val="24"/>
          <w:szCs w:val="24"/>
        </w:rPr>
        <w:t xml:space="preserve">f calcium carbonate-based antacids can lead to acid rebound, where gastric acid production increases after the medication wears off. This is due to the stimulation of gastrin release, which causes the stomach to compensate by producing more acid (Okon &amp; Bello, 2023). As a result, individuals may experience worsening acid reflux symptoms when they discontinue antacid use, creating a cycle of dependency (Adebayo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2024).</w:t>
      </w:r>
    </w:p>
    <w:p w14:paraId="4DD7C8E9" w14:textId="77777777"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2.6</w:t>
      </w:r>
      <w:r w:rsidR="00C45905">
        <w:rPr>
          <w:rFonts w:ascii="Times New Roman" w:hAnsi="Times New Roman" w:cs="Times New Roman"/>
          <w:b/>
          <w:bCs/>
          <w:sz w:val="24"/>
          <w:szCs w:val="24"/>
        </w:rPr>
        <w:t>.5</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Aluminum Toxicity and Neurological Concerns</w:t>
      </w:r>
    </w:p>
    <w:p w14:paraId="6A43715A" w14:textId="77777777"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Long-term us</w:t>
      </w:r>
      <w:r w:rsidRPr="008E21D3">
        <w:rPr>
          <w:rFonts w:ascii="Times New Roman" w:hAnsi="Times New Roman" w:cs="Times New Roman"/>
          <w:sz w:val="24"/>
          <w:szCs w:val="24"/>
        </w:rPr>
        <w:t>e of aluminum-containing antacids poses a risk of aluminum toxicity, particularly in individuals with chronic kidney disease (CKD). Because the kidneys play a crucial role in eliminating excess aluminum, patients with impaired renal fu</w:t>
      </w:r>
      <w:r w:rsidR="008E21D3">
        <w:rPr>
          <w:rFonts w:ascii="Times New Roman" w:hAnsi="Times New Roman" w:cs="Times New Roman"/>
          <w:sz w:val="24"/>
          <w:szCs w:val="24"/>
        </w:rPr>
        <w:t xml:space="preserve">nction may </w:t>
      </w:r>
      <w:r w:rsidRPr="008E21D3">
        <w:rPr>
          <w:rFonts w:ascii="Times New Roman" w:hAnsi="Times New Roman" w:cs="Times New Roman"/>
          <w:sz w:val="24"/>
          <w:szCs w:val="24"/>
        </w:rPr>
        <w:t xml:space="preserve">experience aluminum accumulation in the bloodstream, leading to cognitive impairments, muscle weakness, and bone disorders (Eze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w:t>
      </w:r>
    </w:p>
    <w:p w14:paraId="38607A50" w14:textId="77777777" w:rsidR="00D659FE" w:rsidRPr="00D659FE" w:rsidRDefault="00D659FE" w:rsidP="009A5A72">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 xml:space="preserve">Some studies have suggested a possible link between chronic aluminum exposure and neurodegenerative conditions, such as Alzheimer’s disease, although the evidence remains inconclusive (Ogunleye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 Nonetheless, individuals at risk should limit prolonged use of aluminum-based antacids t</w:t>
      </w:r>
      <w:r w:rsidRPr="00D659FE">
        <w:rPr>
          <w:rFonts w:ascii="Times New Roman" w:hAnsi="Times New Roman" w:cs="Times New Roman"/>
          <w:sz w:val="24"/>
          <w:szCs w:val="24"/>
        </w:rPr>
        <w:t>o prevent potential complications.</w:t>
      </w:r>
    </w:p>
    <w:p w14:paraId="68412920" w14:textId="77777777" w:rsidR="00F03613" w:rsidRDefault="00F03613" w:rsidP="009A5A72">
      <w:pPr>
        <w:spacing w:after="0" w:line="360" w:lineRule="auto"/>
        <w:rPr>
          <w:rFonts w:ascii="Times New Roman" w:hAnsi="Times New Roman" w:cs="Times New Roman"/>
          <w:b/>
          <w:bCs/>
          <w:sz w:val="24"/>
          <w:szCs w:val="24"/>
        </w:rPr>
      </w:pPr>
    </w:p>
    <w:p w14:paraId="26D39734" w14:textId="77777777" w:rsidR="00F03613" w:rsidRDefault="00F03613" w:rsidP="009A5A72">
      <w:pPr>
        <w:spacing w:after="0" w:line="360" w:lineRule="auto"/>
        <w:rPr>
          <w:rFonts w:ascii="Times New Roman" w:hAnsi="Times New Roman" w:cs="Times New Roman"/>
          <w:b/>
          <w:bCs/>
          <w:sz w:val="24"/>
          <w:szCs w:val="24"/>
        </w:rPr>
      </w:pPr>
    </w:p>
    <w:p w14:paraId="1E5C72EB" w14:textId="77777777" w:rsidR="00D659FE" w:rsidRPr="008E21D3"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2.7</w:t>
      </w:r>
      <w:r w:rsidR="008E21D3">
        <w:rPr>
          <w:rFonts w:ascii="Times New Roman" w:hAnsi="Times New Roman" w:cs="Times New Roman"/>
          <w:b/>
          <w:bCs/>
          <w:sz w:val="24"/>
          <w:szCs w:val="24"/>
        </w:rPr>
        <w:tab/>
      </w:r>
      <w:r w:rsidR="00D659FE" w:rsidRPr="008E21D3">
        <w:rPr>
          <w:rFonts w:ascii="Times New Roman" w:hAnsi="Times New Roman" w:cs="Times New Roman"/>
          <w:b/>
          <w:bCs/>
          <w:sz w:val="24"/>
          <w:szCs w:val="24"/>
        </w:rPr>
        <w:t>RELIEF OF ACID REFLUX AND HEARTBURN</w:t>
      </w:r>
    </w:p>
    <w:p w14:paraId="5BB170B8" w14:textId="77777777"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Acid re</w:t>
      </w:r>
      <w:r w:rsidRPr="008E21D3">
        <w:rPr>
          <w:rFonts w:ascii="Times New Roman" w:hAnsi="Times New Roman" w:cs="Times New Roman"/>
          <w:sz w:val="24"/>
          <w:szCs w:val="24"/>
        </w:rPr>
        <w:t xml:space="preserve">flux and heartburn are common gastrointestinal disorders caused by the backflow of stomach acid into the esophagus, leading to irritation and discomfort. Antacids are widely used for rapid symptomatic relief by neutralizing excess gastric acid and reducing esophageal irritation (Williams &amp; Chukwudi, 2022). These over-the-counter (OTC) medications provide short-term relief, making them a first-line treatment for mild to moderate acid-related conditions (Ogunleye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w:t>
      </w:r>
    </w:p>
    <w:p w14:paraId="413E2A65" w14:textId="77777777"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2.7</w:t>
      </w:r>
      <w:r w:rsidR="00C45905">
        <w:rPr>
          <w:rFonts w:ascii="Times New Roman" w:hAnsi="Times New Roman" w:cs="Times New Roman"/>
          <w:b/>
          <w:bCs/>
          <w:sz w:val="24"/>
          <w:szCs w:val="24"/>
        </w:rPr>
        <w:t>.1</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Mechanism of Antacids in Acid Reflux Relief</w:t>
      </w:r>
    </w:p>
    <w:p w14:paraId="08ED3F95" w14:textId="77777777"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work</w:t>
      </w:r>
      <w:r w:rsidRPr="008E21D3">
        <w:rPr>
          <w:rFonts w:ascii="Times New Roman" w:hAnsi="Times New Roman" w:cs="Times New Roman"/>
          <w:sz w:val="24"/>
          <w:szCs w:val="24"/>
        </w:rPr>
        <w:t xml:space="preserve"> by chemically neutralizing gastric acid, raising the pH of the stomach contents and reducing acidity. This action helps to relieve the burning sensation in the chest and throat that characterizes heartburn. Common ingredients in antacids, such as calcium carbonate, magnesium hydroxide, and aluminum hydroxide, react with hydrochloric acid (HCl) in the stomach to form water and neutral salts, thereby reducing acidity (Adebayo &amp; Yusuf, 2024).</w:t>
      </w:r>
    </w:p>
    <w:p w14:paraId="10ACF745" w14:textId="77777777"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For example, </w:t>
      </w:r>
      <w:r w:rsidRPr="008E21D3">
        <w:rPr>
          <w:rFonts w:ascii="Times New Roman" w:hAnsi="Times New Roman" w:cs="Times New Roman"/>
          <w:sz w:val="24"/>
          <w:szCs w:val="24"/>
        </w:rPr>
        <w:t>calcium carbonate (CaCO</w:t>
      </w:r>
      <w:r w:rsidRPr="008E21D3">
        <w:rPr>
          <w:rFonts w:ascii="Cambria Math" w:hAnsi="Cambria Math" w:cs="Cambria Math"/>
          <w:sz w:val="24"/>
          <w:szCs w:val="24"/>
        </w:rPr>
        <w:t>₃</w:t>
      </w:r>
      <w:r w:rsidRPr="008E21D3">
        <w:rPr>
          <w:rFonts w:ascii="Times New Roman" w:hAnsi="Times New Roman" w:cs="Times New Roman"/>
          <w:sz w:val="24"/>
          <w:szCs w:val="24"/>
        </w:rPr>
        <w:t>) reacts with gastric acid as follows:</w:t>
      </w:r>
    </w:p>
    <w:p w14:paraId="5696D820" w14:textId="77777777" w:rsidR="00D659FE" w:rsidRPr="00D659FE" w:rsidRDefault="00D659FE" w:rsidP="009A5A72">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CaCO</w:t>
      </w:r>
      <w:r w:rsidRPr="00C03B81">
        <w:rPr>
          <w:rFonts w:ascii="Times New Roman" w:hAnsi="Times New Roman" w:cs="Times New Roman"/>
          <w:sz w:val="24"/>
          <w:szCs w:val="24"/>
          <w:vertAlign w:val="subscript"/>
        </w:rPr>
        <w:t>3</w:t>
      </w:r>
      <w:r w:rsidRPr="008E21D3">
        <w:rPr>
          <w:rFonts w:ascii="Times New Roman" w:hAnsi="Times New Roman" w:cs="Times New Roman"/>
          <w:sz w:val="24"/>
          <w:szCs w:val="24"/>
        </w:rPr>
        <w:t>+2HC</w:t>
      </w:r>
      <w:r w:rsidR="00C03B81">
        <w:rPr>
          <w:rFonts w:ascii="Times New Roman" w:hAnsi="Times New Roman" w:cs="Times New Roman"/>
          <w:sz w:val="24"/>
          <w:szCs w:val="24"/>
        </w:rPr>
        <w:t>l</w:t>
      </w:r>
      <w:r w:rsidR="00C03B81">
        <w:rPr>
          <w:rFonts w:ascii="Times New Roman" w:hAnsi="Times New Roman" w:cs="Times New Roman"/>
          <w:sz w:val="24"/>
          <w:szCs w:val="24"/>
        </w:rPr>
        <w:tab/>
        <w:t>→   CaCl</w:t>
      </w:r>
      <w:r w:rsidR="00C03B81" w:rsidRPr="00C03B81">
        <w:rPr>
          <w:rFonts w:ascii="Times New Roman" w:hAnsi="Times New Roman" w:cs="Times New Roman"/>
          <w:sz w:val="24"/>
          <w:szCs w:val="24"/>
          <w:vertAlign w:val="subscript"/>
        </w:rPr>
        <w:t>2</w:t>
      </w:r>
      <w:r w:rsidR="00C03B81">
        <w:rPr>
          <w:rFonts w:ascii="Times New Roman" w:hAnsi="Times New Roman" w:cs="Times New Roman"/>
          <w:sz w:val="24"/>
          <w:szCs w:val="24"/>
          <w:vertAlign w:val="subscript"/>
        </w:rPr>
        <w:t xml:space="preserve">  </w:t>
      </w:r>
      <w:r w:rsidR="00C03B81">
        <w:rPr>
          <w:rFonts w:ascii="Times New Roman" w:hAnsi="Times New Roman" w:cs="Times New Roman"/>
          <w:sz w:val="24"/>
          <w:szCs w:val="24"/>
        </w:rPr>
        <w:t>+  H</w:t>
      </w:r>
      <w:r w:rsidR="00C03B81" w:rsidRPr="00C03B81">
        <w:rPr>
          <w:rFonts w:ascii="Times New Roman" w:hAnsi="Times New Roman" w:cs="Times New Roman"/>
          <w:sz w:val="24"/>
          <w:szCs w:val="24"/>
          <w:vertAlign w:val="subscript"/>
        </w:rPr>
        <w:t>2</w:t>
      </w:r>
      <w:r w:rsidR="00C03B81">
        <w:rPr>
          <w:rFonts w:ascii="Times New Roman" w:hAnsi="Times New Roman" w:cs="Times New Roman"/>
          <w:sz w:val="24"/>
          <w:szCs w:val="24"/>
        </w:rPr>
        <w:t>O + CO</w:t>
      </w:r>
      <w:r w:rsidR="00C03B81" w:rsidRPr="00C03B81">
        <w:rPr>
          <w:rFonts w:ascii="Times New Roman" w:hAnsi="Times New Roman" w:cs="Times New Roman"/>
          <w:sz w:val="24"/>
          <w:szCs w:val="24"/>
          <w:vertAlign w:val="subscript"/>
        </w:rPr>
        <w:t>2</w:t>
      </w:r>
    </w:p>
    <w:p w14:paraId="73EE1718" w14:textId="77777777" w:rsidR="00A9662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This reaction </w:t>
      </w:r>
      <w:r w:rsidRPr="008E21D3">
        <w:rPr>
          <w:rFonts w:ascii="Times New Roman" w:hAnsi="Times New Roman" w:cs="Times New Roman"/>
          <w:sz w:val="24"/>
          <w:szCs w:val="24"/>
        </w:rPr>
        <w:t xml:space="preserve">neutralizes stomach acid and produces carbon dioxide gas, which may lead to belching or bloating in some individuals (Okonkwo &amp; Adeyemi, 2021). Magnesium- based antacids tend to act more rapidly, while aluminum-containing antacids provide a longer- lasting effect but may cause constipation as a side effect (Oluwaseun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2022).</w:t>
      </w:r>
    </w:p>
    <w:p w14:paraId="0FF8DAE6" w14:textId="77777777" w:rsidR="00D659FE" w:rsidRPr="00C45905" w:rsidRDefault="00C03B81" w:rsidP="009A5A7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2.7</w:t>
      </w:r>
      <w:r w:rsidR="00C45905">
        <w:rPr>
          <w:rFonts w:ascii="Times New Roman" w:hAnsi="Times New Roman" w:cs="Times New Roman"/>
          <w:b/>
          <w:bCs/>
          <w:sz w:val="24"/>
          <w:szCs w:val="24"/>
        </w:rPr>
        <w:t>.2</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Comparing Antacids with Other Acid Suppressors</w:t>
      </w:r>
    </w:p>
    <w:p w14:paraId="58F261AD" w14:textId="77777777" w:rsid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Although </w:t>
      </w:r>
      <w:r w:rsidRPr="008E21D3">
        <w:rPr>
          <w:rFonts w:ascii="Times New Roman" w:hAnsi="Times New Roman" w:cs="Times New Roman"/>
          <w:sz w:val="24"/>
          <w:szCs w:val="24"/>
        </w:rPr>
        <w:t xml:space="preserve">antacids provide quick relief, they do not address the underlying causes of acid reflux, such as lower esophageal sphincter (LES) dysfunction. Other classes of medications, such as H2-receptor antagonists (H2RAs) and proton pump inhibitors (PPIs), are often prescribed for more persistent or severe acid reflux cases (Chidiebere </w:t>
      </w:r>
      <w:r w:rsidRPr="008E21D3">
        <w:rPr>
          <w:rFonts w:ascii="Times New Roman" w:hAnsi="Times New Roman" w:cs="Times New Roman"/>
          <w:sz w:val="24"/>
          <w:szCs w:val="24"/>
        </w:rPr>
        <w:lastRenderedPageBreak/>
        <w:t xml:space="preserve">&amp; Okafor, 2023). However, antacids remain a preferred option for occasional heartburn due to their rapid onset of action and minimal systemic side effects (Eze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w:t>
      </w:r>
    </w:p>
    <w:p w14:paraId="659A058F" w14:textId="77777777" w:rsidR="00F03613" w:rsidRPr="008E21D3" w:rsidRDefault="00F03613" w:rsidP="009A5A72">
      <w:pPr>
        <w:spacing w:after="0" w:line="360" w:lineRule="auto"/>
        <w:jc w:val="both"/>
        <w:rPr>
          <w:rFonts w:ascii="Times New Roman" w:hAnsi="Times New Roman" w:cs="Times New Roman"/>
          <w:sz w:val="24"/>
          <w:szCs w:val="24"/>
        </w:rPr>
      </w:pPr>
    </w:p>
    <w:p w14:paraId="60D42560" w14:textId="77777777" w:rsidR="00D659FE" w:rsidRPr="00C03B81" w:rsidRDefault="00D659FE" w:rsidP="00F03613">
      <w:pPr>
        <w:pStyle w:val="ListParagraph"/>
        <w:numPr>
          <w:ilvl w:val="2"/>
          <w:numId w:val="11"/>
        </w:numPr>
        <w:spacing w:before="0" w:line="360" w:lineRule="auto"/>
        <w:jc w:val="both"/>
        <w:rPr>
          <w:b/>
          <w:bCs/>
          <w:sz w:val="24"/>
          <w:szCs w:val="24"/>
        </w:rPr>
      </w:pPr>
      <w:r w:rsidRPr="00C03B81">
        <w:rPr>
          <w:b/>
          <w:bCs/>
          <w:sz w:val="24"/>
          <w:szCs w:val="24"/>
        </w:rPr>
        <w:t>Combination Antacids for Enhanced Efficacy</w:t>
      </w:r>
    </w:p>
    <w:p w14:paraId="45AAB954"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Some antacid formulations include </w:t>
      </w:r>
      <w:r w:rsidRPr="008E21D3">
        <w:rPr>
          <w:rFonts w:ascii="Times New Roman" w:hAnsi="Times New Roman" w:cs="Times New Roman"/>
          <w:sz w:val="24"/>
          <w:szCs w:val="24"/>
        </w:rPr>
        <w:t xml:space="preserve">alginates, which create a physical barrier against acid reflux by forming a gel-like raft that floats on top of stomach contents. These formulations, such as those containing sodium alginate and bicarbonates, are particularly effective for reducing nighttime reflux symptoms (Ogunleye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 Additionally, simethicone is sometimes added to reduce gas and bloating ass</w:t>
      </w:r>
      <w:r w:rsidRPr="00D659FE">
        <w:rPr>
          <w:rFonts w:ascii="Times New Roman" w:hAnsi="Times New Roman" w:cs="Times New Roman"/>
          <w:sz w:val="24"/>
          <w:szCs w:val="24"/>
        </w:rPr>
        <w:t>ociated with acid reflux (Ogundipe &amp; Williams, 2022).</w:t>
      </w:r>
    </w:p>
    <w:p w14:paraId="4194A31B" w14:textId="77777777" w:rsidR="00D659FE" w:rsidRPr="00C03B81" w:rsidRDefault="00D659FE" w:rsidP="00F03613">
      <w:pPr>
        <w:pStyle w:val="ListParagraph"/>
        <w:numPr>
          <w:ilvl w:val="2"/>
          <w:numId w:val="11"/>
        </w:numPr>
        <w:spacing w:before="0" w:line="360" w:lineRule="auto"/>
        <w:jc w:val="both"/>
        <w:rPr>
          <w:b/>
          <w:bCs/>
          <w:sz w:val="24"/>
          <w:szCs w:val="24"/>
        </w:rPr>
      </w:pPr>
      <w:r w:rsidRPr="00C03B81">
        <w:rPr>
          <w:b/>
          <w:bCs/>
          <w:sz w:val="24"/>
          <w:szCs w:val="24"/>
        </w:rPr>
        <w:t>Considerations and Precautions in Antacid Use</w:t>
      </w:r>
    </w:p>
    <w:p w14:paraId="7E42299B"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While antacids are generally safe for</w:t>
      </w:r>
      <w:r w:rsidRPr="008E21D3">
        <w:rPr>
          <w:rFonts w:ascii="Times New Roman" w:hAnsi="Times New Roman" w:cs="Times New Roman"/>
          <w:sz w:val="24"/>
          <w:szCs w:val="24"/>
        </w:rPr>
        <w:t xml:space="preserve"> short-term use, excessive or prolonged consumption can lead to complications such as acid rebound, electrolyte imbalances, and drug interactions (Akinyemi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 For instance, calcium carbonate-based antacids may cause hypercalcemia, while aluminum-based antacids can contribute to phosphate depletion and bone demineralization (Okon &amp; Bell</w:t>
      </w:r>
      <w:r w:rsidRPr="00D659FE">
        <w:rPr>
          <w:rFonts w:ascii="Times New Roman" w:hAnsi="Times New Roman" w:cs="Times New Roman"/>
          <w:sz w:val="24"/>
          <w:szCs w:val="24"/>
        </w:rPr>
        <w:t>o, 2023).</w:t>
      </w:r>
    </w:p>
    <w:p w14:paraId="4B43279A" w14:textId="77777777" w:rsidR="00A9662E" w:rsidRPr="00A9662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Patie</w:t>
      </w:r>
      <w:r w:rsidRPr="00F57C15">
        <w:rPr>
          <w:rFonts w:ascii="Times New Roman" w:hAnsi="Times New Roman" w:cs="Times New Roman"/>
          <w:sz w:val="24"/>
          <w:szCs w:val="24"/>
        </w:rPr>
        <w:t xml:space="preserve">nts with chronic acid reflux (GERD) should consult healthcare providers for long- term management options, as antacids alone may not provide adequate symptom control (Emmanuel &amp; Okechukwu, 2021). Lifestyle modifications, including dietary adjustments, weight management, and avoiding trigger foods, are crucial for sustained relief from acid reflux and heartburn </w:t>
      </w:r>
      <w:r w:rsidRPr="00D659FE">
        <w:rPr>
          <w:rFonts w:ascii="Times New Roman" w:hAnsi="Times New Roman" w:cs="Times New Roman"/>
          <w:sz w:val="24"/>
          <w:szCs w:val="24"/>
        </w:rPr>
        <w:t xml:space="preserve">(Adebayo </w:t>
      </w:r>
      <w:r w:rsidRPr="00F57C15">
        <w:rPr>
          <w:rFonts w:ascii="Times New Roman" w:hAnsi="Times New Roman" w:cs="Times New Roman"/>
          <w:i/>
          <w:sz w:val="24"/>
          <w:szCs w:val="24"/>
        </w:rPr>
        <w:t>et al.,</w:t>
      </w:r>
      <w:r w:rsidRPr="00D659FE">
        <w:rPr>
          <w:rFonts w:ascii="Times New Roman" w:hAnsi="Times New Roman" w:cs="Times New Roman"/>
          <w:sz w:val="24"/>
          <w:szCs w:val="24"/>
        </w:rPr>
        <w:t xml:space="preserve"> 2024).</w:t>
      </w:r>
    </w:p>
    <w:p w14:paraId="6A53285E" w14:textId="77777777" w:rsidR="00D659FE" w:rsidRPr="008E21D3" w:rsidRDefault="00C03B81" w:rsidP="00F03613">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8E21D3">
        <w:rPr>
          <w:rFonts w:ascii="Times New Roman" w:hAnsi="Times New Roman" w:cs="Times New Roman"/>
          <w:b/>
          <w:bCs/>
          <w:sz w:val="24"/>
          <w:szCs w:val="24"/>
        </w:rPr>
        <w:tab/>
      </w:r>
      <w:r w:rsidR="00D659FE" w:rsidRPr="008E21D3">
        <w:rPr>
          <w:rFonts w:ascii="Times New Roman" w:hAnsi="Times New Roman" w:cs="Times New Roman"/>
          <w:b/>
          <w:bCs/>
          <w:sz w:val="24"/>
          <w:szCs w:val="24"/>
        </w:rPr>
        <w:t>ANTACID USE IN SPECIAL POPULATIONS</w:t>
      </w:r>
    </w:p>
    <w:p w14:paraId="13408DCB" w14:textId="77777777"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use</w:t>
      </w:r>
      <w:r w:rsidRPr="008E21D3">
        <w:rPr>
          <w:rFonts w:ascii="Times New Roman" w:hAnsi="Times New Roman" w:cs="Times New Roman"/>
          <w:sz w:val="24"/>
          <w:szCs w:val="24"/>
        </w:rPr>
        <w:t xml:space="preserve"> of antacids varies across different population groups due to age, pre-existing medical conditions, pregnancy, and organ function. While antacids are generally considered safe, their effects can be altered in specific populations, necessitating caution and individualized medical advice (Williams &amp; Chukwudi, 2022). Special populations, including </w:t>
      </w:r>
      <w:r w:rsidR="008E21D3">
        <w:rPr>
          <w:rFonts w:ascii="Times New Roman" w:hAnsi="Times New Roman" w:cs="Times New Roman"/>
          <w:sz w:val="24"/>
          <w:szCs w:val="24"/>
        </w:rPr>
        <w:t xml:space="preserve">pregnant </w:t>
      </w:r>
      <w:r w:rsidRPr="008E21D3">
        <w:rPr>
          <w:rFonts w:ascii="Times New Roman" w:hAnsi="Times New Roman" w:cs="Times New Roman"/>
          <w:sz w:val="24"/>
          <w:szCs w:val="24"/>
        </w:rPr>
        <w:t xml:space="preserve">women, the elderly, children, and patients with chronic </w:t>
      </w:r>
      <w:r w:rsidRPr="008E21D3">
        <w:rPr>
          <w:rFonts w:ascii="Times New Roman" w:hAnsi="Times New Roman" w:cs="Times New Roman"/>
          <w:sz w:val="24"/>
          <w:szCs w:val="24"/>
        </w:rPr>
        <w:lastRenderedPageBreak/>
        <w:t xml:space="preserve">diseases, may require dose adjustments or alternative treatments to prevent adverse effects (Ogunleye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w:t>
      </w:r>
    </w:p>
    <w:p w14:paraId="2E8C70F3" w14:textId="77777777" w:rsidR="00D659FE" w:rsidRPr="00020FAF"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C45905">
        <w:rPr>
          <w:rFonts w:ascii="Times New Roman" w:hAnsi="Times New Roman" w:cs="Times New Roman"/>
          <w:b/>
          <w:bCs/>
          <w:sz w:val="24"/>
          <w:szCs w:val="24"/>
        </w:rPr>
        <w:t>.1</w:t>
      </w:r>
      <w:r w:rsidR="00C45905">
        <w:rPr>
          <w:rFonts w:ascii="Times New Roman" w:hAnsi="Times New Roman" w:cs="Times New Roman"/>
          <w:b/>
          <w:bCs/>
          <w:sz w:val="24"/>
          <w:szCs w:val="24"/>
        </w:rPr>
        <w:tab/>
      </w:r>
      <w:r w:rsidR="00D659FE" w:rsidRPr="00020FAF">
        <w:rPr>
          <w:rFonts w:ascii="Times New Roman" w:hAnsi="Times New Roman" w:cs="Times New Roman"/>
          <w:b/>
          <w:bCs/>
          <w:sz w:val="24"/>
          <w:szCs w:val="24"/>
        </w:rPr>
        <w:t>Antacid Use in Pregnant Women</w:t>
      </w:r>
    </w:p>
    <w:p w14:paraId="5CD5E9B3" w14:textId="77777777" w:rsidR="00D659FE" w:rsidRPr="008E21D3" w:rsidRDefault="00D659FE" w:rsidP="009A5A72">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Acid reflux and gastroesophageal reflux disease (GERD) are common during pregnancy due to hormonal changes and increased intra-abdominal pressure. Many pregnant women turn to OTC antacids for symptom relief. Calcium carbonate-based antacids are considered safe and beneficial because they provide both acid neutralization and calcium supplementation, which is essential during pregnancy (Adebayo &amp; Yusuf, 2024).</w:t>
      </w:r>
    </w:p>
    <w:p w14:paraId="1573668D" w14:textId="77777777" w:rsidR="00D659FE" w:rsidRPr="008E21D3" w:rsidRDefault="00D659FE" w:rsidP="009A5A72">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 xml:space="preserve">However, aluminum-containing antacids should be used with caution as they can lead to phosphate depletion, potentially affecting fetal bone development. Sodium bicarbonate- based antacids should also be avoided due to the risk of fluid retention and metabolic alkalosis (Okonkwo &amp; Adeyemi, 2021). Healthcare providers often recommend dietary and lifestyle modifications alongside safer antacid choices for managing acid reflux in pregnancy (Oluwaseun </w:t>
      </w:r>
      <w:r w:rsidRPr="00020FAF">
        <w:rPr>
          <w:rFonts w:ascii="Times New Roman" w:hAnsi="Times New Roman" w:cs="Times New Roman"/>
          <w:i/>
          <w:sz w:val="24"/>
          <w:szCs w:val="24"/>
        </w:rPr>
        <w:t>et al.,</w:t>
      </w:r>
      <w:r w:rsidRPr="008E21D3">
        <w:rPr>
          <w:rFonts w:ascii="Times New Roman" w:hAnsi="Times New Roman" w:cs="Times New Roman"/>
          <w:sz w:val="24"/>
          <w:szCs w:val="24"/>
        </w:rPr>
        <w:t xml:space="preserve"> 2022).</w:t>
      </w:r>
    </w:p>
    <w:p w14:paraId="0731DFA1" w14:textId="77777777"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C45905">
        <w:rPr>
          <w:rFonts w:ascii="Times New Roman" w:hAnsi="Times New Roman" w:cs="Times New Roman"/>
          <w:b/>
          <w:bCs/>
          <w:sz w:val="24"/>
          <w:szCs w:val="24"/>
        </w:rPr>
        <w:t>.2</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Antacid Use in Elderly Individuals</w:t>
      </w:r>
    </w:p>
    <w:p w14:paraId="1F5CE401" w14:textId="77777777" w:rsidR="00D659FE" w:rsidRPr="00020FAF"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Older adults o</w:t>
      </w:r>
      <w:r w:rsidRPr="00020FAF">
        <w:rPr>
          <w:rFonts w:ascii="Times New Roman" w:hAnsi="Times New Roman" w:cs="Times New Roman"/>
          <w:sz w:val="24"/>
          <w:szCs w:val="24"/>
        </w:rPr>
        <w:t xml:space="preserve">ften suffer from chronic acid-related disorders, requiring long-term antacid use. However, aging-related changes in renal function, bone density, and medication metabolism necessitate careful selection of antacids. Aluminum-based antacids can contribute to osteoporosis and cognitive decline, making them unsuitable for elderly patients, especially those at risk for Alzheimer’s disease (Chidiebere &amp; Okafor, 2023). Similarly, elderly individuals with chronic kidney disease (CKD) should avoid magnesium- containing antacids, as impaired kidney function can lead to magnesium accumulation (hypermagnesemia), resulting in cardiovascular and neuromuscular complications (Eze </w:t>
      </w:r>
      <w:r w:rsidRPr="00020FAF">
        <w:rPr>
          <w:rFonts w:ascii="Times New Roman" w:hAnsi="Times New Roman" w:cs="Times New Roman"/>
          <w:i/>
          <w:sz w:val="24"/>
          <w:szCs w:val="24"/>
        </w:rPr>
        <w:t>et al.,</w:t>
      </w:r>
      <w:r w:rsidRPr="00020FAF">
        <w:rPr>
          <w:rFonts w:ascii="Times New Roman" w:hAnsi="Times New Roman" w:cs="Times New Roman"/>
          <w:sz w:val="24"/>
          <w:szCs w:val="24"/>
        </w:rPr>
        <w:t xml:space="preserve"> 2023). Instead, calcium carbonate-based or low-dose aluminum hydroxide antacids may be considered under medical supervision (Ogunleye </w:t>
      </w:r>
      <w:r w:rsidRPr="00020FAF">
        <w:rPr>
          <w:rFonts w:ascii="Times New Roman" w:hAnsi="Times New Roman" w:cs="Times New Roman"/>
          <w:i/>
          <w:sz w:val="24"/>
          <w:szCs w:val="24"/>
        </w:rPr>
        <w:t>et al.,</w:t>
      </w:r>
      <w:r w:rsidRPr="00020FAF">
        <w:rPr>
          <w:rFonts w:ascii="Times New Roman" w:hAnsi="Times New Roman" w:cs="Times New Roman"/>
          <w:sz w:val="24"/>
          <w:szCs w:val="24"/>
        </w:rPr>
        <w:t xml:space="preserve"> 2023).</w:t>
      </w:r>
    </w:p>
    <w:p w14:paraId="49A3BCE6" w14:textId="77777777"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2.8</w:t>
      </w:r>
      <w:r w:rsidR="00C45905">
        <w:rPr>
          <w:rFonts w:ascii="Times New Roman" w:hAnsi="Times New Roman" w:cs="Times New Roman"/>
          <w:b/>
          <w:bCs/>
          <w:sz w:val="24"/>
          <w:szCs w:val="24"/>
        </w:rPr>
        <w:t>.3</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Antacid Use in Children</w:t>
      </w:r>
    </w:p>
    <w:p w14:paraId="2992A8C9" w14:textId="77777777" w:rsidR="00D659FE" w:rsidRPr="00020FAF"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Children with </w:t>
      </w:r>
      <w:r w:rsidRPr="00020FAF">
        <w:rPr>
          <w:rFonts w:ascii="Times New Roman" w:hAnsi="Times New Roman" w:cs="Times New Roman"/>
          <w:sz w:val="24"/>
          <w:szCs w:val="24"/>
        </w:rPr>
        <w:t>acid reflux or peptic disorders may require antacid therapy, but dosing must be carefully adjusted. Pediatric guidelines recommend calcium carbonate-based antacids due to their safety profile and essential mineral benefits. However, excessive use can lead to hypercalcemia and milk-alkali syndrome (Ogundipe &amp; Williams, 2022).</w:t>
      </w:r>
    </w:p>
    <w:p w14:paraId="7A61E9B4" w14:textId="77777777" w:rsidR="00D659FE" w:rsidRPr="00020FAF" w:rsidRDefault="00D659FE" w:rsidP="009A5A72">
      <w:pPr>
        <w:spacing w:after="0" w:line="360" w:lineRule="auto"/>
        <w:jc w:val="both"/>
        <w:rPr>
          <w:rFonts w:ascii="Times New Roman" w:hAnsi="Times New Roman" w:cs="Times New Roman"/>
          <w:sz w:val="24"/>
          <w:szCs w:val="24"/>
        </w:rPr>
      </w:pPr>
      <w:r w:rsidRPr="00020FAF">
        <w:rPr>
          <w:rFonts w:ascii="Times New Roman" w:hAnsi="Times New Roman" w:cs="Times New Roman"/>
          <w:sz w:val="24"/>
          <w:szCs w:val="24"/>
        </w:rPr>
        <w:t xml:space="preserve">Prolonged use of aluminum-based antacids is discouraged in children due to the risk of neurotoxicity and bone mineralization issues. Instead, pediatricians may prescribe H2- receptor antagonists (H2RAs) or proton pump inhibitors (PPIs) for chronic reflux management (Akinyemi </w:t>
      </w:r>
      <w:r w:rsidRPr="00020FAF">
        <w:rPr>
          <w:rFonts w:ascii="Times New Roman" w:hAnsi="Times New Roman" w:cs="Times New Roman"/>
          <w:i/>
          <w:sz w:val="24"/>
          <w:szCs w:val="24"/>
        </w:rPr>
        <w:t>et al.,</w:t>
      </w:r>
      <w:r w:rsidRPr="00020FAF">
        <w:rPr>
          <w:rFonts w:ascii="Times New Roman" w:hAnsi="Times New Roman" w:cs="Times New Roman"/>
          <w:sz w:val="24"/>
          <w:szCs w:val="24"/>
        </w:rPr>
        <w:t xml:space="preserve"> 2023). Additionally, dietary changes and postural adjustments are recommended to reduce acid reflux symptoms in infants and young children (Okon &amp; Bello, 2023).</w:t>
      </w:r>
    </w:p>
    <w:p w14:paraId="194F918F" w14:textId="77777777"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C45905">
        <w:rPr>
          <w:rFonts w:ascii="Times New Roman" w:hAnsi="Times New Roman" w:cs="Times New Roman"/>
          <w:b/>
          <w:bCs/>
          <w:sz w:val="24"/>
          <w:szCs w:val="24"/>
        </w:rPr>
        <w:t>.4</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Antacid Use in Patients with Chronic Kidney Disease (CKD)</w:t>
      </w:r>
    </w:p>
    <w:p w14:paraId="1C8FD579" w14:textId="77777777" w:rsidR="00D659FE" w:rsidRPr="00020FAF"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Patients with</w:t>
      </w:r>
      <w:r w:rsidRPr="00020FAF">
        <w:rPr>
          <w:rFonts w:ascii="Times New Roman" w:hAnsi="Times New Roman" w:cs="Times New Roman"/>
          <w:sz w:val="24"/>
          <w:szCs w:val="24"/>
        </w:rPr>
        <w:t xml:space="preserve"> kidney dysfunction face challenges in eliminating excess minerals from their bodies. Magnesium- and aluminum-based antacids should be avoided in CKD patients due to the risk of hypermagnesemia and aluminum toxicity, which can lead to neurological and skeletal complications (Emmanuel &amp; Okechukwu, 2021).</w:t>
      </w:r>
    </w:p>
    <w:p w14:paraId="54FD311D" w14:textId="77777777" w:rsidR="00D659FE" w:rsidRPr="00020FAF" w:rsidRDefault="00D659FE" w:rsidP="009A5A72">
      <w:pPr>
        <w:spacing w:after="0" w:line="360" w:lineRule="auto"/>
        <w:jc w:val="both"/>
        <w:rPr>
          <w:rFonts w:ascii="Times New Roman" w:hAnsi="Times New Roman" w:cs="Times New Roman"/>
          <w:sz w:val="24"/>
          <w:szCs w:val="24"/>
        </w:rPr>
      </w:pPr>
      <w:r w:rsidRPr="00020FAF">
        <w:rPr>
          <w:rFonts w:ascii="Times New Roman" w:hAnsi="Times New Roman" w:cs="Times New Roman"/>
          <w:sz w:val="24"/>
          <w:szCs w:val="24"/>
        </w:rPr>
        <w:t xml:space="preserve">Instead, calcium-based antacids are often used, but excessive calcium intake can lead to vascular calcification, which worsens cardiovascular risks in CKD patients (Adebayo </w:t>
      </w:r>
      <w:r w:rsidRPr="00020FAF">
        <w:rPr>
          <w:rFonts w:ascii="Times New Roman" w:hAnsi="Times New Roman" w:cs="Times New Roman"/>
          <w:i/>
          <w:sz w:val="24"/>
          <w:szCs w:val="24"/>
        </w:rPr>
        <w:t>et al.,</w:t>
      </w:r>
      <w:r w:rsidRPr="00020FAF">
        <w:rPr>
          <w:rFonts w:ascii="Times New Roman" w:hAnsi="Times New Roman" w:cs="Times New Roman"/>
          <w:sz w:val="24"/>
          <w:szCs w:val="24"/>
        </w:rPr>
        <w:t xml:space="preserve"> 2024). Therefore, phosphate binders such as sevelamer and lanthanum carbonate may be preferable alternatives for acid regulation in CKD patients (Ogunleye </w:t>
      </w:r>
      <w:r w:rsidRPr="00020FAF">
        <w:rPr>
          <w:rFonts w:ascii="Times New Roman" w:hAnsi="Times New Roman" w:cs="Times New Roman"/>
          <w:i/>
          <w:sz w:val="24"/>
          <w:szCs w:val="24"/>
        </w:rPr>
        <w:t>et al.,</w:t>
      </w:r>
      <w:r w:rsidRPr="00020FAF">
        <w:rPr>
          <w:rFonts w:ascii="Times New Roman" w:hAnsi="Times New Roman" w:cs="Times New Roman"/>
          <w:sz w:val="24"/>
          <w:szCs w:val="24"/>
        </w:rPr>
        <w:t xml:space="preserve"> 2023).</w:t>
      </w:r>
    </w:p>
    <w:p w14:paraId="1051FB2E" w14:textId="77777777"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C45905">
        <w:rPr>
          <w:rFonts w:ascii="Times New Roman" w:hAnsi="Times New Roman" w:cs="Times New Roman"/>
          <w:b/>
          <w:bCs/>
          <w:sz w:val="24"/>
          <w:szCs w:val="24"/>
        </w:rPr>
        <w:t>.5</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Antacid Use in Patients with Osteoporosis</w:t>
      </w:r>
    </w:p>
    <w:p w14:paraId="341DDECA"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Since calcium </w:t>
      </w:r>
      <w:r w:rsidRPr="00020FAF">
        <w:rPr>
          <w:rFonts w:ascii="Times New Roman" w:hAnsi="Times New Roman" w:cs="Times New Roman"/>
          <w:sz w:val="24"/>
          <w:szCs w:val="24"/>
        </w:rPr>
        <w:t xml:space="preserve">plays a crucial role in bone health, some individuals with osteoporosis may benefit from calcium carbonate-based antacids. However, excessive calcium intake can lead to the milk-alkali syndrome, characterized by hypercalcemia, kidney dysfunction, and metabolic alkalosis (Chidiebere &amp; Okafor, 2023). Patients at risk of </w:t>
      </w:r>
      <w:r w:rsidRPr="00020FAF">
        <w:rPr>
          <w:rFonts w:ascii="Times New Roman" w:hAnsi="Times New Roman" w:cs="Times New Roman"/>
          <w:sz w:val="24"/>
          <w:szCs w:val="24"/>
        </w:rPr>
        <w:lastRenderedPageBreak/>
        <w:t>osteoporosis should balance calcium intake with vitamin D supplementation and consult a physician regarding the safest antacid options (</w:t>
      </w:r>
      <w:r w:rsidRPr="00D659FE">
        <w:rPr>
          <w:rFonts w:ascii="Times New Roman" w:hAnsi="Times New Roman" w:cs="Times New Roman"/>
          <w:sz w:val="24"/>
          <w:szCs w:val="24"/>
        </w:rPr>
        <w:t>Eze et al., 2023).</w:t>
      </w:r>
    </w:p>
    <w:p w14:paraId="78F8C55E" w14:textId="77777777" w:rsidR="00D659FE" w:rsidRPr="00D659FE" w:rsidRDefault="00D659FE" w:rsidP="009A5A72">
      <w:pPr>
        <w:spacing w:after="0" w:line="360" w:lineRule="auto"/>
        <w:jc w:val="both"/>
        <w:rPr>
          <w:rFonts w:ascii="Times New Roman" w:hAnsi="Times New Roman" w:cs="Times New Roman"/>
          <w:sz w:val="24"/>
          <w:szCs w:val="24"/>
        </w:rPr>
        <w:sectPr w:rsidR="00D659FE" w:rsidRPr="00D659FE" w:rsidSect="000B4B76">
          <w:pgSz w:w="11808" w:h="15120"/>
          <w:pgMar w:top="1296" w:right="1282" w:bottom="2506" w:left="1282" w:header="0" w:footer="1440" w:gutter="0"/>
          <w:pgNumType w:start="1"/>
          <w:cols w:space="720"/>
          <w:docGrid w:linePitch="299"/>
        </w:sectPr>
      </w:pPr>
    </w:p>
    <w:p w14:paraId="7AB8AD1E" w14:textId="77777777" w:rsidR="00020FAF" w:rsidRDefault="00C03B81" w:rsidP="009A5A7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14:paraId="19D64F69" w14:textId="77777777" w:rsidR="00C03B81" w:rsidRDefault="00C03B81" w:rsidP="009A5A7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MATERIAL AND METHOD</w:t>
      </w:r>
    </w:p>
    <w:p w14:paraId="4DB13E32" w14:textId="77777777" w:rsidR="00D659FE" w:rsidRPr="00D659FE" w:rsidRDefault="00C03B81" w:rsidP="009A5A72">
      <w:pPr>
        <w:spacing w:after="0" w:line="360" w:lineRule="auto"/>
        <w:rPr>
          <w:rFonts w:ascii="Times New Roman" w:hAnsi="Times New Roman" w:cs="Times New Roman"/>
          <w:b/>
          <w:sz w:val="24"/>
          <w:szCs w:val="24"/>
        </w:rPr>
      </w:pPr>
      <w:r>
        <w:rPr>
          <w:rFonts w:ascii="Times New Roman" w:hAnsi="Times New Roman" w:cs="Times New Roman"/>
          <w:b/>
          <w:sz w:val="24"/>
          <w:szCs w:val="24"/>
        </w:rPr>
        <w:t>3</w:t>
      </w:r>
      <w:r w:rsidR="00020FAF">
        <w:rPr>
          <w:rFonts w:ascii="Times New Roman" w:hAnsi="Times New Roman" w:cs="Times New Roman"/>
          <w:b/>
          <w:sz w:val="24"/>
          <w:szCs w:val="24"/>
        </w:rPr>
        <w:t>.1</w:t>
      </w:r>
      <w:r w:rsidR="00020FAF">
        <w:rPr>
          <w:rFonts w:ascii="Times New Roman" w:hAnsi="Times New Roman" w:cs="Times New Roman"/>
          <w:b/>
          <w:sz w:val="24"/>
          <w:szCs w:val="24"/>
        </w:rPr>
        <w:tab/>
      </w:r>
      <w:r w:rsidR="00D659FE" w:rsidRPr="00D659FE">
        <w:rPr>
          <w:rFonts w:ascii="Times New Roman" w:hAnsi="Times New Roman" w:cs="Times New Roman"/>
          <w:b/>
          <w:sz w:val="24"/>
          <w:szCs w:val="24"/>
        </w:rPr>
        <w:t>EQUIPMENT AND REAGENT</w:t>
      </w:r>
    </w:p>
    <w:p w14:paraId="23ABCFD8" w14:textId="77777777" w:rsidR="00D659FE" w:rsidRPr="00D659FE" w:rsidRDefault="00F03613" w:rsidP="009A5A7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020FAF">
        <w:rPr>
          <w:rFonts w:ascii="Times New Roman" w:hAnsi="Times New Roman" w:cs="Times New Roman"/>
          <w:b/>
          <w:sz w:val="24"/>
          <w:szCs w:val="24"/>
        </w:rPr>
        <w:t>.1.1</w:t>
      </w:r>
      <w:r w:rsidR="00020FAF">
        <w:rPr>
          <w:rFonts w:ascii="Times New Roman" w:hAnsi="Times New Roman" w:cs="Times New Roman"/>
          <w:b/>
          <w:sz w:val="24"/>
          <w:szCs w:val="24"/>
        </w:rPr>
        <w:tab/>
      </w:r>
      <w:r w:rsidR="005E1AA2" w:rsidRPr="00D659FE">
        <w:rPr>
          <w:rFonts w:ascii="Times New Roman" w:hAnsi="Times New Roman" w:cs="Times New Roman"/>
          <w:b/>
          <w:sz w:val="24"/>
          <w:szCs w:val="24"/>
        </w:rPr>
        <w:t>Equipment</w:t>
      </w:r>
      <w:r w:rsidR="00D659FE" w:rsidRPr="00D659FE">
        <w:rPr>
          <w:rFonts w:ascii="Times New Roman" w:hAnsi="Times New Roman" w:cs="Times New Roman"/>
          <w:b/>
          <w:sz w:val="24"/>
          <w:szCs w:val="24"/>
        </w:rPr>
        <w:t>:</w:t>
      </w:r>
    </w:p>
    <w:p w14:paraId="1151567B"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1000ml Standard Flask, Filter Paper, Beaker, Pipette, Burette, Conical Flask, Funnel, PH Measurement, Magnetic Stir, Measuring Cylinder, Spatula, Weighing Balance.</w:t>
      </w:r>
    </w:p>
    <w:p w14:paraId="786F6B52" w14:textId="77777777" w:rsidR="00D659FE" w:rsidRPr="00F03613" w:rsidRDefault="00F03613" w:rsidP="00F036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3.1.2</w:t>
      </w:r>
      <w:r>
        <w:rPr>
          <w:rFonts w:ascii="Times New Roman" w:hAnsi="Times New Roman" w:cs="Times New Roman"/>
          <w:b/>
          <w:sz w:val="24"/>
          <w:szCs w:val="24"/>
        </w:rPr>
        <w:tab/>
      </w:r>
      <w:r w:rsidR="00D659FE" w:rsidRPr="00F03613">
        <w:rPr>
          <w:rFonts w:ascii="Times New Roman" w:hAnsi="Times New Roman" w:cs="Times New Roman"/>
          <w:b/>
          <w:sz w:val="24"/>
          <w:szCs w:val="24"/>
        </w:rPr>
        <w:t xml:space="preserve"> </w:t>
      </w:r>
      <w:r w:rsidR="005E1AA2" w:rsidRPr="00F03613">
        <w:rPr>
          <w:rFonts w:ascii="Times New Roman" w:hAnsi="Times New Roman" w:cs="Times New Roman"/>
          <w:b/>
          <w:sz w:val="24"/>
          <w:szCs w:val="24"/>
        </w:rPr>
        <w:t>Reagent</w:t>
      </w:r>
      <w:r w:rsidR="00D659FE" w:rsidRPr="00F03613">
        <w:rPr>
          <w:rFonts w:ascii="Times New Roman" w:hAnsi="Times New Roman" w:cs="Times New Roman"/>
          <w:b/>
          <w:sz w:val="24"/>
          <w:szCs w:val="24"/>
        </w:rPr>
        <w:t>:</w:t>
      </w:r>
    </w:p>
    <w:p w14:paraId="6575234B"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Hydrochloric Acid (HCL), Distilled Water, Sodium Hydroxide (NaOH), Indicator (Bromocresol Green), Benzoic Acid, Indicator (Phenolphthalein), Tromethamine, Buffer Solution</w:t>
      </w:r>
    </w:p>
    <w:p w14:paraId="59D7F3D9" w14:textId="77777777" w:rsidR="00D659FE" w:rsidRPr="00F03613" w:rsidRDefault="00F03613" w:rsidP="00F036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3.1.3</w:t>
      </w:r>
      <w:r>
        <w:rPr>
          <w:rFonts w:ascii="Times New Roman" w:hAnsi="Times New Roman" w:cs="Times New Roman"/>
          <w:b/>
          <w:sz w:val="24"/>
          <w:szCs w:val="24"/>
        </w:rPr>
        <w:tab/>
      </w:r>
      <w:r w:rsidR="005E1AA2" w:rsidRPr="00F03613">
        <w:rPr>
          <w:rFonts w:ascii="Times New Roman" w:hAnsi="Times New Roman" w:cs="Times New Roman"/>
          <w:b/>
          <w:sz w:val="24"/>
          <w:szCs w:val="24"/>
        </w:rPr>
        <w:t>Reagent 2</w:t>
      </w:r>
      <w:r w:rsidR="00D659FE" w:rsidRPr="00F03613">
        <w:rPr>
          <w:rFonts w:ascii="Times New Roman" w:hAnsi="Times New Roman" w:cs="Times New Roman"/>
          <w:b/>
          <w:sz w:val="24"/>
          <w:szCs w:val="24"/>
        </w:rPr>
        <w:t xml:space="preserve"> (Antacids):</w:t>
      </w:r>
    </w:p>
    <w:p w14:paraId="4CB2B27C" w14:textId="77777777" w:rsidR="00D659FE" w:rsidRPr="00F03613" w:rsidRDefault="009E55DF" w:rsidP="009A5A72">
      <w:pPr>
        <w:spacing w:after="0" w:line="360" w:lineRule="auto"/>
        <w:jc w:val="both"/>
        <w:rPr>
          <w:rFonts w:ascii="Times New Roman" w:hAnsi="Times New Roman" w:cs="Times New Roman"/>
          <w:sz w:val="24"/>
          <w:szCs w:val="24"/>
        </w:rPr>
      </w:pPr>
      <w:r w:rsidRPr="00F03613">
        <w:rPr>
          <w:rFonts w:ascii="Times New Roman" w:hAnsi="Times New Roman" w:cs="Times New Roman"/>
          <w:sz w:val="24"/>
          <w:szCs w:val="24"/>
        </w:rPr>
        <w:t>4 Suspension, 5 Tablets, 2 Liquids</w:t>
      </w:r>
      <w:r w:rsidR="00D659FE" w:rsidRPr="00F03613">
        <w:rPr>
          <w:rFonts w:ascii="Times New Roman" w:hAnsi="Times New Roman" w:cs="Times New Roman"/>
          <w:sz w:val="24"/>
          <w:szCs w:val="24"/>
        </w:rPr>
        <w:t>.</w:t>
      </w:r>
      <w:r w:rsidR="00D659FE" w:rsidRPr="00F03613">
        <w:rPr>
          <w:rFonts w:ascii="Times New Roman" w:hAnsi="Times New Roman" w:cs="Times New Roman"/>
          <w:sz w:val="24"/>
          <w:szCs w:val="24"/>
        </w:rPr>
        <w:tab/>
      </w:r>
      <w:r w:rsidR="00D659FE" w:rsidRPr="00F03613">
        <w:rPr>
          <w:rFonts w:ascii="Times New Roman" w:hAnsi="Times New Roman" w:cs="Times New Roman"/>
          <w:sz w:val="24"/>
          <w:szCs w:val="24"/>
        </w:rPr>
        <w:tab/>
      </w:r>
      <w:r w:rsidR="00D659FE" w:rsidRPr="00F03613">
        <w:rPr>
          <w:rFonts w:ascii="Times New Roman" w:hAnsi="Times New Roman" w:cs="Times New Roman"/>
          <w:sz w:val="24"/>
          <w:szCs w:val="24"/>
        </w:rPr>
        <w:tab/>
      </w:r>
      <w:r w:rsidR="00D659FE" w:rsidRPr="00F03613">
        <w:rPr>
          <w:rFonts w:ascii="Times New Roman" w:hAnsi="Times New Roman" w:cs="Times New Roman"/>
          <w:sz w:val="24"/>
          <w:szCs w:val="24"/>
        </w:rPr>
        <w:tab/>
      </w:r>
    </w:p>
    <w:p w14:paraId="7E76130A" w14:textId="77777777" w:rsidR="00D659FE" w:rsidRPr="00D659FE" w:rsidRDefault="00C03B81" w:rsidP="00F03613">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SAMPLE PREPARATION</w:t>
      </w:r>
    </w:p>
    <w:p w14:paraId="12C5583A" w14:textId="77777777" w:rsidR="00C03B81" w:rsidRDefault="00C03B81" w:rsidP="00F03613">
      <w:pPr>
        <w:spacing w:after="0" w:line="360" w:lineRule="auto"/>
        <w:jc w:val="both"/>
        <w:rPr>
          <w:rFonts w:ascii="Times New Roman" w:eastAsia="Times New Roman" w:hAnsi="Times New Roman" w:cs="Times New Roman"/>
          <w:sz w:val="24"/>
          <w:szCs w:val="24"/>
        </w:rPr>
      </w:pPr>
      <w:r w:rsidRPr="00C03B81">
        <w:rPr>
          <w:rFonts w:ascii="Times New Roman" w:eastAsia="Times New Roman" w:hAnsi="Times New Roman" w:cs="Times New Roman"/>
          <w:sz w:val="24"/>
          <w:szCs w:val="24"/>
        </w:rPr>
        <w:t>The experimental procedure commenced with the thorough cleaning and setup of all required apparatus. Each tablet sample was carefully ground into fine powder using a mortar and pestle and labeled appropriately as</w:t>
      </w:r>
      <w:r w:rsidR="009E55DF">
        <w:rPr>
          <w:rFonts w:ascii="Times New Roman" w:eastAsia="Times New Roman" w:hAnsi="Times New Roman" w:cs="Times New Roman"/>
          <w:sz w:val="24"/>
          <w:szCs w:val="24"/>
        </w:rPr>
        <w:t xml:space="preserve"> follows: Specimen A, Specimen B, Specimen C, Specimen D, and Specimen E</w:t>
      </w:r>
      <w:r w:rsidRPr="00C03B81">
        <w:rPr>
          <w:rFonts w:ascii="Times New Roman" w:eastAsia="Times New Roman" w:hAnsi="Times New Roman" w:cs="Times New Roman"/>
          <w:sz w:val="24"/>
          <w:szCs w:val="24"/>
        </w:rPr>
        <w:t>. After grinding, the powdered samples were wrapped in aluminum foil and properly labeled for identification. Precisely 2 g of each specimen was weighed using an analytical balance, and the weighing was performed in triplicates to ensure accuracy and repeatability (i.e., 2 g × 3 replicates). Subsequently, 400 mL of distilled water and 1000 mL of hydrochloric acid (HCl) were measured using a measuring cylinder and combined in a 1000 mL standard flask, with the acid carefully added to the water to prevent splashing or hazardous reactions, following the standard acid-to-water mixing protocol.</w:t>
      </w:r>
    </w:p>
    <w:p w14:paraId="37D66AA2" w14:textId="77777777" w:rsidR="00C03B81" w:rsidRPr="00C03B81" w:rsidRDefault="00C03B81" w:rsidP="00F03613">
      <w:pPr>
        <w:spacing w:after="0" w:line="360" w:lineRule="auto"/>
        <w:jc w:val="both"/>
        <w:rPr>
          <w:rFonts w:ascii="Times New Roman" w:eastAsia="Times New Roman" w:hAnsi="Times New Roman" w:cs="Times New Roman"/>
          <w:sz w:val="24"/>
          <w:szCs w:val="24"/>
        </w:rPr>
      </w:pPr>
      <w:r w:rsidRPr="00C03B81">
        <w:rPr>
          <w:rFonts w:ascii="Times New Roman" w:eastAsia="Times New Roman" w:hAnsi="Times New Roman" w:cs="Times New Roman"/>
          <w:sz w:val="24"/>
          <w:szCs w:val="24"/>
        </w:rPr>
        <w:lastRenderedPageBreak/>
        <w:t>For the titration process,</w:t>
      </w:r>
      <w:r w:rsidR="009E55DF">
        <w:rPr>
          <w:rFonts w:ascii="Times New Roman" w:eastAsia="Times New Roman" w:hAnsi="Times New Roman" w:cs="Times New Roman"/>
          <w:sz w:val="24"/>
          <w:szCs w:val="24"/>
        </w:rPr>
        <w:t xml:space="preserve"> 2 g of Specimen A </w:t>
      </w:r>
      <w:r w:rsidRPr="00C03B81">
        <w:rPr>
          <w:rFonts w:ascii="Times New Roman" w:eastAsia="Times New Roman" w:hAnsi="Times New Roman" w:cs="Times New Roman"/>
          <w:sz w:val="24"/>
          <w:szCs w:val="24"/>
        </w:rPr>
        <w:t>was transferred into a clean conical flask, followed by the addition of 25 mL of distilled water. The mixture was vigorously shaken to ensure complete dissolution. A burette was mounted on a retort stand and filled with the acid solution prepared earlier. Three drops of methyl orange indicator were then added to the conical flask containing the specimen solution. While continuously swirling the flask, the acid solution from the burette was added dropwise until a clear and stable color change was observed, indicating the titration endpoint. The volume of acid used was recorded. This titration procedure was repeated three times for each of the five specimens (A to E) to ensure consistency and reliability of results.</w:t>
      </w:r>
    </w:p>
    <w:p w14:paraId="37C5A038" w14:textId="77777777" w:rsidR="001E66C2" w:rsidRDefault="00C03B81" w:rsidP="00F03613">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1E66C2">
        <w:rPr>
          <w:rFonts w:ascii="Times New Roman" w:hAnsi="Times New Roman" w:cs="Times New Roman"/>
          <w:b/>
          <w:sz w:val="24"/>
          <w:szCs w:val="24"/>
        </w:rPr>
        <w:t>.3</w:t>
      </w:r>
      <w:r w:rsidR="001E66C2">
        <w:rPr>
          <w:rFonts w:ascii="Times New Roman" w:hAnsi="Times New Roman" w:cs="Times New Roman"/>
          <w:b/>
          <w:sz w:val="24"/>
          <w:szCs w:val="24"/>
        </w:rPr>
        <w:tab/>
        <w:t>ORGANOLEPTIC PROPERTIES OF ANTACID FORMULATIONS</w:t>
      </w:r>
    </w:p>
    <w:p w14:paraId="33A0563E" w14:textId="77777777" w:rsidR="00C03B81" w:rsidRPr="001E66C2" w:rsidRDefault="00C03B81" w:rsidP="009A5A7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3.1: organoleptic properties of antacid formulations </w:t>
      </w:r>
    </w:p>
    <w:tbl>
      <w:tblPr>
        <w:tblStyle w:val="TableGrid"/>
        <w:tblW w:w="9778" w:type="dxa"/>
        <w:jc w:val="center"/>
        <w:tblLayout w:type="fixed"/>
        <w:tblLook w:val="04A0" w:firstRow="1" w:lastRow="0" w:firstColumn="1" w:lastColumn="0" w:noHBand="0" w:noVBand="1"/>
      </w:tblPr>
      <w:tblGrid>
        <w:gridCol w:w="630"/>
        <w:gridCol w:w="971"/>
        <w:gridCol w:w="1170"/>
        <w:gridCol w:w="1260"/>
        <w:gridCol w:w="1639"/>
        <w:gridCol w:w="1781"/>
        <w:gridCol w:w="990"/>
        <w:gridCol w:w="1337"/>
      </w:tblGrid>
      <w:tr w:rsidR="005F4524" w:rsidRPr="00D70544" w14:paraId="689A8F3B" w14:textId="77777777" w:rsidTr="005F4524">
        <w:trPr>
          <w:jc w:val="center"/>
        </w:trPr>
        <w:tc>
          <w:tcPr>
            <w:tcW w:w="630" w:type="dxa"/>
            <w:hideMark/>
          </w:tcPr>
          <w:p w14:paraId="29195075" w14:textId="77777777" w:rsidR="00D70544" w:rsidRPr="00D70544" w:rsidRDefault="00D70544" w:rsidP="009A5A72">
            <w:pPr>
              <w:spacing w:line="360" w:lineRule="auto"/>
              <w:jc w:val="center"/>
              <w:rPr>
                <w:rFonts w:ascii="Times New Roman" w:hAnsi="Times New Roman" w:cs="Times New Roman"/>
                <w:b/>
                <w:bCs/>
                <w:sz w:val="24"/>
                <w:szCs w:val="24"/>
              </w:rPr>
            </w:pPr>
            <w:r w:rsidRPr="00D70544">
              <w:rPr>
                <w:rFonts w:ascii="Times New Roman" w:hAnsi="Times New Roman" w:cs="Times New Roman"/>
                <w:b/>
                <w:bCs/>
                <w:sz w:val="24"/>
                <w:szCs w:val="24"/>
              </w:rPr>
              <w:t>S/N</w:t>
            </w:r>
          </w:p>
        </w:tc>
        <w:tc>
          <w:tcPr>
            <w:tcW w:w="971" w:type="dxa"/>
            <w:hideMark/>
          </w:tcPr>
          <w:p w14:paraId="4B305A5E" w14:textId="77777777" w:rsidR="00D70544" w:rsidRPr="00D70544" w:rsidRDefault="00D70544" w:rsidP="009A5A72">
            <w:pPr>
              <w:spacing w:line="360" w:lineRule="auto"/>
              <w:jc w:val="center"/>
              <w:rPr>
                <w:rFonts w:ascii="Times New Roman" w:hAnsi="Times New Roman" w:cs="Times New Roman"/>
                <w:b/>
                <w:bCs/>
                <w:sz w:val="24"/>
                <w:szCs w:val="24"/>
              </w:rPr>
            </w:pPr>
            <w:r w:rsidRPr="00D70544">
              <w:rPr>
                <w:rFonts w:ascii="Times New Roman" w:hAnsi="Times New Roman" w:cs="Times New Roman"/>
                <w:b/>
                <w:bCs/>
                <w:sz w:val="24"/>
                <w:szCs w:val="24"/>
              </w:rPr>
              <w:t>Brand Name</w:t>
            </w:r>
          </w:p>
        </w:tc>
        <w:tc>
          <w:tcPr>
            <w:tcW w:w="1170" w:type="dxa"/>
            <w:hideMark/>
          </w:tcPr>
          <w:p w14:paraId="19079507" w14:textId="77777777" w:rsidR="00D70544" w:rsidRPr="00D70544" w:rsidRDefault="00D70544" w:rsidP="009A5A72">
            <w:pPr>
              <w:spacing w:line="360" w:lineRule="auto"/>
              <w:jc w:val="center"/>
              <w:rPr>
                <w:rFonts w:ascii="Times New Roman" w:hAnsi="Times New Roman" w:cs="Times New Roman"/>
                <w:b/>
                <w:bCs/>
                <w:sz w:val="24"/>
                <w:szCs w:val="24"/>
              </w:rPr>
            </w:pPr>
            <w:r w:rsidRPr="00D70544">
              <w:rPr>
                <w:rFonts w:ascii="Times New Roman" w:hAnsi="Times New Roman" w:cs="Times New Roman"/>
                <w:b/>
                <w:bCs/>
                <w:sz w:val="24"/>
                <w:szCs w:val="24"/>
              </w:rPr>
              <w:t>Country</w:t>
            </w:r>
          </w:p>
        </w:tc>
        <w:tc>
          <w:tcPr>
            <w:tcW w:w="1260" w:type="dxa"/>
            <w:hideMark/>
          </w:tcPr>
          <w:p w14:paraId="52ECEEF4" w14:textId="77777777" w:rsidR="00D70544" w:rsidRPr="00D70544" w:rsidRDefault="00D70544" w:rsidP="009A5A7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Dosage Form</w:t>
            </w:r>
          </w:p>
        </w:tc>
        <w:tc>
          <w:tcPr>
            <w:tcW w:w="1639" w:type="dxa"/>
            <w:hideMark/>
          </w:tcPr>
          <w:p w14:paraId="6697F66E" w14:textId="77777777" w:rsidR="00D70544" w:rsidRPr="00D70544" w:rsidRDefault="00D70544" w:rsidP="009A5A7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Package</w:t>
            </w:r>
          </w:p>
        </w:tc>
        <w:tc>
          <w:tcPr>
            <w:tcW w:w="1781" w:type="dxa"/>
            <w:hideMark/>
          </w:tcPr>
          <w:p w14:paraId="6ED5DA76" w14:textId="77777777" w:rsidR="00D70544" w:rsidRPr="00D70544" w:rsidRDefault="00D70544" w:rsidP="009A5A72">
            <w:pPr>
              <w:spacing w:line="360" w:lineRule="auto"/>
              <w:jc w:val="center"/>
              <w:rPr>
                <w:rFonts w:ascii="Times New Roman" w:hAnsi="Times New Roman" w:cs="Times New Roman"/>
                <w:b/>
                <w:bCs/>
                <w:sz w:val="24"/>
                <w:szCs w:val="24"/>
              </w:rPr>
            </w:pPr>
            <w:r w:rsidRPr="00D70544">
              <w:rPr>
                <w:rFonts w:ascii="Times New Roman" w:hAnsi="Times New Roman" w:cs="Times New Roman"/>
                <w:b/>
                <w:bCs/>
                <w:sz w:val="24"/>
                <w:szCs w:val="24"/>
              </w:rPr>
              <w:t>Composition</w:t>
            </w:r>
          </w:p>
        </w:tc>
        <w:tc>
          <w:tcPr>
            <w:tcW w:w="990" w:type="dxa"/>
            <w:hideMark/>
          </w:tcPr>
          <w:p w14:paraId="1D2ACE6A" w14:textId="77777777" w:rsidR="00D70544" w:rsidRPr="00D70544" w:rsidRDefault="00D70544" w:rsidP="009A5A7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Colour</w:t>
            </w:r>
          </w:p>
        </w:tc>
        <w:tc>
          <w:tcPr>
            <w:tcW w:w="1337" w:type="dxa"/>
          </w:tcPr>
          <w:p w14:paraId="0E3D816B" w14:textId="77777777" w:rsidR="00D70544" w:rsidRDefault="00D70544" w:rsidP="009A5A7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Odour &amp; Flavour</w:t>
            </w:r>
          </w:p>
        </w:tc>
      </w:tr>
      <w:tr w:rsidR="005F4524" w:rsidRPr="00D70544" w14:paraId="119E893C" w14:textId="77777777" w:rsidTr="005F4524">
        <w:trPr>
          <w:jc w:val="center"/>
        </w:trPr>
        <w:tc>
          <w:tcPr>
            <w:tcW w:w="630" w:type="dxa"/>
            <w:hideMark/>
          </w:tcPr>
          <w:p w14:paraId="0C75AE77" w14:textId="77777777" w:rsidR="00D70544" w:rsidRPr="00D70544" w:rsidRDefault="00D70544" w:rsidP="009A5A72">
            <w:pPr>
              <w:spacing w:line="360" w:lineRule="auto"/>
              <w:jc w:val="center"/>
              <w:rPr>
                <w:rFonts w:ascii="Times New Roman" w:hAnsi="Times New Roman" w:cs="Times New Roman"/>
                <w:sz w:val="24"/>
                <w:szCs w:val="24"/>
              </w:rPr>
            </w:pPr>
            <w:r w:rsidRPr="00D70544">
              <w:rPr>
                <w:rFonts w:ascii="Times New Roman" w:hAnsi="Times New Roman" w:cs="Times New Roman"/>
                <w:sz w:val="24"/>
                <w:szCs w:val="24"/>
              </w:rPr>
              <w:t>1</w:t>
            </w:r>
          </w:p>
        </w:tc>
        <w:tc>
          <w:tcPr>
            <w:tcW w:w="971" w:type="dxa"/>
            <w:hideMark/>
          </w:tcPr>
          <w:p w14:paraId="19B2D184"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Kriscet</w:t>
            </w:r>
          </w:p>
        </w:tc>
        <w:tc>
          <w:tcPr>
            <w:tcW w:w="1170" w:type="dxa"/>
            <w:hideMark/>
          </w:tcPr>
          <w:p w14:paraId="7C1C76F6"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Nigeria</w:t>
            </w:r>
          </w:p>
        </w:tc>
        <w:tc>
          <w:tcPr>
            <w:tcW w:w="1260" w:type="dxa"/>
            <w:hideMark/>
          </w:tcPr>
          <w:p w14:paraId="6B0CBC8B"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Chewable Tablet</w:t>
            </w:r>
          </w:p>
        </w:tc>
        <w:tc>
          <w:tcPr>
            <w:tcW w:w="1639" w:type="dxa"/>
            <w:hideMark/>
          </w:tcPr>
          <w:p w14:paraId="62AA0007" w14:textId="77777777" w:rsidR="00D70544" w:rsidRPr="00D70544" w:rsidRDefault="00D70544" w:rsidP="009A5A72">
            <w:pPr>
              <w:spacing w:line="360" w:lineRule="auto"/>
              <w:rPr>
                <w:rFonts w:ascii="Times New Roman" w:hAnsi="Times New Roman" w:cs="Times New Roman"/>
                <w:sz w:val="24"/>
                <w:szCs w:val="24"/>
              </w:rPr>
            </w:pPr>
            <w:r>
              <w:rPr>
                <w:rFonts w:ascii="Times New Roman" w:hAnsi="Times New Roman" w:cs="Times New Roman"/>
                <w:sz w:val="24"/>
                <w:szCs w:val="24"/>
              </w:rPr>
              <w:t>20</w:t>
            </w:r>
            <w:r w:rsidRPr="00D70544">
              <w:rPr>
                <w:rFonts w:ascii="Times New Roman" w:hAnsi="Times New Roman" w:cs="Times New Roman"/>
                <w:sz w:val="24"/>
                <w:szCs w:val="24"/>
              </w:rPr>
              <w:t>0 mg</w:t>
            </w:r>
            <w:r>
              <w:rPr>
                <w:rFonts w:ascii="Times New Roman" w:hAnsi="Times New Roman" w:cs="Times New Roman"/>
                <w:sz w:val="24"/>
                <w:szCs w:val="24"/>
              </w:rPr>
              <w:t xml:space="preserve"> Sachet</w:t>
            </w:r>
          </w:p>
        </w:tc>
        <w:tc>
          <w:tcPr>
            <w:tcW w:w="1781" w:type="dxa"/>
            <w:hideMark/>
          </w:tcPr>
          <w:p w14:paraId="2ECFFD29"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Each uncoated tablet contains Cimetidine BP 2</w:t>
            </w:r>
            <w:r>
              <w:rPr>
                <w:rFonts w:ascii="Times New Roman" w:hAnsi="Times New Roman" w:cs="Times New Roman"/>
                <w:sz w:val="24"/>
                <w:szCs w:val="24"/>
              </w:rPr>
              <w:t>0</w:t>
            </w:r>
            <w:r w:rsidRPr="00D70544">
              <w:rPr>
                <w:rFonts w:ascii="Times New Roman" w:hAnsi="Times New Roman" w:cs="Times New Roman"/>
                <w:sz w:val="24"/>
                <w:szCs w:val="24"/>
              </w:rPr>
              <w:t xml:space="preserve">0 mg. Excipients </w:t>
            </w:r>
            <w:r>
              <w:rPr>
                <w:rFonts w:ascii="Times New Roman" w:hAnsi="Times New Roman" w:cs="Times New Roman"/>
                <w:sz w:val="24"/>
                <w:szCs w:val="24"/>
              </w:rPr>
              <w:t>Q.S</w:t>
            </w:r>
          </w:p>
        </w:tc>
        <w:tc>
          <w:tcPr>
            <w:tcW w:w="990" w:type="dxa"/>
            <w:hideMark/>
          </w:tcPr>
          <w:p w14:paraId="7C2FE7F4"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 xml:space="preserve"> W</w:t>
            </w:r>
            <w:r w:rsidR="00C44110">
              <w:rPr>
                <w:rFonts w:ascii="Times New Roman" w:hAnsi="Times New Roman" w:cs="Times New Roman"/>
                <w:sz w:val="24"/>
                <w:szCs w:val="24"/>
              </w:rPr>
              <w:t>hite</w:t>
            </w:r>
            <w:r w:rsidR="00C44110">
              <w:rPr>
                <w:rFonts w:ascii="Times New Roman" w:hAnsi="Times New Roman" w:cs="Times New Roman"/>
                <w:sz w:val="24"/>
                <w:szCs w:val="24"/>
              </w:rPr>
              <w:br/>
            </w:r>
          </w:p>
        </w:tc>
        <w:tc>
          <w:tcPr>
            <w:tcW w:w="1337" w:type="dxa"/>
          </w:tcPr>
          <w:p w14:paraId="54E28894" w14:textId="77777777" w:rsidR="00D70544" w:rsidRPr="00D70544" w:rsidRDefault="00C44110" w:rsidP="009A5A72">
            <w:pPr>
              <w:spacing w:line="360" w:lineRule="auto"/>
              <w:rPr>
                <w:rFonts w:ascii="Times New Roman" w:hAnsi="Times New Roman" w:cs="Times New Roman"/>
                <w:sz w:val="24"/>
                <w:szCs w:val="24"/>
              </w:rPr>
            </w:pPr>
            <w:r>
              <w:rPr>
                <w:rFonts w:ascii="Times New Roman" w:hAnsi="Times New Roman" w:cs="Times New Roman"/>
                <w:sz w:val="24"/>
                <w:szCs w:val="24"/>
              </w:rPr>
              <w:t>Odorless and bitter</w:t>
            </w:r>
          </w:p>
        </w:tc>
      </w:tr>
      <w:tr w:rsidR="005F4524" w:rsidRPr="00D70544" w14:paraId="33916FD7" w14:textId="77777777" w:rsidTr="005F4524">
        <w:trPr>
          <w:jc w:val="center"/>
        </w:trPr>
        <w:tc>
          <w:tcPr>
            <w:tcW w:w="630" w:type="dxa"/>
            <w:hideMark/>
          </w:tcPr>
          <w:p w14:paraId="0A0372C1" w14:textId="77777777" w:rsidR="00D70544" w:rsidRPr="00D70544" w:rsidRDefault="00D70544" w:rsidP="009A5A72">
            <w:pPr>
              <w:spacing w:line="360" w:lineRule="auto"/>
              <w:jc w:val="center"/>
              <w:rPr>
                <w:rFonts w:ascii="Times New Roman" w:hAnsi="Times New Roman" w:cs="Times New Roman"/>
                <w:sz w:val="24"/>
                <w:szCs w:val="24"/>
              </w:rPr>
            </w:pPr>
            <w:r w:rsidRPr="00D70544">
              <w:rPr>
                <w:rFonts w:ascii="Times New Roman" w:hAnsi="Times New Roman" w:cs="Times New Roman"/>
                <w:sz w:val="24"/>
                <w:szCs w:val="24"/>
              </w:rPr>
              <w:t>2</w:t>
            </w:r>
          </w:p>
        </w:tc>
        <w:tc>
          <w:tcPr>
            <w:tcW w:w="971" w:type="dxa"/>
            <w:hideMark/>
          </w:tcPr>
          <w:p w14:paraId="4156132E" w14:textId="77777777" w:rsidR="00D70544" w:rsidRPr="00D70544" w:rsidRDefault="00C44110" w:rsidP="009A5A72">
            <w:pPr>
              <w:spacing w:line="360" w:lineRule="auto"/>
              <w:rPr>
                <w:rFonts w:ascii="Times New Roman" w:hAnsi="Times New Roman" w:cs="Times New Roman"/>
                <w:sz w:val="24"/>
                <w:szCs w:val="24"/>
              </w:rPr>
            </w:pPr>
            <w:r>
              <w:rPr>
                <w:rFonts w:ascii="Times New Roman" w:hAnsi="Times New Roman" w:cs="Times New Roman"/>
                <w:sz w:val="24"/>
                <w:szCs w:val="24"/>
              </w:rPr>
              <w:t>Phe</w:t>
            </w:r>
            <w:r w:rsidR="00D70544" w:rsidRPr="00D70544">
              <w:rPr>
                <w:rFonts w:ascii="Times New Roman" w:hAnsi="Times New Roman" w:cs="Times New Roman"/>
                <w:sz w:val="24"/>
                <w:szCs w:val="24"/>
              </w:rPr>
              <w:t>rix</w:t>
            </w:r>
          </w:p>
        </w:tc>
        <w:tc>
          <w:tcPr>
            <w:tcW w:w="1170" w:type="dxa"/>
            <w:hideMark/>
          </w:tcPr>
          <w:p w14:paraId="1E2AA6FA"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India</w:t>
            </w:r>
          </w:p>
        </w:tc>
        <w:tc>
          <w:tcPr>
            <w:tcW w:w="1260" w:type="dxa"/>
            <w:hideMark/>
          </w:tcPr>
          <w:p w14:paraId="6554816F"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Chewable Tablet</w:t>
            </w:r>
          </w:p>
        </w:tc>
        <w:tc>
          <w:tcPr>
            <w:tcW w:w="1639" w:type="dxa"/>
            <w:hideMark/>
          </w:tcPr>
          <w:p w14:paraId="75F67D80" w14:textId="77777777" w:rsidR="00D70544" w:rsidRPr="00D70544" w:rsidRDefault="00C44110" w:rsidP="009A5A72">
            <w:pPr>
              <w:spacing w:line="360" w:lineRule="auto"/>
              <w:rPr>
                <w:rFonts w:ascii="Times New Roman" w:hAnsi="Times New Roman" w:cs="Times New Roman"/>
                <w:sz w:val="24"/>
                <w:szCs w:val="24"/>
              </w:rPr>
            </w:pPr>
            <w:r>
              <w:rPr>
                <w:rFonts w:ascii="Times New Roman" w:hAnsi="Times New Roman" w:cs="Times New Roman"/>
                <w:sz w:val="24"/>
                <w:szCs w:val="24"/>
              </w:rPr>
              <w:t>10m</w:t>
            </w:r>
            <w:r w:rsidR="00D70544" w:rsidRPr="00D70544">
              <w:rPr>
                <w:rFonts w:ascii="Times New Roman" w:hAnsi="Times New Roman" w:cs="Times New Roman"/>
                <w:sz w:val="24"/>
                <w:szCs w:val="24"/>
              </w:rPr>
              <w:t>g</w:t>
            </w:r>
          </w:p>
        </w:tc>
        <w:tc>
          <w:tcPr>
            <w:tcW w:w="1781" w:type="dxa"/>
            <w:hideMark/>
          </w:tcPr>
          <w:p w14:paraId="0C399336" w14:textId="77777777" w:rsidR="00D70544" w:rsidRPr="00D70544" w:rsidRDefault="00C44110" w:rsidP="009A5A72">
            <w:pPr>
              <w:spacing w:line="360" w:lineRule="auto"/>
              <w:rPr>
                <w:rFonts w:ascii="Times New Roman" w:hAnsi="Times New Roman" w:cs="Times New Roman"/>
                <w:sz w:val="24"/>
                <w:szCs w:val="24"/>
              </w:rPr>
            </w:pPr>
            <w:r>
              <w:rPr>
                <w:rFonts w:ascii="Times New Roman" w:hAnsi="Times New Roman" w:cs="Times New Roman"/>
                <w:sz w:val="24"/>
                <w:szCs w:val="24"/>
              </w:rPr>
              <w:t>Each enteric c</w:t>
            </w:r>
            <w:r w:rsidR="00D70544" w:rsidRPr="00D70544">
              <w:rPr>
                <w:rFonts w:ascii="Times New Roman" w:hAnsi="Times New Roman" w:cs="Times New Roman"/>
                <w:sz w:val="24"/>
                <w:szCs w:val="24"/>
              </w:rPr>
              <w:t>o</w:t>
            </w:r>
            <w:r w:rsidR="00BA04F8">
              <w:rPr>
                <w:rFonts w:ascii="Times New Roman" w:hAnsi="Times New Roman" w:cs="Times New Roman"/>
                <w:sz w:val="24"/>
                <w:szCs w:val="24"/>
              </w:rPr>
              <w:t>ated tablet contains Dexrabeprazole Sodium</w:t>
            </w:r>
            <w:r w:rsidR="00D70544" w:rsidRPr="00D70544">
              <w:rPr>
                <w:rFonts w:ascii="Times New Roman" w:hAnsi="Times New Roman" w:cs="Times New Roman"/>
                <w:sz w:val="24"/>
                <w:szCs w:val="24"/>
              </w:rPr>
              <w:t xml:space="preserve"> </w:t>
            </w:r>
            <w:r w:rsidR="00BA04F8">
              <w:rPr>
                <w:rFonts w:ascii="Times New Roman" w:hAnsi="Times New Roman" w:cs="Times New Roman"/>
                <w:sz w:val="24"/>
                <w:szCs w:val="24"/>
              </w:rPr>
              <w:t>10</w:t>
            </w:r>
            <w:r w:rsidR="001E66C2">
              <w:rPr>
                <w:rFonts w:ascii="Times New Roman" w:hAnsi="Times New Roman" w:cs="Times New Roman"/>
                <w:sz w:val="24"/>
                <w:szCs w:val="24"/>
              </w:rPr>
              <w:t xml:space="preserve"> </w:t>
            </w:r>
            <w:r w:rsidR="00D70544" w:rsidRPr="00D70544">
              <w:rPr>
                <w:rFonts w:ascii="Times New Roman" w:hAnsi="Times New Roman" w:cs="Times New Roman"/>
                <w:sz w:val="24"/>
                <w:szCs w:val="24"/>
              </w:rPr>
              <w:lastRenderedPageBreak/>
              <w:t xml:space="preserve">mg. Excipients </w:t>
            </w:r>
            <w:r w:rsidR="00BA04F8">
              <w:rPr>
                <w:rFonts w:ascii="Times New Roman" w:hAnsi="Times New Roman" w:cs="Times New Roman"/>
                <w:sz w:val="24"/>
                <w:szCs w:val="24"/>
              </w:rPr>
              <w:t>Q.S</w:t>
            </w:r>
            <w:r w:rsidR="00D70544" w:rsidRPr="00D70544">
              <w:rPr>
                <w:rFonts w:ascii="Times New Roman" w:hAnsi="Times New Roman" w:cs="Times New Roman"/>
                <w:sz w:val="24"/>
                <w:szCs w:val="24"/>
              </w:rPr>
              <w:t>.</w:t>
            </w:r>
          </w:p>
        </w:tc>
        <w:tc>
          <w:tcPr>
            <w:tcW w:w="990" w:type="dxa"/>
            <w:hideMark/>
          </w:tcPr>
          <w:p w14:paraId="17D12DE6" w14:textId="77777777" w:rsidR="00D70544" w:rsidRPr="00D70544" w:rsidRDefault="00BA04F8" w:rsidP="009A5A7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White</w:t>
            </w:r>
          </w:p>
        </w:tc>
        <w:tc>
          <w:tcPr>
            <w:tcW w:w="1337" w:type="dxa"/>
          </w:tcPr>
          <w:p w14:paraId="4EDA9BA2" w14:textId="77777777" w:rsidR="00D70544" w:rsidRPr="00D70544" w:rsidRDefault="00BA04F8" w:rsidP="009A5A72">
            <w:pPr>
              <w:spacing w:line="360" w:lineRule="auto"/>
              <w:rPr>
                <w:rFonts w:ascii="Times New Roman" w:hAnsi="Times New Roman" w:cs="Times New Roman"/>
                <w:sz w:val="24"/>
                <w:szCs w:val="24"/>
              </w:rPr>
            </w:pPr>
            <w:r>
              <w:rPr>
                <w:rFonts w:ascii="Times New Roman" w:hAnsi="Times New Roman" w:cs="Times New Roman"/>
                <w:sz w:val="24"/>
                <w:szCs w:val="24"/>
              </w:rPr>
              <w:t>Mint</w:t>
            </w:r>
          </w:p>
        </w:tc>
      </w:tr>
      <w:tr w:rsidR="005F4524" w:rsidRPr="00D70544" w14:paraId="739D2F13" w14:textId="77777777" w:rsidTr="005F4524">
        <w:trPr>
          <w:jc w:val="center"/>
        </w:trPr>
        <w:tc>
          <w:tcPr>
            <w:tcW w:w="630" w:type="dxa"/>
            <w:hideMark/>
          </w:tcPr>
          <w:p w14:paraId="6D7C6AB6" w14:textId="77777777" w:rsidR="00D70544" w:rsidRPr="00D70544" w:rsidRDefault="00D70544" w:rsidP="009A5A72">
            <w:pPr>
              <w:spacing w:line="360" w:lineRule="auto"/>
              <w:jc w:val="center"/>
              <w:rPr>
                <w:rFonts w:ascii="Times New Roman" w:hAnsi="Times New Roman" w:cs="Times New Roman"/>
                <w:sz w:val="24"/>
                <w:szCs w:val="24"/>
              </w:rPr>
            </w:pPr>
            <w:r w:rsidRPr="00D70544">
              <w:rPr>
                <w:rFonts w:ascii="Times New Roman" w:hAnsi="Times New Roman" w:cs="Times New Roman"/>
                <w:sz w:val="24"/>
                <w:szCs w:val="24"/>
              </w:rPr>
              <w:t>3</w:t>
            </w:r>
          </w:p>
        </w:tc>
        <w:tc>
          <w:tcPr>
            <w:tcW w:w="971" w:type="dxa"/>
            <w:hideMark/>
          </w:tcPr>
          <w:p w14:paraId="5916BFA0"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Krisnat Omeprazole</w:t>
            </w:r>
          </w:p>
        </w:tc>
        <w:tc>
          <w:tcPr>
            <w:tcW w:w="1170" w:type="dxa"/>
            <w:hideMark/>
          </w:tcPr>
          <w:p w14:paraId="58C25289"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Nigeria</w:t>
            </w:r>
          </w:p>
        </w:tc>
        <w:tc>
          <w:tcPr>
            <w:tcW w:w="1260" w:type="dxa"/>
            <w:hideMark/>
          </w:tcPr>
          <w:p w14:paraId="31E543D0"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Chewable Tablet</w:t>
            </w:r>
          </w:p>
        </w:tc>
        <w:tc>
          <w:tcPr>
            <w:tcW w:w="1639" w:type="dxa"/>
            <w:hideMark/>
          </w:tcPr>
          <w:p w14:paraId="43674792"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20 mg</w:t>
            </w:r>
          </w:p>
        </w:tc>
        <w:tc>
          <w:tcPr>
            <w:tcW w:w="1781" w:type="dxa"/>
            <w:hideMark/>
          </w:tcPr>
          <w:p w14:paraId="6C31910A"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Omeprazole</w:t>
            </w:r>
            <w:r w:rsidR="00BA04F8">
              <w:rPr>
                <w:rFonts w:ascii="Times New Roman" w:hAnsi="Times New Roman" w:cs="Times New Roman"/>
                <w:sz w:val="24"/>
                <w:szCs w:val="24"/>
              </w:rPr>
              <w:t xml:space="preserve"> (as enteric coated pellets)</w:t>
            </w:r>
            <w:r w:rsidRPr="00D70544">
              <w:rPr>
                <w:rFonts w:ascii="Times New Roman" w:hAnsi="Times New Roman" w:cs="Times New Roman"/>
                <w:sz w:val="24"/>
                <w:szCs w:val="24"/>
              </w:rPr>
              <w:t xml:space="preserve"> 20 mg.</w:t>
            </w:r>
          </w:p>
        </w:tc>
        <w:tc>
          <w:tcPr>
            <w:tcW w:w="990" w:type="dxa"/>
            <w:hideMark/>
          </w:tcPr>
          <w:p w14:paraId="44962724"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White</w:t>
            </w:r>
          </w:p>
        </w:tc>
        <w:tc>
          <w:tcPr>
            <w:tcW w:w="1337" w:type="dxa"/>
          </w:tcPr>
          <w:p w14:paraId="4F686951" w14:textId="77777777" w:rsidR="00D70544" w:rsidRPr="00D70544" w:rsidRDefault="00BA04F8" w:rsidP="009A5A72">
            <w:pPr>
              <w:spacing w:line="360" w:lineRule="auto"/>
              <w:rPr>
                <w:rFonts w:ascii="Times New Roman" w:hAnsi="Times New Roman" w:cs="Times New Roman"/>
                <w:sz w:val="24"/>
                <w:szCs w:val="24"/>
              </w:rPr>
            </w:pPr>
            <w:r>
              <w:rPr>
                <w:rFonts w:ascii="Times New Roman" w:hAnsi="Times New Roman" w:cs="Times New Roman"/>
                <w:sz w:val="24"/>
                <w:szCs w:val="24"/>
              </w:rPr>
              <w:t>Mint</w:t>
            </w:r>
          </w:p>
        </w:tc>
      </w:tr>
      <w:tr w:rsidR="005F4524" w:rsidRPr="00D70544" w14:paraId="78127240" w14:textId="77777777" w:rsidTr="005F4524">
        <w:trPr>
          <w:jc w:val="center"/>
        </w:trPr>
        <w:tc>
          <w:tcPr>
            <w:tcW w:w="630" w:type="dxa"/>
            <w:hideMark/>
          </w:tcPr>
          <w:p w14:paraId="7023E642" w14:textId="77777777" w:rsidR="00D70544" w:rsidRPr="00D70544" w:rsidRDefault="00D70544" w:rsidP="009A5A72">
            <w:pPr>
              <w:spacing w:line="360" w:lineRule="auto"/>
              <w:jc w:val="center"/>
              <w:rPr>
                <w:rFonts w:ascii="Times New Roman" w:hAnsi="Times New Roman" w:cs="Times New Roman"/>
                <w:sz w:val="24"/>
                <w:szCs w:val="24"/>
              </w:rPr>
            </w:pPr>
            <w:r w:rsidRPr="00D70544">
              <w:rPr>
                <w:rFonts w:ascii="Times New Roman" w:hAnsi="Times New Roman" w:cs="Times New Roman"/>
                <w:sz w:val="24"/>
                <w:szCs w:val="24"/>
              </w:rPr>
              <w:t>4</w:t>
            </w:r>
          </w:p>
        </w:tc>
        <w:tc>
          <w:tcPr>
            <w:tcW w:w="971" w:type="dxa"/>
            <w:hideMark/>
          </w:tcPr>
          <w:p w14:paraId="2C4563A5" w14:textId="77777777" w:rsidR="00D70544" w:rsidRPr="00D70544" w:rsidRDefault="00BA04F8" w:rsidP="009A5A72">
            <w:pPr>
              <w:spacing w:line="360" w:lineRule="auto"/>
              <w:rPr>
                <w:rFonts w:ascii="Times New Roman" w:hAnsi="Times New Roman" w:cs="Times New Roman"/>
                <w:sz w:val="24"/>
                <w:szCs w:val="24"/>
              </w:rPr>
            </w:pPr>
            <w:r>
              <w:rPr>
                <w:rFonts w:ascii="Times New Roman" w:hAnsi="Times New Roman" w:cs="Times New Roman"/>
                <w:sz w:val="24"/>
                <w:szCs w:val="24"/>
              </w:rPr>
              <w:t>Gestid</w:t>
            </w:r>
          </w:p>
        </w:tc>
        <w:tc>
          <w:tcPr>
            <w:tcW w:w="1170" w:type="dxa"/>
            <w:hideMark/>
          </w:tcPr>
          <w:p w14:paraId="7D0C798B"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India</w:t>
            </w:r>
          </w:p>
        </w:tc>
        <w:tc>
          <w:tcPr>
            <w:tcW w:w="1260" w:type="dxa"/>
            <w:hideMark/>
          </w:tcPr>
          <w:p w14:paraId="629FCA12"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Chewable Tablet</w:t>
            </w:r>
          </w:p>
        </w:tc>
        <w:tc>
          <w:tcPr>
            <w:tcW w:w="1639" w:type="dxa"/>
            <w:hideMark/>
          </w:tcPr>
          <w:p w14:paraId="2718090E"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300 mg</w:t>
            </w:r>
          </w:p>
        </w:tc>
        <w:tc>
          <w:tcPr>
            <w:tcW w:w="1781" w:type="dxa"/>
            <w:hideMark/>
          </w:tcPr>
          <w:p w14:paraId="602022DE"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Each</w:t>
            </w:r>
            <w:r w:rsidR="00BA04F8">
              <w:rPr>
                <w:rFonts w:ascii="Times New Roman" w:hAnsi="Times New Roman" w:cs="Times New Roman"/>
                <w:sz w:val="24"/>
                <w:szCs w:val="24"/>
              </w:rPr>
              <w:t xml:space="preserve"> chewable</w:t>
            </w:r>
            <w:r w:rsidRPr="00D70544">
              <w:rPr>
                <w:rFonts w:ascii="Times New Roman" w:hAnsi="Times New Roman" w:cs="Times New Roman"/>
                <w:sz w:val="24"/>
                <w:szCs w:val="24"/>
              </w:rPr>
              <w:t xml:space="preserve"> tablet contain</w:t>
            </w:r>
            <w:r w:rsidR="00BA04F8">
              <w:rPr>
                <w:rFonts w:ascii="Times New Roman" w:hAnsi="Times New Roman" w:cs="Times New Roman"/>
                <w:sz w:val="24"/>
                <w:szCs w:val="24"/>
              </w:rPr>
              <w:t>s: Dried Aluminium Hydroxide</w:t>
            </w:r>
            <w:r w:rsidR="001E66C2">
              <w:rPr>
                <w:rFonts w:ascii="Times New Roman" w:hAnsi="Times New Roman" w:cs="Times New Roman"/>
                <w:sz w:val="24"/>
                <w:szCs w:val="24"/>
              </w:rPr>
              <w:t xml:space="preserve"> BP 300 mg </w:t>
            </w:r>
            <w:r w:rsidRPr="00D70544">
              <w:rPr>
                <w:rFonts w:ascii="Times New Roman" w:hAnsi="Times New Roman" w:cs="Times New Roman"/>
                <w:sz w:val="24"/>
                <w:szCs w:val="24"/>
              </w:rPr>
              <w:t xml:space="preserve">Magnesium Trisilicate </w:t>
            </w:r>
            <w:r w:rsidR="001E66C2">
              <w:rPr>
                <w:rFonts w:ascii="Times New Roman" w:hAnsi="Times New Roman" w:cs="Times New Roman"/>
                <w:sz w:val="24"/>
                <w:szCs w:val="24"/>
              </w:rPr>
              <w:t>B</w:t>
            </w:r>
            <w:r w:rsidRPr="00D70544">
              <w:rPr>
                <w:rFonts w:ascii="Times New Roman" w:hAnsi="Times New Roman" w:cs="Times New Roman"/>
                <w:sz w:val="24"/>
                <w:szCs w:val="24"/>
              </w:rPr>
              <w:t>P</w:t>
            </w:r>
            <w:r w:rsidR="001E66C2">
              <w:rPr>
                <w:rFonts w:ascii="Times New Roman" w:hAnsi="Times New Roman" w:cs="Times New Roman"/>
                <w:sz w:val="24"/>
                <w:szCs w:val="24"/>
              </w:rPr>
              <w:t xml:space="preserve"> 5</w:t>
            </w:r>
            <w:r w:rsidRPr="00D70544">
              <w:rPr>
                <w:rFonts w:ascii="Times New Roman" w:hAnsi="Times New Roman" w:cs="Times New Roman"/>
                <w:sz w:val="24"/>
                <w:szCs w:val="24"/>
              </w:rPr>
              <w:t>0 mg</w:t>
            </w:r>
            <w:r w:rsidR="001E66C2">
              <w:rPr>
                <w:rFonts w:ascii="Times New Roman" w:hAnsi="Times New Roman" w:cs="Times New Roman"/>
                <w:sz w:val="24"/>
                <w:szCs w:val="24"/>
              </w:rPr>
              <w:t xml:space="preserve"> Magnesium Hydroxide USP 25 mg Simetilicone USP 10 mg.</w:t>
            </w:r>
          </w:p>
        </w:tc>
        <w:tc>
          <w:tcPr>
            <w:tcW w:w="990" w:type="dxa"/>
            <w:hideMark/>
          </w:tcPr>
          <w:p w14:paraId="4BE6951C"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Light yellow</w:t>
            </w:r>
            <w:r w:rsidRPr="00D70544">
              <w:rPr>
                <w:rFonts w:ascii="Times New Roman" w:hAnsi="Times New Roman" w:cs="Times New Roman"/>
                <w:sz w:val="24"/>
                <w:szCs w:val="24"/>
              </w:rPr>
              <w:br/>
            </w:r>
          </w:p>
        </w:tc>
        <w:tc>
          <w:tcPr>
            <w:tcW w:w="1337" w:type="dxa"/>
          </w:tcPr>
          <w:p w14:paraId="67F333AD" w14:textId="77777777" w:rsidR="00D70544" w:rsidRPr="00D70544" w:rsidRDefault="001E66C2" w:rsidP="009A5A72">
            <w:pPr>
              <w:spacing w:line="360" w:lineRule="auto"/>
              <w:rPr>
                <w:rFonts w:ascii="Times New Roman" w:hAnsi="Times New Roman" w:cs="Times New Roman"/>
                <w:sz w:val="24"/>
                <w:szCs w:val="24"/>
              </w:rPr>
            </w:pPr>
            <w:r>
              <w:rPr>
                <w:rFonts w:ascii="Times New Roman" w:hAnsi="Times New Roman" w:cs="Times New Roman"/>
                <w:sz w:val="24"/>
                <w:szCs w:val="24"/>
              </w:rPr>
              <w:t>Mint</w:t>
            </w:r>
          </w:p>
        </w:tc>
      </w:tr>
      <w:tr w:rsidR="005F4524" w:rsidRPr="00D70544" w14:paraId="4DD14BC4" w14:textId="77777777" w:rsidTr="005F4524">
        <w:trPr>
          <w:jc w:val="center"/>
        </w:trPr>
        <w:tc>
          <w:tcPr>
            <w:tcW w:w="630" w:type="dxa"/>
            <w:hideMark/>
          </w:tcPr>
          <w:p w14:paraId="76B5EB7F" w14:textId="77777777" w:rsidR="00D70544" w:rsidRPr="00D70544" w:rsidRDefault="00D70544" w:rsidP="009A5A72">
            <w:pPr>
              <w:spacing w:line="360" w:lineRule="auto"/>
              <w:jc w:val="center"/>
              <w:rPr>
                <w:rFonts w:ascii="Times New Roman" w:hAnsi="Times New Roman" w:cs="Times New Roman"/>
                <w:sz w:val="24"/>
                <w:szCs w:val="24"/>
              </w:rPr>
            </w:pPr>
            <w:r w:rsidRPr="00D70544">
              <w:rPr>
                <w:rFonts w:ascii="Times New Roman" w:hAnsi="Times New Roman" w:cs="Times New Roman"/>
                <w:sz w:val="24"/>
                <w:szCs w:val="24"/>
              </w:rPr>
              <w:t>5</w:t>
            </w:r>
          </w:p>
        </w:tc>
        <w:tc>
          <w:tcPr>
            <w:tcW w:w="971" w:type="dxa"/>
            <w:hideMark/>
          </w:tcPr>
          <w:p w14:paraId="3C1856B5"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Krisacid</w:t>
            </w:r>
          </w:p>
        </w:tc>
        <w:tc>
          <w:tcPr>
            <w:tcW w:w="1170" w:type="dxa"/>
            <w:hideMark/>
          </w:tcPr>
          <w:p w14:paraId="0CC32311"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Nigeria</w:t>
            </w:r>
          </w:p>
        </w:tc>
        <w:tc>
          <w:tcPr>
            <w:tcW w:w="1260" w:type="dxa"/>
            <w:hideMark/>
          </w:tcPr>
          <w:p w14:paraId="3524F754"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Chewable Tablet</w:t>
            </w:r>
          </w:p>
        </w:tc>
        <w:tc>
          <w:tcPr>
            <w:tcW w:w="1639" w:type="dxa"/>
            <w:hideMark/>
          </w:tcPr>
          <w:p w14:paraId="6631152D"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250 mg</w:t>
            </w:r>
          </w:p>
        </w:tc>
        <w:tc>
          <w:tcPr>
            <w:tcW w:w="1781" w:type="dxa"/>
            <w:hideMark/>
          </w:tcPr>
          <w:p w14:paraId="04063A04"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 xml:space="preserve">Each </w:t>
            </w:r>
            <w:r w:rsidR="001E66C2">
              <w:rPr>
                <w:rFonts w:ascii="Times New Roman" w:hAnsi="Times New Roman" w:cs="Times New Roman"/>
                <w:sz w:val="24"/>
                <w:szCs w:val="24"/>
              </w:rPr>
              <w:t xml:space="preserve">uncoated </w:t>
            </w:r>
            <w:r w:rsidRPr="00D70544">
              <w:rPr>
                <w:rFonts w:ascii="Times New Roman" w:hAnsi="Times New Roman" w:cs="Times New Roman"/>
                <w:sz w:val="24"/>
                <w:szCs w:val="24"/>
              </w:rPr>
              <w:t>tablet contains:</w:t>
            </w:r>
            <w:r w:rsidR="001E66C2">
              <w:rPr>
                <w:rFonts w:ascii="Times New Roman" w:hAnsi="Times New Roman" w:cs="Times New Roman"/>
                <w:sz w:val="24"/>
                <w:szCs w:val="24"/>
              </w:rPr>
              <w:t xml:space="preserve"> </w:t>
            </w:r>
            <w:r w:rsidRPr="00D70544">
              <w:rPr>
                <w:rFonts w:ascii="Times New Roman" w:hAnsi="Times New Roman" w:cs="Times New Roman"/>
                <w:sz w:val="24"/>
                <w:szCs w:val="24"/>
              </w:rPr>
              <w:t xml:space="preserve"> Magnesium </w:t>
            </w:r>
            <w:r w:rsidRPr="00D70544">
              <w:rPr>
                <w:rFonts w:ascii="Times New Roman" w:hAnsi="Times New Roman" w:cs="Times New Roman"/>
                <w:sz w:val="24"/>
                <w:szCs w:val="24"/>
              </w:rPr>
              <w:lastRenderedPageBreak/>
              <w:t>Trisilicate</w:t>
            </w:r>
            <w:r w:rsidR="001E66C2">
              <w:rPr>
                <w:rFonts w:ascii="Times New Roman" w:hAnsi="Times New Roman" w:cs="Times New Roman"/>
                <w:sz w:val="24"/>
                <w:szCs w:val="24"/>
              </w:rPr>
              <w:t xml:space="preserve"> BP 250 mg</w:t>
            </w:r>
            <w:r w:rsidRPr="00D70544">
              <w:rPr>
                <w:rFonts w:ascii="Times New Roman" w:hAnsi="Times New Roman" w:cs="Times New Roman"/>
                <w:sz w:val="24"/>
                <w:szCs w:val="24"/>
              </w:rPr>
              <w:t>,</w:t>
            </w:r>
            <w:r w:rsidR="001E66C2">
              <w:rPr>
                <w:rFonts w:ascii="Times New Roman" w:hAnsi="Times New Roman" w:cs="Times New Roman"/>
                <w:sz w:val="24"/>
                <w:szCs w:val="24"/>
              </w:rPr>
              <w:t xml:space="preserve"> Dried Aluminium Hydroxide BP 120 mg, pepper mint flavor</w:t>
            </w:r>
            <w:r w:rsidRPr="00D70544">
              <w:rPr>
                <w:rFonts w:ascii="Times New Roman" w:hAnsi="Times New Roman" w:cs="Times New Roman"/>
                <w:sz w:val="24"/>
                <w:szCs w:val="24"/>
              </w:rPr>
              <w:t xml:space="preserve"> </w:t>
            </w:r>
            <w:r w:rsidR="001E66C2">
              <w:rPr>
                <w:rFonts w:ascii="Times New Roman" w:hAnsi="Times New Roman" w:cs="Times New Roman"/>
                <w:sz w:val="24"/>
                <w:szCs w:val="24"/>
              </w:rPr>
              <w:t>Q.S</w:t>
            </w:r>
            <w:r w:rsidRPr="00D70544">
              <w:rPr>
                <w:rFonts w:ascii="Times New Roman" w:hAnsi="Times New Roman" w:cs="Times New Roman"/>
                <w:sz w:val="24"/>
                <w:szCs w:val="24"/>
              </w:rPr>
              <w:t>.</w:t>
            </w:r>
          </w:p>
        </w:tc>
        <w:tc>
          <w:tcPr>
            <w:tcW w:w="990" w:type="dxa"/>
            <w:hideMark/>
          </w:tcPr>
          <w:p w14:paraId="7DEC56AF"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lastRenderedPageBreak/>
              <w:t>White</w:t>
            </w:r>
          </w:p>
        </w:tc>
        <w:tc>
          <w:tcPr>
            <w:tcW w:w="1337" w:type="dxa"/>
          </w:tcPr>
          <w:p w14:paraId="6EC6705B" w14:textId="77777777" w:rsidR="00D70544" w:rsidRPr="00D70544" w:rsidRDefault="001E66C2" w:rsidP="009A5A72">
            <w:pPr>
              <w:spacing w:line="360" w:lineRule="auto"/>
              <w:rPr>
                <w:rFonts w:ascii="Times New Roman" w:hAnsi="Times New Roman" w:cs="Times New Roman"/>
                <w:sz w:val="24"/>
                <w:szCs w:val="24"/>
              </w:rPr>
            </w:pPr>
            <w:r>
              <w:rPr>
                <w:rFonts w:ascii="Times New Roman" w:hAnsi="Times New Roman" w:cs="Times New Roman"/>
                <w:sz w:val="24"/>
                <w:szCs w:val="24"/>
              </w:rPr>
              <w:t>Mint</w:t>
            </w:r>
          </w:p>
        </w:tc>
      </w:tr>
    </w:tbl>
    <w:p w14:paraId="71549004" w14:textId="77777777" w:rsidR="00D70544" w:rsidRPr="00D659FE" w:rsidRDefault="00D70544" w:rsidP="009A5A72">
      <w:pPr>
        <w:spacing w:after="0" w:line="360" w:lineRule="auto"/>
        <w:jc w:val="both"/>
        <w:rPr>
          <w:rFonts w:ascii="Times New Roman" w:hAnsi="Times New Roman" w:cs="Times New Roman"/>
          <w:sz w:val="24"/>
          <w:szCs w:val="24"/>
        </w:rPr>
      </w:pPr>
    </w:p>
    <w:p w14:paraId="5425E648" w14:textId="77777777" w:rsidR="00D659FE" w:rsidRPr="00D659FE" w:rsidRDefault="00D659FE" w:rsidP="009A5A72">
      <w:pPr>
        <w:spacing w:after="0" w:line="360" w:lineRule="auto"/>
        <w:jc w:val="both"/>
        <w:rPr>
          <w:rFonts w:ascii="Times New Roman" w:hAnsi="Times New Roman" w:cs="Times New Roman"/>
          <w:sz w:val="24"/>
          <w:szCs w:val="24"/>
        </w:rPr>
        <w:sectPr w:rsidR="00D659FE" w:rsidRPr="00D659FE" w:rsidSect="000B4B76">
          <w:footerReference w:type="default" r:id="rId8"/>
          <w:pgSz w:w="11808" w:h="15120"/>
          <w:pgMar w:top="1360" w:right="1417" w:bottom="2500" w:left="1417" w:header="0" w:footer="1440" w:gutter="0"/>
          <w:cols w:space="720"/>
          <w:docGrid w:linePitch="299"/>
        </w:sectPr>
      </w:pPr>
    </w:p>
    <w:p w14:paraId="4D004986" w14:textId="77777777" w:rsidR="00505174" w:rsidRDefault="009E55DF" w:rsidP="009A5A7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1F116CB4" w14:textId="77777777" w:rsidR="009E55DF" w:rsidRDefault="009E55DF" w:rsidP="009A5A7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RESULT AND DISCUSSION</w:t>
      </w:r>
    </w:p>
    <w:p w14:paraId="7A83F2C1" w14:textId="77777777" w:rsidR="009E55DF" w:rsidRDefault="009E55DF"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 xml:space="preserve">RESULT </w:t>
      </w:r>
    </w:p>
    <w:p w14:paraId="3304CD40" w14:textId="77777777" w:rsidR="009E55DF" w:rsidRPr="005F4524" w:rsidRDefault="009E55DF" w:rsidP="005F4524">
      <w:pPr>
        <w:pStyle w:val="NormalWeb"/>
        <w:spacing w:before="0" w:beforeAutospacing="0" w:after="0" w:afterAutospacing="0" w:line="360" w:lineRule="auto"/>
        <w:rPr>
          <w:b/>
        </w:rPr>
      </w:pPr>
      <w:r w:rsidRPr="005F4524">
        <w:rPr>
          <w:b/>
        </w:rPr>
        <w:t xml:space="preserve">Table 4.1: </w:t>
      </w:r>
      <w:r w:rsidRPr="005F4524">
        <w:rPr>
          <w:rStyle w:val="Strong"/>
          <w:b w:val="0"/>
        </w:rPr>
        <w:t>Comparative Analysis of pH Variation and Acid Neutralizing Capacity of Selected Antacid and Anti-Ulcer Drug Brands</w:t>
      </w:r>
    </w:p>
    <w:tbl>
      <w:tblPr>
        <w:tblStyle w:val="TableGrid"/>
        <w:tblW w:w="0" w:type="auto"/>
        <w:tblLook w:val="04A0" w:firstRow="1" w:lastRow="0" w:firstColumn="1" w:lastColumn="0" w:noHBand="0" w:noVBand="1"/>
      </w:tblPr>
      <w:tblGrid>
        <w:gridCol w:w="617"/>
        <w:gridCol w:w="2353"/>
        <w:gridCol w:w="1560"/>
        <w:gridCol w:w="1559"/>
        <w:gridCol w:w="2693"/>
      </w:tblGrid>
      <w:tr w:rsidR="009E55DF" w:rsidRPr="00FA245E" w14:paraId="4CB3F377" w14:textId="77777777" w:rsidTr="005F4524">
        <w:tc>
          <w:tcPr>
            <w:tcW w:w="0" w:type="auto"/>
            <w:hideMark/>
          </w:tcPr>
          <w:p w14:paraId="5A42E2BF" w14:textId="77777777" w:rsidR="009E55DF" w:rsidRPr="00FA245E" w:rsidRDefault="009E55DF" w:rsidP="009A5A72">
            <w:pPr>
              <w:spacing w:line="360" w:lineRule="auto"/>
              <w:jc w:val="center"/>
              <w:rPr>
                <w:rFonts w:ascii="Times New Roman" w:hAnsi="Times New Roman" w:cs="Times New Roman"/>
                <w:b/>
                <w:bCs/>
                <w:sz w:val="24"/>
                <w:szCs w:val="24"/>
              </w:rPr>
            </w:pPr>
            <w:r w:rsidRPr="00FA245E">
              <w:rPr>
                <w:rFonts w:ascii="Times New Roman" w:hAnsi="Times New Roman" w:cs="Times New Roman"/>
                <w:b/>
                <w:bCs/>
                <w:sz w:val="24"/>
                <w:szCs w:val="24"/>
              </w:rPr>
              <w:t>S/N</w:t>
            </w:r>
          </w:p>
        </w:tc>
        <w:tc>
          <w:tcPr>
            <w:tcW w:w="2353" w:type="dxa"/>
            <w:hideMark/>
          </w:tcPr>
          <w:p w14:paraId="530192B3" w14:textId="77777777" w:rsidR="009E55DF" w:rsidRPr="00FA245E" w:rsidRDefault="009E55DF" w:rsidP="009A5A72">
            <w:pPr>
              <w:spacing w:line="360" w:lineRule="auto"/>
              <w:jc w:val="center"/>
              <w:rPr>
                <w:rFonts w:ascii="Times New Roman" w:hAnsi="Times New Roman" w:cs="Times New Roman"/>
                <w:b/>
                <w:bCs/>
                <w:sz w:val="24"/>
                <w:szCs w:val="24"/>
              </w:rPr>
            </w:pPr>
            <w:r w:rsidRPr="00FA245E">
              <w:rPr>
                <w:rFonts w:ascii="Times New Roman" w:hAnsi="Times New Roman" w:cs="Times New Roman"/>
                <w:b/>
                <w:bCs/>
                <w:sz w:val="24"/>
                <w:szCs w:val="24"/>
              </w:rPr>
              <w:t>Brand Name</w:t>
            </w:r>
          </w:p>
        </w:tc>
        <w:tc>
          <w:tcPr>
            <w:tcW w:w="1560" w:type="dxa"/>
            <w:hideMark/>
          </w:tcPr>
          <w:p w14:paraId="7E65CAA5" w14:textId="77777777" w:rsidR="009E55DF" w:rsidRPr="00FA245E" w:rsidRDefault="009E55DF" w:rsidP="009A5A72">
            <w:pPr>
              <w:spacing w:line="360" w:lineRule="auto"/>
              <w:jc w:val="center"/>
              <w:rPr>
                <w:rFonts w:ascii="Times New Roman" w:hAnsi="Times New Roman" w:cs="Times New Roman"/>
                <w:b/>
                <w:bCs/>
                <w:sz w:val="24"/>
                <w:szCs w:val="24"/>
              </w:rPr>
            </w:pPr>
            <w:r w:rsidRPr="00FA245E">
              <w:rPr>
                <w:rFonts w:ascii="Times New Roman" w:hAnsi="Times New Roman" w:cs="Times New Roman"/>
                <w:b/>
                <w:bCs/>
                <w:sz w:val="24"/>
                <w:szCs w:val="24"/>
              </w:rPr>
              <w:t>pH at 0 min (Mean ± SD)</w:t>
            </w:r>
          </w:p>
        </w:tc>
        <w:tc>
          <w:tcPr>
            <w:tcW w:w="1559" w:type="dxa"/>
            <w:hideMark/>
          </w:tcPr>
          <w:p w14:paraId="221C122E" w14:textId="77777777" w:rsidR="009E55DF" w:rsidRPr="00FA245E" w:rsidRDefault="009E55DF" w:rsidP="009A5A72">
            <w:pPr>
              <w:spacing w:line="360" w:lineRule="auto"/>
              <w:jc w:val="center"/>
              <w:rPr>
                <w:rFonts w:ascii="Times New Roman" w:hAnsi="Times New Roman" w:cs="Times New Roman"/>
                <w:b/>
                <w:bCs/>
                <w:sz w:val="24"/>
                <w:szCs w:val="24"/>
              </w:rPr>
            </w:pPr>
            <w:r w:rsidRPr="00FA245E">
              <w:rPr>
                <w:rFonts w:ascii="Times New Roman" w:hAnsi="Times New Roman" w:cs="Times New Roman"/>
                <w:b/>
                <w:bCs/>
                <w:sz w:val="24"/>
                <w:szCs w:val="24"/>
              </w:rPr>
              <w:t>pH at 15 min (Mean ± SD)</w:t>
            </w:r>
          </w:p>
        </w:tc>
        <w:tc>
          <w:tcPr>
            <w:tcW w:w="2693" w:type="dxa"/>
            <w:hideMark/>
          </w:tcPr>
          <w:p w14:paraId="29F23A51" w14:textId="77777777" w:rsidR="009E55DF" w:rsidRPr="00FA245E" w:rsidRDefault="009E55DF" w:rsidP="009A5A7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ANC per Dose (mEq/10ml</w:t>
            </w:r>
            <w:r w:rsidRPr="00FA245E">
              <w:rPr>
                <w:rFonts w:ascii="Times New Roman" w:hAnsi="Times New Roman" w:cs="Times New Roman"/>
                <w:b/>
                <w:bCs/>
                <w:sz w:val="24"/>
                <w:szCs w:val="24"/>
              </w:rPr>
              <w:t xml:space="preserve"> or 5gm/tab)</w:t>
            </w:r>
          </w:p>
        </w:tc>
      </w:tr>
      <w:tr w:rsidR="009E55DF" w:rsidRPr="00FA245E" w14:paraId="35114C96" w14:textId="77777777" w:rsidTr="005F4524">
        <w:tc>
          <w:tcPr>
            <w:tcW w:w="0" w:type="auto"/>
            <w:hideMark/>
          </w:tcPr>
          <w:p w14:paraId="2E90055B" w14:textId="77777777"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w:t>
            </w:r>
          </w:p>
        </w:tc>
        <w:tc>
          <w:tcPr>
            <w:tcW w:w="2353" w:type="dxa"/>
            <w:hideMark/>
          </w:tcPr>
          <w:p w14:paraId="662A47D4" w14:textId="77777777" w:rsidR="009E55DF" w:rsidRPr="00FA245E" w:rsidRDefault="009E55DF" w:rsidP="009A5A72">
            <w:pPr>
              <w:spacing w:line="360" w:lineRule="auto"/>
              <w:rPr>
                <w:rFonts w:ascii="Times New Roman" w:hAnsi="Times New Roman" w:cs="Times New Roman"/>
                <w:sz w:val="24"/>
                <w:szCs w:val="24"/>
              </w:rPr>
            </w:pPr>
            <w:r>
              <w:rPr>
                <w:rFonts w:ascii="Times New Roman" w:hAnsi="Times New Roman" w:cs="Times New Roman"/>
                <w:sz w:val="24"/>
                <w:szCs w:val="24"/>
              </w:rPr>
              <w:t xml:space="preserve">        Specimen A</w:t>
            </w:r>
          </w:p>
        </w:tc>
        <w:tc>
          <w:tcPr>
            <w:tcW w:w="1560" w:type="dxa"/>
            <w:hideMark/>
          </w:tcPr>
          <w:p w14:paraId="7F126CB3" w14:textId="77777777"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6.39 ± (0.09)</w:t>
            </w:r>
          </w:p>
        </w:tc>
        <w:tc>
          <w:tcPr>
            <w:tcW w:w="1559" w:type="dxa"/>
            <w:hideMark/>
          </w:tcPr>
          <w:p w14:paraId="00E10352" w14:textId="77777777"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 xml:space="preserve">1.42 ± </w:t>
            </w:r>
            <w:r>
              <w:rPr>
                <w:rFonts w:ascii="Times New Roman" w:hAnsi="Times New Roman" w:cs="Times New Roman"/>
                <w:sz w:val="24"/>
                <w:szCs w:val="24"/>
              </w:rPr>
              <w:t>(</w:t>
            </w:r>
            <w:r w:rsidRPr="00FA245E">
              <w:rPr>
                <w:rFonts w:ascii="Times New Roman" w:hAnsi="Times New Roman" w:cs="Times New Roman"/>
                <w:sz w:val="24"/>
                <w:szCs w:val="24"/>
              </w:rPr>
              <w:t>0.06</w:t>
            </w:r>
            <w:r>
              <w:rPr>
                <w:rFonts w:ascii="Times New Roman" w:hAnsi="Times New Roman" w:cs="Times New Roman"/>
                <w:sz w:val="24"/>
                <w:szCs w:val="24"/>
              </w:rPr>
              <w:t>)</w:t>
            </w:r>
          </w:p>
        </w:tc>
        <w:tc>
          <w:tcPr>
            <w:tcW w:w="2693" w:type="dxa"/>
            <w:hideMark/>
          </w:tcPr>
          <w:p w14:paraId="534910AB" w14:textId="77777777"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12.15</w:t>
            </w:r>
          </w:p>
        </w:tc>
      </w:tr>
      <w:tr w:rsidR="009E55DF" w:rsidRPr="00FA245E" w14:paraId="77A9B38F" w14:textId="77777777" w:rsidTr="005F4524">
        <w:tc>
          <w:tcPr>
            <w:tcW w:w="0" w:type="auto"/>
            <w:hideMark/>
          </w:tcPr>
          <w:p w14:paraId="73B3DAF9" w14:textId="77777777"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2</w:t>
            </w:r>
          </w:p>
        </w:tc>
        <w:tc>
          <w:tcPr>
            <w:tcW w:w="2353" w:type="dxa"/>
            <w:hideMark/>
          </w:tcPr>
          <w:p w14:paraId="55E48368" w14:textId="77777777"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Specimen B</w:t>
            </w:r>
          </w:p>
        </w:tc>
        <w:tc>
          <w:tcPr>
            <w:tcW w:w="1560" w:type="dxa"/>
            <w:hideMark/>
          </w:tcPr>
          <w:p w14:paraId="3A921DD9" w14:textId="77777777"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Pr="00FA245E">
              <w:rPr>
                <w:rFonts w:ascii="Times New Roman" w:hAnsi="Times New Roman" w:cs="Times New Roman"/>
                <w:sz w:val="24"/>
                <w:szCs w:val="24"/>
              </w:rPr>
              <w:t xml:space="preserve">.94 ± </w:t>
            </w:r>
            <w:r>
              <w:rPr>
                <w:rFonts w:ascii="Times New Roman" w:hAnsi="Times New Roman" w:cs="Times New Roman"/>
                <w:sz w:val="24"/>
                <w:szCs w:val="24"/>
              </w:rPr>
              <w:t>(</w:t>
            </w:r>
            <w:r w:rsidRPr="00FA245E">
              <w:rPr>
                <w:rFonts w:ascii="Times New Roman" w:hAnsi="Times New Roman" w:cs="Times New Roman"/>
                <w:sz w:val="24"/>
                <w:szCs w:val="24"/>
              </w:rPr>
              <w:t>0.06</w:t>
            </w:r>
            <w:r>
              <w:rPr>
                <w:rFonts w:ascii="Times New Roman" w:hAnsi="Times New Roman" w:cs="Times New Roman"/>
                <w:sz w:val="24"/>
                <w:szCs w:val="24"/>
              </w:rPr>
              <w:t>)</w:t>
            </w:r>
          </w:p>
        </w:tc>
        <w:tc>
          <w:tcPr>
            <w:tcW w:w="1559" w:type="dxa"/>
            <w:hideMark/>
          </w:tcPr>
          <w:p w14:paraId="128FEB58" w14:textId="77777777"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 xml:space="preserve">0.94 ± </w:t>
            </w:r>
            <w:r>
              <w:rPr>
                <w:rFonts w:ascii="Times New Roman" w:hAnsi="Times New Roman" w:cs="Times New Roman"/>
                <w:sz w:val="24"/>
                <w:szCs w:val="24"/>
              </w:rPr>
              <w:t>(</w:t>
            </w:r>
            <w:r w:rsidRPr="00FA245E">
              <w:rPr>
                <w:rFonts w:ascii="Times New Roman" w:hAnsi="Times New Roman" w:cs="Times New Roman"/>
                <w:sz w:val="24"/>
                <w:szCs w:val="24"/>
              </w:rPr>
              <w:t>0.03</w:t>
            </w:r>
            <w:r>
              <w:rPr>
                <w:rFonts w:ascii="Times New Roman" w:hAnsi="Times New Roman" w:cs="Times New Roman"/>
                <w:sz w:val="24"/>
                <w:szCs w:val="24"/>
              </w:rPr>
              <w:t>)</w:t>
            </w:r>
          </w:p>
        </w:tc>
        <w:tc>
          <w:tcPr>
            <w:tcW w:w="2693" w:type="dxa"/>
            <w:hideMark/>
          </w:tcPr>
          <w:p w14:paraId="36445CD2" w14:textId="77777777"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11.55</w:t>
            </w:r>
          </w:p>
        </w:tc>
      </w:tr>
      <w:tr w:rsidR="009E55DF" w:rsidRPr="00FA245E" w14:paraId="15396B10" w14:textId="77777777" w:rsidTr="005F4524">
        <w:tc>
          <w:tcPr>
            <w:tcW w:w="0" w:type="auto"/>
            <w:hideMark/>
          </w:tcPr>
          <w:p w14:paraId="445A7BE5" w14:textId="77777777"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3</w:t>
            </w:r>
          </w:p>
        </w:tc>
        <w:tc>
          <w:tcPr>
            <w:tcW w:w="2353" w:type="dxa"/>
            <w:hideMark/>
          </w:tcPr>
          <w:p w14:paraId="5E4FDF46" w14:textId="77777777"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Specimen C</w:t>
            </w:r>
          </w:p>
        </w:tc>
        <w:tc>
          <w:tcPr>
            <w:tcW w:w="1560" w:type="dxa"/>
            <w:hideMark/>
          </w:tcPr>
          <w:p w14:paraId="39356D87" w14:textId="77777777"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r w:rsidRPr="00FA245E">
              <w:rPr>
                <w:rFonts w:ascii="Times New Roman" w:hAnsi="Times New Roman" w:cs="Times New Roman"/>
                <w:sz w:val="24"/>
                <w:szCs w:val="24"/>
              </w:rPr>
              <w:t xml:space="preserve">.35 ± </w:t>
            </w:r>
            <w:r>
              <w:rPr>
                <w:rFonts w:ascii="Times New Roman" w:hAnsi="Times New Roman" w:cs="Times New Roman"/>
                <w:sz w:val="24"/>
                <w:szCs w:val="24"/>
              </w:rPr>
              <w:t>(</w:t>
            </w:r>
            <w:r w:rsidRPr="00FA245E">
              <w:rPr>
                <w:rFonts w:ascii="Times New Roman" w:hAnsi="Times New Roman" w:cs="Times New Roman"/>
                <w:sz w:val="24"/>
                <w:szCs w:val="24"/>
              </w:rPr>
              <w:t>0.02</w:t>
            </w:r>
            <w:r>
              <w:rPr>
                <w:rFonts w:ascii="Times New Roman" w:hAnsi="Times New Roman" w:cs="Times New Roman"/>
                <w:sz w:val="24"/>
                <w:szCs w:val="24"/>
              </w:rPr>
              <w:t>)</w:t>
            </w:r>
          </w:p>
        </w:tc>
        <w:tc>
          <w:tcPr>
            <w:tcW w:w="1559" w:type="dxa"/>
            <w:hideMark/>
          </w:tcPr>
          <w:p w14:paraId="51B79980" w14:textId="77777777"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 xml:space="preserve">0.78 ± </w:t>
            </w:r>
            <w:r>
              <w:rPr>
                <w:rFonts w:ascii="Times New Roman" w:hAnsi="Times New Roman" w:cs="Times New Roman"/>
                <w:sz w:val="24"/>
                <w:szCs w:val="24"/>
              </w:rPr>
              <w:t>(</w:t>
            </w:r>
            <w:r w:rsidRPr="00FA245E">
              <w:rPr>
                <w:rFonts w:ascii="Times New Roman" w:hAnsi="Times New Roman" w:cs="Times New Roman"/>
                <w:sz w:val="24"/>
                <w:szCs w:val="24"/>
              </w:rPr>
              <w:t>0.02</w:t>
            </w:r>
            <w:r>
              <w:rPr>
                <w:rFonts w:ascii="Times New Roman" w:hAnsi="Times New Roman" w:cs="Times New Roman"/>
                <w:sz w:val="24"/>
                <w:szCs w:val="24"/>
              </w:rPr>
              <w:t>)</w:t>
            </w:r>
          </w:p>
        </w:tc>
        <w:tc>
          <w:tcPr>
            <w:tcW w:w="2693" w:type="dxa"/>
            <w:hideMark/>
          </w:tcPr>
          <w:p w14:paraId="0B88ABF4" w14:textId="77777777"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10.95</w:t>
            </w:r>
          </w:p>
        </w:tc>
      </w:tr>
      <w:tr w:rsidR="009E55DF" w:rsidRPr="00FA245E" w14:paraId="3C23A68C" w14:textId="77777777" w:rsidTr="005F4524">
        <w:tc>
          <w:tcPr>
            <w:tcW w:w="0" w:type="auto"/>
            <w:hideMark/>
          </w:tcPr>
          <w:p w14:paraId="56CCF9DC" w14:textId="77777777"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4</w:t>
            </w:r>
          </w:p>
        </w:tc>
        <w:tc>
          <w:tcPr>
            <w:tcW w:w="2353" w:type="dxa"/>
            <w:hideMark/>
          </w:tcPr>
          <w:p w14:paraId="109A5DD8" w14:textId="77777777"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Specimen D</w:t>
            </w:r>
          </w:p>
        </w:tc>
        <w:tc>
          <w:tcPr>
            <w:tcW w:w="1560" w:type="dxa"/>
            <w:hideMark/>
          </w:tcPr>
          <w:p w14:paraId="0D0ED0AF" w14:textId="77777777"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Pr="00FA245E">
              <w:rPr>
                <w:rFonts w:ascii="Times New Roman" w:hAnsi="Times New Roman" w:cs="Times New Roman"/>
                <w:sz w:val="24"/>
                <w:szCs w:val="24"/>
              </w:rPr>
              <w:t xml:space="preserve">.89 ± </w:t>
            </w:r>
            <w:r>
              <w:rPr>
                <w:rFonts w:ascii="Times New Roman" w:hAnsi="Times New Roman" w:cs="Times New Roman"/>
                <w:sz w:val="24"/>
                <w:szCs w:val="24"/>
              </w:rPr>
              <w:t>(</w:t>
            </w:r>
            <w:r w:rsidRPr="00FA245E">
              <w:rPr>
                <w:rFonts w:ascii="Times New Roman" w:hAnsi="Times New Roman" w:cs="Times New Roman"/>
                <w:sz w:val="24"/>
                <w:szCs w:val="24"/>
              </w:rPr>
              <w:t>0.03</w:t>
            </w:r>
            <w:r>
              <w:rPr>
                <w:rFonts w:ascii="Times New Roman" w:hAnsi="Times New Roman" w:cs="Times New Roman"/>
                <w:sz w:val="24"/>
                <w:szCs w:val="24"/>
              </w:rPr>
              <w:t>)</w:t>
            </w:r>
          </w:p>
        </w:tc>
        <w:tc>
          <w:tcPr>
            <w:tcW w:w="1559" w:type="dxa"/>
            <w:hideMark/>
          </w:tcPr>
          <w:p w14:paraId="0C68794F" w14:textId="77777777"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 xml:space="preserve">1.31 ± </w:t>
            </w:r>
            <w:r>
              <w:rPr>
                <w:rFonts w:ascii="Times New Roman" w:hAnsi="Times New Roman" w:cs="Times New Roman"/>
                <w:sz w:val="24"/>
                <w:szCs w:val="24"/>
              </w:rPr>
              <w:t>(</w:t>
            </w:r>
            <w:r w:rsidRPr="00FA245E">
              <w:rPr>
                <w:rFonts w:ascii="Times New Roman" w:hAnsi="Times New Roman" w:cs="Times New Roman"/>
                <w:sz w:val="24"/>
                <w:szCs w:val="24"/>
              </w:rPr>
              <w:t>0.01</w:t>
            </w:r>
            <w:r>
              <w:rPr>
                <w:rFonts w:ascii="Times New Roman" w:hAnsi="Times New Roman" w:cs="Times New Roman"/>
                <w:sz w:val="24"/>
                <w:szCs w:val="24"/>
              </w:rPr>
              <w:t>)</w:t>
            </w:r>
          </w:p>
        </w:tc>
        <w:tc>
          <w:tcPr>
            <w:tcW w:w="2693" w:type="dxa"/>
            <w:hideMark/>
          </w:tcPr>
          <w:p w14:paraId="1F0273DD" w14:textId="77777777"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13.80</w:t>
            </w:r>
          </w:p>
        </w:tc>
      </w:tr>
      <w:tr w:rsidR="009E55DF" w:rsidRPr="00FA245E" w14:paraId="2FA47FB6" w14:textId="77777777" w:rsidTr="005F4524">
        <w:tc>
          <w:tcPr>
            <w:tcW w:w="0" w:type="auto"/>
            <w:hideMark/>
          </w:tcPr>
          <w:p w14:paraId="3EB92AB7" w14:textId="77777777"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5</w:t>
            </w:r>
          </w:p>
        </w:tc>
        <w:tc>
          <w:tcPr>
            <w:tcW w:w="2353" w:type="dxa"/>
            <w:hideMark/>
          </w:tcPr>
          <w:p w14:paraId="60A890DC" w14:textId="77777777"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Specimen E</w:t>
            </w:r>
          </w:p>
        </w:tc>
        <w:tc>
          <w:tcPr>
            <w:tcW w:w="1560" w:type="dxa"/>
            <w:hideMark/>
          </w:tcPr>
          <w:p w14:paraId="3DCA34B8" w14:textId="77777777"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Pr="00FA245E">
              <w:rPr>
                <w:rFonts w:ascii="Times New Roman" w:hAnsi="Times New Roman" w:cs="Times New Roman"/>
                <w:sz w:val="24"/>
                <w:szCs w:val="24"/>
              </w:rPr>
              <w:t xml:space="preserve">.35 ± </w:t>
            </w:r>
            <w:r>
              <w:rPr>
                <w:rFonts w:ascii="Times New Roman" w:hAnsi="Times New Roman" w:cs="Times New Roman"/>
                <w:sz w:val="24"/>
                <w:szCs w:val="24"/>
              </w:rPr>
              <w:t>(</w:t>
            </w:r>
            <w:r w:rsidRPr="00FA245E">
              <w:rPr>
                <w:rFonts w:ascii="Times New Roman" w:hAnsi="Times New Roman" w:cs="Times New Roman"/>
                <w:sz w:val="24"/>
                <w:szCs w:val="24"/>
              </w:rPr>
              <w:t>0.02</w:t>
            </w:r>
            <w:r>
              <w:rPr>
                <w:rFonts w:ascii="Times New Roman" w:hAnsi="Times New Roman" w:cs="Times New Roman"/>
                <w:sz w:val="24"/>
                <w:szCs w:val="24"/>
              </w:rPr>
              <w:t>)</w:t>
            </w:r>
          </w:p>
        </w:tc>
        <w:tc>
          <w:tcPr>
            <w:tcW w:w="1559" w:type="dxa"/>
            <w:hideMark/>
          </w:tcPr>
          <w:p w14:paraId="115546CC" w14:textId="77777777"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 xml:space="preserve">1.51 ± </w:t>
            </w:r>
            <w:r>
              <w:rPr>
                <w:rFonts w:ascii="Times New Roman" w:hAnsi="Times New Roman" w:cs="Times New Roman"/>
                <w:sz w:val="24"/>
                <w:szCs w:val="24"/>
              </w:rPr>
              <w:t>(</w:t>
            </w:r>
            <w:r w:rsidRPr="00FA245E">
              <w:rPr>
                <w:rFonts w:ascii="Times New Roman" w:hAnsi="Times New Roman" w:cs="Times New Roman"/>
                <w:sz w:val="24"/>
                <w:szCs w:val="24"/>
              </w:rPr>
              <w:t>0.08</w:t>
            </w:r>
            <w:r>
              <w:rPr>
                <w:rFonts w:ascii="Times New Roman" w:hAnsi="Times New Roman" w:cs="Times New Roman"/>
                <w:sz w:val="24"/>
                <w:szCs w:val="24"/>
              </w:rPr>
              <w:t>)</w:t>
            </w:r>
          </w:p>
        </w:tc>
        <w:tc>
          <w:tcPr>
            <w:tcW w:w="2693" w:type="dxa"/>
            <w:hideMark/>
          </w:tcPr>
          <w:p w14:paraId="0F89AC52" w14:textId="77777777"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13.25</w:t>
            </w:r>
          </w:p>
        </w:tc>
      </w:tr>
    </w:tbl>
    <w:p w14:paraId="54C42C41" w14:textId="77777777" w:rsidR="009E55DF" w:rsidRDefault="009E55DF" w:rsidP="009A5A72">
      <w:pPr>
        <w:spacing w:after="0" w:line="360" w:lineRule="auto"/>
        <w:rPr>
          <w:rFonts w:ascii="Times New Roman" w:hAnsi="Times New Roman" w:cs="Times New Roman"/>
          <w:b/>
          <w:bCs/>
          <w:sz w:val="24"/>
          <w:szCs w:val="24"/>
        </w:rPr>
      </w:pPr>
      <w:r w:rsidRPr="00FA245E">
        <w:rPr>
          <w:rFonts w:ascii="Times New Roman" w:hAnsi="Times New Roman" w:cs="Times New Roman"/>
          <w:b/>
          <w:bCs/>
          <w:sz w:val="24"/>
          <w:szCs w:val="24"/>
        </w:rPr>
        <w:t>Parameters Tested for the Antacids</w:t>
      </w:r>
      <w:r>
        <w:rPr>
          <w:rFonts w:ascii="Times New Roman" w:hAnsi="Times New Roman" w:cs="Times New Roman"/>
          <w:b/>
          <w:bCs/>
          <w:sz w:val="24"/>
          <w:szCs w:val="24"/>
        </w:rPr>
        <w:t xml:space="preserve"> </w:t>
      </w:r>
      <w:r w:rsidRPr="00FA245E">
        <w:rPr>
          <w:rFonts w:ascii="Times New Roman" w:hAnsi="Times New Roman" w:cs="Times New Roman"/>
          <w:b/>
          <w:bCs/>
          <w:sz w:val="24"/>
          <w:szCs w:val="24"/>
        </w:rPr>
        <w:t>(n = 3 ± SD)</w:t>
      </w:r>
    </w:p>
    <w:p w14:paraId="04E289DE" w14:textId="77777777" w:rsidR="009E55DF" w:rsidRPr="009E55DF" w:rsidRDefault="009E55DF" w:rsidP="009A5A7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ab/>
      </w:r>
      <w:r w:rsidR="005F4524" w:rsidRPr="009E55DF">
        <w:rPr>
          <w:rFonts w:ascii="Times New Roman" w:eastAsia="Times New Roman" w:hAnsi="Times New Roman" w:cs="Times New Roman"/>
          <w:b/>
          <w:bCs/>
          <w:sz w:val="24"/>
          <w:szCs w:val="24"/>
        </w:rPr>
        <w:t>DISCUSSION</w:t>
      </w:r>
    </w:p>
    <w:p w14:paraId="01CFAB5F" w14:textId="77777777" w:rsidR="009E55DF" w:rsidRPr="009E55DF" w:rsidRDefault="009E55DF" w:rsidP="009A5A72">
      <w:pPr>
        <w:spacing w:after="0" w:line="360" w:lineRule="auto"/>
        <w:jc w:val="both"/>
        <w:rPr>
          <w:rFonts w:ascii="Times New Roman" w:eastAsia="Times New Roman" w:hAnsi="Times New Roman" w:cs="Times New Roman"/>
          <w:sz w:val="24"/>
          <w:szCs w:val="24"/>
        </w:rPr>
      </w:pPr>
      <w:r w:rsidRPr="009E55DF">
        <w:rPr>
          <w:rFonts w:ascii="Times New Roman" w:eastAsia="Times New Roman" w:hAnsi="Times New Roman" w:cs="Times New Roman"/>
          <w:sz w:val="24"/>
          <w:szCs w:val="24"/>
        </w:rPr>
        <w:t>The pH and Acid Neutralizing Capacity (ANC) of the five antacid and anti-ulcer drug samples evaluated in this study varied notably, reflecting differences in their chemical compositions and formulation efficiency. At baseline (0 minutes), all samples exhibited al</w:t>
      </w:r>
      <w:r>
        <w:rPr>
          <w:rFonts w:ascii="Times New Roman" w:eastAsia="Times New Roman" w:hAnsi="Times New Roman" w:cs="Times New Roman"/>
          <w:sz w:val="24"/>
          <w:szCs w:val="24"/>
        </w:rPr>
        <w:t>kaline pH values, ranging from 6.35 ± 0.02 Specimen E to 8.35 ± 0.02 Specimen C. Specimen C</w:t>
      </w:r>
      <w:r w:rsidRPr="009E55DF">
        <w:rPr>
          <w:rFonts w:ascii="Times New Roman" w:eastAsia="Times New Roman" w:hAnsi="Times New Roman" w:cs="Times New Roman"/>
          <w:sz w:val="24"/>
          <w:szCs w:val="24"/>
        </w:rPr>
        <w:t xml:space="preserve"> showed the highest initial pH, indicating a stronger alkaline nature among the samples, which may be attributed to its proton pump inhibitor mechanism that acts more systemically compared to conventional antacids.</w:t>
      </w:r>
    </w:p>
    <w:p w14:paraId="16EE04F3" w14:textId="77777777" w:rsidR="009E55DF" w:rsidRPr="009E55DF" w:rsidRDefault="009E55DF" w:rsidP="009A5A72">
      <w:pPr>
        <w:spacing w:after="0" w:line="360" w:lineRule="auto"/>
        <w:jc w:val="both"/>
        <w:rPr>
          <w:rFonts w:ascii="Times New Roman" w:eastAsia="Times New Roman" w:hAnsi="Times New Roman" w:cs="Times New Roman"/>
          <w:sz w:val="24"/>
          <w:szCs w:val="24"/>
        </w:rPr>
      </w:pPr>
      <w:r w:rsidRPr="009E55DF">
        <w:rPr>
          <w:rFonts w:ascii="Times New Roman" w:eastAsia="Times New Roman" w:hAnsi="Times New Roman" w:cs="Times New Roman"/>
          <w:sz w:val="24"/>
          <w:szCs w:val="24"/>
        </w:rPr>
        <w:lastRenderedPageBreak/>
        <w:t>After 15 minutes of exposure, a significant drop in pH was observed in all samples, highlighting their interaction with acidic media. The extent of pH reduction serves as an indirect indicator of buffering action and acid resistance</w:t>
      </w:r>
      <w:r>
        <w:rPr>
          <w:rFonts w:ascii="Times New Roman" w:eastAsia="Times New Roman" w:hAnsi="Times New Roman" w:cs="Times New Roman"/>
          <w:sz w:val="24"/>
          <w:szCs w:val="24"/>
        </w:rPr>
        <w:t xml:space="preserve">. Specimen B &amp; C </w:t>
      </w:r>
      <w:r w:rsidRPr="009E55DF">
        <w:rPr>
          <w:rFonts w:ascii="Times New Roman" w:eastAsia="Times New Roman" w:hAnsi="Times New Roman" w:cs="Times New Roman"/>
          <w:sz w:val="24"/>
          <w:szCs w:val="24"/>
        </w:rPr>
        <w:t>exhibited the most pronounced reductions, with final pH values of 0.94 ± 0.03 and 0.78 ± 0.02, respectively. This sharp decline may reflect the limited duration of their surface-level neutralizing effects, suggesting that their sustained acid suppression likely depends on systemic absorption and delayed pharmacodynamics.</w:t>
      </w:r>
    </w:p>
    <w:p w14:paraId="4440A2EA" w14:textId="77777777" w:rsidR="009E55DF" w:rsidRPr="009E55DF" w:rsidRDefault="009E55DF" w:rsidP="009A5A7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contrast, Specimen E</w:t>
      </w:r>
      <w:r w:rsidRPr="009E55DF">
        <w:rPr>
          <w:rFonts w:ascii="Times New Roman" w:eastAsia="Times New Roman" w:hAnsi="Times New Roman" w:cs="Times New Roman"/>
          <w:sz w:val="24"/>
          <w:szCs w:val="24"/>
        </w:rPr>
        <w:t xml:space="preserve"> maintained the highest pH at 15 minutes (1.51 ± 0.08), suggesting better short-term acid neutralization or slower dissolution, which could prolong its effectiveness in</w:t>
      </w:r>
      <w:r>
        <w:rPr>
          <w:rFonts w:ascii="Times New Roman" w:eastAsia="Times New Roman" w:hAnsi="Times New Roman" w:cs="Times New Roman"/>
          <w:sz w:val="24"/>
          <w:szCs w:val="24"/>
        </w:rPr>
        <w:t xml:space="preserve"> immediate symptom relief. Specimen E</w:t>
      </w:r>
      <w:r w:rsidRPr="009E55DF">
        <w:rPr>
          <w:rFonts w:ascii="Times New Roman" w:eastAsia="Times New Roman" w:hAnsi="Times New Roman" w:cs="Times New Roman"/>
          <w:sz w:val="24"/>
          <w:szCs w:val="24"/>
        </w:rPr>
        <w:t xml:space="preserve"> also maintained relatively stable pH (1.31 ± 0.01), indicating a favorable buffering effect over time.</w:t>
      </w:r>
    </w:p>
    <w:p w14:paraId="7EB6C42B" w14:textId="77777777" w:rsidR="009E55DF" w:rsidRPr="009E55DF" w:rsidRDefault="009E55DF" w:rsidP="009A5A72">
      <w:pPr>
        <w:spacing w:after="0" w:line="360" w:lineRule="auto"/>
        <w:jc w:val="both"/>
        <w:rPr>
          <w:rFonts w:ascii="Times New Roman" w:eastAsia="Times New Roman" w:hAnsi="Times New Roman" w:cs="Times New Roman"/>
          <w:sz w:val="24"/>
          <w:szCs w:val="24"/>
        </w:rPr>
      </w:pPr>
      <w:r w:rsidRPr="009E55DF">
        <w:rPr>
          <w:rFonts w:ascii="Times New Roman" w:eastAsia="Times New Roman" w:hAnsi="Times New Roman" w:cs="Times New Roman"/>
          <w:sz w:val="24"/>
          <w:szCs w:val="24"/>
        </w:rPr>
        <w:t>With regard to ANC, which quantifies the amount of a</w:t>
      </w:r>
      <w:r>
        <w:rPr>
          <w:rFonts w:ascii="Times New Roman" w:eastAsia="Times New Roman" w:hAnsi="Times New Roman" w:cs="Times New Roman"/>
          <w:sz w:val="24"/>
          <w:szCs w:val="24"/>
        </w:rPr>
        <w:t xml:space="preserve">cid neutralized per dose, Specimen D </w:t>
      </w:r>
      <w:r w:rsidRPr="009E55DF">
        <w:rPr>
          <w:rFonts w:ascii="Times New Roman" w:eastAsia="Times New Roman" w:hAnsi="Times New Roman" w:cs="Times New Roman"/>
          <w:sz w:val="24"/>
          <w:szCs w:val="24"/>
        </w:rPr>
        <w:t>demonstrated the highest acid-neutralizing capacity (13.80 mEq/10 m</w:t>
      </w:r>
      <w:r>
        <w:rPr>
          <w:rFonts w:ascii="Times New Roman" w:eastAsia="Times New Roman" w:hAnsi="Times New Roman" w:cs="Times New Roman"/>
          <w:sz w:val="24"/>
          <w:szCs w:val="24"/>
        </w:rPr>
        <w:t>L), followed closely by Specmen E</w:t>
      </w:r>
      <w:r w:rsidRPr="009E55DF">
        <w:rPr>
          <w:rFonts w:ascii="Times New Roman" w:eastAsia="Times New Roman" w:hAnsi="Times New Roman" w:cs="Times New Roman"/>
          <w:sz w:val="24"/>
          <w:szCs w:val="24"/>
        </w:rPr>
        <w:t xml:space="preserve"> (13.25 mEq/</w:t>
      </w:r>
      <w:r>
        <w:rPr>
          <w:rFonts w:ascii="Times New Roman" w:eastAsia="Times New Roman" w:hAnsi="Times New Roman" w:cs="Times New Roman"/>
          <w:sz w:val="24"/>
          <w:szCs w:val="24"/>
        </w:rPr>
        <w:t>10 mL), while Specimen C</w:t>
      </w:r>
      <w:r w:rsidRPr="009E55DF">
        <w:rPr>
          <w:rFonts w:ascii="Times New Roman" w:eastAsia="Times New Roman" w:hAnsi="Times New Roman" w:cs="Times New Roman"/>
          <w:sz w:val="24"/>
          <w:szCs w:val="24"/>
        </w:rPr>
        <w:t xml:space="preserve"> had the lowest (10.95 mEq/10 mL). </w:t>
      </w:r>
      <w:r>
        <w:rPr>
          <w:rFonts w:ascii="Times New Roman" w:eastAsia="Times New Roman" w:hAnsi="Times New Roman" w:cs="Times New Roman"/>
          <w:sz w:val="24"/>
          <w:szCs w:val="24"/>
        </w:rPr>
        <w:t>The higher ANC values of Specimen D &amp; E</w:t>
      </w:r>
      <w:r w:rsidRPr="009E55DF">
        <w:rPr>
          <w:rFonts w:ascii="Times New Roman" w:eastAsia="Times New Roman" w:hAnsi="Times New Roman" w:cs="Times New Roman"/>
          <w:sz w:val="24"/>
          <w:szCs w:val="24"/>
        </w:rPr>
        <w:t xml:space="preserve"> align with their relatively stable pH at 15 minutes, implying a stronger neutralization poten</w:t>
      </w:r>
      <w:r>
        <w:rPr>
          <w:rFonts w:ascii="Times New Roman" w:eastAsia="Times New Roman" w:hAnsi="Times New Roman" w:cs="Times New Roman"/>
          <w:sz w:val="24"/>
          <w:szCs w:val="24"/>
        </w:rPr>
        <w:t>tial. Despite Specimen C</w:t>
      </w:r>
      <w:r w:rsidRPr="009E55DF">
        <w:rPr>
          <w:rFonts w:ascii="Times New Roman" w:eastAsia="Times New Roman" w:hAnsi="Times New Roman" w:cs="Times New Roman"/>
          <w:sz w:val="24"/>
          <w:szCs w:val="24"/>
        </w:rPr>
        <w:t>’s high initial pH, its low ANC suggests that its mechanism of action may not rely heavily on direct acid neutralization, but rather on inhibition of gastric acid secretion at the cellular level.</w:t>
      </w:r>
    </w:p>
    <w:p w14:paraId="4490ABAB" w14:textId="77777777" w:rsidR="009E55DF" w:rsidRPr="009E55DF" w:rsidRDefault="009E55DF" w:rsidP="009A5A72">
      <w:pPr>
        <w:spacing w:after="0" w:line="360" w:lineRule="auto"/>
        <w:jc w:val="both"/>
        <w:rPr>
          <w:rFonts w:ascii="Times New Roman" w:eastAsia="Times New Roman" w:hAnsi="Times New Roman" w:cs="Times New Roman"/>
          <w:sz w:val="24"/>
          <w:szCs w:val="24"/>
        </w:rPr>
      </w:pPr>
      <w:r w:rsidRPr="009E55DF">
        <w:rPr>
          <w:rFonts w:ascii="Times New Roman" w:eastAsia="Times New Roman" w:hAnsi="Times New Roman" w:cs="Times New Roman"/>
          <w:sz w:val="24"/>
          <w:szCs w:val="24"/>
        </w:rPr>
        <w:t>Overall, the differences in pH stability and ANC among the tested brands emphasize the diverse pharmacological approaches and efficacy profiles of the formulation</w:t>
      </w:r>
      <w:r>
        <w:rPr>
          <w:rFonts w:ascii="Times New Roman" w:eastAsia="Times New Roman" w:hAnsi="Times New Roman" w:cs="Times New Roman"/>
          <w:sz w:val="24"/>
          <w:szCs w:val="24"/>
        </w:rPr>
        <w:t>s. Antacids like Specimen D &amp; E</w:t>
      </w:r>
      <w:r w:rsidRPr="009E55DF">
        <w:rPr>
          <w:rFonts w:ascii="Times New Roman" w:eastAsia="Times New Roman" w:hAnsi="Times New Roman" w:cs="Times New Roman"/>
          <w:sz w:val="24"/>
          <w:szCs w:val="24"/>
        </w:rPr>
        <w:t xml:space="preserve"> appear to be more effective in immediate acid neutralization, making them potentially more suitable for quick symptomatic relief. In contrast, agents such </w:t>
      </w:r>
      <w:r>
        <w:rPr>
          <w:rFonts w:ascii="Times New Roman" w:eastAsia="Times New Roman" w:hAnsi="Times New Roman" w:cs="Times New Roman"/>
          <w:sz w:val="24"/>
          <w:szCs w:val="24"/>
        </w:rPr>
        <w:t>as Specimen B &amp; C</w:t>
      </w:r>
      <w:r w:rsidRPr="009E55DF">
        <w:rPr>
          <w:rFonts w:ascii="Times New Roman" w:eastAsia="Times New Roman" w:hAnsi="Times New Roman" w:cs="Times New Roman"/>
          <w:sz w:val="24"/>
          <w:szCs w:val="24"/>
        </w:rPr>
        <w:t xml:space="preserve"> may offer prolonged acid suppression through systemic mechanisms, despite lower ANC values.</w:t>
      </w:r>
    </w:p>
    <w:p w14:paraId="7D16974F" w14:textId="77777777" w:rsidR="009E55DF" w:rsidRPr="009E55DF" w:rsidRDefault="009E55DF"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6B7A9E2" w14:textId="77777777" w:rsidR="00F87772" w:rsidRDefault="00F87772" w:rsidP="00F87772">
      <w:pPr>
        <w:pStyle w:val="Heading3"/>
        <w:spacing w:after="240" w:line="360" w:lineRule="auto"/>
        <w:jc w:val="center"/>
        <w:rPr>
          <w:rStyle w:val="Strong"/>
          <w:rFonts w:ascii="Times New Roman" w:hAnsi="Times New Roman" w:cs="Times New Roman"/>
          <w:b/>
          <w:bCs/>
          <w:color w:val="auto"/>
          <w:sz w:val="24"/>
          <w:szCs w:val="24"/>
        </w:rPr>
      </w:pPr>
      <w:r>
        <w:rPr>
          <w:rStyle w:val="Strong"/>
          <w:rFonts w:ascii="Times New Roman" w:hAnsi="Times New Roman" w:cs="Times New Roman"/>
          <w:b/>
          <w:bCs/>
          <w:color w:val="auto"/>
          <w:sz w:val="24"/>
          <w:szCs w:val="24"/>
        </w:rPr>
        <w:lastRenderedPageBreak/>
        <w:t>CHAPTER FIVE</w:t>
      </w:r>
    </w:p>
    <w:p w14:paraId="2EFD2A6E" w14:textId="77777777" w:rsidR="009E55DF" w:rsidRPr="009E55DF" w:rsidRDefault="009E55DF" w:rsidP="00F87772">
      <w:pPr>
        <w:pStyle w:val="Heading3"/>
        <w:spacing w:after="240" w:line="360" w:lineRule="auto"/>
        <w:jc w:val="center"/>
        <w:rPr>
          <w:rFonts w:ascii="Times New Roman" w:hAnsi="Times New Roman" w:cs="Times New Roman"/>
          <w:color w:val="auto"/>
          <w:sz w:val="24"/>
          <w:szCs w:val="24"/>
        </w:rPr>
      </w:pPr>
      <w:r w:rsidRPr="009E55DF">
        <w:rPr>
          <w:rStyle w:val="Strong"/>
          <w:rFonts w:ascii="Times New Roman" w:hAnsi="Times New Roman" w:cs="Times New Roman"/>
          <w:b/>
          <w:bCs/>
          <w:color w:val="auto"/>
          <w:sz w:val="24"/>
          <w:szCs w:val="24"/>
        </w:rPr>
        <w:t>CONCLUSION AND RECOMMENDATION</w:t>
      </w:r>
    </w:p>
    <w:p w14:paraId="415183F2" w14:textId="77777777" w:rsidR="00F87772" w:rsidRPr="00F87772" w:rsidRDefault="00F87772" w:rsidP="009A5A72">
      <w:pPr>
        <w:pStyle w:val="NormalWeb"/>
        <w:spacing w:before="0" w:beforeAutospacing="0" w:after="0" w:afterAutospacing="0" w:line="360" w:lineRule="auto"/>
        <w:jc w:val="both"/>
        <w:rPr>
          <w:b/>
        </w:rPr>
      </w:pPr>
      <w:r>
        <w:rPr>
          <w:b/>
        </w:rPr>
        <w:t>5.1</w:t>
      </w:r>
      <w:r>
        <w:rPr>
          <w:b/>
        </w:rPr>
        <w:tab/>
        <w:t>CONCLUSION</w:t>
      </w:r>
    </w:p>
    <w:p w14:paraId="6F3FA76A" w14:textId="77777777" w:rsidR="009E55DF" w:rsidRDefault="009E55DF" w:rsidP="009A5A72">
      <w:pPr>
        <w:pStyle w:val="NormalWeb"/>
        <w:spacing w:before="0" w:beforeAutospacing="0" w:after="0" w:afterAutospacing="0" w:line="360" w:lineRule="auto"/>
        <w:jc w:val="both"/>
      </w:pPr>
      <w:r>
        <w:t>The findings of this study reveal marked differences in the acid neutralizing capacity and pH stability of the selected antacid and anti-ulcer drug brands. While all samples exhibited alkaline properties at the point of preparation, their ability to maintain pH stability varied significantly. Gerdt and Krisacid showed superior buffering and neutralization performance, suggesting their suitability for rapid relief of gastric acidity. In contrast, drugs like Krisnat Omeprazole and Pherix, despite high initial alkalinity, demonstrated lower ANC values and greater pH reduction over time, reflecting systemic rather than immediate neutralizing effects. These results emphasize that the clinical effectiveness of antacid products is not solely dependent on pH but also on the extent and duration of acid neutralization, which varies with formulation type.</w:t>
      </w:r>
    </w:p>
    <w:p w14:paraId="780678CD" w14:textId="77777777" w:rsidR="009E55DF" w:rsidRPr="00F87772" w:rsidRDefault="00F87772" w:rsidP="009A5A72">
      <w:pPr>
        <w:pStyle w:val="Heading3"/>
        <w:spacing w:before="0"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5.2</w:t>
      </w:r>
      <w:r>
        <w:rPr>
          <w:rStyle w:val="Strong"/>
          <w:rFonts w:ascii="Times New Roman" w:hAnsi="Times New Roman" w:cs="Times New Roman"/>
          <w:b/>
          <w:bCs/>
          <w:color w:val="auto"/>
          <w:sz w:val="24"/>
          <w:szCs w:val="24"/>
        </w:rPr>
        <w:tab/>
      </w:r>
      <w:r w:rsidR="009E55DF" w:rsidRPr="00F87772">
        <w:rPr>
          <w:rStyle w:val="Strong"/>
          <w:rFonts w:ascii="Times New Roman" w:hAnsi="Times New Roman" w:cs="Times New Roman"/>
          <w:b/>
          <w:bCs/>
          <w:color w:val="auto"/>
          <w:sz w:val="24"/>
          <w:szCs w:val="24"/>
        </w:rPr>
        <w:t>RECOMMENDATION</w:t>
      </w:r>
    </w:p>
    <w:p w14:paraId="2B5554DF" w14:textId="77777777" w:rsidR="009E55DF" w:rsidRDefault="009E55DF" w:rsidP="009A5A72">
      <w:pPr>
        <w:pStyle w:val="NormalWeb"/>
        <w:spacing w:before="0" w:beforeAutospacing="0" w:after="0" w:afterAutospacing="0" w:line="360" w:lineRule="auto"/>
        <w:jc w:val="both"/>
      </w:pPr>
      <w:r>
        <w:t>Based on the findings of this study, the following recommendations are proposed:</w:t>
      </w:r>
    </w:p>
    <w:p w14:paraId="03A5C75B" w14:textId="77777777" w:rsidR="009E55DF" w:rsidRDefault="009E55DF" w:rsidP="009A5A72">
      <w:pPr>
        <w:pStyle w:val="NormalWeb"/>
        <w:numPr>
          <w:ilvl w:val="0"/>
          <w:numId w:val="12"/>
        </w:numPr>
        <w:spacing w:before="0" w:beforeAutospacing="0" w:after="0" w:afterAutospacing="0" w:line="360" w:lineRule="auto"/>
        <w:jc w:val="both"/>
      </w:pPr>
      <w:r>
        <w:rPr>
          <w:rStyle w:val="Strong"/>
        </w:rPr>
        <w:t>Clinical Selection</w:t>
      </w:r>
      <w:r>
        <w:t>: Healthcare providers should consider both the acid neutralizing capacity and pH stability when prescribing antacids or anti-ulcer agents to ensure optimal therapeutic outcomes based on patient-specific needs.</w:t>
      </w:r>
    </w:p>
    <w:p w14:paraId="09DDA775" w14:textId="77777777" w:rsidR="009E55DF" w:rsidRDefault="009E55DF" w:rsidP="009A5A72">
      <w:pPr>
        <w:pStyle w:val="NormalWeb"/>
        <w:numPr>
          <w:ilvl w:val="0"/>
          <w:numId w:val="12"/>
        </w:numPr>
        <w:spacing w:before="0" w:beforeAutospacing="0" w:after="0" w:afterAutospacing="0" w:line="360" w:lineRule="auto"/>
        <w:jc w:val="both"/>
      </w:pPr>
      <w:r>
        <w:rPr>
          <w:rStyle w:val="Strong"/>
        </w:rPr>
        <w:t>Public Awareness</w:t>
      </w:r>
      <w:r>
        <w:t>: Consumers should be educated on the pharmacological differences between rapid-acting antacids and delayed systemic agents to avoid misuse and ensure effective symptom management.</w:t>
      </w:r>
    </w:p>
    <w:p w14:paraId="176DEC3A" w14:textId="77777777" w:rsidR="009E55DF" w:rsidRDefault="009E55DF" w:rsidP="009A5A72">
      <w:pPr>
        <w:pStyle w:val="NormalWeb"/>
        <w:numPr>
          <w:ilvl w:val="0"/>
          <w:numId w:val="12"/>
        </w:numPr>
        <w:spacing w:before="0" w:beforeAutospacing="0" w:after="0" w:afterAutospacing="0" w:line="360" w:lineRule="auto"/>
        <w:jc w:val="both"/>
      </w:pPr>
      <w:r>
        <w:rPr>
          <w:rStyle w:val="Strong"/>
        </w:rPr>
        <w:t>Regulatory Oversight</w:t>
      </w:r>
      <w:r>
        <w:t>: Regulatory agencies such as NAFDAC should enforce routine testing of antacid formulations for quality assurance, ensuring that only products with proven efficacy are allowed into the market.</w:t>
      </w:r>
    </w:p>
    <w:p w14:paraId="6F0C33CD" w14:textId="77777777" w:rsidR="009E55DF" w:rsidRDefault="009E55DF" w:rsidP="009A5A72">
      <w:pPr>
        <w:pStyle w:val="NormalWeb"/>
        <w:numPr>
          <w:ilvl w:val="0"/>
          <w:numId w:val="12"/>
        </w:numPr>
        <w:spacing w:before="0" w:beforeAutospacing="0" w:after="0" w:afterAutospacing="0" w:line="360" w:lineRule="auto"/>
        <w:jc w:val="both"/>
      </w:pPr>
      <w:r>
        <w:rPr>
          <w:rStyle w:val="Strong"/>
        </w:rPr>
        <w:lastRenderedPageBreak/>
        <w:t>Further Research</w:t>
      </w:r>
      <w:r>
        <w:t>: Additional studies involving in vivo testing and broader sample sizes are recommended to corroborate these findings and explore long-term pharmacodynamic effects of these formulations.</w:t>
      </w:r>
    </w:p>
    <w:p w14:paraId="422C2B4B" w14:textId="77777777" w:rsidR="009E55DF" w:rsidRDefault="009E55DF" w:rsidP="009A5A72">
      <w:pPr>
        <w:spacing w:after="0" w:line="360" w:lineRule="auto"/>
      </w:pPr>
    </w:p>
    <w:p w14:paraId="3385C4C6" w14:textId="77777777" w:rsidR="00A9662E" w:rsidRDefault="00A9662E" w:rsidP="009A5A72">
      <w:pPr>
        <w:spacing w:after="0" w:line="360" w:lineRule="auto"/>
        <w:jc w:val="both"/>
        <w:rPr>
          <w:rFonts w:ascii="Times New Roman" w:hAnsi="Times New Roman" w:cs="Times New Roman"/>
          <w:b/>
          <w:bCs/>
          <w:sz w:val="24"/>
          <w:szCs w:val="24"/>
        </w:rPr>
      </w:pPr>
    </w:p>
    <w:p w14:paraId="2DDAA251" w14:textId="77777777" w:rsidR="00A9662E" w:rsidRPr="00D659FE" w:rsidRDefault="00A9662E" w:rsidP="009A5A72">
      <w:pPr>
        <w:spacing w:after="0" w:line="360" w:lineRule="auto"/>
        <w:jc w:val="both"/>
        <w:rPr>
          <w:rFonts w:ascii="Times New Roman" w:hAnsi="Times New Roman" w:cs="Times New Roman"/>
          <w:b/>
          <w:bCs/>
          <w:sz w:val="24"/>
          <w:szCs w:val="24"/>
        </w:rPr>
      </w:pPr>
    </w:p>
    <w:p w14:paraId="3791D4B8" w14:textId="77777777" w:rsidR="009E55DF" w:rsidRDefault="009E55DF"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09A61C5" w14:textId="77777777" w:rsidR="00D659FE" w:rsidRPr="00D659FE" w:rsidRDefault="00D659FE" w:rsidP="009A5A72">
      <w:pPr>
        <w:spacing w:after="0" w:line="360" w:lineRule="auto"/>
        <w:jc w:val="center"/>
        <w:rPr>
          <w:rFonts w:ascii="Times New Roman" w:hAnsi="Times New Roman" w:cs="Times New Roman"/>
          <w:b/>
          <w:bCs/>
          <w:sz w:val="24"/>
          <w:szCs w:val="24"/>
        </w:rPr>
      </w:pPr>
      <w:r w:rsidRPr="00D659FE">
        <w:rPr>
          <w:rFonts w:ascii="Times New Roman" w:hAnsi="Times New Roman" w:cs="Times New Roman"/>
          <w:b/>
          <w:bCs/>
          <w:sz w:val="24"/>
          <w:szCs w:val="24"/>
        </w:rPr>
        <w:lastRenderedPageBreak/>
        <w:t>REFERENCES</w:t>
      </w:r>
    </w:p>
    <w:p w14:paraId="6DA5B4FB"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Adebayo, T. O., &amp; Yusuf, M. A. (2024). Comparative analysis of antacid formulations: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Efficacy and safety considerations. International Journal of Pharmaceutical </w:t>
      </w:r>
      <w:r w:rsidR="00FD791B">
        <w:rPr>
          <w:rFonts w:ascii="Times New Roman" w:hAnsi="Times New Roman" w:cs="Times New Roman"/>
          <w:sz w:val="24"/>
          <w:szCs w:val="24"/>
        </w:rPr>
        <w:tab/>
      </w:r>
      <w:r w:rsidRPr="00D659FE">
        <w:rPr>
          <w:rFonts w:ascii="Times New Roman" w:hAnsi="Times New Roman" w:cs="Times New Roman"/>
          <w:sz w:val="24"/>
          <w:szCs w:val="24"/>
        </w:rPr>
        <w:t>Sciences, 15(1), 45-59.</w:t>
      </w:r>
    </w:p>
    <w:p w14:paraId="091CE91D"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Akinyemi, O. T., Williams, A. D., &amp; Okafor, P. C. (2023). Gastroesophageal reflux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disease (GERD) treatment and the role of antacids. Journal of Gastrointestinal </w:t>
      </w:r>
      <w:r w:rsidR="00FD791B">
        <w:rPr>
          <w:rFonts w:ascii="Times New Roman" w:hAnsi="Times New Roman" w:cs="Times New Roman"/>
          <w:sz w:val="24"/>
          <w:szCs w:val="24"/>
        </w:rPr>
        <w:tab/>
      </w:r>
      <w:r w:rsidRPr="00D659FE">
        <w:rPr>
          <w:rFonts w:ascii="Times New Roman" w:hAnsi="Times New Roman" w:cs="Times New Roman"/>
          <w:sz w:val="24"/>
          <w:szCs w:val="24"/>
        </w:rPr>
        <w:t>Research, 12(3), 78- 91.</w:t>
      </w:r>
    </w:p>
    <w:p w14:paraId="3527AE9D"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Bello, R. A., &amp; Okon, E. M. (2023). Magnesium-based antacids: Benefits and risks for </w:t>
      </w:r>
      <w:r w:rsidR="00FD791B">
        <w:rPr>
          <w:rFonts w:ascii="Times New Roman" w:hAnsi="Times New Roman" w:cs="Times New Roman"/>
          <w:sz w:val="24"/>
          <w:szCs w:val="24"/>
        </w:rPr>
        <w:tab/>
      </w:r>
      <w:r w:rsidRPr="00D659FE">
        <w:rPr>
          <w:rFonts w:ascii="Times New Roman" w:hAnsi="Times New Roman" w:cs="Times New Roman"/>
          <w:sz w:val="24"/>
          <w:szCs w:val="24"/>
        </w:rPr>
        <w:t>renal patients. Kidney Health Journal, 8(4), 32-45.</w:t>
      </w:r>
    </w:p>
    <w:p w14:paraId="4E6295E6"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Chidiebere, N. E., &amp; Okafor, M. O. (2023). Long-term effects of antacid use in elderly </w:t>
      </w:r>
      <w:r w:rsidR="00FD791B">
        <w:rPr>
          <w:rFonts w:ascii="Times New Roman" w:hAnsi="Times New Roman" w:cs="Times New Roman"/>
          <w:sz w:val="24"/>
          <w:szCs w:val="24"/>
        </w:rPr>
        <w:tab/>
      </w:r>
      <w:r w:rsidRPr="00D659FE">
        <w:rPr>
          <w:rFonts w:ascii="Times New Roman" w:hAnsi="Times New Roman" w:cs="Times New Roman"/>
          <w:sz w:val="24"/>
          <w:szCs w:val="24"/>
        </w:rPr>
        <w:t>populations: A systematic review. Aging &amp; Digestive Health, 11(2), 101-115.</w:t>
      </w:r>
    </w:p>
    <w:p w14:paraId="371D82BB"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Emmanuel, K. U., &amp; Okechukwu, V. T. (2021). Evaluation of calcium carbonate antacids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in pregnant women with acid reflux. Obstetrics &amp; Gastroenterology Journal, 9(2), </w:t>
      </w:r>
      <w:r w:rsidR="00FD791B">
        <w:rPr>
          <w:rFonts w:ascii="Times New Roman" w:hAnsi="Times New Roman" w:cs="Times New Roman"/>
          <w:sz w:val="24"/>
          <w:szCs w:val="24"/>
        </w:rPr>
        <w:tab/>
      </w:r>
      <w:r w:rsidRPr="00D659FE">
        <w:rPr>
          <w:rFonts w:ascii="Times New Roman" w:hAnsi="Times New Roman" w:cs="Times New Roman"/>
          <w:sz w:val="24"/>
          <w:szCs w:val="24"/>
        </w:rPr>
        <w:t>87-</w:t>
      </w:r>
      <w:r w:rsidR="007B2833">
        <w:rPr>
          <w:rFonts w:ascii="Times New Roman" w:hAnsi="Times New Roman" w:cs="Times New Roman"/>
          <w:sz w:val="24"/>
          <w:szCs w:val="24"/>
        </w:rPr>
        <w:tab/>
      </w:r>
      <w:r w:rsidRPr="00D659FE">
        <w:rPr>
          <w:rFonts w:ascii="Times New Roman" w:hAnsi="Times New Roman" w:cs="Times New Roman"/>
          <w:sz w:val="24"/>
          <w:szCs w:val="24"/>
        </w:rPr>
        <w:t>99.</w:t>
      </w:r>
    </w:p>
    <w:p w14:paraId="022D022D"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Eze, J. P., Adesanya, O. K., &amp; Martins, L. B. (2023). Aluminum-containing antacids and </w:t>
      </w:r>
      <w:r w:rsidR="00FD791B">
        <w:rPr>
          <w:rFonts w:ascii="Times New Roman" w:hAnsi="Times New Roman" w:cs="Times New Roman"/>
          <w:sz w:val="24"/>
          <w:szCs w:val="24"/>
        </w:rPr>
        <w:tab/>
      </w:r>
      <w:r w:rsidRPr="00D659FE">
        <w:rPr>
          <w:rFonts w:ascii="Times New Roman" w:hAnsi="Times New Roman" w:cs="Times New Roman"/>
          <w:sz w:val="24"/>
          <w:szCs w:val="24"/>
        </w:rPr>
        <w:t>their impact on bone health. Journal of Clinical Pharmacology, 14(1), 55-70.</w:t>
      </w:r>
    </w:p>
    <w:p w14:paraId="13B91B58"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George, F. R., &amp; Adeyemi, P. J. (2022). Assessing the acid-neutralizing capacity of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different antacid brands in Nigeria. Nigerian Journal of Pharmaceutical Research, </w:t>
      </w:r>
      <w:r w:rsidR="00FD791B">
        <w:rPr>
          <w:rFonts w:ascii="Times New Roman" w:hAnsi="Times New Roman" w:cs="Times New Roman"/>
          <w:sz w:val="24"/>
          <w:szCs w:val="24"/>
        </w:rPr>
        <w:tab/>
      </w:r>
      <w:r w:rsidRPr="00D659FE">
        <w:rPr>
          <w:rFonts w:ascii="Times New Roman" w:hAnsi="Times New Roman" w:cs="Times New Roman"/>
          <w:sz w:val="24"/>
          <w:szCs w:val="24"/>
        </w:rPr>
        <w:t>7(3), 123-138.</w:t>
      </w:r>
    </w:p>
    <w:p w14:paraId="3F5AABC7"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Ibrahim, S. A., &amp; Chukwu, D. N. (2022). A study on the pharmacokinetics of antacid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components and their effectiveness in GERD patients. West African Journal of </w:t>
      </w:r>
      <w:r w:rsidR="00FD791B">
        <w:rPr>
          <w:rFonts w:ascii="Times New Roman" w:hAnsi="Times New Roman" w:cs="Times New Roman"/>
          <w:sz w:val="24"/>
          <w:szCs w:val="24"/>
        </w:rPr>
        <w:tab/>
      </w:r>
      <w:r w:rsidRPr="00D659FE">
        <w:rPr>
          <w:rFonts w:ascii="Times New Roman" w:hAnsi="Times New Roman" w:cs="Times New Roman"/>
          <w:sz w:val="24"/>
          <w:szCs w:val="24"/>
        </w:rPr>
        <w:t>Pharmacology, 10(4), 67-82.</w:t>
      </w:r>
    </w:p>
    <w:p w14:paraId="147CD39A"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Martins, L. B., &amp; Adegbite, O. S. (2021). Calcium-based antacids and their role in </w:t>
      </w:r>
      <w:r w:rsidR="00FD791B">
        <w:rPr>
          <w:rFonts w:ascii="Times New Roman" w:hAnsi="Times New Roman" w:cs="Times New Roman"/>
          <w:sz w:val="24"/>
          <w:szCs w:val="24"/>
        </w:rPr>
        <w:tab/>
      </w:r>
      <w:r w:rsidRPr="00D659FE">
        <w:rPr>
          <w:rFonts w:ascii="Times New Roman" w:hAnsi="Times New Roman" w:cs="Times New Roman"/>
          <w:sz w:val="24"/>
          <w:szCs w:val="24"/>
        </w:rPr>
        <w:t>osteoporosis prevention. Bone Health &amp; Pharmacology Review, 9(1), 44-58.</w:t>
      </w:r>
    </w:p>
    <w:p w14:paraId="13CE7A6A" w14:textId="77777777" w:rsidR="00FD791B"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Nwankwo, J. K., &amp; Ogundipe, T. A. (2023). Antacid-drug interactions: Clinical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considerations in patients with polypharmacy. African Journal of Pharmacy and </w:t>
      </w:r>
      <w:r w:rsidR="00FD791B">
        <w:rPr>
          <w:rFonts w:ascii="Times New Roman" w:hAnsi="Times New Roman" w:cs="Times New Roman"/>
          <w:sz w:val="24"/>
          <w:szCs w:val="24"/>
        </w:rPr>
        <w:tab/>
      </w:r>
      <w:r w:rsidRPr="00D659FE">
        <w:rPr>
          <w:rFonts w:ascii="Times New Roman" w:hAnsi="Times New Roman" w:cs="Times New Roman"/>
          <w:sz w:val="24"/>
          <w:szCs w:val="24"/>
        </w:rPr>
        <w:t>Therapeutics, 13(2), 89-104.</w:t>
      </w:r>
    </w:p>
    <w:p w14:paraId="733AE236" w14:textId="77777777" w:rsidR="00FD791B"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lastRenderedPageBreak/>
        <w:t xml:space="preserve">Ogunleye, A. T., &amp; Williams, B. K. (2023). Efficacy of alginate-based antacids in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gastroesophageal reflux disease management. Journal of Digestive Medicine, </w:t>
      </w:r>
      <w:r w:rsidR="00FD791B">
        <w:rPr>
          <w:rFonts w:ascii="Times New Roman" w:hAnsi="Times New Roman" w:cs="Times New Roman"/>
          <w:sz w:val="24"/>
          <w:szCs w:val="24"/>
        </w:rPr>
        <w:tab/>
        <w:t>15(3), 120- 135.</w:t>
      </w:r>
    </w:p>
    <w:p w14:paraId="35052A2E"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Ogundipe, T. A., &amp; Williams, C. L. (2022). Pediatric use of antacids: Safety and efficacy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in </w:t>
      </w:r>
      <w:r w:rsidR="007B2833">
        <w:rPr>
          <w:rFonts w:ascii="Times New Roman" w:hAnsi="Times New Roman" w:cs="Times New Roman"/>
          <w:sz w:val="24"/>
          <w:szCs w:val="24"/>
        </w:rPr>
        <w:tab/>
      </w:r>
      <w:r w:rsidRPr="00D659FE">
        <w:rPr>
          <w:rFonts w:ascii="Times New Roman" w:hAnsi="Times New Roman" w:cs="Times New Roman"/>
          <w:sz w:val="24"/>
          <w:szCs w:val="24"/>
        </w:rPr>
        <w:t>children with acid reflux. Journal of Pediatric Gastroenterology, 11(4), 150-165.</w:t>
      </w:r>
    </w:p>
    <w:p w14:paraId="222FE43B"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Okafor, M. C., &amp; Adeyemi, O. J. (2021). The role of antacids in acid-related disorders: </w:t>
      </w:r>
      <w:r w:rsidR="00FD791B">
        <w:rPr>
          <w:rFonts w:ascii="Times New Roman" w:hAnsi="Times New Roman" w:cs="Times New Roman"/>
          <w:sz w:val="24"/>
          <w:szCs w:val="24"/>
        </w:rPr>
        <w:tab/>
      </w:r>
      <w:r w:rsidRPr="00D659FE">
        <w:rPr>
          <w:rFonts w:ascii="Times New Roman" w:hAnsi="Times New Roman" w:cs="Times New Roman"/>
          <w:sz w:val="24"/>
          <w:szCs w:val="24"/>
        </w:rPr>
        <w:t>Mechanisms and clinical applications. Journal of Clinical Medicine, 8(3), 79-</w:t>
      </w:r>
      <w:r w:rsidR="00FD791B">
        <w:rPr>
          <w:rFonts w:ascii="Times New Roman" w:hAnsi="Times New Roman" w:cs="Times New Roman"/>
          <w:sz w:val="24"/>
          <w:szCs w:val="24"/>
        </w:rPr>
        <w:tab/>
      </w:r>
      <w:r w:rsidRPr="00D659FE">
        <w:rPr>
          <w:rFonts w:ascii="Times New Roman" w:hAnsi="Times New Roman" w:cs="Times New Roman"/>
          <w:sz w:val="24"/>
          <w:szCs w:val="24"/>
        </w:rPr>
        <w:t>94.Okonkwo,</w:t>
      </w:r>
    </w:p>
    <w:p w14:paraId="225363C8"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 B., &amp; Adeyemi, P. K. (2021). Comparison of aluminum, magnesium, and calcium-</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based antacids in acid neutralization tests. West African Journal of Medicine, 9(2), </w:t>
      </w:r>
      <w:r w:rsidR="00FD791B">
        <w:rPr>
          <w:rFonts w:ascii="Times New Roman" w:hAnsi="Times New Roman" w:cs="Times New Roman"/>
          <w:sz w:val="24"/>
          <w:szCs w:val="24"/>
        </w:rPr>
        <w:tab/>
      </w:r>
      <w:r w:rsidRPr="00D659FE">
        <w:rPr>
          <w:rFonts w:ascii="Times New Roman" w:hAnsi="Times New Roman" w:cs="Times New Roman"/>
          <w:sz w:val="24"/>
          <w:szCs w:val="24"/>
        </w:rPr>
        <w:t>110-125.</w:t>
      </w:r>
    </w:p>
    <w:p w14:paraId="7427B9E8"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Oluwaseun, B. F., &amp; Martins, L. O. (2022). Impact of chronic antacid use on gastric acid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secretion and nutrient absorption. Gastrointestinal Pharmacology Journal, 10(3), </w:t>
      </w:r>
      <w:r w:rsidR="00FD791B">
        <w:rPr>
          <w:rFonts w:ascii="Times New Roman" w:hAnsi="Times New Roman" w:cs="Times New Roman"/>
          <w:sz w:val="24"/>
          <w:szCs w:val="24"/>
        </w:rPr>
        <w:tab/>
      </w:r>
      <w:r w:rsidRPr="00D659FE">
        <w:rPr>
          <w:rFonts w:ascii="Times New Roman" w:hAnsi="Times New Roman" w:cs="Times New Roman"/>
          <w:sz w:val="24"/>
          <w:szCs w:val="24"/>
        </w:rPr>
        <w:t>99-</w:t>
      </w:r>
      <w:r w:rsidR="007B2833">
        <w:rPr>
          <w:rFonts w:ascii="Times New Roman" w:hAnsi="Times New Roman" w:cs="Times New Roman"/>
          <w:sz w:val="24"/>
          <w:szCs w:val="24"/>
        </w:rPr>
        <w:tab/>
      </w:r>
      <w:r w:rsidRPr="00D659FE">
        <w:rPr>
          <w:rFonts w:ascii="Times New Roman" w:hAnsi="Times New Roman" w:cs="Times New Roman"/>
          <w:sz w:val="24"/>
          <w:szCs w:val="24"/>
        </w:rPr>
        <w:t>115.</w:t>
      </w:r>
    </w:p>
    <w:p w14:paraId="3313F9B6"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Omotayo, S. D., &amp; Ibrahim, S. T. (2024). Advancements in antacid formulations: A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review of recent innovations. International Journal of Pharmaceutical Innovations, </w:t>
      </w:r>
      <w:r w:rsidR="00FD791B">
        <w:rPr>
          <w:rFonts w:ascii="Times New Roman" w:hAnsi="Times New Roman" w:cs="Times New Roman"/>
          <w:sz w:val="24"/>
          <w:szCs w:val="24"/>
        </w:rPr>
        <w:tab/>
      </w:r>
      <w:r w:rsidRPr="00D659FE">
        <w:rPr>
          <w:rFonts w:ascii="Times New Roman" w:hAnsi="Times New Roman" w:cs="Times New Roman"/>
          <w:sz w:val="24"/>
          <w:szCs w:val="24"/>
        </w:rPr>
        <w:t>16(1), 25- 40.</w:t>
      </w:r>
    </w:p>
    <w:p w14:paraId="205F7B55"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Onwuegbuchulam, R. N., &amp; Okonkwo, E. T. (2023). Role of diet and lifestyle in antacid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effectiveness: A clinical review. Nutrition and Digestive Health Journal, 12(4), </w:t>
      </w:r>
      <w:r w:rsidR="00FD791B">
        <w:rPr>
          <w:rFonts w:ascii="Times New Roman" w:hAnsi="Times New Roman" w:cs="Times New Roman"/>
          <w:sz w:val="24"/>
          <w:szCs w:val="24"/>
        </w:rPr>
        <w:tab/>
      </w:r>
      <w:r w:rsidRPr="00D659FE">
        <w:rPr>
          <w:rFonts w:ascii="Times New Roman" w:hAnsi="Times New Roman" w:cs="Times New Roman"/>
          <w:sz w:val="24"/>
          <w:szCs w:val="24"/>
        </w:rPr>
        <w:t>115-130.</w:t>
      </w:r>
    </w:p>
    <w:p w14:paraId="0A0B38E9"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Osho, B. A., &amp; Ogundele, K. J. (2022). Acid neutralizing capacity of antacids: An in-vitro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evaluation of commercial brands. Pharmaceutical Science &amp; Research Journal, </w:t>
      </w:r>
      <w:r w:rsidR="00FD791B">
        <w:rPr>
          <w:rFonts w:ascii="Times New Roman" w:hAnsi="Times New Roman" w:cs="Times New Roman"/>
          <w:sz w:val="24"/>
          <w:szCs w:val="24"/>
        </w:rPr>
        <w:tab/>
        <w:t>PPSC</w:t>
      </w:r>
      <w:r w:rsidRPr="00D659FE">
        <w:rPr>
          <w:rFonts w:ascii="Times New Roman" w:hAnsi="Times New Roman" w:cs="Times New Roman"/>
          <w:sz w:val="24"/>
          <w:szCs w:val="24"/>
        </w:rPr>
        <w:t>10(2), 140- 155.</w:t>
      </w:r>
    </w:p>
    <w:p w14:paraId="6B92EBA1"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Oyedepo, C. O., &amp; Nwankwo, J. K. (2023). Management of acid reflux in special </w:t>
      </w:r>
      <w:r w:rsidR="00FD791B">
        <w:rPr>
          <w:rFonts w:ascii="Times New Roman" w:hAnsi="Times New Roman" w:cs="Times New Roman"/>
          <w:sz w:val="24"/>
          <w:szCs w:val="24"/>
        </w:rPr>
        <w:tab/>
      </w:r>
      <w:r w:rsidRPr="00D659FE">
        <w:rPr>
          <w:rFonts w:ascii="Times New Roman" w:hAnsi="Times New Roman" w:cs="Times New Roman"/>
          <w:sz w:val="24"/>
          <w:szCs w:val="24"/>
        </w:rPr>
        <w:t>populations: A focus on antacids. Medical Review Journal, 14(3), 95-108.</w:t>
      </w:r>
    </w:p>
    <w:p w14:paraId="7E666709"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lastRenderedPageBreak/>
        <w:t xml:space="preserve">Williams, D. A., &amp; Chukwudi, N. P. (2022). The efficacy and safety of antacid use in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pregnant women and elderly patients. Journal of Clinical Pharmacy &amp; </w:t>
      </w:r>
      <w:r w:rsidR="00FD791B">
        <w:rPr>
          <w:rFonts w:ascii="Times New Roman" w:hAnsi="Times New Roman" w:cs="Times New Roman"/>
          <w:sz w:val="24"/>
          <w:szCs w:val="24"/>
        </w:rPr>
        <w:tab/>
      </w:r>
      <w:r w:rsidRPr="00D659FE">
        <w:rPr>
          <w:rFonts w:ascii="Times New Roman" w:hAnsi="Times New Roman" w:cs="Times New Roman"/>
          <w:sz w:val="24"/>
          <w:szCs w:val="24"/>
        </w:rPr>
        <w:t>Therapeutics, 13(1), 60-75.</w:t>
      </w:r>
    </w:p>
    <w:p w14:paraId="398BC586" w14:textId="77777777" w:rsidR="00FA245E" w:rsidRPr="009E55DF" w:rsidRDefault="00FA245E" w:rsidP="009A5A72">
      <w:pPr>
        <w:spacing w:after="0" w:line="360" w:lineRule="auto"/>
        <w:rPr>
          <w:rFonts w:ascii="Times New Roman" w:hAnsi="Times New Roman" w:cs="Times New Roman"/>
          <w:b/>
          <w:sz w:val="24"/>
          <w:szCs w:val="24"/>
        </w:rPr>
      </w:pPr>
    </w:p>
    <w:sectPr w:rsidR="00FA245E" w:rsidRPr="009E55DF" w:rsidSect="000B4B76">
      <w:footerReference w:type="default" r:id="rId9"/>
      <w:pgSz w:w="11808" w:h="15120"/>
      <w:pgMar w:top="1354" w:right="1411" w:bottom="2506" w:left="1411" w:header="0" w:footer="1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2C946" w14:textId="77777777" w:rsidR="00C5144C" w:rsidRDefault="00C5144C" w:rsidP="00D659FE">
      <w:pPr>
        <w:spacing w:after="0" w:line="240" w:lineRule="auto"/>
      </w:pPr>
      <w:r>
        <w:separator/>
      </w:r>
    </w:p>
  </w:endnote>
  <w:endnote w:type="continuationSeparator" w:id="0">
    <w:p w14:paraId="790A3782" w14:textId="77777777" w:rsidR="00C5144C" w:rsidRDefault="00C5144C" w:rsidP="00D65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Arial"/>
    <w:panose1 w:val="020B06040202020202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B060402020202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altName w:val="Menlo"/>
    <w:panose1 w:val="020B060402020202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721588"/>
      <w:docPartObj>
        <w:docPartGallery w:val="Page Numbers (Bottom of Page)"/>
        <w:docPartUnique/>
      </w:docPartObj>
    </w:sdtPr>
    <w:sdtEndPr>
      <w:rPr>
        <w:noProof/>
      </w:rPr>
    </w:sdtEndPr>
    <w:sdtContent>
      <w:p w14:paraId="6322BED9" w14:textId="77777777" w:rsidR="0012239B" w:rsidRDefault="0012239B">
        <w:pPr>
          <w:pStyle w:val="Footer"/>
          <w:jc w:val="center"/>
        </w:pPr>
        <w:r>
          <w:fldChar w:fldCharType="begin"/>
        </w:r>
        <w:r>
          <w:instrText xml:space="preserve"> PAGE   \* MERGEFORMAT </w:instrText>
        </w:r>
        <w:r>
          <w:fldChar w:fldCharType="separate"/>
        </w:r>
        <w:r w:rsidR="00F20E5F">
          <w:rPr>
            <w:noProof/>
          </w:rPr>
          <w:t>iv</w:t>
        </w:r>
        <w:r>
          <w:rPr>
            <w:noProof/>
          </w:rPr>
          <w:fldChar w:fldCharType="end"/>
        </w:r>
      </w:p>
    </w:sdtContent>
  </w:sdt>
  <w:p w14:paraId="4700674B" w14:textId="77777777" w:rsidR="0012239B" w:rsidRDefault="0012239B">
    <w:pPr>
      <w:pStyle w:val="BodyText"/>
      <w:spacing w:before="0"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515605"/>
      <w:docPartObj>
        <w:docPartGallery w:val="Page Numbers (Bottom of Page)"/>
        <w:docPartUnique/>
      </w:docPartObj>
    </w:sdtPr>
    <w:sdtEndPr>
      <w:rPr>
        <w:noProof/>
      </w:rPr>
    </w:sdtEndPr>
    <w:sdtContent>
      <w:p w14:paraId="6B6B0E17" w14:textId="77777777" w:rsidR="0012239B" w:rsidRDefault="0012239B">
        <w:pPr>
          <w:pStyle w:val="Footer"/>
          <w:jc w:val="center"/>
        </w:pPr>
        <w:r>
          <w:fldChar w:fldCharType="begin"/>
        </w:r>
        <w:r>
          <w:instrText xml:space="preserve"> PAGE   \* MERGEFORMAT </w:instrText>
        </w:r>
        <w:r>
          <w:fldChar w:fldCharType="separate"/>
        </w:r>
        <w:r w:rsidR="00F20E5F">
          <w:rPr>
            <w:noProof/>
          </w:rPr>
          <w:t>32</w:t>
        </w:r>
        <w:r>
          <w:rPr>
            <w:noProof/>
          </w:rPr>
          <w:fldChar w:fldCharType="end"/>
        </w:r>
      </w:p>
    </w:sdtContent>
  </w:sdt>
  <w:p w14:paraId="05088A0F" w14:textId="77777777" w:rsidR="0012239B" w:rsidRDefault="0012239B">
    <w:pPr>
      <w:pStyle w:val="BodyText"/>
      <w:spacing w:before="0"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621458"/>
      <w:docPartObj>
        <w:docPartGallery w:val="Page Numbers (Bottom of Page)"/>
        <w:docPartUnique/>
      </w:docPartObj>
    </w:sdtPr>
    <w:sdtEndPr>
      <w:rPr>
        <w:noProof/>
      </w:rPr>
    </w:sdtEndPr>
    <w:sdtContent>
      <w:p w14:paraId="618D7DD5" w14:textId="77777777" w:rsidR="0012239B" w:rsidRDefault="0012239B">
        <w:pPr>
          <w:pStyle w:val="Footer"/>
          <w:jc w:val="center"/>
        </w:pPr>
        <w:r>
          <w:fldChar w:fldCharType="begin"/>
        </w:r>
        <w:r>
          <w:instrText xml:space="preserve"> PAGE   \* MERGEFORMAT </w:instrText>
        </w:r>
        <w:r>
          <w:fldChar w:fldCharType="separate"/>
        </w:r>
        <w:r w:rsidR="00F20E5F">
          <w:rPr>
            <w:noProof/>
          </w:rPr>
          <w:t>39</w:t>
        </w:r>
        <w:r>
          <w:rPr>
            <w:noProof/>
          </w:rPr>
          <w:fldChar w:fldCharType="end"/>
        </w:r>
      </w:p>
    </w:sdtContent>
  </w:sdt>
  <w:p w14:paraId="0C214C58" w14:textId="77777777" w:rsidR="0012239B" w:rsidRDefault="0012239B">
    <w:pPr>
      <w:pStyle w:val="BodyText"/>
      <w:spacing w:before="0"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BA5A1" w14:textId="77777777" w:rsidR="00C5144C" w:rsidRDefault="00C5144C" w:rsidP="00D659FE">
      <w:pPr>
        <w:spacing w:after="0" w:line="240" w:lineRule="auto"/>
      </w:pPr>
      <w:r>
        <w:separator/>
      </w:r>
    </w:p>
  </w:footnote>
  <w:footnote w:type="continuationSeparator" w:id="0">
    <w:p w14:paraId="031B7864" w14:textId="77777777" w:rsidR="00C5144C" w:rsidRDefault="00C5144C" w:rsidP="00D659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0259"/>
    <w:multiLevelType w:val="multilevel"/>
    <w:tmpl w:val="190A0E50"/>
    <w:lvl w:ilvl="0">
      <w:start w:val="2"/>
      <w:numFmt w:val="decimal"/>
      <w:lvlText w:val="%1"/>
      <w:lvlJc w:val="left"/>
      <w:pPr>
        <w:ind w:left="885" w:hanging="720"/>
      </w:pPr>
      <w:rPr>
        <w:rFonts w:hint="default"/>
        <w:lang w:val="en-US" w:eastAsia="en-US" w:bidi="ar-SA"/>
      </w:rPr>
    </w:lvl>
    <w:lvl w:ilvl="1">
      <w:start w:val="1"/>
      <w:numFmt w:val="decimal"/>
      <w:lvlText w:val="%1.%2"/>
      <w:lvlJc w:val="left"/>
      <w:pPr>
        <w:ind w:left="885"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25" w:hanging="540"/>
      </w:pPr>
      <w:rPr>
        <w:rFonts w:ascii="Times New Roman" w:eastAsia="Times New Roman" w:hAnsi="Times New Roman" w:cs="Times New Roman" w:hint="default"/>
        <w:b/>
        <w:bCs/>
        <w:i w:val="0"/>
        <w:iCs w:val="0"/>
        <w:spacing w:val="-3"/>
        <w:w w:val="100"/>
        <w:sz w:val="24"/>
        <w:szCs w:val="24"/>
        <w:lang w:val="en-US" w:eastAsia="en-US" w:bidi="ar-SA"/>
      </w:rPr>
    </w:lvl>
    <w:lvl w:ilvl="3">
      <w:start w:val="1"/>
      <w:numFmt w:val="decimal"/>
      <w:lvlText w:val="%1.%2.%3.%4"/>
      <w:lvlJc w:val="left"/>
      <w:pPr>
        <w:ind w:left="2301" w:hanging="936"/>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040" w:hanging="936"/>
      </w:pPr>
      <w:rPr>
        <w:rFonts w:hint="default"/>
        <w:lang w:val="en-US" w:eastAsia="en-US" w:bidi="ar-SA"/>
      </w:rPr>
    </w:lvl>
    <w:lvl w:ilvl="5">
      <w:numFmt w:val="bullet"/>
      <w:lvlText w:val="•"/>
      <w:lvlJc w:val="left"/>
      <w:pPr>
        <w:ind w:left="4910" w:hanging="936"/>
      </w:pPr>
      <w:rPr>
        <w:rFonts w:hint="default"/>
        <w:lang w:val="en-US" w:eastAsia="en-US" w:bidi="ar-SA"/>
      </w:rPr>
    </w:lvl>
    <w:lvl w:ilvl="6">
      <w:numFmt w:val="bullet"/>
      <w:lvlText w:val="•"/>
      <w:lvlJc w:val="left"/>
      <w:pPr>
        <w:ind w:left="5780" w:hanging="936"/>
      </w:pPr>
      <w:rPr>
        <w:rFonts w:hint="default"/>
        <w:lang w:val="en-US" w:eastAsia="en-US" w:bidi="ar-SA"/>
      </w:rPr>
    </w:lvl>
    <w:lvl w:ilvl="7">
      <w:numFmt w:val="bullet"/>
      <w:lvlText w:val="•"/>
      <w:lvlJc w:val="left"/>
      <w:pPr>
        <w:ind w:left="6650" w:hanging="936"/>
      </w:pPr>
      <w:rPr>
        <w:rFonts w:hint="default"/>
        <w:lang w:val="en-US" w:eastAsia="en-US" w:bidi="ar-SA"/>
      </w:rPr>
    </w:lvl>
    <w:lvl w:ilvl="8">
      <w:numFmt w:val="bullet"/>
      <w:lvlText w:val="•"/>
      <w:lvlJc w:val="left"/>
      <w:pPr>
        <w:ind w:left="7520" w:hanging="936"/>
      </w:pPr>
      <w:rPr>
        <w:rFonts w:hint="default"/>
        <w:lang w:val="en-US" w:eastAsia="en-US" w:bidi="ar-SA"/>
      </w:rPr>
    </w:lvl>
  </w:abstractNum>
  <w:abstractNum w:abstractNumId="1" w15:restartNumberingAfterBreak="0">
    <w:nsid w:val="1B4A2287"/>
    <w:multiLevelType w:val="multilevel"/>
    <w:tmpl w:val="74E05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0666E0"/>
    <w:multiLevelType w:val="multilevel"/>
    <w:tmpl w:val="E24C038C"/>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69148A"/>
    <w:multiLevelType w:val="multilevel"/>
    <w:tmpl w:val="3DBE01C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3A2EE7"/>
    <w:multiLevelType w:val="multilevel"/>
    <w:tmpl w:val="22EE4DC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E958AF"/>
    <w:multiLevelType w:val="multilevel"/>
    <w:tmpl w:val="D03C13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E37855"/>
    <w:multiLevelType w:val="multilevel"/>
    <w:tmpl w:val="6C9C0F38"/>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1A81475"/>
    <w:multiLevelType w:val="multilevel"/>
    <w:tmpl w:val="FCE6D022"/>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DA02B5"/>
    <w:multiLevelType w:val="multilevel"/>
    <w:tmpl w:val="1DCECF98"/>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9F2F32"/>
    <w:multiLevelType w:val="multilevel"/>
    <w:tmpl w:val="A29A6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C10828"/>
    <w:multiLevelType w:val="multilevel"/>
    <w:tmpl w:val="12A8063E"/>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6FD78B3"/>
    <w:multiLevelType w:val="multilevel"/>
    <w:tmpl w:val="95A66788"/>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7267071"/>
    <w:multiLevelType w:val="multilevel"/>
    <w:tmpl w:val="B98A8EF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EFA3D31"/>
    <w:multiLevelType w:val="multilevel"/>
    <w:tmpl w:val="729AE04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80E7B3C"/>
    <w:multiLevelType w:val="multilevel"/>
    <w:tmpl w:val="F1A02D2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92108183">
    <w:abstractNumId w:val="0"/>
  </w:num>
  <w:num w:numId="2" w16cid:durableId="794905131">
    <w:abstractNumId w:val="14"/>
  </w:num>
  <w:num w:numId="3" w16cid:durableId="653610089">
    <w:abstractNumId w:val="13"/>
  </w:num>
  <w:num w:numId="4" w16cid:durableId="1670448000">
    <w:abstractNumId w:val="8"/>
  </w:num>
  <w:num w:numId="5" w16cid:durableId="1556549292">
    <w:abstractNumId w:val="11"/>
  </w:num>
  <w:num w:numId="6" w16cid:durableId="1068647684">
    <w:abstractNumId w:val="7"/>
  </w:num>
  <w:num w:numId="7" w16cid:durableId="1400782314">
    <w:abstractNumId w:val="4"/>
  </w:num>
  <w:num w:numId="8" w16cid:durableId="1696425926">
    <w:abstractNumId w:val="12"/>
  </w:num>
  <w:num w:numId="9" w16cid:durableId="798914159">
    <w:abstractNumId w:val="2"/>
  </w:num>
  <w:num w:numId="10" w16cid:durableId="1068921203">
    <w:abstractNumId w:val="3"/>
  </w:num>
  <w:num w:numId="11" w16cid:durableId="1823155694">
    <w:abstractNumId w:val="10"/>
  </w:num>
  <w:num w:numId="12" w16cid:durableId="216208871">
    <w:abstractNumId w:val="1"/>
  </w:num>
  <w:num w:numId="13" w16cid:durableId="675613783">
    <w:abstractNumId w:val="9"/>
  </w:num>
  <w:num w:numId="14" w16cid:durableId="1755080900">
    <w:abstractNumId w:val="5"/>
  </w:num>
  <w:num w:numId="15" w16cid:durableId="7045980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9FE"/>
    <w:rsid w:val="00020FAF"/>
    <w:rsid w:val="0003089F"/>
    <w:rsid w:val="00033D43"/>
    <w:rsid w:val="00044E0E"/>
    <w:rsid w:val="00083D48"/>
    <w:rsid w:val="000947B6"/>
    <w:rsid w:val="000B4B76"/>
    <w:rsid w:val="000C50BB"/>
    <w:rsid w:val="000D150A"/>
    <w:rsid w:val="0012239B"/>
    <w:rsid w:val="0013327B"/>
    <w:rsid w:val="001854CA"/>
    <w:rsid w:val="001C49F6"/>
    <w:rsid w:val="001E66C2"/>
    <w:rsid w:val="001F41D3"/>
    <w:rsid w:val="002310AE"/>
    <w:rsid w:val="002F5AFB"/>
    <w:rsid w:val="00375EC0"/>
    <w:rsid w:val="003A3088"/>
    <w:rsid w:val="003C0190"/>
    <w:rsid w:val="00441909"/>
    <w:rsid w:val="00455718"/>
    <w:rsid w:val="004A1C12"/>
    <w:rsid w:val="004A5A28"/>
    <w:rsid w:val="004C068E"/>
    <w:rsid w:val="00505174"/>
    <w:rsid w:val="005116DC"/>
    <w:rsid w:val="00556125"/>
    <w:rsid w:val="00557FF6"/>
    <w:rsid w:val="005657DC"/>
    <w:rsid w:val="00572FEE"/>
    <w:rsid w:val="00584B9B"/>
    <w:rsid w:val="005853B2"/>
    <w:rsid w:val="005A11D9"/>
    <w:rsid w:val="005B2470"/>
    <w:rsid w:val="005B6981"/>
    <w:rsid w:val="005E1AA2"/>
    <w:rsid w:val="005F4524"/>
    <w:rsid w:val="0068456B"/>
    <w:rsid w:val="0068681A"/>
    <w:rsid w:val="00742D94"/>
    <w:rsid w:val="007A05B7"/>
    <w:rsid w:val="007B2833"/>
    <w:rsid w:val="007B764E"/>
    <w:rsid w:val="007D6963"/>
    <w:rsid w:val="007E0770"/>
    <w:rsid w:val="007E33BA"/>
    <w:rsid w:val="007F3E35"/>
    <w:rsid w:val="007F7090"/>
    <w:rsid w:val="008069D7"/>
    <w:rsid w:val="00814E70"/>
    <w:rsid w:val="00866A7B"/>
    <w:rsid w:val="008A31B5"/>
    <w:rsid w:val="008E21D3"/>
    <w:rsid w:val="00923B2A"/>
    <w:rsid w:val="00954D10"/>
    <w:rsid w:val="00957AE2"/>
    <w:rsid w:val="00965BFC"/>
    <w:rsid w:val="009A5A72"/>
    <w:rsid w:val="009E55DF"/>
    <w:rsid w:val="00A32B4F"/>
    <w:rsid w:val="00A90270"/>
    <w:rsid w:val="00A9662E"/>
    <w:rsid w:val="00AA70DC"/>
    <w:rsid w:val="00AC25C9"/>
    <w:rsid w:val="00B06891"/>
    <w:rsid w:val="00B22291"/>
    <w:rsid w:val="00B22EB0"/>
    <w:rsid w:val="00B31FFF"/>
    <w:rsid w:val="00B56C0D"/>
    <w:rsid w:val="00B7318F"/>
    <w:rsid w:val="00B91923"/>
    <w:rsid w:val="00BA04F8"/>
    <w:rsid w:val="00BA3F78"/>
    <w:rsid w:val="00BC1219"/>
    <w:rsid w:val="00BC6E20"/>
    <w:rsid w:val="00C03B81"/>
    <w:rsid w:val="00C308F5"/>
    <w:rsid w:val="00C35E98"/>
    <w:rsid w:val="00C44110"/>
    <w:rsid w:val="00C45905"/>
    <w:rsid w:val="00C5144C"/>
    <w:rsid w:val="00C664FF"/>
    <w:rsid w:val="00C76F66"/>
    <w:rsid w:val="00C9015E"/>
    <w:rsid w:val="00CA7C88"/>
    <w:rsid w:val="00CB23A7"/>
    <w:rsid w:val="00CE2674"/>
    <w:rsid w:val="00CE6680"/>
    <w:rsid w:val="00D167D5"/>
    <w:rsid w:val="00D64514"/>
    <w:rsid w:val="00D659FE"/>
    <w:rsid w:val="00D70544"/>
    <w:rsid w:val="00D718B5"/>
    <w:rsid w:val="00D932B2"/>
    <w:rsid w:val="00D96B8E"/>
    <w:rsid w:val="00E85599"/>
    <w:rsid w:val="00E93475"/>
    <w:rsid w:val="00EA4DFA"/>
    <w:rsid w:val="00EB0122"/>
    <w:rsid w:val="00EB0EA5"/>
    <w:rsid w:val="00EB567F"/>
    <w:rsid w:val="00EC2AAA"/>
    <w:rsid w:val="00F03613"/>
    <w:rsid w:val="00F20E5F"/>
    <w:rsid w:val="00F57C15"/>
    <w:rsid w:val="00F65E53"/>
    <w:rsid w:val="00F87772"/>
    <w:rsid w:val="00FA245E"/>
    <w:rsid w:val="00FD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05921"/>
  <w15:docId w15:val="{24AE8A1F-58E4-F343-9C03-47CCA865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659FE"/>
    <w:pPr>
      <w:widowControl w:val="0"/>
      <w:autoSpaceDE w:val="0"/>
      <w:autoSpaceDN w:val="0"/>
      <w:spacing w:before="160" w:after="0" w:line="240" w:lineRule="auto"/>
      <w:ind w:left="885" w:hanging="72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D659FE"/>
    <w:pPr>
      <w:widowControl w:val="0"/>
      <w:autoSpaceDE w:val="0"/>
      <w:autoSpaceDN w:val="0"/>
      <w:spacing w:before="160" w:after="0" w:line="240" w:lineRule="auto"/>
      <w:ind w:left="1124" w:hanging="539"/>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FA24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659F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D659F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D659FE"/>
    <w:pPr>
      <w:widowControl w:val="0"/>
      <w:autoSpaceDE w:val="0"/>
      <w:autoSpaceDN w:val="0"/>
      <w:spacing w:before="202" w:after="0" w:line="240" w:lineRule="auto"/>
      <w:ind w:left="141"/>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659FE"/>
    <w:rPr>
      <w:rFonts w:ascii="Times New Roman" w:eastAsia="Times New Roman" w:hAnsi="Times New Roman" w:cs="Times New Roman"/>
      <w:sz w:val="24"/>
      <w:szCs w:val="24"/>
    </w:rPr>
  </w:style>
  <w:style w:type="paragraph" w:styleId="Title">
    <w:name w:val="Title"/>
    <w:basedOn w:val="Normal"/>
    <w:link w:val="TitleChar"/>
    <w:uiPriority w:val="1"/>
    <w:qFormat/>
    <w:rsid w:val="00D659FE"/>
    <w:pPr>
      <w:widowControl w:val="0"/>
      <w:autoSpaceDE w:val="0"/>
      <w:autoSpaceDN w:val="0"/>
      <w:spacing w:after="0" w:line="240" w:lineRule="auto"/>
      <w:ind w:right="1"/>
      <w:jc w:val="center"/>
    </w:pPr>
    <w:rPr>
      <w:rFonts w:ascii="Cambria" w:eastAsia="Cambria" w:hAnsi="Cambria" w:cs="Cambria"/>
      <w:b/>
      <w:bCs/>
      <w:sz w:val="38"/>
      <w:szCs w:val="38"/>
    </w:rPr>
  </w:style>
  <w:style w:type="character" w:customStyle="1" w:styleId="TitleChar">
    <w:name w:val="Title Char"/>
    <w:basedOn w:val="DefaultParagraphFont"/>
    <w:link w:val="Title"/>
    <w:uiPriority w:val="1"/>
    <w:rsid w:val="00D659FE"/>
    <w:rPr>
      <w:rFonts w:ascii="Cambria" w:eastAsia="Cambria" w:hAnsi="Cambria" w:cs="Cambria"/>
      <w:b/>
      <w:bCs/>
      <w:sz w:val="38"/>
      <w:szCs w:val="38"/>
    </w:rPr>
  </w:style>
  <w:style w:type="paragraph" w:styleId="ListParagraph">
    <w:name w:val="List Paragraph"/>
    <w:basedOn w:val="Normal"/>
    <w:uiPriority w:val="1"/>
    <w:qFormat/>
    <w:rsid w:val="00D659FE"/>
    <w:pPr>
      <w:widowControl w:val="0"/>
      <w:autoSpaceDE w:val="0"/>
      <w:autoSpaceDN w:val="0"/>
      <w:spacing w:before="160" w:after="0" w:line="240" w:lineRule="auto"/>
      <w:ind w:left="885" w:hanging="720"/>
    </w:pPr>
    <w:rPr>
      <w:rFonts w:ascii="Times New Roman" w:eastAsia="Times New Roman" w:hAnsi="Times New Roman" w:cs="Times New Roman"/>
    </w:rPr>
  </w:style>
  <w:style w:type="paragraph" w:customStyle="1" w:styleId="TableParagraph">
    <w:name w:val="Table Paragraph"/>
    <w:basedOn w:val="Normal"/>
    <w:uiPriority w:val="1"/>
    <w:qFormat/>
    <w:rsid w:val="00D659FE"/>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659FE"/>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659FE"/>
    <w:rPr>
      <w:rFonts w:ascii="Tahoma" w:eastAsia="Times New Roman" w:hAnsi="Tahoma" w:cs="Tahoma"/>
      <w:sz w:val="16"/>
      <w:szCs w:val="16"/>
    </w:rPr>
  </w:style>
  <w:style w:type="table" w:styleId="TableGrid">
    <w:name w:val="Table Grid"/>
    <w:basedOn w:val="TableNormal"/>
    <w:uiPriority w:val="59"/>
    <w:rsid w:val="00D659FE"/>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9F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D659FE"/>
    <w:rPr>
      <w:rFonts w:ascii="Times New Roman" w:eastAsia="Times New Roman" w:hAnsi="Times New Roman" w:cs="Times New Roman"/>
    </w:rPr>
  </w:style>
  <w:style w:type="paragraph" w:styleId="Footer">
    <w:name w:val="footer"/>
    <w:basedOn w:val="Normal"/>
    <w:link w:val="FooterChar"/>
    <w:uiPriority w:val="99"/>
    <w:unhideWhenUsed/>
    <w:rsid w:val="00D659F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D659FE"/>
    <w:rPr>
      <w:rFonts w:ascii="Times New Roman" w:eastAsia="Times New Roman" w:hAnsi="Times New Roman" w:cs="Times New Roman"/>
    </w:rPr>
  </w:style>
  <w:style w:type="character" w:styleId="Strong">
    <w:name w:val="Strong"/>
    <w:basedOn w:val="DefaultParagraphFont"/>
    <w:uiPriority w:val="22"/>
    <w:qFormat/>
    <w:rsid w:val="007E33BA"/>
    <w:rPr>
      <w:b/>
      <w:bCs/>
    </w:rPr>
  </w:style>
  <w:style w:type="character" w:styleId="PlaceholderText">
    <w:name w:val="Placeholder Text"/>
    <w:basedOn w:val="DefaultParagraphFont"/>
    <w:uiPriority w:val="99"/>
    <w:semiHidden/>
    <w:rsid w:val="007E33BA"/>
    <w:rPr>
      <w:color w:val="808080"/>
    </w:rPr>
  </w:style>
  <w:style w:type="character" w:customStyle="1" w:styleId="Heading3Char">
    <w:name w:val="Heading 3 Char"/>
    <w:basedOn w:val="DefaultParagraphFont"/>
    <w:link w:val="Heading3"/>
    <w:uiPriority w:val="9"/>
    <w:rsid w:val="00FA245E"/>
    <w:rPr>
      <w:rFonts w:asciiTheme="majorHAnsi" w:eastAsiaTheme="majorEastAsia" w:hAnsiTheme="majorHAnsi" w:cstheme="majorBidi"/>
      <w:b/>
      <w:bCs/>
      <w:color w:val="4F81BD" w:themeColor="accent1"/>
    </w:rPr>
  </w:style>
  <w:style w:type="paragraph" w:styleId="NoSpacing">
    <w:name w:val="No Spacing"/>
    <w:uiPriority w:val="1"/>
    <w:qFormat/>
    <w:rsid w:val="003C0190"/>
    <w:pPr>
      <w:spacing w:after="0" w:line="240" w:lineRule="auto"/>
    </w:pPr>
  </w:style>
  <w:style w:type="paragraph" w:styleId="NormalWeb">
    <w:name w:val="Normal (Web)"/>
    <w:basedOn w:val="Normal"/>
    <w:uiPriority w:val="99"/>
    <w:unhideWhenUsed/>
    <w:rsid w:val="00C03B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8229">
      <w:bodyDiv w:val="1"/>
      <w:marLeft w:val="0"/>
      <w:marRight w:val="0"/>
      <w:marTop w:val="0"/>
      <w:marBottom w:val="0"/>
      <w:divBdr>
        <w:top w:val="none" w:sz="0" w:space="0" w:color="auto"/>
        <w:left w:val="none" w:sz="0" w:space="0" w:color="auto"/>
        <w:bottom w:val="none" w:sz="0" w:space="0" w:color="auto"/>
        <w:right w:val="none" w:sz="0" w:space="0" w:color="auto"/>
      </w:divBdr>
    </w:div>
    <w:div w:id="73626487">
      <w:bodyDiv w:val="1"/>
      <w:marLeft w:val="0"/>
      <w:marRight w:val="0"/>
      <w:marTop w:val="0"/>
      <w:marBottom w:val="0"/>
      <w:divBdr>
        <w:top w:val="none" w:sz="0" w:space="0" w:color="auto"/>
        <w:left w:val="none" w:sz="0" w:space="0" w:color="auto"/>
        <w:bottom w:val="none" w:sz="0" w:space="0" w:color="auto"/>
        <w:right w:val="none" w:sz="0" w:space="0" w:color="auto"/>
      </w:divBdr>
      <w:divsChild>
        <w:div w:id="1010523603">
          <w:marLeft w:val="0"/>
          <w:marRight w:val="0"/>
          <w:marTop w:val="0"/>
          <w:marBottom w:val="0"/>
          <w:divBdr>
            <w:top w:val="none" w:sz="0" w:space="0" w:color="auto"/>
            <w:left w:val="none" w:sz="0" w:space="0" w:color="auto"/>
            <w:bottom w:val="none" w:sz="0" w:space="0" w:color="auto"/>
            <w:right w:val="none" w:sz="0" w:space="0" w:color="auto"/>
          </w:divBdr>
          <w:divsChild>
            <w:div w:id="52633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24119">
      <w:bodyDiv w:val="1"/>
      <w:marLeft w:val="0"/>
      <w:marRight w:val="0"/>
      <w:marTop w:val="0"/>
      <w:marBottom w:val="0"/>
      <w:divBdr>
        <w:top w:val="none" w:sz="0" w:space="0" w:color="auto"/>
        <w:left w:val="none" w:sz="0" w:space="0" w:color="auto"/>
        <w:bottom w:val="none" w:sz="0" w:space="0" w:color="auto"/>
        <w:right w:val="none" w:sz="0" w:space="0" w:color="auto"/>
      </w:divBdr>
    </w:div>
    <w:div w:id="608045404">
      <w:bodyDiv w:val="1"/>
      <w:marLeft w:val="0"/>
      <w:marRight w:val="0"/>
      <w:marTop w:val="0"/>
      <w:marBottom w:val="0"/>
      <w:divBdr>
        <w:top w:val="none" w:sz="0" w:space="0" w:color="auto"/>
        <w:left w:val="none" w:sz="0" w:space="0" w:color="auto"/>
        <w:bottom w:val="none" w:sz="0" w:space="0" w:color="auto"/>
        <w:right w:val="none" w:sz="0" w:space="0" w:color="auto"/>
      </w:divBdr>
    </w:div>
    <w:div w:id="712195186">
      <w:bodyDiv w:val="1"/>
      <w:marLeft w:val="0"/>
      <w:marRight w:val="0"/>
      <w:marTop w:val="0"/>
      <w:marBottom w:val="0"/>
      <w:divBdr>
        <w:top w:val="none" w:sz="0" w:space="0" w:color="auto"/>
        <w:left w:val="none" w:sz="0" w:space="0" w:color="auto"/>
        <w:bottom w:val="none" w:sz="0" w:space="0" w:color="auto"/>
        <w:right w:val="none" w:sz="0" w:space="0" w:color="auto"/>
      </w:divBdr>
    </w:div>
    <w:div w:id="831258865">
      <w:bodyDiv w:val="1"/>
      <w:marLeft w:val="0"/>
      <w:marRight w:val="0"/>
      <w:marTop w:val="0"/>
      <w:marBottom w:val="0"/>
      <w:divBdr>
        <w:top w:val="none" w:sz="0" w:space="0" w:color="auto"/>
        <w:left w:val="none" w:sz="0" w:space="0" w:color="auto"/>
        <w:bottom w:val="none" w:sz="0" w:space="0" w:color="auto"/>
        <w:right w:val="none" w:sz="0" w:space="0" w:color="auto"/>
      </w:divBdr>
    </w:div>
    <w:div w:id="902638988">
      <w:bodyDiv w:val="1"/>
      <w:marLeft w:val="0"/>
      <w:marRight w:val="0"/>
      <w:marTop w:val="0"/>
      <w:marBottom w:val="0"/>
      <w:divBdr>
        <w:top w:val="none" w:sz="0" w:space="0" w:color="auto"/>
        <w:left w:val="none" w:sz="0" w:space="0" w:color="auto"/>
        <w:bottom w:val="none" w:sz="0" w:space="0" w:color="auto"/>
        <w:right w:val="none" w:sz="0" w:space="0" w:color="auto"/>
      </w:divBdr>
    </w:div>
    <w:div w:id="967126619">
      <w:bodyDiv w:val="1"/>
      <w:marLeft w:val="0"/>
      <w:marRight w:val="0"/>
      <w:marTop w:val="0"/>
      <w:marBottom w:val="0"/>
      <w:divBdr>
        <w:top w:val="none" w:sz="0" w:space="0" w:color="auto"/>
        <w:left w:val="none" w:sz="0" w:space="0" w:color="auto"/>
        <w:bottom w:val="none" w:sz="0" w:space="0" w:color="auto"/>
        <w:right w:val="none" w:sz="0" w:space="0" w:color="auto"/>
      </w:divBdr>
    </w:div>
    <w:div w:id="1219710475">
      <w:bodyDiv w:val="1"/>
      <w:marLeft w:val="0"/>
      <w:marRight w:val="0"/>
      <w:marTop w:val="0"/>
      <w:marBottom w:val="0"/>
      <w:divBdr>
        <w:top w:val="none" w:sz="0" w:space="0" w:color="auto"/>
        <w:left w:val="none" w:sz="0" w:space="0" w:color="auto"/>
        <w:bottom w:val="none" w:sz="0" w:space="0" w:color="auto"/>
        <w:right w:val="none" w:sz="0" w:space="0" w:color="auto"/>
      </w:divBdr>
    </w:div>
    <w:div w:id="1484854912">
      <w:bodyDiv w:val="1"/>
      <w:marLeft w:val="0"/>
      <w:marRight w:val="0"/>
      <w:marTop w:val="0"/>
      <w:marBottom w:val="0"/>
      <w:divBdr>
        <w:top w:val="none" w:sz="0" w:space="0" w:color="auto"/>
        <w:left w:val="none" w:sz="0" w:space="0" w:color="auto"/>
        <w:bottom w:val="none" w:sz="0" w:space="0" w:color="auto"/>
        <w:right w:val="none" w:sz="0" w:space="0" w:color="auto"/>
      </w:divBdr>
    </w:div>
    <w:div w:id="1502087365">
      <w:bodyDiv w:val="1"/>
      <w:marLeft w:val="0"/>
      <w:marRight w:val="0"/>
      <w:marTop w:val="0"/>
      <w:marBottom w:val="0"/>
      <w:divBdr>
        <w:top w:val="none" w:sz="0" w:space="0" w:color="auto"/>
        <w:left w:val="none" w:sz="0" w:space="0" w:color="auto"/>
        <w:bottom w:val="none" w:sz="0" w:space="0" w:color="auto"/>
        <w:right w:val="none" w:sz="0" w:space="0" w:color="auto"/>
      </w:divBdr>
    </w:div>
    <w:div w:id="1579435004">
      <w:bodyDiv w:val="1"/>
      <w:marLeft w:val="0"/>
      <w:marRight w:val="0"/>
      <w:marTop w:val="0"/>
      <w:marBottom w:val="0"/>
      <w:divBdr>
        <w:top w:val="none" w:sz="0" w:space="0" w:color="auto"/>
        <w:left w:val="none" w:sz="0" w:space="0" w:color="auto"/>
        <w:bottom w:val="none" w:sz="0" w:space="0" w:color="auto"/>
        <w:right w:val="none" w:sz="0" w:space="0" w:color="auto"/>
      </w:divBdr>
    </w:div>
    <w:div w:id="1767337731">
      <w:bodyDiv w:val="1"/>
      <w:marLeft w:val="0"/>
      <w:marRight w:val="0"/>
      <w:marTop w:val="0"/>
      <w:marBottom w:val="0"/>
      <w:divBdr>
        <w:top w:val="none" w:sz="0" w:space="0" w:color="auto"/>
        <w:left w:val="none" w:sz="0" w:space="0" w:color="auto"/>
        <w:bottom w:val="none" w:sz="0" w:space="0" w:color="auto"/>
        <w:right w:val="none" w:sz="0" w:space="0" w:color="auto"/>
      </w:divBdr>
    </w:div>
    <w:div w:id="1778135392">
      <w:bodyDiv w:val="1"/>
      <w:marLeft w:val="0"/>
      <w:marRight w:val="0"/>
      <w:marTop w:val="0"/>
      <w:marBottom w:val="0"/>
      <w:divBdr>
        <w:top w:val="none" w:sz="0" w:space="0" w:color="auto"/>
        <w:left w:val="none" w:sz="0" w:space="0" w:color="auto"/>
        <w:bottom w:val="none" w:sz="0" w:space="0" w:color="auto"/>
        <w:right w:val="none" w:sz="0" w:space="0" w:color="auto"/>
      </w:divBdr>
    </w:div>
    <w:div w:id="1847162311">
      <w:bodyDiv w:val="1"/>
      <w:marLeft w:val="0"/>
      <w:marRight w:val="0"/>
      <w:marTop w:val="0"/>
      <w:marBottom w:val="0"/>
      <w:divBdr>
        <w:top w:val="none" w:sz="0" w:space="0" w:color="auto"/>
        <w:left w:val="none" w:sz="0" w:space="0" w:color="auto"/>
        <w:bottom w:val="none" w:sz="0" w:space="0" w:color="auto"/>
        <w:right w:val="none" w:sz="0" w:space="0" w:color="auto"/>
      </w:divBdr>
      <w:divsChild>
        <w:div w:id="808009562">
          <w:marLeft w:val="0"/>
          <w:marRight w:val="0"/>
          <w:marTop w:val="0"/>
          <w:marBottom w:val="0"/>
          <w:divBdr>
            <w:top w:val="none" w:sz="0" w:space="0" w:color="auto"/>
            <w:left w:val="none" w:sz="0" w:space="0" w:color="auto"/>
            <w:bottom w:val="none" w:sz="0" w:space="0" w:color="auto"/>
            <w:right w:val="none" w:sz="0" w:space="0" w:color="auto"/>
          </w:divBdr>
          <w:divsChild>
            <w:div w:id="186339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08121">
      <w:bodyDiv w:val="1"/>
      <w:marLeft w:val="0"/>
      <w:marRight w:val="0"/>
      <w:marTop w:val="0"/>
      <w:marBottom w:val="0"/>
      <w:divBdr>
        <w:top w:val="none" w:sz="0" w:space="0" w:color="auto"/>
        <w:left w:val="none" w:sz="0" w:space="0" w:color="auto"/>
        <w:bottom w:val="none" w:sz="0" w:space="0" w:color="auto"/>
        <w:right w:val="none" w:sz="0" w:space="0" w:color="auto"/>
      </w:divBdr>
    </w:div>
    <w:div w:id="2082360575">
      <w:bodyDiv w:val="1"/>
      <w:marLeft w:val="0"/>
      <w:marRight w:val="0"/>
      <w:marTop w:val="0"/>
      <w:marBottom w:val="0"/>
      <w:divBdr>
        <w:top w:val="none" w:sz="0" w:space="0" w:color="auto"/>
        <w:left w:val="none" w:sz="0" w:space="0" w:color="auto"/>
        <w:bottom w:val="none" w:sz="0" w:space="0" w:color="auto"/>
        <w:right w:val="none" w:sz="0" w:space="0" w:color="auto"/>
      </w:divBdr>
    </w:div>
    <w:div w:id="21436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11635</Words>
  <Characters>66323</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 CON</dc:creator>
  <cp:lastModifiedBy>olushola rafiu</cp:lastModifiedBy>
  <cp:revision>2</cp:revision>
  <dcterms:created xsi:type="dcterms:W3CDTF">2025-07-14T11:05:00Z</dcterms:created>
  <dcterms:modified xsi:type="dcterms:W3CDTF">2025-07-14T11:05:00Z</dcterms:modified>
</cp:coreProperties>
</file>