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hint="default" w:ascii="Arial Black" w:hAnsi="Arial Black"/>
          <w:sz w:val="40"/>
          <w:szCs w:val="50"/>
          <w:lang w:val="en-US"/>
        </w:rPr>
      </w:pPr>
      <w:r>
        <w:rPr>
          <w:rFonts w:ascii="Arial Black" w:hAnsi="Arial Black"/>
          <w:i/>
          <w:iCs/>
          <w:sz w:val="50"/>
          <w:szCs w:val="50"/>
        </w:rPr>
        <w:t>BY</w:t>
      </w:r>
    </w:p>
    <w:p w14:paraId="5DE8FDE7">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BABALOLA KEHINDE SHOLAOKE</w:t>
      </w:r>
    </w:p>
    <w:p w14:paraId="006BC77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ND/23/CEC/FT/0012</w:t>
      </w:r>
    </w:p>
    <w:p w14:paraId="0ABF5680">
      <w:pPr>
        <w:jc w:val="center"/>
        <w:rPr>
          <w:rFonts w:ascii="Arial Black" w:hAnsi="Arial Black"/>
          <w:sz w:val="26"/>
          <w:szCs w:val="28"/>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Babalola Kehinde Sholaoke ND/23/CEC/0012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10"/>
        <w:spacing w:line="360" w:lineRule="auto"/>
        <w:jc w:val="center"/>
        <w:rPr>
          <w:rFonts w:ascii="Times New Roman" w:hAnsi="Times New Roman" w:cs="Times New Roman"/>
          <w:b/>
          <w:sz w:val="24"/>
          <w:szCs w:val="24"/>
        </w:rPr>
      </w:pPr>
    </w:p>
    <w:p w14:paraId="7C0FCD2C">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Babalola</w:t>
      </w:r>
      <w:r>
        <w:rPr>
          <w:rFonts w:ascii="Times New Roman" w:hAnsi="Times New Roman" w:cs="Times New Roman"/>
          <w:sz w:val="24"/>
          <w:szCs w:val="24"/>
        </w:rPr>
        <w:t xml:space="preserve"> for their support </w:t>
      </w:r>
    </w:p>
    <w:p w14:paraId="21AEFCC8">
      <w:pPr>
        <w:pStyle w:val="10"/>
        <w:spacing w:line="360" w:lineRule="auto"/>
        <w:jc w:val="center"/>
        <w:rPr>
          <w:rFonts w:ascii="Times New Roman" w:hAnsi="Times New Roman" w:cs="Times New Roman"/>
          <w:b/>
          <w:sz w:val="24"/>
          <w:szCs w:val="24"/>
        </w:rPr>
      </w:pPr>
    </w:p>
    <w:p w14:paraId="122063C4">
      <w:pPr>
        <w:pStyle w:val="10"/>
        <w:spacing w:line="360" w:lineRule="auto"/>
        <w:jc w:val="center"/>
        <w:rPr>
          <w:rFonts w:ascii="Times New Roman" w:hAnsi="Times New Roman" w:cs="Times New Roman"/>
          <w:b/>
          <w:sz w:val="24"/>
          <w:szCs w:val="24"/>
        </w:rPr>
      </w:pPr>
    </w:p>
    <w:p w14:paraId="414AB23A">
      <w:pPr>
        <w:pStyle w:val="10"/>
        <w:spacing w:line="360" w:lineRule="auto"/>
        <w:jc w:val="center"/>
        <w:rPr>
          <w:rFonts w:ascii="Times New Roman" w:hAnsi="Times New Roman" w:cs="Times New Roman"/>
          <w:b/>
          <w:sz w:val="24"/>
          <w:szCs w:val="24"/>
        </w:rPr>
      </w:pPr>
    </w:p>
    <w:p w14:paraId="0FE41AFA">
      <w:pPr>
        <w:pStyle w:val="10"/>
        <w:spacing w:line="360" w:lineRule="auto"/>
        <w:jc w:val="center"/>
        <w:rPr>
          <w:rFonts w:ascii="Times New Roman" w:hAnsi="Times New Roman" w:cs="Times New Roman"/>
          <w:b/>
          <w:sz w:val="24"/>
          <w:szCs w:val="24"/>
        </w:rPr>
      </w:pPr>
    </w:p>
    <w:p w14:paraId="2B8E6C9F">
      <w:pPr>
        <w:pStyle w:val="10"/>
        <w:spacing w:line="360" w:lineRule="auto"/>
        <w:jc w:val="center"/>
        <w:rPr>
          <w:rFonts w:ascii="Times New Roman" w:hAnsi="Times New Roman" w:cs="Times New Roman"/>
          <w:b/>
          <w:sz w:val="24"/>
          <w:szCs w:val="24"/>
        </w:rPr>
      </w:pPr>
    </w:p>
    <w:p w14:paraId="558DC916">
      <w:pPr>
        <w:pStyle w:val="10"/>
        <w:spacing w:line="360" w:lineRule="auto"/>
        <w:jc w:val="center"/>
        <w:rPr>
          <w:rFonts w:ascii="Times New Roman" w:hAnsi="Times New Roman" w:cs="Times New Roman"/>
          <w:b/>
          <w:sz w:val="24"/>
          <w:szCs w:val="24"/>
        </w:rPr>
      </w:pPr>
    </w:p>
    <w:p w14:paraId="57E4FDBF">
      <w:pPr>
        <w:pStyle w:val="10"/>
        <w:spacing w:line="360" w:lineRule="auto"/>
        <w:jc w:val="center"/>
        <w:rPr>
          <w:rFonts w:ascii="Times New Roman" w:hAnsi="Times New Roman" w:cs="Times New Roman"/>
          <w:b/>
          <w:sz w:val="24"/>
          <w:szCs w:val="24"/>
        </w:rPr>
      </w:pPr>
    </w:p>
    <w:p w14:paraId="3079E9D9">
      <w:pPr>
        <w:pStyle w:val="10"/>
        <w:spacing w:line="360" w:lineRule="auto"/>
        <w:jc w:val="center"/>
        <w:rPr>
          <w:rFonts w:ascii="Times New Roman" w:hAnsi="Times New Roman" w:cs="Times New Roman"/>
          <w:b/>
          <w:sz w:val="24"/>
          <w:szCs w:val="24"/>
        </w:rPr>
      </w:pPr>
    </w:p>
    <w:p w14:paraId="513E6CD8">
      <w:pPr>
        <w:pStyle w:val="10"/>
        <w:spacing w:line="360" w:lineRule="auto"/>
        <w:jc w:val="center"/>
        <w:rPr>
          <w:rFonts w:ascii="Times New Roman" w:hAnsi="Times New Roman" w:cs="Times New Roman"/>
          <w:b/>
          <w:sz w:val="24"/>
          <w:szCs w:val="24"/>
        </w:rPr>
      </w:pPr>
    </w:p>
    <w:p w14:paraId="04225425">
      <w:pPr>
        <w:pStyle w:val="10"/>
        <w:spacing w:line="360" w:lineRule="auto"/>
        <w:jc w:val="center"/>
        <w:rPr>
          <w:rFonts w:ascii="Times New Roman" w:hAnsi="Times New Roman" w:cs="Times New Roman"/>
          <w:b/>
          <w:sz w:val="24"/>
          <w:szCs w:val="24"/>
        </w:rPr>
      </w:pPr>
    </w:p>
    <w:p w14:paraId="75EE7925">
      <w:pPr>
        <w:pStyle w:val="10"/>
        <w:spacing w:line="360" w:lineRule="auto"/>
        <w:jc w:val="center"/>
        <w:rPr>
          <w:rFonts w:ascii="Times New Roman" w:hAnsi="Times New Roman" w:cs="Times New Roman"/>
          <w:b/>
          <w:sz w:val="24"/>
          <w:szCs w:val="24"/>
        </w:rPr>
      </w:pPr>
    </w:p>
    <w:p w14:paraId="6428F1C7">
      <w:pPr>
        <w:pStyle w:val="10"/>
        <w:spacing w:line="360" w:lineRule="auto"/>
        <w:jc w:val="center"/>
        <w:rPr>
          <w:rFonts w:ascii="Times New Roman" w:hAnsi="Times New Roman" w:cs="Times New Roman"/>
          <w:b/>
          <w:sz w:val="24"/>
          <w:szCs w:val="24"/>
        </w:rPr>
      </w:pPr>
    </w:p>
    <w:p w14:paraId="7BC7B440">
      <w:pPr>
        <w:pStyle w:val="10"/>
        <w:spacing w:line="360" w:lineRule="auto"/>
        <w:jc w:val="center"/>
        <w:rPr>
          <w:rFonts w:ascii="Times New Roman" w:hAnsi="Times New Roman" w:cs="Times New Roman"/>
          <w:b/>
          <w:sz w:val="24"/>
          <w:szCs w:val="24"/>
        </w:rPr>
      </w:pPr>
    </w:p>
    <w:p w14:paraId="75AFBCEB">
      <w:pPr>
        <w:pStyle w:val="10"/>
        <w:spacing w:line="360" w:lineRule="auto"/>
        <w:jc w:val="center"/>
        <w:rPr>
          <w:rFonts w:ascii="Times New Roman" w:hAnsi="Times New Roman" w:cs="Times New Roman"/>
          <w:b/>
          <w:sz w:val="24"/>
          <w:szCs w:val="24"/>
        </w:rPr>
      </w:pPr>
    </w:p>
    <w:p w14:paraId="215135B5">
      <w:pPr>
        <w:pStyle w:val="10"/>
        <w:spacing w:line="360" w:lineRule="auto"/>
        <w:jc w:val="center"/>
        <w:rPr>
          <w:rFonts w:ascii="Times New Roman" w:hAnsi="Times New Roman" w:cs="Times New Roman"/>
          <w:b/>
          <w:sz w:val="24"/>
          <w:szCs w:val="24"/>
        </w:rPr>
      </w:pPr>
    </w:p>
    <w:p w14:paraId="2B1CB423">
      <w:pPr>
        <w:pStyle w:val="10"/>
        <w:spacing w:line="360" w:lineRule="auto"/>
        <w:jc w:val="center"/>
        <w:rPr>
          <w:rFonts w:ascii="Times New Roman" w:hAnsi="Times New Roman" w:cs="Times New Roman"/>
          <w:b/>
          <w:sz w:val="24"/>
          <w:szCs w:val="24"/>
        </w:rPr>
      </w:pPr>
    </w:p>
    <w:p w14:paraId="06AB8E4F">
      <w:pPr>
        <w:pStyle w:val="10"/>
        <w:spacing w:line="360" w:lineRule="auto"/>
        <w:jc w:val="center"/>
        <w:rPr>
          <w:rFonts w:ascii="Times New Roman" w:hAnsi="Times New Roman" w:cs="Times New Roman"/>
          <w:b/>
          <w:sz w:val="24"/>
          <w:szCs w:val="24"/>
        </w:rPr>
      </w:pPr>
    </w:p>
    <w:p w14:paraId="48A32A92">
      <w:pPr>
        <w:pStyle w:val="10"/>
        <w:spacing w:line="360" w:lineRule="auto"/>
        <w:jc w:val="center"/>
        <w:rPr>
          <w:rFonts w:ascii="Times New Roman" w:hAnsi="Times New Roman" w:cs="Times New Roman"/>
          <w:b/>
          <w:sz w:val="24"/>
          <w:szCs w:val="24"/>
        </w:rPr>
      </w:pPr>
    </w:p>
    <w:p w14:paraId="1384BCD2">
      <w:pPr>
        <w:pStyle w:val="10"/>
        <w:spacing w:line="360" w:lineRule="auto"/>
        <w:jc w:val="center"/>
        <w:rPr>
          <w:rFonts w:ascii="Times New Roman" w:hAnsi="Times New Roman" w:cs="Times New Roman"/>
          <w:b/>
          <w:sz w:val="24"/>
          <w:szCs w:val="24"/>
        </w:rPr>
      </w:pPr>
    </w:p>
    <w:p w14:paraId="4EE0E784">
      <w:pPr>
        <w:pStyle w:val="10"/>
        <w:spacing w:line="360" w:lineRule="auto"/>
        <w:jc w:val="center"/>
        <w:rPr>
          <w:rFonts w:ascii="Times New Roman" w:hAnsi="Times New Roman" w:cs="Times New Roman"/>
          <w:b/>
          <w:sz w:val="24"/>
          <w:szCs w:val="24"/>
        </w:rPr>
      </w:pPr>
    </w:p>
    <w:p w14:paraId="6FB8ADA9">
      <w:pPr>
        <w:pStyle w:val="10"/>
        <w:spacing w:line="360" w:lineRule="auto"/>
        <w:jc w:val="center"/>
        <w:rPr>
          <w:rFonts w:ascii="Times New Roman" w:hAnsi="Times New Roman" w:cs="Times New Roman"/>
          <w:b/>
          <w:sz w:val="24"/>
          <w:szCs w:val="24"/>
        </w:rPr>
      </w:pPr>
    </w:p>
    <w:p w14:paraId="46885E07">
      <w:pPr>
        <w:pStyle w:val="10"/>
        <w:spacing w:line="360" w:lineRule="auto"/>
        <w:jc w:val="center"/>
        <w:rPr>
          <w:rFonts w:ascii="Times New Roman" w:hAnsi="Times New Roman" w:cs="Times New Roman"/>
          <w:b/>
          <w:sz w:val="24"/>
          <w:szCs w:val="24"/>
        </w:rPr>
      </w:pPr>
    </w:p>
    <w:p w14:paraId="50CC4E7D">
      <w:pPr>
        <w:pStyle w:val="10"/>
        <w:spacing w:line="360" w:lineRule="auto"/>
        <w:jc w:val="center"/>
        <w:rPr>
          <w:rFonts w:ascii="Times New Roman" w:hAnsi="Times New Roman" w:cs="Times New Roman"/>
          <w:b/>
          <w:sz w:val="24"/>
          <w:szCs w:val="24"/>
        </w:rPr>
      </w:pPr>
    </w:p>
    <w:p w14:paraId="5DD167D1">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10"/>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10"/>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Babalola</w:t>
      </w:r>
      <w:r>
        <w:rPr>
          <w:rFonts w:ascii="Times New Roman" w:hAnsi="Times New Roman" w:cs="Times New Roman"/>
          <w:sz w:val="24"/>
          <w:szCs w:val="24"/>
        </w:rPr>
        <w:t xml:space="preserve"> 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bookmarkStart w:id="0" w:name="_GoBack"/>
      <w:bookmarkEnd w:id="0"/>
      <w:r>
        <w:rPr>
          <w:rFonts w:hint="default" w:ascii="Times New Roman" w:hAnsi="Times New Roman" w:cs="Times New Roman"/>
          <w:sz w:val="24"/>
          <w:szCs w:val="24"/>
          <w:lang w:val="en-US"/>
        </w:rPr>
        <w:tab/>
      </w:r>
    </w:p>
    <w:p w14:paraId="54D3D33B">
      <w:pPr>
        <w:pStyle w:val="10"/>
        <w:spacing w:line="360" w:lineRule="auto"/>
        <w:jc w:val="center"/>
        <w:rPr>
          <w:rFonts w:ascii="Times New Roman" w:hAnsi="Times New Roman" w:cs="Times New Roman"/>
          <w:b/>
          <w:sz w:val="24"/>
          <w:szCs w:val="24"/>
        </w:rPr>
      </w:pPr>
    </w:p>
    <w:p w14:paraId="29A4E7E5">
      <w:pPr>
        <w:pStyle w:val="10"/>
        <w:spacing w:line="360" w:lineRule="auto"/>
        <w:jc w:val="center"/>
        <w:rPr>
          <w:rFonts w:ascii="Times New Roman" w:hAnsi="Times New Roman" w:cs="Times New Roman"/>
          <w:b/>
          <w:sz w:val="24"/>
          <w:szCs w:val="24"/>
        </w:rPr>
      </w:pPr>
    </w:p>
    <w:p w14:paraId="3863C6DB">
      <w:pPr>
        <w:pStyle w:val="10"/>
        <w:spacing w:line="360" w:lineRule="auto"/>
        <w:jc w:val="center"/>
        <w:rPr>
          <w:rFonts w:ascii="Times New Roman" w:hAnsi="Times New Roman" w:cs="Times New Roman"/>
          <w:b/>
          <w:sz w:val="24"/>
          <w:szCs w:val="24"/>
        </w:rPr>
      </w:pPr>
    </w:p>
    <w:p w14:paraId="7B497D27">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6"/>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6"/>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7"/>
          <w:rFonts w:ascii="Times New Roman" w:hAnsi="Times New Roman" w:cs="Times New Roman"/>
          <w:b w:val="0"/>
          <w:sz w:val="24"/>
          <w:szCs w:val="24"/>
        </w:rPr>
      </w:pPr>
      <w:r>
        <w:rPr>
          <w:rStyle w:val="7"/>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7"/>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7"/>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65D17E2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13"/>
    <w:rsid w:val="0001590A"/>
    <w:rsid w:val="00020049"/>
    <w:rsid w:val="00024790"/>
    <w:rsid w:val="000324FE"/>
    <w:rsid w:val="0003432A"/>
    <w:rsid w:val="000479B8"/>
    <w:rsid w:val="00050E80"/>
    <w:rsid w:val="00061208"/>
    <w:rsid w:val="00077CFB"/>
    <w:rsid w:val="0008617A"/>
    <w:rsid w:val="0009059D"/>
    <w:rsid w:val="000913BD"/>
    <w:rsid w:val="000A5692"/>
    <w:rsid w:val="000A6B07"/>
    <w:rsid w:val="000A7AF5"/>
    <w:rsid w:val="000B4D7A"/>
    <w:rsid w:val="000C457B"/>
    <w:rsid w:val="000C735B"/>
    <w:rsid w:val="000D1F4B"/>
    <w:rsid w:val="000F7539"/>
    <w:rsid w:val="0010758D"/>
    <w:rsid w:val="00117A95"/>
    <w:rsid w:val="00120D73"/>
    <w:rsid w:val="00131A79"/>
    <w:rsid w:val="00131AB1"/>
    <w:rsid w:val="001355F9"/>
    <w:rsid w:val="001407CE"/>
    <w:rsid w:val="00141AE0"/>
    <w:rsid w:val="00143D2A"/>
    <w:rsid w:val="00150F4C"/>
    <w:rsid w:val="0017180E"/>
    <w:rsid w:val="0017574A"/>
    <w:rsid w:val="00181284"/>
    <w:rsid w:val="00190886"/>
    <w:rsid w:val="001913B4"/>
    <w:rsid w:val="00197AF3"/>
    <w:rsid w:val="001A2791"/>
    <w:rsid w:val="001A5408"/>
    <w:rsid w:val="001B10BE"/>
    <w:rsid w:val="001B2AFB"/>
    <w:rsid w:val="001C0C1C"/>
    <w:rsid w:val="001C6C96"/>
    <w:rsid w:val="001E1337"/>
    <w:rsid w:val="001E2AA4"/>
    <w:rsid w:val="001E2B8A"/>
    <w:rsid w:val="001E35C3"/>
    <w:rsid w:val="001E3A3E"/>
    <w:rsid w:val="001E3C93"/>
    <w:rsid w:val="001E6F32"/>
    <w:rsid w:val="001F5AA1"/>
    <w:rsid w:val="001F5CF9"/>
    <w:rsid w:val="0021211B"/>
    <w:rsid w:val="0021354F"/>
    <w:rsid w:val="00223687"/>
    <w:rsid w:val="00226F82"/>
    <w:rsid w:val="00233C6A"/>
    <w:rsid w:val="002352DE"/>
    <w:rsid w:val="00236BC7"/>
    <w:rsid w:val="00240B5D"/>
    <w:rsid w:val="002504A4"/>
    <w:rsid w:val="00256F55"/>
    <w:rsid w:val="00270A1C"/>
    <w:rsid w:val="0027160A"/>
    <w:rsid w:val="0028558F"/>
    <w:rsid w:val="0028646A"/>
    <w:rsid w:val="00287E97"/>
    <w:rsid w:val="002930C0"/>
    <w:rsid w:val="002940F2"/>
    <w:rsid w:val="002A75D0"/>
    <w:rsid w:val="002A7825"/>
    <w:rsid w:val="002B0163"/>
    <w:rsid w:val="002B18E0"/>
    <w:rsid w:val="002B2EE8"/>
    <w:rsid w:val="002B455F"/>
    <w:rsid w:val="002B6DD2"/>
    <w:rsid w:val="002C3534"/>
    <w:rsid w:val="002D7A37"/>
    <w:rsid w:val="002E1EAD"/>
    <w:rsid w:val="002F4738"/>
    <w:rsid w:val="00316B93"/>
    <w:rsid w:val="003359CE"/>
    <w:rsid w:val="00340D40"/>
    <w:rsid w:val="00350B18"/>
    <w:rsid w:val="00354F41"/>
    <w:rsid w:val="00357268"/>
    <w:rsid w:val="0037223B"/>
    <w:rsid w:val="00394D1B"/>
    <w:rsid w:val="003A2116"/>
    <w:rsid w:val="003A5DD8"/>
    <w:rsid w:val="003A674A"/>
    <w:rsid w:val="003B029F"/>
    <w:rsid w:val="003C48EC"/>
    <w:rsid w:val="003C582A"/>
    <w:rsid w:val="003D1D73"/>
    <w:rsid w:val="003E7BF3"/>
    <w:rsid w:val="003F22F0"/>
    <w:rsid w:val="003F2BAD"/>
    <w:rsid w:val="0042476A"/>
    <w:rsid w:val="00425B0D"/>
    <w:rsid w:val="00427EB0"/>
    <w:rsid w:val="004402A0"/>
    <w:rsid w:val="00441714"/>
    <w:rsid w:val="0044573A"/>
    <w:rsid w:val="00446EE8"/>
    <w:rsid w:val="004C0592"/>
    <w:rsid w:val="004C1618"/>
    <w:rsid w:val="004C2D45"/>
    <w:rsid w:val="004C7628"/>
    <w:rsid w:val="004D781B"/>
    <w:rsid w:val="004E54CE"/>
    <w:rsid w:val="004E7853"/>
    <w:rsid w:val="004F41FB"/>
    <w:rsid w:val="004F4F9C"/>
    <w:rsid w:val="004F696A"/>
    <w:rsid w:val="0050451F"/>
    <w:rsid w:val="00506EDB"/>
    <w:rsid w:val="005077A5"/>
    <w:rsid w:val="0051170A"/>
    <w:rsid w:val="00532888"/>
    <w:rsid w:val="00533901"/>
    <w:rsid w:val="005404DE"/>
    <w:rsid w:val="00544D03"/>
    <w:rsid w:val="00547497"/>
    <w:rsid w:val="00550911"/>
    <w:rsid w:val="00567876"/>
    <w:rsid w:val="0057019A"/>
    <w:rsid w:val="00572326"/>
    <w:rsid w:val="00574F9A"/>
    <w:rsid w:val="00580482"/>
    <w:rsid w:val="00581290"/>
    <w:rsid w:val="00582DFB"/>
    <w:rsid w:val="00592A42"/>
    <w:rsid w:val="0059359E"/>
    <w:rsid w:val="005B1589"/>
    <w:rsid w:val="005C02A6"/>
    <w:rsid w:val="005E1DF7"/>
    <w:rsid w:val="005E3788"/>
    <w:rsid w:val="005E450F"/>
    <w:rsid w:val="006050B0"/>
    <w:rsid w:val="00607B73"/>
    <w:rsid w:val="0062664A"/>
    <w:rsid w:val="00627E80"/>
    <w:rsid w:val="006368A8"/>
    <w:rsid w:val="006437B7"/>
    <w:rsid w:val="006479B9"/>
    <w:rsid w:val="00657E5E"/>
    <w:rsid w:val="006618E0"/>
    <w:rsid w:val="0067042F"/>
    <w:rsid w:val="00677FC5"/>
    <w:rsid w:val="00681A6C"/>
    <w:rsid w:val="00683FAA"/>
    <w:rsid w:val="0069261F"/>
    <w:rsid w:val="006A45E1"/>
    <w:rsid w:val="006B23F1"/>
    <w:rsid w:val="006C5F9E"/>
    <w:rsid w:val="006F5496"/>
    <w:rsid w:val="00716647"/>
    <w:rsid w:val="00720517"/>
    <w:rsid w:val="00731687"/>
    <w:rsid w:val="00760601"/>
    <w:rsid w:val="00763514"/>
    <w:rsid w:val="00770070"/>
    <w:rsid w:val="00772EA1"/>
    <w:rsid w:val="00776C1B"/>
    <w:rsid w:val="007835C1"/>
    <w:rsid w:val="00793F06"/>
    <w:rsid w:val="007A1EA5"/>
    <w:rsid w:val="007A305C"/>
    <w:rsid w:val="007A3882"/>
    <w:rsid w:val="007B53B3"/>
    <w:rsid w:val="007B74C4"/>
    <w:rsid w:val="007C72E6"/>
    <w:rsid w:val="007E0A7C"/>
    <w:rsid w:val="00803AE3"/>
    <w:rsid w:val="008046D9"/>
    <w:rsid w:val="00807564"/>
    <w:rsid w:val="00836B92"/>
    <w:rsid w:val="00843DD4"/>
    <w:rsid w:val="0084638F"/>
    <w:rsid w:val="00852C89"/>
    <w:rsid w:val="008673D3"/>
    <w:rsid w:val="00870175"/>
    <w:rsid w:val="00875522"/>
    <w:rsid w:val="00876437"/>
    <w:rsid w:val="00895245"/>
    <w:rsid w:val="008A4F82"/>
    <w:rsid w:val="008B1884"/>
    <w:rsid w:val="008C3854"/>
    <w:rsid w:val="008D64D5"/>
    <w:rsid w:val="008F47CC"/>
    <w:rsid w:val="008F6507"/>
    <w:rsid w:val="00906359"/>
    <w:rsid w:val="00906959"/>
    <w:rsid w:val="00911C7B"/>
    <w:rsid w:val="00926466"/>
    <w:rsid w:val="009273C3"/>
    <w:rsid w:val="0093541D"/>
    <w:rsid w:val="00936F72"/>
    <w:rsid w:val="0093725B"/>
    <w:rsid w:val="009403A8"/>
    <w:rsid w:val="00941C3B"/>
    <w:rsid w:val="0094738B"/>
    <w:rsid w:val="009520EF"/>
    <w:rsid w:val="00962E7B"/>
    <w:rsid w:val="009A7521"/>
    <w:rsid w:val="009B001C"/>
    <w:rsid w:val="009B4991"/>
    <w:rsid w:val="00A0269D"/>
    <w:rsid w:val="00A076B5"/>
    <w:rsid w:val="00A1071C"/>
    <w:rsid w:val="00A126E5"/>
    <w:rsid w:val="00A13CE5"/>
    <w:rsid w:val="00A17B94"/>
    <w:rsid w:val="00A27462"/>
    <w:rsid w:val="00A34290"/>
    <w:rsid w:val="00A35421"/>
    <w:rsid w:val="00A45AB8"/>
    <w:rsid w:val="00A56924"/>
    <w:rsid w:val="00A725E5"/>
    <w:rsid w:val="00A845ED"/>
    <w:rsid w:val="00A86BE6"/>
    <w:rsid w:val="00A92148"/>
    <w:rsid w:val="00A95DCC"/>
    <w:rsid w:val="00AA60BF"/>
    <w:rsid w:val="00AA75B8"/>
    <w:rsid w:val="00AC0699"/>
    <w:rsid w:val="00AC4A8B"/>
    <w:rsid w:val="00AD60B0"/>
    <w:rsid w:val="00AD7C46"/>
    <w:rsid w:val="00AD7CB2"/>
    <w:rsid w:val="00AE3FEB"/>
    <w:rsid w:val="00B067D1"/>
    <w:rsid w:val="00B1712F"/>
    <w:rsid w:val="00B460FC"/>
    <w:rsid w:val="00B54B0C"/>
    <w:rsid w:val="00B62673"/>
    <w:rsid w:val="00B64D7C"/>
    <w:rsid w:val="00B734AE"/>
    <w:rsid w:val="00B768B1"/>
    <w:rsid w:val="00B86B94"/>
    <w:rsid w:val="00B91A9A"/>
    <w:rsid w:val="00BA4AA6"/>
    <w:rsid w:val="00BB0E75"/>
    <w:rsid w:val="00BB3269"/>
    <w:rsid w:val="00BB4CC8"/>
    <w:rsid w:val="00BB72FE"/>
    <w:rsid w:val="00BD1FF8"/>
    <w:rsid w:val="00BF33B4"/>
    <w:rsid w:val="00BF345A"/>
    <w:rsid w:val="00BF7F43"/>
    <w:rsid w:val="00C06539"/>
    <w:rsid w:val="00C10473"/>
    <w:rsid w:val="00C11747"/>
    <w:rsid w:val="00C162E6"/>
    <w:rsid w:val="00C2121B"/>
    <w:rsid w:val="00C22148"/>
    <w:rsid w:val="00C2425D"/>
    <w:rsid w:val="00C3402F"/>
    <w:rsid w:val="00C3509C"/>
    <w:rsid w:val="00C41926"/>
    <w:rsid w:val="00C4363D"/>
    <w:rsid w:val="00C550DA"/>
    <w:rsid w:val="00C64865"/>
    <w:rsid w:val="00C7002C"/>
    <w:rsid w:val="00C8378F"/>
    <w:rsid w:val="00CB0518"/>
    <w:rsid w:val="00CB2596"/>
    <w:rsid w:val="00CB643E"/>
    <w:rsid w:val="00CC070D"/>
    <w:rsid w:val="00CD0949"/>
    <w:rsid w:val="00CD591C"/>
    <w:rsid w:val="00CE1899"/>
    <w:rsid w:val="00D03C20"/>
    <w:rsid w:val="00D05350"/>
    <w:rsid w:val="00D10366"/>
    <w:rsid w:val="00D13379"/>
    <w:rsid w:val="00D176DB"/>
    <w:rsid w:val="00D3133C"/>
    <w:rsid w:val="00D321D5"/>
    <w:rsid w:val="00D3557C"/>
    <w:rsid w:val="00D42581"/>
    <w:rsid w:val="00D5280E"/>
    <w:rsid w:val="00D62A12"/>
    <w:rsid w:val="00D7638A"/>
    <w:rsid w:val="00D841B7"/>
    <w:rsid w:val="00D8456B"/>
    <w:rsid w:val="00DB6513"/>
    <w:rsid w:val="00DC0D2E"/>
    <w:rsid w:val="00DD523F"/>
    <w:rsid w:val="00DD76E4"/>
    <w:rsid w:val="00DF29BD"/>
    <w:rsid w:val="00E04983"/>
    <w:rsid w:val="00E118CD"/>
    <w:rsid w:val="00E11B97"/>
    <w:rsid w:val="00E2195E"/>
    <w:rsid w:val="00E246A4"/>
    <w:rsid w:val="00E25175"/>
    <w:rsid w:val="00E34CEC"/>
    <w:rsid w:val="00E4040F"/>
    <w:rsid w:val="00E462C9"/>
    <w:rsid w:val="00E5101B"/>
    <w:rsid w:val="00E57FF6"/>
    <w:rsid w:val="00E60653"/>
    <w:rsid w:val="00E73482"/>
    <w:rsid w:val="00E751EB"/>
    <w:rsid w:val="00E774A0"/>
    <w:rsid w:val="00E8036D"/>
    <w:rsid w:val="00E80D70"/>
    <w:rsid w:val="00E82D53"/>
    <w:rsid w:val="00E84C86"/>
    <w:rsid w:val="00E856F2"/>
    <w:rsid w:val="00E91637"/>
    <w:rsid w:val="00E97C74"/>
    <w:rsid w:val="00EA3912"/>
    <w:rsid w:val="00EB1777"/>
    <w:rsid w:val="00EC33D3"/>
    <w:rsid w:val="00ED1325"/>
    <w:rsid w:val="00ED21D8"/>
    <w:rsid w:val="00ED3C6A"/>
    <w:rsid w:val="00EE1726"/>
    <w:rsid w:val="00EF5EBD"/>
    <w:rsid w:val="00EF716F"/>
    <w:rsid w:val="00F02D16"/>
    <w:rsid w:val="00F06480"/>
    <w:rsid w:val="00F06D56"/>
    <w:rsid w:val="00F110F1"/>
    <w:rsid w:val="00F13E73"/>
    <w:rsid w:val="00F15B1E"/>
    <w:rsid w:val="00F2048B"/>
    <w:rsid w:val="00F340F5"/>
    <w:rsid w:val="00F36C56"/>
    <w:rsid w:val="00F42E04"/>
    <w:rsid w:val="00F464FA"/>
    <w:rsid w:val="00F4799E"/>
    <w:rsid w:val="00F76DF4"/>
    <w:rsid w:val="00F81899"/>
    <w:rsid w:val="00F875DE"/>
    <w:rsid w:val="00F96667"/>
    <w:rsid w:val="00FA15DE"/>
    <w:rsid w:val="00FA1714"/>
    <w:rsid w:val="00FC17E5"/>
    <w:rsid w:val="00FC1B6B"/>
    <w:rsid w:val="00FC6279"/>
    <w:rsid w:val="00FC6C9F"/>
    <w:rsid w:val="00FC7BF2"/>
    <w:rsid w:val="00FD037F"/>
    <w:rsid w:val="00FE260D"/>
    <w:rsid w:val="00FE30B2"/>
    <w:rsid w:val="00FE37AF"/>
    <w:rsid w:val="00FF1109"/>
    <w:rsid w:val="00FF2FE4"/>
    <w:rsid w:val="03D874DC"/>
    <w:rsid w:val="067E68BC"/>
    <w:rsid w:val="10B73179"/>
    <w:rsid w:val="17674B5E"/>
    <w:rsid w:val="1C6D67B6"/>
    <w:rsid w:val="1DAF075C"/>
    <w:rsid w:val="26EF4770"/>
    <w:rsid w:val="29950E17"/>
    <w:rsid w:val="2DE5725A"/>
    <w:rsid w:val="2E4773AF"/>
    <w:rsid w:val="351B37AA"/>
    <w:rsid w:val="360714B4"/>
    <w:rsid w:val="38767E50"/>
    <w:rsid w:val="3F9C115E"/>
    <w:rsid w:val="3FEB7AEB"/>
    <w:rsid w:val="42706590"/>
    <w:rsid w:val="451032DC"/>
    <w:rsid w:val="485E04E5"/>
    <w:rsid w:val="4DF464B0"/>
    <w:rsid w:val="594C7C37"/>
    <w:rsid w:val="5AEA67C6"/>
    <w:rsid w:val="62DC02F9"/>
    <w:rsid w:val="6594219A"/>
    <w:rsid w:val="67AA451F"/>
    <w:rsid w:val="691B4D4B"/>
    <w:rsid w:val="6B491513"/>
    <w:rsid w:val="78A648FD"/>
    <w:rsid w:val="7B9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2"/>
    <w:qFormat/>
    <w:uiPriority w:val="22"/>
    <w:rPr>
      <w:b/>
      <w:bCs/>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customStyle="1" w:styleId="10">
    <w:name w:val="normal"/>
    <w:qFormat/>
    <w:uiPriority w:val="0"/>
    <w:pPr>
      <w:spacing w:after="0" w:line="276"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2315</Words>
  <Characters>13200</Characters>
  <Lines>110</Lines>
  <Paragraphs>30</Paragraphs>
  <TotalTime>0</TotalTime>
  <ScaleCrop>false</ScaleCrop>
  <LinksUpToDate>false</LinksUpToDate>
  <CharactersWithSpaces>15485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2025-04-25T14:25:00Z</dcterms:created>
  <dc:creator>ACER</dc:creator>
  <cp:lastModifiedBy>HP</cp:lastModifiedBy>
  <dcterms:modified xsi:type="dcterms:W3CDTF">2025-07-09T15:36:41Z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54D7E2F07F464051833989ACC90892CC_13</vt:lpwstr>
  </property>
</Properties>
</file>