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charts/chart1.xml" ContentType="application/vnd.openxmlformats-officedocument.drawingml.chart+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sz w:val="32"/>
          <w:szCs w:val="26"/>
        </w:rPr>
      </w:pPr>
      <w:r>
        <w:rPr>
          <w:noProof/>
        </w:rPr>
        <w:drawing>
          <wp:anchor distT="0" distB="0" distL="0" distR="0" simplePos="false" relativeHeight="2"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26"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240" w:lineRule="auto" w:line="480"/>
        <w:jc w:val="center"/>
        <w:rPr>
          <w:rFonts w:ascii="Tahoma" w:cs="Tahoma" w:hAnsi="Tahoma"/>
          <w:b/>
          <w:sz w:val="32"/>
          <w:szCs w:val="26"/>
        </w:rPr>
      </w:pPr>
      <w:r>
        <w:rPr>
          <w:rFonts w:ascii="Tahoma" w:cs="Tahoma" w:hAnsi="Tahoma"/>
          <w:b/>
          <w:sz w:val="32"/>
          <w:szCs w:val="26"/>
        </w:rPr>
        <w:t xml:space="preserve">AMELIORATIVE EFFECTS OF </w:t>
      </w:r>
      <w:r>
        <w:rPr>
          <w:rFonts w:ascii="Tahoma" w:cs="Tahoma" w:hAnsi="Tahoma"/>
          <w:b/>
          <w:i/>
          <w:sz w:val="32"/>
          <w:szCs w:val="26"/>
        </w:rPr>
        <w:t>Sida acuta</w:t>
      </w:r>
      <w:r>
        <w:rPr>
          <w:rFonts w:ascii="Tahoma" w:cs="Tahoma" w:hAnsi="Tahoma"/>
          <w:b/>
          <w:sz w:val="32"/>
          <w:szCs w:val="26"/>
        </w:rPr>
        <w:t xml:space="preserve"> ON INDOMETHACIN-INDUCED ULCEROGENIC RATS</w:t>
      </w:r>
    </w:p>
    <w:p>
      <w:pPr>
        <w:pStyle w:val="style0"/>
        <w:spacing w:lineRule="auto" w:line="480"/>
        <w:jc w:val="center"/>
        <w:rPr>
          <w:rFonts w:ascii="Tahoma" w:cs="Tahoma" w:hAnsi="Tahoma"/>
          <w:b/>
          <w:bCs/>
          <w:sz w:val="38"/>
          <w:szCs w:val="26"/>
        </w:rPr>
      </w:pPr>
      <w:r>
        <w:rPr>
          <w:rFonts w:ascii="Tahoma" w:cs="Tahoma" w:hAnsi="Tahoma"/>
          <w:b/>
          <w:bCs/>
          <w:sz w:val="38"/>
          <w:szCs w:val="26"/>
        </w:rPr>
        <w:t>Presented By:</w:t>
      </w:r>
    </w:p>
    <w:p>
      <w:pPr>
        <w:pStyle w:val="style0"/>
        <w:jc w:val="center"/>
        <w:rPr>
          <w:rFonts w:ascii="Tahoma" w:cs="Tahoma" w:hAnsi="Tahoma"/>
          <w:b/>
          <w:bCs/>
          <w:sz w:val="42"/>
          <w:szCs w:val="26"/>
        </w:rPr>
      </w:pPr>
      <w:r>
        <w:rPr>
          <w:rFonts w:cs="Tahoma" w:hAnsi="Tahoma"/>
          <w:b/>
          <w:bCs/>
          <w:sz w:val="42"/>
          <w:szCs w:val="26"/>
          <w:lang w:val="en-US"/>
        </w:rPr>
        <w:t>AKINKUNMI SODEEQ BABATUNDE</w:t>
      </w:r>
    </w:p>
    <w:p>
      <w:pPr>
        <w:pStyle w:val="style0"/>
        <w:jc w:val="center"/>
        <w:rPr>
          <w:rFonts w:ascii="Tahoma" w:cs="Tahoma" w:hAnsi="Tahoma"/>
          <w:b/>
          <w:bCs/>
          <w:sz w:val="36"/>
          <w:szCs w:val="26"/>
        </w:rPr>
      </w:pPr>
      <w:r>
        <w:rPr>
          <w:rFonts w:ascii="Tahoma" w:cs="Tahoma" w:hAnsi="Tahoma"/>
          <w:b/>
          <w:bCs/>
          <w:sz w:val="36"/>
          <w:szCs w:val="26"/>
        </w:rPr>
        <w:t>HND/23/SLT/FT/</w:t>
      </w:r>
      <w:r>
        <w:rPr>
          <w:rFonts w:cs="Tahoma" w:hAnsi="Tahoma"/>
          <w:b/>
          <w:bCs/>
          <w:sz w:val="36"/>
          <w:szCs w:val="26"/>
          <w:lang w:val="en-US"/>
        </w:rPr>
        <w:t>0815</w:t>
      </w:r>
    </w:p>
    <w:p>
      <w:pPr>
        <w:pStyle w:val="style0"/>
        <w:spacing w:lineRule="auto" w:line="480"/>
        <w:jc w:val="center"/>
        <w:rPr>
          <w:rFonts w:ascii="Tahoma" w:cs="Tahoma" w:hAnsi="Tahoma"/>
          <w:b/>
          <w:bCs/>
          <w:sz w:val="26"/>
          <w:szCs w:val="26"/>
        </w:rPr>
      </w:pPr>
    </w:p>
    <w:p>
      <w:pPr>
        <w:pStyle w:val="style0"/>
        <w:spacing w:lineRule="auto" w:line="480"/>
        <w:jc w:val="center"/>
        <w:rPr>
          <w:rFonts w:ascii="Tahoma" w:cs="Tahoma" w:hAnsi="Tahoma"/>
          <w:b/>
          <w:bCs/>
          <w:sz w:val="16"/>
          <w:szCs w:val="26"/>
        </w:rPr>
      </w:pPr>
      <w:r>
        <w:rPr>
          <w:rFonts w:ascii="Tahoma" w:cs="Tahoma" w:hAnsi="Tahoma"/>
          <w:b/>
          <w:bCs/>
          <w:sz w:val="22"/>
          <w:szCs w:val="26"/>
        </w:rPr>
        <w:t xml:space="preserve">A RESEARCH PROJECT SUBMITTED TO THE DEPARTMENT OF SCIENCE LABORATORY TECHNOLOGY (BIOCHEMISTRY UNIT), INSTITUTE OF APPLIED SCIENCES, (IAS) KWARA STATE POLYTECHNIC, </w:t>
      </w:r>
      <w:r>
        <w:rPr>
          <w:rFonts w:ascii="Tahoma" w:cs="Tahoma" w:hAnsi="Tahoma"/>
          <w:b/>
          <w:bCs/>
          <w:sz w:val="22"/>
          <w:szCs w:val="26"/>
        </w:rPr>
        <w:t>ILORIN</w:t>
      </w:r>
      <w:r>
        <w:rPr>
          <w:rFonts w:ascii="Tahoma" w:cs="Tahoma" w:hAnsi="Tahoma"/>
          <w:b/>
          <w:bCs/>
          <w:sz w:val="22"/>
          <w:szCs w:val="26"/>
        </w:rPr>
        <w:t>.</w:t>
      </w:r>
    </w:p>
    <w:p>
      <w:pPr>
        <w:pStyle w:val="style0"/>
        <w:spacing w:lineRule="auto" w:line="480"/>
        <w:jc w:val="center"/>
        <w:rPr>
          <w:rFonts w:ascii="Tahoma" w:cs="Tahoma" w:hAnsi="Tahoma"/>
          <w:b/>
          <w:bCs/>
          <w:sz w:val="22"/>
          <w:szCs w:val="26"/>
        </w:rPr>
      </w:pPr>
      <w:r>
        <w:rPr>
          <w:rFonts w:ascii="Tahoma" w:cs="Tahoma" w:hAnsi="Tahoma"/>
          <w:b/>
          <w:bCs/>
          <w:sz w:val="22"/>
          <w:szCs w:val="26"/>
        </w:rPr>
        <w:t>IN PARTIAL FULFUILMENT OF THE REQUIREMENTS FOR THE AWARD OF HIGHER NATIONAL DIPLOMA (HND) IN SCIENCE LABORATORY TECHNOLOGY.</w:t>
      </w:r>
    </w:p>
    <w:p>
      <w:pPr>
        <w:pStyle w:val="style0"/>
        <w:jc w:val="center"/>
        <w:rPr>
          <w:rFonts w:ascii="Tahoma" w:cs="Tahoma" w:hAnsi="Tahoma"/>
          <w:b/>
          <w:bCs/>
          <w:sz w:val="24"/>
          <w:szCs w:val="26"/>
        </w:rPr>
      </w:pPr>
      <w:r>
        <w:rPr>
          <w:rFonts w:ascii="Tahoma" w:cs="Tahoma" w:hAnsi="Tahoma"/>
          <w:b/>
          <w:bCs/>
          <w:sz w:val="24"/>
          <w:szCs w:val="26"/>
        </w:rPr>
        <w:t>SUPERVISED BY</w:t>
      </w:r>
    </w:p>
    <w:p>
      <w:pPr>
        <w:pStyle w:val="style0"/>
        <w:jc w:val="center"/>
        <w:rPr>
          <w:b/>
          <w:color w:val="000000"/>
          <w:sz w:val="26"/>
        </w:rPr>
      </w:pPr>
      <w:r>
        <w:rPr>
          <w:b/>
          <w:color w:val="000000"/>
          <w:sz w:val="26"/>
        </w:rPr>
        <w:t xml:space="preserve">DR. (MRS.) HASSAN, I.R. </w:t>
      </w:r>
    </w:p>
    <w:p>
      <w:pPr>
        <w:pStyle w:val="style0"/>
        <w:ind w:left="5760" w:firstLine="720"/>
        <w:jc w:val="center"/>
        <w:rPr>
          <w:rFonts w:ascii="Calibri" w:cs="宋体" w:hAnsi="Calibri"/>
          <w:b/>
          <w:color w:val="000000"/>
          <w:sz w:val="26"/>
          <w:szCs w:val="22"/>
        </w:rPr>
      </w:pPr>
      <w:r>
        <w:rPr>
          <w:rFonts w:ascii="Tahoma" w:cs="Tahoma" w:hAnsi="Tahoma"/>
          <w:b/>
          <w:color w:val="000000"/>
          <w:szCs w:val="38"/>
        </w:rPr>
        <w:t xml:space="preserve">     JULY, 2025</w:t>
      </w:r>
    </w:p>
    <w:p>
      <w:pPr>
        <w:pStyle w:val="style0"/>
        <w:spacing w:lineRule="auto" w:line="360"/>
        <w:jc w:val="center"/>
        <w:rPr>
          <w:b/>
          <w:color w:val="000000"/>
          <w:sz w:val="24"/>
          <w:szCs w:val="24"/>
        </w:rPr>
      </w:pPr>
      <w:r>
        <w:rPr>
          <w:b/>
          <w:color w:val="000000"/>
          <w:sz w:val="24"/>
          <w:szCs w:val="24"/>
        </w:rPr>
        <w:t>CERTIFICATION</w:t>
      </w:r>
    </w:p>
    <w:p>
      <w:pPr>
        <w:pStyle w:val="style0"/>
        <w:spacing w:lineRule="auto" w:line="360"/>
        <w:ind w:left="-90" w:firstLine="90"/>
        <w:jc w:val="both"/>
        <w:rPr>
          <w:color w:val="000000"/>
          <w:sz w:val="24"/>
          <w:szCs w:val="24"/>
        </w:rPr>
      </w:pPr>
      <w:r>
        <w:rPr>
          <w:color w:val="000000"/>
          <w:sz w:val="24"/>
          <w:szCs w:val="24"/>
        </w:rPr>
        <w:t xml:space="preserve">This is to certify that this project research was written by </w:t>
      </w:r>
      <w:r>
        <w:rPr>
          <w:color w:val="000000"/>
          <w:sz w:val="24"/>
          <w:szCs w:val="24"/>
          <w:lang w:val="en-US"/>
        </w:rPr>
        <w:t xml:space="preserve">AKINKUNMI SODEEQ BABATUNDE </w:t>
      </w:r>
      <w:r>
        <w:rPr>
          <w:b/>
          <w:color w:val="000000"/>
          <w:sz w:val="24"/>
          <w:szCs w:val="24"/>
        </w:rPr>
        <w:t>HND/23/SLT/FT/</w:t>
      </w:r>
      <w:r>
        <w:rPr>
          <w:b/>
          <w:color w:val="000000"/>
          <w:sz w:val="24"/>
          <w:szCs w:val="24"/>
          <w:lang w:val="en-US"/>
        </w:rPr>
        <w:t>0815</w:t>
      </w:r>
      <w:r>
        <w:rPr>
          <w:color w:val="000000"/>
          <w:sz w:val="24"/>
          <w:szCs w:val="24"/>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pPr>
        <w:pStyle w:val="style0"/>
        <w:spacing w:lineRule="auto" w:line="360"/>
        <w:ind w:left="-90" w:firstLine="90"/>
        <w:jc w:val="both"/>
        <w:rPr>
          <w:color w:val="000000"/>
          <w:sz w:val="24"/>
          <w:szCs w:val="24"/>
        </w:rPr>
      </w:pPr>
    </w:p>
    <w:p>
      <w:pPr>
        <w:pStyle w:val="style0"/>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spacing w:lineRule="auto" w:line="240"/>
        <w:ind w:left="-90" w:firstLine="90"/>
        <w:rPr>
          <w:color w:val="000000"/>
          <w:sz w:val="24"/>
          <w:szCs w:val="24"/>
        </w:rPr>
      </w:pPr>
      <w:r>
        <w:rPr>
          <w:b/>
          <w:color w:val="000000"/>
          <w:sz w:val="24"/>
          <w:szCs w:val="24"/>
        </w:rPr>
        <w:t>DR. (MRS.) HASSAN, I.R.</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ind w:left="-90" w:firstLine="90"/>
        <w:rPr>
          <w:color w:val="000000"/>
          <w:sz w:val="24"/>
          <w:szCs w:val="24"/>
        </w:rPr>
      </w:pPr>
      <w:r>
        <w:rPr>
          <w:b/>
          <w:color w:val="000000"/>
          <w:sz w:val="24"/>
          <w:szCs w:val="24"/>
        </w:rPr>
        <w:t>SUPERVISOR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pStyle w:val="style0"/>
        <w:rPr>
          <w:color w:val="000000"/>
          <w:sz w:val="24"/>
          <w:szCs w:val="24"/>
        </w:rPr>
      </w:pPr>
    </w:p>
    <w:p>
      <w:pPr>
        <w:pStyle w:val="style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spacing w:lineRule="auto" w:line="240"/>
        <w:ind w:left="-90" w:firstLine="90"/>
        <w:rPr>
          <w:b/>
          <w:color w:val="000000"/>
          <w:sz w:val="24"/>
          <w:szCs w:val="24"/>
        </w:rPr>
      </w:pPr>
      <w:r>
        <w:rPr>
          <w:b/>
          <w:color w:val="000000"/>
          <w:sz w:val="24"/>
          <w:szCs w:val="24"/>
        </w:rPr>
        <w:t>MRS. SALAUDEEN, K.A.</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ind w:left="-90" w:firstLine="90"/>
        <w:rPr>
          <w:color w:val="000000"/>
          <w:sz w:val="24"/>
          <w:szCs w:val="24"/>
        </w:rPr>
      </w:pPr>
      <w:r>
        <w:rPr>
          <w:b/>
          <w:color w:val="000000"/>
          <w:sz w:val="24"/>
          <w:szCs w:val="24"/>
        </w:rPr>
        <w:t>HEAD OF UNIT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p>
    <w:p>
      <w:pPr>
        <w:pStyle w:val="style0"/>
        <w:tabs>
          <w:tab w:val="left" w:leader="none" w:pos="2202"/>
        </w:tabs>
        <w:ind w:left="-90" w:firstLine="90"/>
        <w:rPr>
          <w:b/>
          <w:color w:val="000000"/>
          <w:sz w:val="24"/>
          <w:szCs w:val="24"/>
        </w:rPr>
      </w:pPr>
      <w:r>
        <w:rPr>
          <w:b/>
          <w:color w:val="000000"/>
          <w:sz w:val="24"/>
          <w:szCs w:val="24"/>
        </w:rPr>
        <w:tab/>
      </w:r>
    </w:p>
    <w:p>
      <w:pPr>
        <w:pStyle w:val="style0"/>
        <w:ind w:left="-90" w:firstLine="90"/>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p>
    <w:p>
      <w:pPr>
        <w:pStyle w:val="style0"/>
        <w:tabs>
          <w:tab w:val="center" w:leader="none" w:pos="5233"/>
        </w:tabs>
        <w:spacing w:lineRule="auto" w:line="240"/>
        <w:rPr>
          <w:b/>
          <w:color w:val="000000"/>
          <w:sz w:val="24"/>
          <w:szCs w:val="24"/>
        </w:rPr>
      </w:pPr>
      <w:r>
        <w:rPr>
          <w:b/>
          <w:color w:val="000000"/>
          <w:sz w:val="24"/>
          <w:szCs w:val="24"/>
        </w:rPr>
        <w:t>DR. USMAN, ABDULKAREEM</w:t>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240"/>
        <w:rPr>
          <w:color w:val="000000"/>
          <w:sz w:val="24"/>
          <w:szCs w:val="24"/>
        </w:rPr>
      </w:pPr>
      <w:r>
        <w:rPr>
          <w:b/>
          <w:color w:val="000000"/>
          <w:sz w:val="24"/>
          <w:szCs w:val="24"/>
        </w:rPr>
        <w:t>HEAD 0F DEPARTMENT</w:t>
      </w:r>
      <w:r>
        <w:rPr>
          <w:color w:val="000000"/>
          <w:sz w:val="24"/>
          <w:szCs w:val="24"/>
        </w:rPr>
        <w:tab/>
      </w:r>
    </w:p>
    <w:p>
      <w:pPr>
        <w:pStyle w:val="style0"/>
        <w:spacing w:lineRule="auto" w:line="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ab/>
      </w:r>
    </w:p>
    <w:p>
      <w:pPr>
        <w:pStyle w:val="style0"/>
        <w:ind w:left="-86" w:firstLine="86"/>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 xml:space="preserve">      </w:t>
      </w:r>
      <w:r>
        <w:rPr>
          <w:color w:val="000000"/>
          <w:sz w:val="24"/>
          <w:szCs w:val="24"/>
        </w:rPr>
        <w:tab/>
      </w:r>
      <w:r>
        <w:rPr>
          <w:color w:val="000000"/>
          <w:sz w:val="24"/>
          <w:szCs w:val="24"/>
        </w:rPr>
        <w:t xml:space="preserve">       -----------------</w:t>
      </w:r>
    </w:p>
    <w:p>
      <w:pPr>
        <w:pStyle w:val="style0"/>
        <w:ind w:left="-90" w:firstLine="90"/>
        <w:rPr>
          <w:color w:val="000000"/>
          <w:sz w:val="24"/>
          <w:szCs w:val="24"/>
        </w:rPr>
      </w:pPr>
      <w:r>
        <w:rPr>
          <w:b/>
          <w:color w:val="000000"/>
          <w:sz w:val="24"/>
          <w:szCs w:val="24"/>
        </w:rPr>
        <w:t xml:space="preserve">EXTERNAL EXAMINER </w:t>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 xml:space="preserve">               DATE</w:t>
      </w:r>
    </w:p>
    <w:p>
      <w:pPr>
        <w:pStyle w:val="style0"/>
        <w:spacing w:lineRule="auto" w:line="480"/>
        <w:rPr>
          <w:sz w:val="24"/>
          <w:szCs w:val="24"/>
        </w:rPr>
      </w:pPr>
    </w:p>
    <w:p>
      <w:pPr>
        <w:pStyle w:val="style0"/>
        <w:spacing w:lineRule="auto" w:line="480"/>
        <w:rPr>
          <w:sz w:val="24"/>
          <w:szCs w:val="24"/>
        </w:rPr>
      </w:pPr>
    </w:p>
    <w:p>
      <w:pPr>
        <w:pStyle w:val="style0"/>
        <w:spacing w:lineRule="auto" w:line="480"/>
        <w:jc w:val="center"/>
        <w:rPr>
          <w:sz w:val="24"/>
          <w:szCs w:val="24"/>
        </w:rPr>
      </w:pPr>
      <w:r>
        <w:rPr>
          <w:b/>
          <w:sz w:val="24"/>
          <w:szCs w:val="24"/>
        </w:rPr>
        <w:t>DEDICATION</w:t>
      </w:r>
    </w:p>
    <w:p>
      <w:pPr>
        <w:pStyle w:val="style0"/>
        <w:spacing w:before="240" w:lineRule="auto" w:line="480"/>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r>
        <w:rPr>
          <w:sz w:val="26"/>
          <w:szCs w:val="24"/>
        </w:rPr>
        <w:t>understanding</w:t>
      </w:r>
      <w:r>
        <w:rPr>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b/>
          <w:sz w:val="24"/>
          <w:szCs w:val="24"/>
        </w:rPr>
      </w:pPr>
    </w:p>
    <w:p>
      <w:pPr>
        <w:pStyle w:val="style0"/>
        <w:spacing w:lineRule="auto" w:line="480"/>
        <w:jc w:val="center"/>
        <w:rPr>
          <w:b/>
          <w:sz w:val="24"/>
          <w:szCs w:val="24"/>
        </w:rPr>
      </w:pPr>
    </w:p>
    <w:p>
      <w:pPr>
        <w:pStyle w:val="style0"/>
        <w:spacing w:lineRule="auto" w:line="480"/>
        <w:jc w:val="both"/>
        <w:rPr>
          <w:b/>
          <w:sz w:val="24"/>
          <w:szCs w:val="24"/>
        </w:rPr>
      </w:pPr>
      <w:r>
        <w:rPr>
          <w:b/>
          <w:sz w:val="24"/>
          <w:szCs w:val="24"/>
        </w:rPr>
        <w:tab/>
      </w:r>
      <w:r>
        <w:rPr>
          <w:b/>
          <w:sz w:val="24"/>
          <w:szCs w:val="24"/>
        </w:rPr>
        <w:tab/>
      </w:r>
      <w:r>
        <w:rPr>
          <w:b/>
          <w:sz w:val="24"/>
          <w:szCs w:val="24"/>
        </w:rPr>
        <w:tab/>
      </w:r>
      <w:r>
        <w:rPr>
          <w:b/>
          <w:sz w:val="24"/>
          <w:szCs w:val="24"/>
        </w:rPr>
        <w:tab/>
      </w: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spacing w:lineRule="auto" w:line="480"/>
        <w:jc w:val="both"/>
        <w:rPr>
          <w:b/>
          <w:sz w:val="24"/>
          <w:szCs w:val="24"/>
        </w:rPr>
      </w:pPr>
    </w:p>
    <w:p>
      <w:pPr>
        <w:pStyle w:val="style0"/>
        <w:jc w:val="center"/>
        <w:rPr>
          <w:b/>
          <w:sz w:val="24"/>
          <w:szCs w:val="24"/>
        </w:rPr>
      </w:pPr>
      <w:r>
        <w:rPr>
          <w:b/>
          <w:sz w:val="24"/>
          <w:szCs w:val="24"/>
        </w:rPr>
        <w:t>ACKNOWLEDGEMENT</w:t>
      </w:r>
    </w:p>
    <w:p>
      <w:pPr>
        <w:pStyle w:val="style0"/>
        <w:spacing w:lineRule="auto" w:line="480"/>
        <w:jc w:val="both"/>
        <w:rPr>
          <w:b/>
          <w:sz w:val="26"/>
          <w:szCs w:val="26"/>
        </w:rPr>
      </w:pPr>
      <w:r>
        <w:rPr>
          <w:sz w:val="26"/>
          <w:szCs w:val="24"/>
        </w:rPr>
        <w:t>I would like to express my sincere gratitude to Almighty Allah for his divine mercy bestow upon me throughout my years in the great citadel.</w:t>
      </w:r>
    </w:p>
    <w:p>
      <w:pPr>
        <w:pStyle w:val="style0"/>
        <w:spacing w:lineRule="auto" w:line="480"/>
        <w:jc w:val="both"/>
        <w:rPr>
          <w:b/>
          <w:sz w:val="26"/>
          <w:szCs w:val="26"/>
        </w:rPr>
      </w:pPr>
      <w:r>
        <w:rPr>
          <w:b/>
          <w:sz w:val="26"/>
          <w:szCs w:val="26"/>
          <w:lang w:val="en-US"/>
        </w:rPr>
        <w:t xml:space="preserve"> I would like to thank my supervisor DR Mrs Hassan I R for her invaluable guidance and encouragement. Her expertise and insights were crucial in shaping my research.</w:t>
      </w:r>
    </w:p>
    <w:p>
      <w:pPr>
        <w:pStyle w:val="style0"/>
        <w:spacing w:lineRule="auto" w:line="480"/>
        <w:jc w:val="both"/>
        <w:rPr>
          <w:b/>
          <w:sz w:val="26"/>
          <w:szCs w:val="26"/>
        </w:rPr>
      </w:pPr>
      <w:r>
        <w:rPr>
          <w:b/>
          <w:sz w:val="26"/>
          <w:szCs w:val="26"/>
          <w:lang w:val="en-US"/>
        </w:rPr>
        <w:t>I would like to thank my parent MR &amp; MRS AKINKUNMI for their unwavering support and motivation throughout my studies.</w:t>
      </w:r>
    </w:p>
    <w:p>
      <w:pPr>
        <w:pStyle w:val="style0"/>
        <w:spacing w:lineRule="auto" w:line="480"/>
        <w:jc w:val="both"/>
        <w:rPr>
          <w:b/>
          <w:sz w:val="26"/>
          <w:szCs w:val="26"/>
        </w:rPr>
      </w:pPr>
      <w:r>
        <w:rPr>
          <w:b/>
          <w:sz w:val="26"/>
          <w:szCs w:val="26"/>
          <w:lang w:val="en-US"/>
        </w:rPr>
        <w:t>Lastly I would also like to extend my appreciation to my fellow classmates and friends, who provided constructive feedback and support during this journey.</w:t>
      </w:r>
    </w:p>
    <w:p>
      <w:pPr>
        <w:pStyle w:val="style0"/>
        <w:spacing w:lineRule="auto" w:line="480"/>
        <w:jc w:val="both"/>
        <w:rPr>
          <w:b/>
          <w:sz w:val="26"/>
          <w:szCs w:val="26"/>
        </w:rPr>
      </w:pPr>
    </w:p>
    <w:p>
      <w:pPr>
        <w:pStyle w:val="style0"/>
        <w:rPr>
          <w:b/>
          <w:sz w:val="26"/>
          <w:szCs w:val="26"/>
        </w:rPr>
      </w:pPr>
    </w:p>
    <w:p>
      <w:pPr>
        <w:pStyle w:val="style0"/>
        <w:rPr>
          <w:b/>
          <w:sz w:val="26"/>
          <w:szCs w:val="26"/>
        </w:rPr>
      </w:pPr>
    </w:p>
    <w:p>
      <w:pPr>
        <w:pStyle w:val="style0"/>
        <w:rPr>
          <w:b/>
          <w:sz w:val="26"/>
          <w:szCs w:val="26"/>
        </w:rPr>
      </w:pPr>
    </w:p>
    <w:p>
      <w:pPr>
        <w:pStyle w:val="style0"/>
        <w:rPr>
          <w:b/>
          <w:sz w:val="26"/>
          <w:szCs w:val="26"/>
        </w:rPr>
      </w:pPr>
    </w:p>
    <w:p>
      <w:pPr>
        <w:pStyle w:val="style0"/>
        <w:jc w:val="center"/>
        <w:rPr>
          <w:b/>
          <w:sz w:val="24"/>
          <w:szCs w:val="26"/>
        </w:rPr>
      </w:pPr>
    </w:p>
    <w:p>
      <w:pPr>
        <w:pStyle w:val="style0"/>
        <w:jc w:val="center"/>
        <w:rPr>
          <w:b/>
          <w:sz w:val="24"/>
          <w:szCs w:val="26"/>
        </w:rPr>
      </w:pPr>
      <w:r>
        <w:rPr>
          <w:b/>
          <w:sz w:val="24"/>
          <w:szCs w:val="26"/>
        </w:rPr>
        <w:t>TABLE OF CONTENTS</w:t>
      </w:r>
    </w:p>
    <w:p>
      <w:pPr>
        <w:pStyle w:val="style0"/>
        <w:spacing w:lineRule="auto" w:line="480"/>
        <w:rPr>
          <w:b/>
          <w:sz w:val="24"/>
          <w:szCs w:val="26"/>
        </w:rPr>
      </w:pPr>
      <w:r>
        <w:rPr>
          <w:b/>
          <w:sz w:val="24"/>
          <w:szCs w:val="26"/>
        </w:rPr>
        <w:t>TITLE PAGE</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w:t>
      </w:r>
    </w:p>
    <w:p>
      <w:pPr>
        <w:pStyle w:val="style0"/>
        <w:spacing w:lineRule="auto" w:line="480"/>
        <w:rPr>
          <w:b/>
          <w:sz w:val="24"/>
          <w:szCs w:val="26"/>
        </w:rPr>
      </w:pPr>
      <w:r>
        <w:rPr>
          <w:b/>
          <w:sz w:val="24"/>
          <w:szCs w:val="26"/>
        </w:rPr>
        <w:t>CERTIFICATION</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ii</w:t>
      </w:r>
    </w:p>
    <w:p>
      <w:pPr>
        <w:pStyle w:val="style0"/>
        <w:spacing w:lineRule="auto" w:line="480"/>
        <w:rPr>
          <w:b/>
          <w:sz w:val="24"/>
          <w:szCs w:val="26"/>
        </w:rPr>
      </w:pPr>
      <w:r>
        <w:rPr>
          <w:b/>
          <w:sz w:val="24"/>
          <w:szCs w:val="26"/>
        </w:rPr>
        <w:t xml:space="preserve">DEDICATION </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iii</w:t>
      </w:r>
    </w:p>
    <w:p>
      <w:pPr>
        <w:pStyle w:val="style0"/>
        <w:spacing w:lineRule="auto" w:line="480"/>
        <w:rPr>
          <w:b/>
          <w:sz w:val="24"/>
          <w:szCs w:val="26"/>
        </w:rPr>
      </w:pPr>
      <w:r>
        <w:rPr>
          <w:b/>
          <w:sz w:val="24"/>
          <w:szCs w:val="26"/>
        </w:rPr>
        <w:t>ACKNOWLEDGEMENTS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iv</w:t>
      </w:r>
    </w:p>
    <w:p>
      <w:pPr>
        <w:pStyle w:val="style0"/>
        <w:spacing w:lineRule="auto" w:line="480"/>
        <w:rPr>
          <w:b/>
          <w:sz w:val="24"/>
          <w:szCs w:val="26"/>
        </w:rPr>
      </w:pPr>
      <w:r>
        <w:rPr>
          <w:b/>
          <w:sz w:val="24"/>
          <w:szCs w:val="26"/>
        </w:rPr>
        <w:t>TABLE OF CONTENTS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v</w:t>
      </w:r>
    </w:p>
    <w:p>
      <w:pPr>
        <w:pStyle w:val="style0"/>
        <w:spacing w:lineRule="auto" w:line="480"/>
        <w:rPr>
          <w:b/>
          <w:sz w:val="24"/>
          <w:szCs w:val="26"/>
        </w:rPr>
      </w:pPr>
      <w:r>
        <w:rPr>
          <w:b/>
          <w:sz w:val="24"/>
          <w:szCs w:val="26"/>
        </w:rPr>
        <w:t>ABSTRACT</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viii</w:t>
      </w:r>
    </w:p>
    <w:p>
      <w:pPr>
        <w:pStyle w:val="style0"/>
        <w:spacing w:lineRule="auto" w:line="360"/>
        <w:rPr>
          <w:b/>
          <w:sz w:val="24"/>
          <w:szCs w:val="26"/>
        </w:rPr>
      </w:pPr>
      <w:r>
        <w:rPr>
          <w:b/>
          <w:sz w:val="24"/>
          <w:szCs w:val="26"/>
        </w:rPr>
        <w:t>CHAPTER ONE</w:t>
      </w:r>
    </w:p>
    <w:p>
      <w:pPr>
        <w:pStyle w:val="style179"/>
        <w:numPr>
          <w:ilvl w:val="0"/>
          <w:numId w:val="1"/>
        </w:numPr>
        <w:spacing w:after="0" w:lineRule="auto" w:line="360"/>
        <w:jc w:val="both"/>
        <w:rPr>
          <w:bCs/>
          <w:color w:val="000000"/>
          <w:sz w:val="24"/>
          <w:szCs w:val="26"/>
        </w:rPr>
      </w:pPr>
      <w:r>
        <w:rPr>
          <w:b/>
          <w:bCs/>
          <w:color w:val="000000"/>
          <w:sz w:val="24"/>
          <w:szCs w:val="26"/>
        </w:rPr>
        <w:t xml:space="preserve">   INTRODUCTION</w:t>
      </w:r>
      <w:r>
        <w:rPr>
          <w:b/>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1</w:t>
      </w:r>
    </w:p>
    <w:p>
      <w:pPr>
        <w:pStyle w:val="style0"/>
        <w:spacing w:after="0" w:lineRule="auto" w:line="480"/>
        <w:jc w:val="both"/>
        <w:rPr>
          <w:bCs/>
          <w:color w:val="000000"/>
          <w:sz w:val="24"/>
          <w:szCs w:val="26"/>
        </w:rPr>
      </w:pPr>
      <w:r>
        <w:rPr>
          <w:bCs/>
          <w:color w:val="000000"/>
          <w:sz w:val="24"/>
          <w:szCs w:val="26"/>
        </w:rPr>
        <w:t xml:space="preserve">1.1 </w:t>
      </w:r>
      <w:r>
        <w:rPr>
          <w:bCs/>
          <w:color w:val="000000"/>
          <w:sz w:val="24"/>
          <w:szCs w:val="26"/>
        </w:rPr>
        <w:t xml:space="preserve">   </w:t>
      </w:r>
      <w:r>
        <w:rPr>
          <w:bCs/>
          <w:color w:val="000000"/>
          <w:sz w:val="24"/>
          <w:szCs w:val="26"/>
        </w:rPr>
        <w:t>Background of</w:t>
      </w:r>
      <w:bookmarkStart w:id="0" w:name="_GoBack"/>
      <w:bookmarkEnd w:id="0"/>
      <w:r>
        <w:rPr>
          <w:bCs/>
          <w:color w:val="000000"/>
          <w:sz w:val="24"/>
          <w:szCs w:val="26"/>
        </w:rPr>
        <w:t xml:space="preserve"> the Study</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1</w:t>
      </w:r>
      <w:r>
        <w:rPr>
          <w:bCs/>
          <w:color w:val="000000"/>
          <w:sz w:val="24"/>
          <w:szCs w:val="26"/>
        </w:rPr>
        <w:t>-6</w:t>
      </w:r>
    </w:p>
    <w:p>
      <w:pPr>
        <w:pStyle w:val="style0"/>
        <w:spacing w:after="0" w:lineRule="auto" w:line="480"/>
        <w:jc w:val="both"/>
        <w:rPr>
          <w:bCs/>
          <w:color w:val="000000"/>
          <w:sz w:val="24"/>
          <w:szCs w:val="26"/>
        </w:rPr>
      </w:pPr>
      <w:r>
        <w:rPr>
          <w:bCs/>
          <w:color w:val="000000"/>
          <w:sz w:val="24"/>
          <w:szCs w:val="26"/>
        </w:rPr>
        <w:t xml:space="preserve">1.2 </w:t>
      </w:r>
      <w:r>
        <w:rPr>
          <w:bCs/>
          <w:color w:val="000000"/>
          <w:sz w:val="24"/>
          <w:szCs w:val="26"/>
        </w:rPr>
        <w:t xml:space="preserve">   </w:t>
      </w:r>
      <w:r>
        <w:rPr>
          <w:bCs/>
          <w:color w:val="000000"/>
          <w:sz w:val="24"/>
          <w:szCs w:val="26"/>
        </w:rPr>
        <w:t>Statement of the research problem</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6</w:t>
      </w:r>
      <w:r>
        <w:rPr>
          <w:bCs/>
          <w:color w:val="000000"/>
          <w:sz w:val="24"/>
          <w:szCs w:val="26"/>
        </w:rPr>
        <w:t>-7</w:t>
      </w:r>
    </w:p>
    <w:p>
      <w:pPr>
        <w:pStyle w:val="style94"/>
        <w:spacing w:after="0" w:afterAutospacing="false" w:lineRule="auto" w:line="480"/>
        <w:jc w:val="both"/>
        <w:rPr>
          <w:color w:val="000000"/>
          <w:szCs w:val="26"/>
        </w:rPr>
      </w:pPr>
      <w:r>
        <w:rPr>
          <w:color w:val="000000"/>
          <w:szCs w:val="26"/>
        </w:rPr>
        <w:t xml:space="preserve">1.2 </w:t>
      </w:r>
      <w:r>
        <w:rPr>
          <w:color w:val="000000"/>
          <w:szCs w:val="26"/>
        </w:rPr>
        <w:t xml:space="preserve">   </w:t>
      </w:r>
      <w:r>
        <w:rPr>
          <w:color w:val="000000"/>
          <w:szCs w:val="26"/>
        </w:rPr>
        <w:t>Justification for the Study</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7</w:t>
      </w:r>
      <w:r>
        <w:rPr>
          <w:color w:val="000000"/>
          <w:szCs w:val="26"/>
        </w:rPr>
        <w:t>-8</w:t>
      </w:r>
    </w:p>
    <w:p>
      <w:pPr>
        <w:pStyle w:val="style0"/>
        <w:spacing w:after="0" w:lineRule="auto" w:line="480"/>
        <w:jc w:val="both"/>
        <w:rPr>
          <w:color w:val="000000"/>
          <w:sz w:val="24"/>
          <w:szCs w:val="26"/>
        </w:rPr>
      </w:pPr>
      <w:r>
        <w:rPr>
          <w:color w:val="000000"/>
          <w:sz w:val="24"/>
          <w:szCs w:val="26"/>
        </w:rPr>
        <w:t xml:space="preserve">1.3 </w:t>
      </w:r>
      <w:r>
        <w:rPr>
          <w:color w:val="000000"/>
          <w:sz w:val="24"/>
          <w:szCs w:val="26"/>
        </w:rPr>
        <w:t xml:space="preserve">   </w:t>
      </w:r>
      <w:r>
        <w:rPr>
          <w:color w:val="000000"/>
          <w:sz w:val="24"/>
          <w:szCs w:val="26"/>
        </w:rPr>
        <w:t>Aim and objectives of the study</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8</w:t>
      </w:r>
      <w:r>
        <w:rPr>
          <w:color w:val="000000"/>
          <w:sz w:val="24"/>
          <w:szCs w:val="26"/>
        </w:rPr>
        <w:t>-9</w:t>
      </w:r>
    </w:p>
    <w:p>
      <w:pPr>
        <w:pStyle w:val="style0"/>
        <w:spacing w:lineRule="auto" w:line="480"/>
        <w:rPr>
          <w:b/>
          <w:sz w:val="24"/>
          <w:szCs w:val="26"/>
        </w:rPr>
      </w:pPr>
      <w:r>
        <w:rPr>
          <w:b/>
          <w:sz w:val="24"/>
          <w:szCs w:val="26"/>
        </w:rPr>
        <w:t>CHAPTER TWO</w:t>
      </w:r>
    </w:p>
    <w:p>
      <w:pPr>
        <w:pStyle w:val="style179"/>
        <w:numPr>
          <w:ilvl w:val="0"/>
          <w:numId w:val="1"/>
        </w:numPr>
        <w:spacing w:after="0" w:lineRule="auto" w:line="480"/>
        <w:jc w:val="both"/>
        <w:rPr>
          <w:color w:val="000000"/>
          <w:sz w:val="24"/>
          <w:szCs w:val="26"/>
        </w:rPr>
      </w:pPr>
      <w:r>
        <w:rPr>
          <w:b/>
          <w:color w:val="000000"/>
          <w:sz w:val="24"/>
          <w:szCs w:val="26"/>
        </w:rPr>
        <w:t xml:space="preserve">   LITERATURE REVIEW</w:t>
      </w:r>
      <w:r>
        <w:rPr>
          <w:color w:val="000000"/>
          <w:sz w:val="24"/>
          <w:szCs w:val="26"/>
        </w:rPr>
        <w:t xml:space="preserve"> </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10-11</w:t>
      </w:r>
    </w:p>
    <w:p>
      <w:pPr>
        <w:pStyle w:val="style0"/>
        <w:spacing w:after="0" w:lineRule="auto" w:line="480"/>
        <w:jc w:val="both"/>
        <w:rPr>
          <w:color w:val="000000"/>
          <w:sz w:val="24"/>
          <w:szCs w:val="26"/>
        </w:rPr>
      </w:pPr>
      <w:r>
        <w:rPr>
          <w:color w:val="000000"/>
          <w:sz w:val="24"/>
          <w:szCs w:val="26"/>
        </w:rPr>
        <w:t xml:space="preserve">2.1 </w:t>
      </w:r>
      <w:r>
        <w:rPr>
          <w:color w:val="000000"/>
          <w:sz w:val="24"/>
          <w:szCs w:val="26"/>
        </w:rPr>
        <w:t xml:space="preserve">   </w:t>
      </w:r>
      <w:r>
        <w:rPr>
          <w:color w:val="000000"/>
          <w:sz w:val="24"/>
          <w:szCs w:val="26"/>
        </w:rPr>
        <w:t>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10</w:t>
      </w:r>
      <w:r>
        <w:rPr>
          <w:color w:val="000000"/>
          <w:sz w:val="24"/>
          <w:szCs w:val="26"/>
        </w:rPr>
        <w:t>-12</w:t>
      </w:r>
    </w:p>
    <w:p>
      <w:pPr>
        <w:pStyle w:val="style0"/>
        <w:spacing w:after="0" w:lineRule="auto" w:line="480"/>
        <w:jc w:val="both"/>
        <w:rPr>
          <w:color w:val="000000"/>
          <w:sz w:val="24"/>
          <w:szCs w:val="26"/>
        </w:rPr>
      </w:pPr>
      <w:r>
        <w:rPr>
          <w:color w:val="000000"/>
          <w:sz w:val="24"/>
          <w:szCs w:val="26"/>
        </w:rPr>
        <w:t xml:space="preserve">2.2 </w:t>
      </w:r>
      <w:r>
        <w:rPr>
          <w:color w:val="000000"/>
          <w:sz w:val="24"/>
          <w:szCs w:val="26"/>
        </w:rPr>
        <w:t xml:space="preserve">   </w:t>
      </w:r>
      <w:r>
        <w:rPr>
          <w:color w:val="000000"/>
          <w:sz w:val="24"/>
          <w:szCs w:val="26"/>
        </w:rPr>
        <w:t>Types of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12</w:t>
      </w:r>
    </w:p>
    <w:p>
      <w:pPr>
        <w:pStyle w:val="style0"/>
        <w:spacing w:after="0" w:lineRule="auto" w:line="480"/>
        <w:jc w:val="both"/>
        <w:rPr>
          <w:color w:val="000000"/>
          <w:sz w:val="24"/>
          <w:szCs w:val="26"/>
        </w:rPr>
      </w:pPr>
      <w:r>
        <w:rPr>
          <w:color w:val="000000"/>
          <w:sz w:val="24"/>
          <w:szCs w:val="26"/>
        </w:rPr>
        <w:t xml:space="preserve">2.2.1 </w:t>
      </w:r>
      <w:r>
        <w:rPr>
          <w:color w:val="000000"/>
          <w:sz w:val="24"/>
          <w:szCs w:val="26"/>
        </w:rPr>
        <w:t xml:space="preserve">  </w:t>
      </w:r>
      <w:r>
        <w:rPr>
          <w:color w:val="000000"/>
          <w:sz w:val="24"/>
          <w:szCs w:val="26"/>
        </w:rPr>
        <w:t>Peptic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12-14</w:t>
      </w:r>
    </w:p>
    <w:p>
      <w:pPr>
        <w:pStyle w:val="style0"/>
        <w:spacing w:after="0" w:lineRule="auto" w:line="480"/>
        <w:jc w:val="both"/>
        <w:rPr>
          <w:color w:val="000000"/>
          <w:sz w:val="24"/>
          <w:szCs w:val="26"/>
        </w:rPr>
      </w:pPr>
    </w:p>
    <w:p>
      <w:pPr>
        <w:pStyle w:val="style0"/>
        <w:spacing w:after="0" w:lineRule="auto" w:line="480"/>
        <w:jc w:val="both"/>
        <w:rPr>
          <w:color w:val="000000"/>
          <w:sz w:val="24"/>
          <w:szCs w:val="26"/>
        </w:rPr>
      </w:pPr>
      <w:r>
        <w:rPr>
          <w:color w:val="000000"/>
          <w:sz w:val="24"/>
          <w:szCs w:val="26"/>
        </w:rPr>
        <w:t xml:space="preserve">2.2.2 </w:t>
      </w:r>
      <w:r>
        <w:rPr>
          <w:color w:val="000000"/>
          <w:sz w:val="24"/>
          <w:szCs w:val="26"/>
        </w:rPr>
        <w:t xml:space="preserve">  </w:t>
      </w:r>
      <w:r>
        <w:rPr>
          <w:color w:val="000000"/>
          <w:sz w:val="24"/>
          <w:szCs w:val="26"/>
        </w:rPr>
        <w:t>Skin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14-19</w:t>
      </w:r>
    </w:p>
    <w:p>
      <w:pPr>
        <w:pStyle w:val="style0"/>
        <w:spacing w:after="0" w:lineRule="auto" w:line="480"/>
        <w:jc w:val="both"/>
        <w:rPr>
          <w:color w:val="000000"/>
          <w:sz w:val="24"/>
          <w:szCs w:val="26"/>
        </w:rPr>
      </w:pPr>
      <w:r>
        <w:rPr>
          <w:color w:val="000000"/>
          <w:sz w:val="24"/>
          <w:szCs w:val="26"/>
        </w:rPr>
        <w:t xml:space="preserve">2.2.3 </w:t>
      </w:r>
      <w:r>
        <w:rPr>
          <w:color w:val="000000"/>
          <w:sz w:val="24"/>
          <w:szCs w:val="26"/>
        </w:rPr>
        <w:t xml:space="preserve">  </w:t>
      </w:r>
      <w:r>
        <w:rPr>
          <w:color w:val="000000"/>
          <w:sz w:val="24"/>
          <w:szCs w:val="26"/>
        </w:rPr>
        <w:t>Mouth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19-21</w:t>
      </w:r>
    </w:p>
    <w:p>
      <w:pPr>
        <w:pStyle w:val="style0"/>
        <w:spacing w:after="0" w:lineRule="auto" w:line="480"/>
        <w:jc w:val="both"/>
        <w:rPr>
          <w:color w:val="000000"/>
          <w:sz w:val="24"/>
          <w:szCs w:val="26"/>
        </w:rPr>
      </w:pPr>
      <w:r>
        <w:rPr>
          <w:color w:val="000000"/>
          <w:sz w:val="24"/>
          <w:szCs w:val="26"/>
        </w:rPr>
        <w:t xml:space="preserve">2.2.4 </w:t>
      </w:r>
      <w:r>
        <w:rPr>
          <w:color w:val="000000"/>
          <w:sz w:val="24"/>
          <w:szCs w:val="26"/>
        </w:rPr>
        <w:t xml:space="preserve">  </w:t>
      </w:r>
      <w:r>
        <w:rPr>
          <w:color w:val="000000"/>
          <w:sz w:val="24"/>
          <w:szCs w:val="26"/>
        </w:rPr>
        <w:t>Corneal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21-22</w:t>
      </w:r>
    </w:p>
    <w:p>
      <w:pPr>
        <w:pStyle w:val="style0"/>
        <w:spacing w:after="0" w:lineRule="auto" w:line="480"/>
        <w:jc w:val="both"/>
        <w:rPr>
          <w:color w:val="000000"/>
          <w:sz w:val="24"/>
          <w:szCs w:val="26"/>
        </w:rPr>
      </w:pPr>
      <w:r>
        <w:rPr>
          <w:color w:val="000000"/>
          <w:sz w:val="24"/>
          <w:szCs w:val="26"/>
        </w:rPr>
        <w:t xml:space="preserve">2.2.5 </w:t>
      </w:r>
      <w:r>
        <w:rPr>
          <w:color w:val="000000"/>
          <w:sz w:val="24"/>
          <w:szCs w:val="26"/>
        </w:rPr>
        <w:t xml:space="preserve">  </w:t>
      </w:r>
      <w:r>
        <w:rPr>
          <w:color w:val="000000"/>
          <w:sz w:val="24"/>
          <w:szCs w:val="26"/>
        </w:rPr>
        <w:t>Diabetic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23-24</w:t>
      </w:r>
    </w:p>
    <w:p>
      <w:pPr>
        <w:pStyle w:val="style0"/>
        <w:spacing w:after="0" w:lineRule="auto" w:line="480"/>
        <w:jc w:val="both"/>
        <w:rPr>
          <w:color w:val="000000"/>
          <w:sz w:val="24"/>
          <w:szCs w:val="26"/>
        </w:rPr>
      </w:pPr>
      <w:r>
        <w:rPr>
          <w:color w:val="000000"/>
          <w:sz w:val="24"/>
          <w:szCs w:val="26"/>
        </w:rPr>
        <w:t xml:space="preserve">2.2.6 </w:t>
      </w:r>
      <w:r>
        <w:rPr>
          <w:color w:val="000000"/>
          <w:sz w:val="24"/>
          <w:szCs w:val="26"/>
        </w:rPr>
        <w:t xml:space="preserve">  </w:t>
      </w:r>
      <w:r>
        <w:rPr>
          <w:color w:val="000000"/>
          <w:sz w:val="24"/>
          <w:szCs w:val="26"/>
        </w:rPr>
        <w:t>Stomach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24-26</w:t>
      </w:r>
    </w:p>
    <w:p>
      <w:pPr>
        <w:pStyle w:val="style0"/>
        <w:spacing w:after="0" w:lineRule="auto" w:line="480"/>
        <w:jc w:val="both"/>
        <w:rPr>
          <w:bCs/>
          <w:color w:val="000000"/>
          <w:sz w:val="24"/>
          <w:szCs w:val="26"/>
        </w:rPr>
      </w:pPr>
      <w:r>
        <w:rPr>
          <w:bCs/>
          <w:color w:val="000000"/>
          <w:sz w:val="24"/>
          <w:szCs w:val="26"/>
        </w:rPr>
        <w:t xml:space="preserve">2.3 </w:t>
      </w:r>
      <w:r>
        <w:rPr>
          <w:bCs/>
          <w:color w:val="000000"/>
          <w:sz w:val="24"/>
          <w:szCs w:val="26"/>
        </w:rPr>
        <w:t xml:space="preserve">   </w:t>
      </w:r>
      <w:r>
        <w:rPr>
          <w:bCs/>
          <w:color w:val="000000"/>
          <w:sz w:val="24"/>
          <w:szCs w:val="26"/>
        </w:rPr>
        <w:t>Causes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27</w:t>
      </w:r>
    </w:p>
    <w:p>
      <w:pPr>
        <w:pStyle w:val="style0"/>
        <w:spacing w:after="0" w:lineRule="auto" w:line="480"/>
        <w:jc w:val="both"/>
        <w:rPr>
          <w:bCs/>
          <w:color w:val="000000"/>
          <w:sz w:val="24"/>
          <w:szCs w:val="26"/>
        </w:rPr>
      </w:pPr>
      <w:r>
        <w:rPr>
          <w:bCs/>
          <w:color w:val="000000"/>
          <w:sz w:val="24"/>
          <w:szCs w:val="26"/>
        </w:rPr>
        <w:t xml:space="preserve">2.3.1 </w:t>
      </w:r>
      <w:r>
        <w:rPr>
          <w:bCs/>
          <w:color w:val="000000"/>
          <w:sz w:val="24"/>
          <w:szCs w:val="26"/>
        </w:rPr>
        <w:t xml:space="preserve">  </w:t>
      </w:r>
      <w:r>
        <w:rPr>
          <w:bCs/>
          <w:color w:val="000000"/>
          <w:sz w:val="24"/>
          <w:szCs w:val="26"/>
        </w:rPr>
        <w:t>Psychological Causes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27-28</w:t>
      </w:r>
    </w:p>
    <w:p>
      <w:pPr>
        <w:pStyle w:val="style0"/>
        <w:spacing w:after="0" w:lineRule="auto" w:line="480"/>
        <w:jc w:val="both"/>
        <w:rPr>
          <w:bCs/>
          <w:color w:val="000000"/>
          <w:sz w:val="24"/>
          <w:szCs w:val="26"/>
        </w:rPr>
      </w:pPr>
      <w:r>
        <w:rPr>
          <w:bCs/>
          <w:color w:val="000000"/>
          <w:sz w:val="24"/>
          <w:szCs w:val="26"/>
        </w:rPr>
        <w:t xml:space="preserve">2.3.2 </w:t>
      </w:r>
      <w:r>
        <w:rPr>
          <w:bCs/>
          <w:color w:val="000000"/>
          <w:sz w:val="24"/>
          <w:szCs w:val="26"/>
        </w:rPr>
        <w:t xml:space="preserve">  </w:t>
      </w:r>
      <w:r>
        <w:rPr>
          <w:bCs/>
          <w:color w:val="000000"/>
          <w:sz w:val="24"/>
          <w:szCs w:val="26"/>
        </w:rPr>
        <w:t>Medication</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28-32</w:t>
      </w:r>
    </w:p>
    <w:p>
      <w:pPr>
        <w:pStyle w:val="style0"/>
        <w:spacing w:after="0" w:lineRule="auto" w:line="480"/>
        <w:jc w:val="both"/>
        <w:rPr>
          <w:bCs/>
          <w:color w:val="000000"/>
          <w:sz w:val="24"/>
          <w:szCs w:val="26"/>
        </w:rPr>
      </w:pPr>
      <w:r>
        <w:rPr>
          <w:bCs/>
          <w:color w:val="000000"/>
          <w:sz w:val="24"/>
          <w:szCs w:val="26"/>
        </w:rPr>
        <w:t xml:space="preserve">2.3.3 </w:t>
      </w:r>
      <w:r>
        <w:rPr>
          <w:bCs/>
          <w:color w:val="000000"/>
          <w:sz w:val="24"/>
          <w:szCs w:val="26"/>
        </w:rPr>
        <w:t xml:space="preserve">  </w:t>
      </w:r>
      <w:r>
        <w:rPr>
          <w:bCs/>
          <w:color w:val="000000"/>
          <w:sz w:val="24"/>
          <w:szCs w:val="26"/>
        </w:rPr>
        <w:t>Dietary Factors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32-34</w:t>
      </w:r>
    </w:p>
    <w:p>
      <w:pPr>
        <w:pStyle w:val="style0"/>
        <w:spacing w:after="0" w:lineRule="auto" w:line="480"/>
        <w:jc w:val="both"/>
        <w:rPr>
          <w:bCs/>
          <w:color w:val="000000"/>
          <w:sz w:val="24"/>
          <w:szCs w:val="26"/>
        </w:rPr>
      </w:pPr>
      <w:r>
        <w:rPr>
          <w:bCs/>
          <w:color w:val="000000"/>
          <w:sz w:val="24"/>
          <w:szCs w:val="26"/>
        </w:rPr>
        <w:t xml:space="preserve">2.4 </w:t>
      </w:r>
      <w:r>
        <w:rPr>
          <w:bCs/>
          <w:color w:val="000000"/>
          <w:sz w:val="24"/>
          <w:szCs w:val="26"/>
        </w:rPr>
        <w:t xml:space="preserve">     </w:t>
      </w:r>
      <w:r>
        <w:rPr>
          <w:bCs/>
          <w:color w:val="000000"/>
          <w:sz w:val="24"/>
          <w:szCs w:val="26"/>
        </w:rPr>
        <w:t>P</w:t>
      </w:r>
      <w:r>
        <w:rPr>
          <w:bCs/>
          <w:color w:val="000000"/>
          <w:sz w:val="24"/>
          <w:szCs w:val="26"/>
        </w:rPr>
        <w:t>athophysiology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34-36</w:t>
      </w:r>
    </w:p>
    <w:p>
      <w:pPr>
        <w:pStyle w:val="style0"/>
        <w:spacing w:after="0" w:lineRule="auto" w:line="480"/>
        <w:jc w:val="both"/>
        <w:rPr>
          <w:sz w:val="24"/>
          <w:szCs w:val="26"/>
        </w:rPr>
      </w:pPr>
      <w:r>
        <w:rPr>
          <w:sz w:val="24"/>
          <w:szCs w:val="26"/>
        </w:rPr>
        <w:t xml:space="preserve">2.5 </w:t>
      </w:r>
      <w:r>
        <w:rPr>
          <w:sz w:val="24"/>
          <w:szCs w:val="26"/>
        </w:rPr>
        <w:t xml:space="preserve">    </w:t>
      </w:r>
      <w:r>
        <w:rPr>
          <w:i/>
          <w:sz w:val="24"/>
          <w:szCs w:val="26"/>
        </w:rPr>
        <w:t>Sida acuta</w:t>
      </w:r>
      <w:r>
        <w:rPr>
          <w:sz w:val="24"/>
          <w:szCs w:val="26"/>
        </w:rPr>
        <w:t xml:space="preserve">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36-39</w:t>
      </w:r>
    </w:p>
    <w:p>
      <w:pPr>
        <w:pStyle w:val="style94"/>
        <w:spacing w:before="0" w:beforeAutospacing="false" w:after="0" w:afterAutospacing="false" w:lineRule="auto" w:line="480"/>
        <w:jc w:val="both"/>
        <w:rPr>
          <w:szCs w:val="26"/>
        </w:rPr>
      </w:pPr>
      <w:r>
        <w:rPr>
          <w:szCs w:val="26"/>
        </w:rPr>
        <w:t>2.5.1</w:t>
      </w:r>
      <w:r>
        <w:rPr>
          <w:szCs w:val="26"/>
        </w:rPr>
        <w:t xml:space="preserve">  </w:t>
      </w:r>
      <w:r>
        <w:rPr>
          <w:szCs w:val="26"/>
        </w:rPr>
        <w:t xml:space="preserve"> Saponin</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39-40</w:t>
      </w:r>
    </w:p>
    <w:p>
      <w:pPr>
        <w:pStyle w:val="style94"/>
        <w:spacing w:before="0" w:beforeAutospacing="false" w:after="0" w:afterAutospacing="false" w:lineRule="auto" w:line="480"/>
        <w:jc w:val="both"/>
        <w:rPr>
          <w:szCs w:val="26"/>
        </w:rPr>
      </w:pPr>
      <w:r>
        <w:rPr>
          <w:szCs w:val="26"/>
        </w:rPr>
        <w:t xml:space="preserve">2.5.2 </w:t>
      </w:r>
      <w:r>
        <w:rPr>
          <w:szCs w:val="26"/>
        </w:rPr>
        <w:t xml:space="preserve">  </w:t>
      </w:r>
      <w:r>
        <w:rPr>
          <w:szCs w:val="26"/>
        </w:rPr>
        <w:t>Tannins</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40</w:t>
      </w:r>
    </w:p>
    <w:p>
      <w:pPr>
        <w:pStyle w:val="style0"/>
        <w:spacing w:after="0" w:lineRule="auto" w:line="480"/>
        <w:jc w:val="both"/>
        <w:rPr>
          <w:rFonts w:eastAsia="Times New Roman"/>
          <w:bCs/>
          <w:sz w:val="24"/>
          <w:szCs w:val="26"/>
        </w:rPr>
      </w:pPr>
      <w:r>
        <w:rPr>
          <w:rFonts w:eastAsia="Times New Roman"/>
          <w:bCs/>
          <w:sz w:val="24"/>
          <w:szCs w:val="26"/>
        </w:rPr>
        <w:t xml:space="preserve">2.5.3 </w:t>
      </w:r>
      <w:r>
        <w:rPr>
          <w:rFonts w:eastAsia="Times New Roman"/>
          <w:bCs/>
          <w:sz w:val="24"/>
          <w:szCs w:val="26"/>
        </w:rPr>
        <w:t xml:space="preserve">  </w:t>
      </w:r>
      <w:r>
        <w:rPr>
          <w:rFonts w:eastAsia="Times New Roman"/>
          <w:bCs/>
          <w:sz w:val="24"/>
          <w:szCs w:val="26"/>
        </w:rPr>
        <w:t>Flavonoids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41-42</w:t>
      </w:r>
    </w:p>
    <w:p>
      <w:pPr>
        <w:pStyle w:val="style0"/>
        <w:spacing w:lineRule="auto" w:line="480"/>
        <w:rPr>
          <w:rFonts w:eastAsia="Times New Roman"/>
          <w:bCs/>
          <w:sz w:val="24"/>
          <w:szCs w:val="26"/>
        </w:rPr>
      </w:pPr>
      <w:r>
        <w:rPr>
          <w:rFonts w:eastAsia="Times New Roman"/>
          <w:bCs/>
          <w:sz w:val="24"/>
          <w:szCs w:val="26"/>
        </w:rPr>
        <w:t xml:space="preserve">2.5.4 </w:t>
      </w:r>
      <w:r>
        <w:rPr>
          <w:rFonts w:eastAsia="Times New Roman"/>
          <w:bCs/>
          <w:sz w:val="24"/>
          <w:szCs w:val="26"/>
        </w:rPr>
        <w:t xml:space="preserve">  </w:t>
      </w:r>
      <w:r>
        <w:rPr>
          <w:rFonts w:eastAsia="Times New Roman"/>
          <w:bCs/>
          <w:sz w:val="24"/>
          <w:szCs w:val="26"/>
        </w:rPr>
        <w:t>Phenols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42-43</w:t>
      </w:r>
    </w:p>
    <w:p>
      <w:pPr>
        <w:pStyle w:val="style94"/>
        <w:spacing w:before="0" w:beforeAutospacing="false" w:after="0" w:afterAutospacing="false" w:lineRule="auto" w:line="480"/>
        <w:jc w:val="both"/>
        <w:rPr>
          <w:bCs/>
          <w:color w:val="000000"/>
          <w:szCs w:val="26"/>
        </w:rPr>
      </w:pPr>
      <w:r>
        <w:rPr>
          <w:bCs/>
          <w:color w:val="000000"/>
          <w:szCs w:val="26"/>
        </w:rPr>
        <w:t xml:space="preserve">2.6 </w:t>
      </w:r>
      <w:r>
        <w:rPr>
          <w:bCs/>
          <w:color w:val="000000"/>
          <w:szCs w:val="26"/>
        </w:rPr>
        <w:t xml:space="preserve">    </w:t>
      </w:r>
      <w:r>
        <w:rPr>
          <w:bCs/>
          <w:color w:val="000000"/>
          <w:szCs w:val="26"/>
        </w:rPr>
        <w:t xml:space="preserve">Mineral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43</w:t>
      </w:r>
    </w:p>
    <w:p>
      <w:pPr>
        <w:pStyle w:val="style94"/>
        <w:spacing w:before="0" w:beforeAutospacing="false" w:after="0" w:afterAutospacing="false" w:lineRule="auto" w:line="480"/>
        <w:jc w:val="both"/>
        <w:rPr>
          <w:bCs/>
          <w:color w:val="000000"/>
          <w:szCs w:val="26"/>
        </w:rPr>
      </w:pPr>
      <w:r>
        <w:rPr>
          <w:bCs/>
          <w:color w:val="000000"/>
          <w:szCs w:val="26"/>
        </w:rPr>
        <w:t xml:space="preserve">2.6.1 </w:t>
      </w:r>
      <w:r>
        <w:rPr>
          <w:bCs/>
          <w:color w:val="000000"/>
          <w:szCs w:val="26"/>
        </w:rPr>
        <w:t xml:space="preserve">  </w:t>
      </w:r>
      <w:r>
        <w:rPr>
          <w:bCs/>
          <w:color w:val="000000"/>
          <w:szCs w:val="26"/>
        </w:rPr>
        <w:t xml:space="preserve">Calcium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43</w:t>
      </w:r>
    </w:p>
    <w:p>
      <w:pPr>
        <w:pStyle w:val="style94"/>
        <w:spacing w:before="0" w:beforeAutospacing="false" w:after="0" w:afterAutospacing="false" w:lineRule="auto" w:line="480"/>
        <w:jc w:val="both"/>
        <w:rPr>
          <w:bCs/>
          <w:color w:val="000000"/>
          <w:szCs w:val="26"/>
        </w:rPr>
      </w:pPr>
      <w:r>
        <w:rPr>
          <w:bCs/>
          <w:color w:val="000000"/>
          <w:szCs w:val="26"/>
        </w:rPr>
        <w:t xml:space="preserve">2.6.2 </w:t>
      </w:r>
      <w:r>
        <w:rPr>
          <w:bCs/>
          <w:color w:val="000000"/>
          <w:szCs w:val="26"/>
        </w:rPr>
        <w:t xml:space="preserve">   </w:t>
      </w:r>
      <w:r>
        <w:rPr>
          <w:bCs/>
          <w:color w:val="000000"/>
          <w:szCs w:val="26"/>
        </w:rPr>
        <w:t xml:space="preserve">Potassium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44</w:t>
      </w:r>
    </w:p>
    <w:p>
      <w:pPr>
        <w:pStyle w:val="style0"/>
        <w:spacing w:lineRule="auto" w:line="480"/>
        <w:rPr>
          <w:bCs/>
          <w:color w:val="000000"/>
          <w:sz w:val="24"/>
          <w:szCs w:val="26"/>
        </w:rPr>
      </w:pPr>
      <w:r>
        <w:rPr>
          <w:bCs/>
          <w:color w:val="000000"/>
          <w:sz w:val="24"/>
          <w:szCs w:val="26"/>
        </w:rPr>
        <w:t xml:space="preserve">2.6.3 </w:t>
      </w:r>
      <w:r>
        <w:rPr>
          <w:bCs/>
          <w:color w:val="000000"/>
          <w:sz w:val="24"/>
          <w:szCs w:val="26"/>
        </w:rPr>
        <w:t xml:space="preserve">  </w:t>
      </w:r>
      <w:r>
        <w:rPr>
          <w:bCs/>
          <w:color w:val="000000"/>
          <w:sz w:val="24"/>
          <w:szCs w:val="26"/>
        </w:rPr>
        <w:t xml:space="preserve">Sodium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44-45</w:t>
      </w:r>
    </w:p>
    <w:p>
      <w:pPr>
        <w:pStyle w:val="style0"/>
        <w:spacing w:after="0" w:lineRule="auto" w:line="480"/>
        <w:jc w:val="both"/>
        <w:rPr>
          <w:bCs/>
          <w:color w:val="000000"/>
          <w:sz w:val="24"/>
          <w:szCs w:val="26"/>
        </w:rPr>
      </w:pPr>
      <w:r>
        <w:rPr>
          <w:bCs/>
          <w:color w:val="000000"/>
          <w:sz w:val="24"/>
          <w:szCs w:val="26"/>
        </w:rPr>
        <w:t xml:space="preserve">2.6.4 </w:t>
      </w:r>
      <w:r>
        <w:rPr>
          <w:bCs/>
          <w:color w:val="000000"/>
          <w:sz w:val="24"/>
          <w:szCs w:val="26"/>
        </w:rPr>
        <w:t xml:space="preserve">  </w:t>
      </w:r>
      <w:r>
        <w:rPr>
          <w:bCs/>
          <w:color w:val="000000"/>
          <w:sz w:val="24"/>
          <w:szCs w:val="26"/>
        </w:rPr>
        <w:t xml:space="preserve">Phosphorus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45-46</w:t>
      </w:r>
    </w:p>
    <w:p>
      <w:pPr>
        <w:pStyle w:val="style94"/>
        <w:spacing w:before="0" w:beforeAutospacing="false" w:after="0" w:afterAutospacing="false" w:lineRule="auto" w:line="480"/>
        <w:jc w:val="both"/>
        <w:rPr>
          <w:bCs/>
          <w:color w:val="000000"/>
          <w:szCs w:val="26"/>
        </w:rPr>
      </w:pPr>
      <w:r>
        <w:rPr>
          <w:bCs/>
          <w:color w:val="000000"/>
          <w:szCs w:val="26"/>
        </w:rPr>
        <w:t xml:space="preserve">2.6.5 </w:t>
      </w:r>
      <w:r>
        <w:rPr>
          <w:bCs/>
          <w:color w:val="000000"/>
          <w:szCs w:val="26"/>
        </w:rPr>
        <w:t xml:space="preserve">  </w:t>
      </w:r>
      <w:r>
        <w:rPr>
          <w:bCs/>
          <w:color w:val="000000"/>
          <w:szCs w:val="26"/>
        </w:rPr>
        <w:t xml:space="preserve">Iron and copper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46</w:t>
      </w:r>
    </w:p>
    <w:p>
      <w:pPr>
        <w:pStyle w:val="style94"/>
        <w:spacing w:before="0" w:beforeAutospacing="false" w:after="0" w:afterAutospacing="false" w:lineRule="auto" w:line="480"/>
        <w:jc w:val="both"/>
        <w:rPr>
          <w:bCs/>
          <w:color w:val="000000"/>
          <w:szCs w:val="26"/>
        </w:rPr>
      </w:pPr>
      <w:r>
        <w:rPr>
          <w:bCs/>
          <w:color w:val="000000"/>
          <w:szCs w:val="26"/>
        </w:rPr>
        <w:t xml:space="preserve">2.6.6 </w:t>
      </w:r>
      <w:r>
        <w:rPr>
          <w:bCs/>
          <w:color w:val="000000"/>
          <w:szCs w:val="26"/>
        </w:rPr>
        <w:t xml:space="preserve">  </w:t>
      </w:r>
      <w:r>
        <w:rPr>
          <w:bCs/>
          <w:color w:val="000000"/>
          <w:szCs w:val="26"/>
        </w:rPr>
        <w:t xml:space="preserve">Aluminum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46</w:t>
      </w:r>
    </w:p>
    <w:p>
      <w:pPr>
        <w:pStyle w:val="style94"/>
        <w:spacing w:before="0" w:beforeAutospacing="false" w:after="0" w:afterAutospacing="false" w:lineRule="auto" w:line="480"/>
        <w:jc w:val="both"/>
        <w:rPr>
          <w:bCs/>
          <w:color w:val="000000"/>
          <w:szCs w:val="26"/>
        </w:rPr>
      </w:pPr>
      <w:r>
        <w:rPr>
          <w:bCs/>
          <w:color w:val="000000"/>
          <w:szCs w:val="26"/>
        </w:rPr>
        <w:t xml:space="preserve">2.7 </w:t>
      </w:r>
      <w:r>
        <w:rPr>
          <w:bCs/>
          <w:color w:val="000000"/>
          <w:szCs w:val="26"/>
        </w:rPr>
        <w:t xml:space="preserve">    </w:t>
      </w:r>
      <w:r>
        <w:rPr>
          <w:bCs/>
          <w:color w:val="000000"/>
          <w:szCs w:val="26"/>
        </w:rPr>
        <w:t xml:space="preserve">Proximate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47</w:t>
      </w:r>
    </w:p>
    <w:p>
      <w:pPr>
        <w:pStyle w:val="style94"/>
        <w:spacing w:before="0" w:beforeAutospacing="false" w:after="0" w:afterAutospacing="false" w:lineRule="auto" w:line="480"/>
        <w:jc w:val="both"/>
        <w:rPr>
          <w:bCs/>
          <w:color w:val="000000"/>
          <w:szCs w:val="26"/>
          <w:lang w:val="fr-FR"/>
        </w:rPr>
      </w:pPr>
      <w:r>
        <w:rPr>
          <w:color w:val="000000"/>
          <w:szCs w:val="26"/>
          <w:lang w:val="fr-FR"/>
        </w:rPr>
        <w:t>2</w:t>
      </w:r>
      <w:r>
        <w:rPr>
          <w:bCs/>
          <w:color w:val="000000"/>
          <w:szCs w:val="26"/>
          <w:lang w:val="fr-FR"/>
        </w:rPr>
        <w:t xml:space="preserve">.7.1 </w:t>
      </w:r>
      <w:r>
        <w:rPr>
          <w:bCs/>
          <w:color w:val="000000"/>
          <w:szCs w:val="26"/>
          <w:lang w:val="fr-FR"/>
        </w:rPr>
        <w:t xml:space="preserve">  </w:t>
      </w:r>
      <w:r>
        <w:rPr>
          <w:bCs/>
          <w:color w:val="000000"/>
          <w:szCs w:val="26"/>
          <w:lang w:val="fr-FR"/>
        </w:rPr>
        <w:t xml:space="preserve">Moisture content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47-48</w:t>
      </w:r>
    </w:p>
    <w:p>
      <w:pPr>
        <w:pStyle w:val="style94"/>
        <w:spacing w:before="0" w:beforeAutospacing="false" w:after="0" w:afterAutospacing="false" w:lineRule="auto" w:line="480"/>
        <w:jc w:val="both"/>
        <w:rPr>
          <w:bCs/>
          <w:color w:val="000000"/>
          <w:szCs w:val="26"/>
          <w:lang w:val="fr-FR"/>
        </w:rPr>
      </w:pPr>
      <w:r>
        <w:rPr>
          <w:bCs/>
          <w:color w:val="000000"/>
          <w:szCs w:val="26"/>
          <w:lang w:val="fr-FR"/>
        </w:rPr>
        <w:t xml:space="preserve">2.7.2 </w:t>
      </w:r>
      <w:r>
        <w:rPr>
          <w:bCs/>
          <w:color w:val="000000"/>
          <w:szCs w:val="26"/>
          <w:lang w:val="fr-FR"/>
        </w:rPr>
        <w:t xml:space="preserve">  </w:t>
      </w:r>
      <w:r>
        <w:rPr>
          <w:bCs/>
          <w:color w:val="000000"/>
          <w:szCs w:val="26"/>
          <w:lang w:val="fr-FR"/>
        </w:rPr>
        <w:t xml:space="preserve">Crude protein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48-49</w:t>
      </w:r>
    </w:p>
    <w:p>
      <w:pPr>
        <w:pStyle w:val="style94"/>
        <w:spacing w:before="0" w:beforeAutospacing="false" w:after="0" w:afterAutospacing="false" w:lineRule="auto" w:line="480"/>
        <w:jc w:val="both"/>
        <w:rPr>
          <w:bCs/>
          <w:color w:val="000000"/>
          <w:szCs w:val="26"/>
          <w:lang w:val="fr-FR"/>
        </w:rPr>
      </w:pPr>
      <w:r>
        <w:rPr>
          <w:bCs/>
          <w:color w:val="000000"/>
          <w:szCs w:val="26"/>
          <w:lang w:val="fr-FR"/>
        </w:rPr>
        <w:t xml:space="preserve">2.7.3 </w:t>
      </w:r>
      <w:r>
        <w:rPr>
          <w:bCs/>
          <w:color w:val="000000"/>
          <w:szCs w:val="26"/>
          <w:lang w:val="fr-FR"/>
        </w:rPr>
        <w:t xml:space="preserve">  </w:t>
      </w:r>
      <w:r>
        <w:rPr>
          <w:bCs/>
          <w:color w:val="000000"/>
          <w:szCs w:val="26"/>
          <w:lang w:val="fr-FR"/>
        </w:rPr>
        <w:t xml:space="preserve">Crude ash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49</w:t>
      </w:r>
    </w:p>
    <w:p>
      <w:pPr>
        <w:pStyle w:val="style94"/>
        <w:spacing w:before="0" w:beforeAutospacing="false" w:after="0" w:afterAutospacing="false" w:lineRule="auto" w:line="480"/>
        <w:jc w:val="both"/>
        <w:rPr>
          <w:bCs/>
          <w:color w:val="000000"/>
          <w:szCs w:val="26"/>
        </w:rPr>
      </w:pPr>
      <w:r>
        <w:rPr>
          <w:bCs/>
          <w:color w:val="000000"/>
          <w:szCs w:val="26"/>
        </w:rPr>
        <w:t xml:space="preserve">2.7.4 </w:t>
      </w:r>
      <w:r>
        <w:rPr>
          <w:bCs/>
          <w:color w:val="000000"/>
          <w:szCs w:val="26"/>
        </w:rPr>
        <w:t xml:space="preserve">  </w:t>
      </w:r>
      <w:r>
        <w:rPr>
          <w:bCs/>
          <w:color w:val="000000"/>
          <w:szCs w:val="26"/>
        </w:rPr>
        <w:t xml:space="preserve">Lipid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50</w:t>
      </w:r>
    </w:p>
    <w:p>
      <w:pPr>
        <w:pStyle w:val="style0"/>
        <w:spacing w:after="0" w:lineRule="auto" w:line="480"/>
        <w:jc w:val="both"/>
        <w:rPr>
          <w:bCs/>
          <w:color w:val="000000"/>
          <w:sz w:val="24"/>
          <w:szCs w:val="26"/>
        </w:rPr>
      </w:pPr>
      <w:r>
        <w:rPr>
          <w:bCs/>
          <w:color w:val="000000"/>
          <w:sz w:val="24"/>
          <w:szCs w:val="26"/>
        </w:rPr>
        <w:t xml:space="preserve">2.7.5 </w:t>
      </w:r>
      <w:r>
        <w:rPr>
          <w:bCs/>
          <w:color w:val="000000"/>
          <w:sz w:val="24"/>
          <w:szCs w:val="26"/>
        </w:rPr>
        <w:t xml:space="preserve">  </w:t>
      </w:r>
      <w:r>
        <w:rPr>
          <w:bCs/>
          <w:color w:val="000000"/>
          <w:sz w:val="24"/>
          <w:szCs w:val="26"/>
        </w:rPr>
        <w:t xml:space="preserve">Crude fibre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51</w:t>
      </w:r>
    </w:p>
    <w:p>
      <w:pPr>
        <w:pStyle w:val="style94"/>
        <w:spacing w:before="0" w:beforeAutospacing="false" w:after="0" w:afterAutospacing="false" w:lineRule="auto" w:line="480"/>
        <w:jc w:val="both"/>
        <w:rPr>
          <w:bCs/>
          <w:color w:val="000000"/>
          <w:szCs w:val="26"/>
        </w:rPr>
      </w:pPr>
      <w:r>
        <w:rPr>
          <w:bCs/>
          <w:color w:val="000000"/>
          <w:szCs w:val="26"/>
        </w:rPr>
        <w:t xml:space="preserve">2.8 </w:t>
      </w:r>
      <w:r>
        <w:rPr>
          <w:bCs/>
          <w:color w:val="000000"/>
          <w:szCs w:val="26"/>
        </w:rPr>
        <w:t xml:space="preserve">    </w:t>
      </w:r>
      <w:r>
        <w:rPr>
          <w:bCs/>
          <w:color w:val="000000"/>
          <w:szCs w:val="26"/>
        </w:rPr>
        <w:t>Non</w:t>
      </w:r>
      <w:r>
        <w:rPr>
          <w:bCs/>
          <w:color w:val="000000"/>
          <w:szCs w:val="26"/>
        </w:rPr>
        <w:t xml:space="preserve"> enzymatic antioxidant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w:t>
      </w:r>
    </w:p>
    <w:p>
      <w:pPr>
        <w:pStyle w:val="style94"/>
        <w:spacing w:before="0" w:beforeAutospacing="false" w:after="0" w:afterAutospacing="false" w:lineRule="auto" w:line="480"/>
        <w:jc w:val="both"/>
        <w:rPr>
          <w:bCs/>
          <w:color w:val="000000"/>
          <w:szCs w:val="26"/>
        </w:rPr>
      </w:pPr>
      <w:r>
        <w:rPr>
          <w:bCs/>
          <w:color w:val="000000"/>
          <w:szCs w:val="26"/>
        </w:rPr>
        <w:t xml:space="preserve">2.8.1 </w:t>
      </w:r>
      <w:r>
        <w:rPr>
          <w:bCs/>
          <w:color w:val="000000"/>
          <w:szCs w:val="26"/>
        </w:rPr>
        <w:t xml:space="preserve">  </w:t>
      </w:r>
      <w:r>
        <w:rPr>
          <w:bCs/>
          <w:color w:val="000000"/>
          <w:szCs w:val="26"/>
        </w:rPr>
        <w:t xml:space="preserve">Total phenolic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w:t>
      </w:r>
    </w:p>
    <w:p>
      <w:pPr>
        <w:pStyle w:val="style94"/>
        <w:spacing w:before="0" w:beforeAutospacing="false" w:after="0" w:afterAutospacing="false" w:lineRule="auto" w:line="480"/>
        <w:jc w:val="both"/>
        <w:rPr>
          <w:bCs/>
          <w:color w:val="000000"/>
          <w:szCs w:val="26"/>
        </w:rPr>
      </w:pPr>
      <w:r>
        <w:rPr>
          <w:bCs/>
          <w:color w:val="000000"/>
          <w:szCs w:val="26"/>
        </w:rPr>
        <w:t xml:space="preserve">2.8.2 </w:t>
      </w:r>
      <w:r>
        <w:rPr>
          <w:bCs/>
          <w:color w:val="000000"/>
          <w:szCs w:val="26"/>
        </w:rPr>
        <w:t xml:space="preserve">  </w:t>
      </w:r>
      <w:r>
        <w:rPr>
          <w:bCs/>
          <w:color w:val="000000"/>
          <w:szCs w:val="26"/>
        </w:rPr>
        <w:t>T</w:t>
      </w:r>
      <w:r>
        <w:rPr>
          <w:bCs/>
          <w:color w:val="000000"/>
          <w:szCs w:val="26"/>
        </w:rPr>
        <w:t xml:space="preserve">otal flavonoid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52-53</w:t>
      </w:r>
    </w:p>
    <w:p>
      <w:pPr>
        <w:pStyle w:val="style94"/>
        <w:spacing w:before="0" w:beforeAutospacing="false" w:after="0" w:afterAutospacing="false" w:lineRule="auto" w:line="480"/>
        <w:jc w:val="both"/>
        <w:rPr>
          <w:bCs/>
          <w:color w:val="000000"/>
          <w:szCs w:val="26"/>
        </w:rPr>
      </w:pPr>
      <w:r>
        <w:rPr>
          <w:bCs/>
          <w:color w:val="000000"/>
          <w:szCs w:val="26"/>
        </w:rPr>
        <w:t xml:space="preserve">2.8.3 </w:t>
      </w:r>
      <w:r>
        <w:rPr>
          <w:bCs/>
          <w:color w:val="000000"/>
          <w:szCs w:val="26"/>
        </w:rPr>
        <w:t xml:space="preserve">  </w:t>
      </w:r>
      <w:r>
        <w:rPr>
          <w:bCs/>
          <w:color w:val="000000"/>
          <w:szCs w:val="26"/>
        </w:rPr>
        <w:t>Ferric reducing antioxidant power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54-55</w:t>
      </w:r>
    </w:p>
    <w:p>
      <w:pPr>
        <w:pStyle w:val="style94"/>
        <w:spacing w:before="0" w:beforeAutospacing="false" w:after="0" w:afterAutospacing="false" w:lineRule="auto" w:line="480"/>
        <w:jc w:val="both"/>
        <w:rPr>
          <w:bCs/>
          <w:color w:val="000000"/>
          <w:szCs w:val="26"/>
        </w:rPr>
      </w:pPr>
      <w:r>
        <w:rPr>
          <w:bCs/>
          <w:color w:val="000000"/>
          <w:szCs w:val="26"/>
        </w:rPr>
        <w:t xml:space="preserve">2.8.4 </w:t>
      </w:r>
      <w:r>
        <w:rPr>
          <w:bCs/>
          <w:color w:val="000000"/>
          <w:szCs w:val="26"/>
        </w:rPr>
        <w:t xml:space="preserve">  </w:t>
      </w:r>
      <w:r>
        <w:rPr>
          <w:bCs/>
          <w:color w:val="000000"/>
          <w:szCs w:val="26"/>
        </w:rPr>
        <w:t>2</w:t>
      </w:r>
      <w:r>
        <w:rPr>
          <w:bCs/>
          <w:color w:val="000000"/>
          <w:szCs w:val="26"/>
        </w:rPr>
        <w:t>,2</w:t>
      </w:r>
      <w:r>
        <w:rPr>
          <w:bCs/>
          <w:color w:val="000000"/>
          <w:szCs w:val="26"/>
        </w:rPr>
        <w:t>-azino-bis C3 ethylbenzothia</w:t>
      </w:r>
      <w:r>
        <w:rPr>
          <w:bCs/>
          <w:color w:val="000000"/>
          <w:szCs w:val="26"/>
        </w:rPr>
        <w:t>zoline-b-sulphonic acid (ABTS)</w:t>
      </w:r>
      <w:r>
        <w:rPr>
          <w:bCs/>
          <w:color w:val="000000"/>
          <w:szCs w:val="26"/>
        </w:rPr>
        <w:tab/>
      </w:r>
      <w:r>
        <w:rPr>
          <w:bCs/>
          <w:color w:val="000000"/>
          <w:szCs w:val="26"/>
        </w:rPr>
        <w:tab/>
      </w:r>
      <w:r>
        <w:rPr>
          <w:bCs/>
          <w:color w:val="000000"/>
          <w:szCs w:val="26"/>
        </w:rPr>
        <w:t>55-56</w:t>
      </w:r>
    </w:p>
    <w:p>
      <w:pPr>
        <w:pStyle w:val="style94"/>
        <w:spacing w:before="0" w:beforeAutospacing="false" w:after="0" w:afterAutospacing="false" w:lineRule="auto" w:line="480"/>
        <w:jc w:val="both"/>
        <w:rPr>
          <w:bCs/>
          <w:color w:val="000000"/>
          <w:szCs w:val="26"/>
        </w:rPr>
      </w:pPr>
      <w:r>
        <w:rPr>
          <w:bCs/>
          <w:color w:val="000000"/>
          <w:szCs w:val="26"/>
        </w:rPr>
        <w:t xml:space="preserve">2.8.5 </w:t>
      </w:r>
      <w:r>
        <w:rPr>
          <w:bCs/>
          <w:color w:val="000000"/>
          <w:szCs w:val="26"/>
        </w:rPr>
        <w:t xml:space="preserve">  </w:t>
      </w:r>
      <w:r>
        <w:rPr>
          <w:bCs/>
          <w:color w:val="000000"/>
          <w:szCs w:val="26"/>
        </w:rPr>
        <w:t>2</w:t>
      </w:r>
      <w:r>
        <w:rPr>
          <w:bCs/>
          <w:color w:val="000000"/>
          <w:szCs w:val="26"/>
        </w:rPr>
        <w:t>,2</w:t>
      </w:r>
      <w:r>
        <w:rPr>
          <w:bCs/>
          <w:color w:val="000000"/>
          <w:szCs w:val="26"/>
        </w:rPr>
        <w:t>-dipheny</w:t>
      </w:r>
      <w:r>
        <w:rPr>
          <w:bCs/>
          <w:color w:val="000000"/>
          <w:szCs w:val="26"/>
        </w:rPr>
        <w:t>l-1-pycrylhydraxyl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56</w:t>
      </w:r>
    </w:p>
    <w:p>
      <w:pPr>
        <w:pStyle w:val="style94"/>
        <w:spacing w:before="0" w:beforeAutospacing="false" w:after="0" w:afterAutospacing="false" w:lineRule="auto" w:line="480"/>
        <w:jc w:val="both"/>
        <w:rPr>
          <w:bCs/>
          <w:color w:val="000000"/>
          <w:szCs w:val="26"/>
        </w:rPr>
      </w:pPr>
      <w:r>
        <w:rPr>
          <w:bCs/>
          <w:color w:val="000000"/>
          <w:szCs w:val="26"/>
        </w:rPr>
        <w:t xml:space="preserve">2.9 </w:t>
      </w:r>
      <w:r>
        <w:rPr>
          <w:bCs/>
          <w:color w:val="000000"/>
          <w:szCs w:val="26"/>
        </w:rPr>
        <w:t xml:space="preserve">   </w:t>
      </w:r>
      <w:r>
        <w:rPr>
          <w:bCs/>
          <w:color w:val="000000"/>
          <w:szCs w:val="26"/>
        </w:rPr>
        <w:t xml:space="preserve">Organ studied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w:t>
      </w:r>
    </w:p>
    <w:p>
      <w:pPr>
        <w:pStyle w:val="style94"/>
        <w:spacing w:before="0" w:beforeAutospacing="false" w:after="0" w:afterAutospacing="false" w:lineRule="auto" w:line="480"/>
        <w:jc w:val="both"/>
        <w:rPr>
          <w:bCs/>
          <w:color w:val="000000"/>
          <w:szCs w:val="26"/>
        </w:rPr>
      </w:pPr>
      <w:r>
        <w:rPr>
          <w:bCs/>
          <w:color w:val="000000"/>
          <w:szCs w:val="26"/>
        </w:rPr>
        <w:t xml:space="preserve">2.9.1 </w:t>
      </w:r>
      <w:r>
        <w:rPr>
          <w:bCs/>
          <w:color w:val="000000"/>
          <w:szCs w:val="26"/>
        </w:rPr>
        <w:t xml:space="preserve">  </w:t>
      </w:r>
      <w:r>
        <w:rPr>
          <w:bCs/>
          <w:color w:val="000000"/>
          <w:szCs w:val="26"/>
        </w:rPr>
        <w:t xml:space="preserve">Stomach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w:t>
      </w:r>
    </w:p>
    <w:p>
      <w:pPr>
        <w:pStyle w:val="style94"/>
        <w:spacing w:before="0" w:beforeAutospacing="false" w:after="0" w:afterAutospacing="false" w:lineRule="auto" w:line="480"/>
        <w:jc w:val="both"/>
        <w:rPr>
          <w:bCs/>
          <w:color w:val="000000"/>
          <w:szCs w:val="26"/>
        </w:rPr>
      </w:pPr>
      <w:r>
        <w:rPr>
          <w:bCs/>
          <w:color w:val="000000"/>
          <w:szCs w:val="26"/>
        </w:rPr>
        <w:t xml:space="preserve">2.9.2 </w:t>
      </w:r>
      <w:r>
        <w:rPr>
          <w:bCs/>
          <w:color w:val="000000"/>
          <w:szCs w:val="26"/>
        </w:rPr>
        <w:t xml:space="preserve">  </w:t>
      </w:r>
      <w:r>
        <w:rPr>
          <w:bCs/>
          <w:color w:val="000000"/>
          <w:szCs w:val="26"/>
        </w:rPr>
        <w:t xml:space="preserve">Liver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57-58</w:t>
      </w:r>
    </w:p>
    <w:p>
      <w:pPr>
        <w:pStyle w:val="style94"/>
        <w:spacing w:before="0" w:beforeAutospacing="false" w:after="0" w:afterAutospacing="false" w:lineRule="auto" w:line="480"/>
        <w:jc w:val="both"/>
        <w:rPr>
          <w:bCs/>
          <w:color w:val="000000"/>
          <w:szCs w:val="26"/>
        </w:rPr>
      </w:pPr>
      <w:r>
        <w:rPr>
          <w:bCs/>
          <w:color w:val="000000"/>
          <w:szCs w:val="26"/>
        </w:rPr>
        <w:t xml:space="preserve">2.9.3 </w:t>
      </w:r>
      <w:r>
        <w:rPr>
          <w:bCs/>
          <w:color w:val="000000"/>
          <w:szCs w:val="26"/>
        </w:rPr>
        <w:t xml:space="preserve">  </w:t>
      </w:r>
      <w:r>
        <w:rPr>
          <w:bCs/>
          <w:color w:val="000000"/>
          <w:szCs w:val="26"/>
        </w:rPr>
        <w:t xml:space="preserve">Duodenum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58</w:t>
      </w:r>
    </w:p>
    <w:p>
      <w:pPr>
        <w:pStyle w:val="style94"/>
        <w:spacing w:before="0" w:beforeAutospacing="false" w:after="0" w:afterAutospacing="false" w:lineRule="auto" w:line="480"/>
        <w:jc w:val="both"/>
        <w:rPr>
          <w:bCs/>
          <w:color w:val="000000"/>
          <w:szCs w:val="26"/>
        </w:rPr>
      </w:pPr>
      <w:r>
        <w:rPr>
          <w:bCs/>
          <w:color w:val="000000"/>
          <w:szCs w:val="26"/>
        </w:rPr>
        <w:t xml:space="preserve">2.10 </w:t>
      </w:r>
      <w:r>
        <w:rPr>
          <w:bCs/>
          <w:color w:val="000000"/>
          <w:szCs w:val="26"/>
        </w:rPr>
        <w:t xml:space="preserve">  </w:t>
      </w:r>
      <w:r>
        <w:rPr>
          <w:bCs/>
          <w:color w:val="000000"/>
          <w:szCs w:val="26"/>
        </w:rPr>
        <w:t xml:space="preserve">Hematological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58-59</w:t>
      </w:r>
    </w:p>
    <w:p>
      <w:pPr>
        <w:pStyle w:val="style94"/>
        <w:spacing w:before="0" w:beforeAutospacing="false" w:after="0" w:afterAutospacing="false" w:lineRule="auto" w:line="480"/>
        <w:jc w:val="both"/>
        <w:rPr>
          <w:bCs/>
          <w:color w:val="000000"/>
          <w:szCs w:val="26"/>
        </w:rPr>
      </w:pPr>
      <w:r>
        <w:rPr>
          <w:bCs/>
          <w:color w:val="000000"/>
          <w:szCs w:val="26"/>
        </w:rPr>
        <w:t xml:space="preserve">2.10.1 </w:t>
      </w:r>
      <w:r>
        <w:rPr>
          <w:bCs/>
          <w:color w:val="000000"/>
          <w:szCs w:val="26"/>
        </w:rPr>
        <w:t xml:space="preserve">  </w:t>
      </w:r>
      <w:r>
        <w:rPr>
          <w:bCs/>
          <w:color w:val="000000"/>
          <w:szCs w:val="26"/>
        </w:rPr>
        <w:t xml:space="preserve">Red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59-60</w:t>
      </w:r>
    </w:p>
    <w:p>
      <w:pPr>
        <w:pStyle w:val="style94"/>
        <w:spacing w:before="0" w:beforeAutospacing="false" w:after="0" w:afterAutospacing="false" w:lineRule="auto" w:line="480"/>
        <w:jc w:val="both"/>
        <w:rPr>
          <w:bCs/>
          <w:color w:val="000000"/>
          <w:szCs w:val="26"/>
        </w:rPr>
      </w:pPr>
      <w:r>
        <w:rPr>
          <w:bCs/>
          <w:color w:val="000000"/>
          <w:szCs w:val="26"/>
        </w:rPr>
        <w:t xml:space="preserve">2.10.2 </w:t>
      </w:r>
      <w:r>
        <w:rPr>
          <w:bCs/>
          <w:color w:val="000000"/>
          <w:szCs w:val="26"/>
        </w:rPr>
        <w:t xml:space="preserve">  </w:t>
      </w:r>
      <w:r>
        <w:rPr>
          <w:bCs/>
          <w:color w:val="000000"/>
          <w:szCs w:val="26"/>
        </w:rPr>
        <w:t xml:space="preserve">Hemoglobin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60-61</w:t>
      </w:r>
    </w:p>
    <w:p>
      <w:pPr>
        <w:pStyle w:val="style94"/>
        <w:spacing w:before="0" w:beforeAutospacing="false" w:after="0" w:afterAutospacing="false" w:lineRule="auto" w:line="480"/>
        <w:jc w:val="both"/>
        <w:rPr>
          <w:bCs/>
          <w:color w:val="000000"/>
          <w:szCs w:val="26"/>
        </w:rPr>
      </w:pPr>
      <w:r>
        <w:rPr>
          <w:bCs/>
          <w:color w:val="000000"/>
          <w:szCs w:val="26"/>
        </w:rPr>
        <w:t xml:space="preserve">2.10.3 </w:t>
      </w:r>
      <w:r>
        <w:rPr>
          <w:bCs/>
          <w:color w:val="000000"/>
          <w:szCs w:val="26"/>
        </w:rPr>
        <w:t xml:space="preserve">  </w:t>
      </w:r>
      <w:r>
        <w:rPr>
          <w:bCs/>
          <w:color w:val="000000"/>
          <w:szCs w:val="26"/>
        </w:rPr>
        <w:t xml:space="preserve">Hematocrit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61-62</w:t>
      </w:r>
    </w:p>
    <w:p>
      <w:pPr>
        <w:pStyle w:val="style94"/>
        <w:spacing w:before="0" w:beforeAutospacing="false" w:after="0" w:afterAutospacing="false" w:lineRule="auto" w:line="480"/>
        <w:jc w:val="both"/>
        <w:rPr>
          <w:bCs/>
          <w:color w:val="000000"/>
          <w:szCs w:val="26"/>
        </w:rPr>
      </w:pPr>
      <w:r>
        <w:rPr>
          <w:bCs/>
          <w:color w:val="000000"/>
          <w:szCs w:val="26"/>
        </w:rPr>
        <w:t xml:space="preserve">2.10.4 </w:t>
      </w:r>
      <w:r>
        <w:rPr>
          <w:bCs/>
          <w:color w:val="000000"/>
          <w:szCs w:val="26"/>
        </w:rPr>
        <w:t xml:space="preserve">  </w:t>
      </w:r>
      <w:r>
        <w:rPr>
          <w:bCs/>
          <w:color w:val="000000"/>
          <w:szCs w:val="26"/>
        </w:rPr>
        <w:t xml:space="preserve">White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62-63</w:t>
      </w:r>
    </w:p>
    <w:p>
      <w:pPr>
        <w:pStyle w:val="style94"/>
        <w:spacing w:before="0" w:beforeAutospacing="false" w:after="0" w:afterAutospacing="false" w:lineRule="auto" w:line="480"/>
        <w:jc w:val="both"/>
        <w:rPr>
          <w:bCs/>
          <w:color w:val="000000"/>
          <w:szCs w:val="26"/>
        </w:rPr>
      </w:pPr>
      <w:r>
        <w:rPr>
          <w:bCs/>
          <w:color w:val="000000"/>
          <w:szCs w:val="26"/>
        </w:rPr>
        <w:t xml:space="preserve">2.10.5 </w:t>
      </w:r>
      <w:r>
        <w:rPr>
          <w:bCs/>
          <w:color w:val="000000"/>
          <w:szCs w:val="26"/>
        </w:rPr>
        <w:t xml:space="preserve">   </w:t>
      </w:r>
      <w:r>
        <w:rPr>
          <w:bCs/>
          <w:color w:val="000000"/>
          <w:szCs w:val="26"/>
        </w:rPr>
        <w:t xml:space="preserve">Platelet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63</w:t>
      </w:r>
    </w:p>
    <w:p>
      <w:pPr>
        <w:pStyle w:val="style94"/>
        <w:spacing w:before="0" w:beforeAutospacing="false" w:after="0" w:afterAutospacing="false" w:lineRule="auto" w:line="480"/>
        <w:jc w:val="both"/>
        <w:rPr>
          <w:bCs/>
          <w:color w:val="000000"/>
          <w:szCs w:val="26"/>
        </w:rPr>
      </w:pPr>
      <w:r>
        <w:rPr>
          <w:bCs/>
          <w:color w:val="000000"/>
          <w:szCs w:val="26"/>
        </w:rPr>
        <w:t xml:space="preserve">2.11 </w:t>
      </w:r>
      <w:r>
        <w:rPr>
          <w:bCs/>
          <w:color w:val="000000"/>
          <w:szCs w:val="26"/>
        </w:rPr>
        <w:t xml:space="preserve">    </w:t>
      </w:r>
      <w:r>
        <w:rPr>
          <w:bCs/>
          <w:color w:val="000000"/>
          <w:szCs w:val="26"/>
        </w:rPr>
        <w:t xml:space="preserve">Total protein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63-64</w:t>
      </w:r>
    </w:p>
    <w:p>
      <w:pPr>
        <w:pStyle w:val="style94"/>
        <w:spacing w:before="0" w:beforeAutospacing="false" w:after="0" w:afterAutospacing="false" w:lineRule="auto" w:line="480"/>
        <w:jc w:val="both"/>
        <w:rPr>
          <w:bCs/>
          <w:color w:val="000000"/>
          <w:szCs w:val="26"/>
        </w:rPr>
      </w:pPr>
      <w:r>
        <w:rPr>
          <w:bCs/>
          <w:color w:val="000000"/>
          <w:szCs w:val="26"/>
        </w:rPr>
        <w:t xml:space="preserve">2.11.1 </w:t>
      </w:r>
      <w:r>
        <w:rPr>
          <w:bCs/>
          <w:color w:val="000000"/>
          <w:szCs w:val="26"/>
        </w:rPr>
        <w:t xml:space="preserve">  </w:t>
      </w:r>
      <w:r>
        <w:rPr>
          <w:bCs/>
          <w:color w:val="000000"/>
          <w:szCs w:val="26"/>
        </w:rPr>
        <w:t xml:space="preserve">Liver function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64-65</w:t>
      </w:r>
    </w:p>
    <w:p>
      <w:pPr>
        <w:pStyle w:val="style94"/>
        <w:spacing w:before="0" w:beforeAutospacing="false" w:after="0" w:afterAutospacing="false" w:lineRule="auto" w:line="480"/>
        <w:jc w:val="both"/>
        <w:rPr>
          <w:bCs/>
          <w:color w:val="000000"/>
          <w:szCs w:val="26"/>
        </w:rPr>
      </w:pPr>
      <w:r>
        <w:rPr>
          <w:bCs/>
          <w:color w:val="000000"/>
          <w:szCs w:val="26"/>
        </w:rPr>
        <w:t xml:space="preserve">2.11.2 </w:t>
      </w:r>
      <w:r>
        <w:rPr>
          <w:bCs/>
          <w:color w:val="000000"/>
          <w:szCs w:val="26"/>
        </w:rPr>
        <w:t xml:space="preserve">  </w:t>
      </w:r>
      <w:r>
        <w:rPr>
          <w:bCs/>
          <w:color w:val="000000"/>
          <w:szCs w:val="26"/>
        </w:rPr>
        <w:t xml:space="preserve">Alanine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w:t>
      </w:r>
    </w:p>
    <w:p>
      <w:pPr>
        <w:pStyle w:val="style94"/>
        <w:spacing w:before="0" w:beforeAutospacing="false" w:after="0" w:afterAutospacing="false" w:lineRule="auto" w:line="480"/>
        <w:jc w:val="both"/>
        <w:rPr>
          <w:bCs/>
          <w:color w:val="000000"/>
          <w:szCs w:val="26"/>
        </w:rPr>
      </w:pPr>
      <w:r>
        <w:rPr>
          <w:bCs/>
          <w:color w:val="000000"/>
          <w:szCs w:val="26"/>
        </w:rPr>
        <w:t xml:space="preserve">2.11.3 </w:t>
      </w:r>
      <w:r>
        <w:rPr>
          <w:bCs/>
          <w:color w:val="000000"/>
          <w:szCs w:val="26"/>
        </w:rPr>
        <w:t xml:space="preserve">   </w:t>
      </w:r>
      <w:r>
        <w:rPr>
          <w:bCs/>
          <w:color w:val="000000"/>
          <w:szCs w:val="26"/>
        </w:rPr>
        <w:t xml:space="preserve">Aspartate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65-66</w:t>
      </w:r>
    </w:p>
    <w:p>
      <w:pPr>
        <w:pStyle w:val="style94"/>
        <w:spacing w:before="0" w:beforeAutospacing="false" w:after="0" w:afterAutospacing="false" w:lineRule="auto" w:line="480"/>
        <w:jc w:val="both"/>
        <w:rPr>
          <w:bCs/>
          <w:color w:val="000000"/>
          <w:szCs w:val="26"/>
        </w:rPr>
      </w:pPr>
      <w:r>
        <w:rPr>
          <w:bCs/>
          <w:color w:val="000000"/>
          <w:szCs w:val="26"/>
        </w:rPr>
        <w:t xml:space="preserve">2.11.4 </w:t>
      </w:r>
      <w:r>
        <w:rPr>
          <w:bCs/>
          <w:color w:val="000000"/>
          <w:szCs w:val="26"/>
        </w:rPr>
        <w:t xml:space="preserve">   </w:t>
      </w:r>
      <w:r>
        <w:rPr>
          <w:bCs/>
          <w:color w:val="000000"/>
          <w:szCs w:val="26"/>
        </w:rPr>
        <w:t xml:space="preserve">Alkaline phosphatase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66-67</w:t>
      </w:r>
    </w:p>
    <w:p>
      <w:pPr>
        <w:pStyle w:val="style94"/>
        <w:spacing w:before="0" w:beforeAutospacing="false" w:after="0" w:afterAutospacing="false" w:lineRule="auto" w:line="480"/>
        <w:jc w:val="both"/>
        <w:rPr>
          <w:bCs/>
          <w:color w:val="000000"/>
          <w:szCs w:val="26"/>
        </w:rPr>
      </w:pPr>
      <w:r>
        <w:rPr>
          <w:bCs/>
          <w:color w:val="000000"/>
          <w:szCs w:val="26"/>
        </w:rPr>
        <w:t xml:space="preserve">2.11.5 </w:t>
      </w:r>
      <w:r>
        <w:rPr>
          <w:bCs/>
          <w:color w:val="000000"/>
          <w:szCs w:val="26"/>
        </w:rPr>
        <w:t xml:space="preserve">   </w:t>
      </w:r>
      <w:r>
        <w:rPr>
          <w:bCs/>
          <w:color w:val="000000"/>
          <w:szCs w:val="26"/>
        </w:rPr>
        <w:t xml:space="preserve">Albumin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67</w:t>
      </w:r>
    </w:p>
    <w:p>
      <w:pPr>
        <w:pStyle w:val="style94"/>
        <w:spacing w:before="0" w:beforeAutospacing="false" w:after="0" w:afterAutospacing="false" w:lineRule="auto" w:line="480"/>
        <w:jc w:val="both"/>
        <w:rPr>
          <w:bCs/>
          <w:color w:val="000000"/>
          <w:szCs w:val="26"/>
        </w:rPr>
      </w:pPr>
      <w:r>
        <w:rPr>
          <w:bCs/>
          <w:color w:val="000000"/>
          <w:szCs w:val="26"/>
        </w:rPr>
        <w:t xml:space="preserve">2.11.6 </w:t>
      </w:r>
      <w:r>
        <w:rPr>
          <w:bCs/>
          <w:color w:val="000000"/>
          <w:szCs w:val="26"/>
        </w:rPr>
        <w:t xml:space="preserve">  </w:t>
      </w:r>
      <w:r>
        <w:rPr>
          <w:bCs/>
          <w:color w:val="000000"/>
          <w:szCs w:val="26"/>
        </w:rPr>
        <w:t xml:space="preserve">Bilirubin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68</w:t>
      </w:r>
    </w:p>
    <w:p>
      <w:pPr>
        <w:pStyle w:val="style94"/>
        <w:spacing w:before="0" w:beforeAutospacing="false" w:after="0" w:afterAutospacing="false" w:lineRule="auto" w:line="480"/>
        <w:jc w:val="both"/>
        <w:rPr>
          <w:bCs/>
          <w:color w:val="000000"/>
          <w:szCs w:val="26"/>
        </w:rPr>
      </w:pPr>
      <w:r>
        <w:rPr>
          <w:bCs/>
          <w:color w:val="000000"/>
          <w:szCs w:val="26"/>
        </w:rPr>
        <w:t xml:space="preserve">2.12 </w:t>
      </w:r>
      <w:r>
        <w:rPr>
          <w:bCs/>
          <w:color w:val="000000"/>
          <w:szCs w:val="26"/>
        </w:rPr>
        <w:t xml:space="preserve">   </w:t>
      </w:r>
      <w:r>
        <w:rPr>
          <w:bCs/>
          <w:color w:val="000000"/>
          <w:szCs w:val="26"/>
        </w:rPr>
        <w:t>Antioxidant and lipi</w:t>
      </w:r>
      <w:r>
        <w:rPr>
          <w:bCs/>
          <w:color w:val="000000"/>
          <w:szCs w:val="26"/>
        </w:rPr>
        <w:t xml:space="preserve">d peroxidation parameters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68-69</w:t>
      </w:r>
    </w:p>
    <w:p>
      <w:pPr>
        <w:pStyle w:val="style94"/>
        <w:spacing w:before="0" w:beforeAutospacing="false" w:after="0" w:afterAutospacing="false" w:lineRule="auto" w:line="480"/>
        <w:jc w:val="both"/>
        <w:rPr>
          <w:bCs/>
          <w:color w:val="000000"/>
          <w:szCs w:val="26"/>
        </w:rPr>
      </w:pPr>
      <w:r>
        <w:rPr>
          <w:bCs/>
          <w:color w:val="000000"/>
          <w:szCs w:val="26"/>
        </w:rPr>
        <w:t xml:space="preserve">2.12.1 </w:t>
      </w:r>
      <w:r>
        <w:rPr>
          <w:bCs/>
          <w:color w:val="000000"/>
          <w:szCs w:val="26"/>
        </w:rPr>
        <w:t xml:space="preserve">  </w:t>
      </w:r>
      <w:r>
        <w:rPr>
          <w:bCs/>
          <w:color w:val="000000"/>
          <w:szCs w:val="26"/>
        </w:rPr>
        <w:t xml:space="preserve">Superoxide dismutase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69</w:t>
      </w:r>
    </w:p>
    <w:p>
      <w:pPr>
        <w:pStyle w:val="style94"/>
        <w:spacing w:before="0" w:beforeAutospacing="false" w:after="0" w:afterAutospacing="false" w:lineRule="auto" w:line="480"/>
        <w:jc w:val="both"/>
        <w:rPr>
          <w:bCs/>
          <w:color w:val="000000"/>
          <w:szCs w:val="26"/>
        </w:rPr>
      </w:pPr>
      <w:r>
        <w:rPr>
          <w:bCs/>
          <w:color w:val="000000"/>
          <w:szCs w:val="26"/>
        </w:rPr>
        <w:t xml:space="preserve">2.12.2 </w:t>
      </w:r>
      <w:r>
        <w:rPr>
          <w:bCs/>
          <w:color w:val="000000"/>
          <w:szCs w:val="26"/>
        </w:rPr>
        <w:t xml:space="preserve">  </w:t>
      </w:r>
      <w:r>
        <w:rPr>
          <w:bCs/>
          <w:color w:val="000000"/>
          <w:szCs w:val="26"/>
        </w:rPr>
        <w:t xml:space="preserve">Catalase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70</w:t>
      </w:r>
    </w:p>
    <w:p>
      <w:pPr>
        <w:pStyle w:val="style94"/>
        <w:spacing w:before="0" w:beforeAutospacing="false" w:after="0" w:afterAutospacing="false" w:lineRule="auto" w:line="480"/>
        <w:jc w:val="both"/>
        <w:rPr>
          <w:bCs/>
          <w:color w:val="000000"/>
          <w:szCs w:val="26"/>
        </w:rPr>
      </w:pPr>
      <w:r>
        <w:rPr>
          <w:bCs/>
          <w:color w:val="000000"/>
          <w:szCs w:val="26"/>
        </w:rPr>
        <w:t xml:space="preserve">2.12.3 </w:t>
      </w:r>
      <w:r>
        <w:rPr>
          <w:bCs/>
          <w:color w:val="000000"/>
          <w:szCs w:val="26"/>
        </w:rPr>
        <w:t xml:space="preserve">  </w:t>
      </w:r>
      <w:r>
        <w:rPr>
          <w:bCs/>
          <w:color w:val="000000"/>
          <w:szCs w:val="26"/>
        </w:rPr>
        <w:t>G</w:t>
      </w:r>
      <w:r>
        <w:rPr>
          <w:bCs/>
          <w:color w:val="000000"/>
          <w:szCs w:val="26"/>
        </w:rPr>
        <w:t xml:space="preserve">lutathione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70</w:t>
      </w:r>
    </w:p>
    <w:p>
      <w:pPr>
        <w:pStyle w:val="style94"/>
        <w:spacing w:before="0" w:beforeAutospacing="false" w:after="0" w:afterAutospacing="false" w:lineRule="auto" w:line="480"/>
        <w:jc w:val="both"/>
        <w:rPr>
          <w:bCs/>
          <w:color w:val="000000"/>
          <w:szCs w:val="26"/>
        </w:rPr>
      </w:pPr>
      <w:r>
        <w:rPr>
          <w:bCs/>
          <w:color w:val="000000"/>
          <w:szCs w:val="26"/>
        </w:rPr>
        <w:t xml:space="preserve">2.12.4 </w:t>
      </w:r>
      <w:r>
        <w:rPr>
          <w:bCs/>
          <w:color w:val="000000"/>
          <w:szCs w:val="26"/>
        </w:rPr>
        <w:t xml:space="preserve">  </w:t>
      </w:r>
      <w:r>
        <w:rPr>
          <w:bCs/>
          <w:color w:val="000000"/>
          <w:szCs w:val="26"/>
        </w:rPr>
        <w:t>Glutathione peroxidase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71-72</w:t>
      </w:r>
    </w:p>
    <w:p>
      <w:pPr>
        <w:pStyle w:val="style94"/>
        <w:spacing w:before="0" w:beforeAutospacing="false" w:after="0" w:afterAutospacing="false" w:lineRule="auto" w:line="480"/>
        <w:jc w:val="both"/>
        <w:rPr>
          <w:bCs/>
          <w:color w:val="000000"/>
          <w:szCs w:val="26"/>
        </w:rPr>
      </w:pPr>
      <w:r>
        <w:rPr>
          <w:bCs/>
          <w:color w:val="000000"/>
          <w:szCs w:val="26"/>
        </w:rPr>
        <w:t xml:space="preserve">2.12.5 </w:t>
      </w:r>
      <w:r>
        <w:rPr>
          <w:bCs/>
          <w:color w:val="000000"/>
          <w:szCs w:val="26"/>
        </w:rPr>
        <w:t xml:space="preserve">  </w:t>
      </w:r>
      <w:r>
        <w:rPr>
          <w:bCs/>
          <w:color w:val="000000"/>
          <w:szCs w:val="26"/>
        </w:rPr>
        <w:t xml:space="preserve">Glutathione reductase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72</w:t>
      </w:r>
    </w:p>
    <w:p>
      <w:pPr>
        <w:pStyle w:val="style94"/>
        <w:spacing w:before="0" w:beforeAutospacing="false" w:after="0" w:afterAutospacing="false" w:lineRule="auto" w:line="480"/>
        <w:jc w:val="both"/>
        <w:rPr>
          <w:bCs/>
          <w:color w:val="000000"/>
          <w:szCs w:val="26"/>
        </w:rPr>
      </w:pPr>
      <w:r>
        <w:rPr>
          <w:bCs/>
          <w:color w:val="000000"/>
          <w:szCs w:val="26"/>
        </w:rPr>
        <w:t xml:space="preserve">2.12.7 </w:t>
      </w:r>
      <w:r>
        <w:rPr>
          <w:bCs/>
          <w:color w:val="000000"/>
          <w:szCs w:val="26"/>
        </w:rPr>
        <w:t xml:space="preserve">  </w:t>
      </w:r>
      <w:r>
        <w:rPr>
          <w:bCs/>
          <w:color w:val="000000"/>
          <w:szCs w:val="26"/>
        </w:rPr>
        <w:t>Malondialdehy</w:t>
      </w:r>
      <w:r>
        <w:rPr>
          <w:bCs/>
          <w:color w:val="000000"/>
          <w:szCs w:val="26"/>
        </w:rPr>
        <w:t xml:space="preserve">de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72</w:t>
      </w:r>
    </w:p>
    <w:p>
      <w:pPr>
        <w:pStyle w:val="style94"/>
        <w:spacing w:before="0" w:beforeAutospacing="false" w:after="0" w:afterAutospacing="false" w:lineRule="auto" w:line="480"/>
        <w:jc w:val="both"/>
        <w:rPr>
          <w:bCs/>
          <w:color w:val="000000"/>
          <w:szCs w:val="26"/>
        </w:rPr>
      </w:pPr>
      <w:r>
        <w:rPr>
          <w:bCs/>
          <w:color w:val="000000"/>
          <w:szCs w:val="26"/>
        </w:rPr>
        <w:t xml:space="preserve">2.12.8 </w:t>
      </w:r>
      <w:r>
        <w:rPr>
          <w:bCs/>
          <w:color w:val="000000"/>
          <w:szCs w:val="26"/>
        </w:rPr>
        <w:t xml:space="preserve">  </w:t>
      </w:r>
      <w:r>
        <w:rPr>
          <w:bCs/>
          <w:color w:val="000000"/>
          <w:szCs w:val="26"/>
        </w:rPr>
        <w:t xml:space="preserve">Mycloperoxidase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73</w:t>
      </w:r>
    </w:p>
    <w:p>
      <w:pPr>
        <w:pStyle w:val="style94"/>
        <w:spacing w:before="0" w:beforeAutospacing="false" w:after="0" w:afterAutospacing="false" w:lineRule="auto" w:line="360"/>
        <w:jc w:val="both"/>
        <w:rPr>
          <w:b/>
          <w:bCs/>
          <w:color w:val="000000"/>
          <w:szCs w:val="26"/>
        </w:rPr>
      </w:pPr>
      <w:r>
        <w:rPr>
          <w:b/>
          <w:bCs/>
          <w:color w:val="000000"/>
          <w:szCs w:val="26"/>
        </w:rPr>
        <w:t>CHAPTER THREE</w:t>
      </w:r>
    </w:p>
    <w:p>
      <w:pPr>
        <w:pStyle w:val="style94"/>
        <w:spacing w:after="0" w:lineRule="auto" w:line="360"/>
        <w:jc w:val="both"/>
        <w:rPr>
          <w:b/>
          <w:bCs/>
          <w:color w:val="000000"/>
          <w:szCs w:val="26"/>
        </w:rPr>
      </w:pPr>
      <w:r>
        <w:rPr>
          <w:b/>
          <w:bCs/>
          <w:color w:val="000000"/>
          <w:szCs w:val="26"/>
        </w:rPr>
        <w:t xml:space="preserve">3.0 </w:t>
      </w:r>
      <w:r>
        <w:rPr>
          <w:b/>
          <w:bCs/>
          <w:color w:val="000000"/>
          <w:szCs w:val="26"/>
        </w:rPr>
        <w:t xml:space="preserve">  MATERIALS AND METHOD</w:t>
      </w:r>
      <w:r>
        <w:rPr>
          <w:b/>
          <w:bCs/>
          <w:color w:val="000000"/>
          <w:szCs w:val="26"/>
        </w:rPr>
        <w:t>S</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 </w:t>
      </w:r>
      <w:r>
        <w:rPr>
          <w:bCs/>
          <w:color w:val="000000"/>
          <w:szCs w:val="26"/>
        </w:rPr>
        <w:t xml:space="preserve">  </w:t>
      </w:r>
      <w:r>
        <w:rPr>
          <w:bCs/>
          <w:color w:val="000000"/>
          <w:szCs w:val="26"/>
        </w:rPr>
        <w:t>Material</w:t>
      </w:r>
      <w:r>
        <w:rPr>
          <w:bCs/>
          <w:color w:val="000000"/>
          <w:szCs w:val="26"/>
        </w:rPr>
        <w: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3.1.1 </w:t>
      </w:r>
      <w:r>
        <w:rPr>
          <w:bCs/>
          <w:color w:val="000000"/>
          <w:szCs w:val="26"/>
        </w:rPr>
        <w:t xml:space="preserve">  </w:t>
      </w:r>
      <w:r>
        <w:rPr>
          <w:bCs/>
          <w:color w:val="000000"/>
          <w:szCs w:val="26"/>
        </w:rPr>
        <w:t>Plant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3.1.2 </w:t>
      </w:r>
      <w:r>
        <w:rPr>
          <w:bCs/>
          <w:color w:val="000000"/>
          <w:szCs w:val="26"/>
        </w:rPr>
        <w:t xml:space="preserve">  </w:t>
      </w:r>
      <w:r>
        <w:rPr>
          <w:bCs/>
          <w:color w:val="000000"/>
          <w:szCs w:val="26"/>
        </w:rPr>
        <w:t>Animal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w:t>
      </w:r>
    </w:p>
    <w:p>
      <w:pPr>
        <w:pStyle w:val="style94"/>
        <w:spacing w:after="0" w:lineRule="auto" w:line="360"/>
        <w:jc w:val="both"/>
        <w:rPr>
          <w:bCs/>
          <w:color w:val="000000"/>
          <w:szCs w:val="26"/>
        </w:rPr>
      </w:pPr>
      <w:r>
        <w:rPr>
          <w:bCs/>
          <w:color w:val="000000"/>
          <w:szCs w:val="26"/>
        </w:rPr>
        <w:t xml:space="preserve">3.1.3 </w:t>
      </w:r>
      <w:r>
        <w:rPr>
          <w:bCs/>
          <w:color w:val="000000"/>
          <w:szCs w:val="26"/>
        </w:rPr>
        <w:t xml:space="preserve">  </w:t>
      </w:r>
      <w:r>
        <w:rPr>
          <w:bCs/>
          <w:color w:val="000000"/>
          <w:szCs w:val="26"/>
        </w:rPr>
        <w:t xml:space="preserve">Chemicals and Reagents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75-76</w:t>
      </w:r>
    </w:p>
    <w:p>
      <w:pPr>
        <w:pStyle w:val="style94"/>
        <w:spacing w:after="0" w:lineRule="auto" w:line="360"/>
        <w:jc w:val="both"/>
        <w:rPr>
          <w:bCs/>
          <w:color w:val="000000"/>
          <w:szCs w:val="26"/>
        </w:rPr>
      </w:pPr>
      <w:r>
        <w:rPr>
          <w:bCs/>
          <w:color w:val="000000"/>
          <w:szCs w:val="26"/>
        </w:rPr>
        <w:t xml:space="preserve">3.2 </w:t>
      </w:r>
      <w:r>
        <w:rPr>
          <w:bCs/>
          <w:color w:val="000000"/>
          <w:szCs w:val="26"/>
        </w:rPr>
        <w:t xml:space="preserve">  </w:t>
      </w:r>
      <w:r>
        <w:rPr>
          <w:bCs/>
          <w:color w:val="000000"/>
          <w:szCs w:val="26"/>
        </w:rPr>
        <w:t>Method</w:t>
      </w:r>
      <w:r>
        <w:rPr>
          <w:bCs/>
          <w:color w:val="000000"/>
          <w:szCs w:val="26"/>
        </w:rPr>
        <w: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w:t>
      </w:r>
    </w:p>
    <w:p>
      <w:pPr>
        <w:pStyle w:val="style94"/>
        <w:spacing w:after="0" w:lineRule="auto" w:line="360"/>
        <w:jc w:val="both"/>
        <w:rPr>
          <w:bCs/>
          <w:color w:val="000000"/>
          <w:szCs w:val="26"/>
        </w:rPr>
      </w:pPr>
      <w:r>
        <w:rPr>
          <w:bCs/>
          <w:color w:val="000000"/>
          <w:szCs w:val="26"/>
        </w:rPr>
        <w:t>3.2</w:t>
      </w:r>
      <w:r>
        <w:rPr>
          <w:bCs/>
          <w:color w:val="000000"/>
          <w:szCs w:val="26"/>
        </w:rPr>
        <w:t>.</w:t>
      </w:r>
      <w:r>
        <w:rPr>
          <w:bCs/>
          <w:color w:val="000000"/>
          <w:szCs w:val="26"/>
        </w:rPr>
        <w:t xml:space="preserve">1 </w:t>
      </w:r>
      <w:r>
        <w:rPr>
          <w:bCs/>
          <w:color w:val="000000"/>
          <w:szCs w:val="26"/>
        </w:rPr>
        <w:t xml:space="preserve">  </w:t>
      </w:r>
      <w:r>
        <w:rPr>
          <w:bCs/>
          <w:color w:val="000000"/>
          <w:szCs w:val="26"/>
        </w:rPr>
        <w:t>Preparation of the Plant Extract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w:t>
      </w:r>
    </w:p>
    <w:p>
      <w:pPr>
        <w:pStyle w:val="style94"/>
        <w:spacing w:after="0" w:lineRule="auto" w:line="360"/>
        <w:jc w:val="both"/>
        <w:rPr>
          <w:bCs/>
          <w:color w:val="000000"/>
          <w:szCs w:val="26"/>
        </w:rPr>
      </w:pPr>
      <w:r>
        <w:rPr>
          <w:bCs/>
          <w:color w:val="000000"/>
          <w:szCs w:val="26"/>
        </w:rPr>
        <w:t>3.2.2   Determination of the weight of the Albino Rats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76-77</w:t>
      </w:r>
    </w:p>
    <w:p>
      <w:pPr>
        <w:pStyle w:val="style94"/>
        <w:spacing w:after="0" w:lineRule="auto" w:line="360"/>
        <w:jc w:val="both"/>
        <w:rPr>
          <w:bCs/>
          <w:color w:val="000000"/>
          <w:szCs w:val="26"/>
        </w:rPr>
      </w:pPr>
      <w:r>
        <w:rPr>
          <w:bCs/>
          <w:color w:val="000000"/>
          <w:szCs w:val="26"/>
        </w:rPr>
        <w:t>3.2.3</w:t>
      </w:r>
      <w:r>
        <w:rPr>
          <w:bCs/>
          <w:color w:val="000000"/>
          <w:szCs w:val="26"/>
        </w:rPr>
        <w:t xml:space="preserve"> </w:t>
      </w:r>
      <w:r>
        <w:rPr>
          <w:bCs/>
          <w:color w:val="000000"/>
          <w:szCs w:val="26"/>
        </w:rPr>
        <w:t xml:space="preserve">  </w:t>
      </w:r>
      <w:r>
        <w:rPr>
          <w:bCs/>
          <w:color w:val="000000"/>
          <w:szCs w:val="26"/>
        </w:rPr>
        <w:t>Qualitative and Quantitative Phytochemical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3.2.3</w:t>
      </w:r>
      <w:r>
        <w:rPr>
          <w:bCs/>
          <w:color w:val="000000"/>
          <w:szCs w:val="26"/>
        </w:rPr>
        <w:t xml:space="preserve">.1 </w:t>
      </w:r>
      <w:r>
        <w:rPr>
          <w:bCs/>
          <w:color w:val="000000"/>
          <w:szCs w:val="26"/>
        </w:rPr>
        <w:t xml:space="preserve">  </w:t>
      </w:r>
      <w:r>
        <w:rPr>
          <w:bCs/>
          <w:color w:val="000000"/>
          <w:szCs w:val="26"/>
        </w:rPr>
        <w:t>Determination of Sap</w:t>
      </w:r>
      <w:r>
        <w:rPr>
          <w:bCs/>
          <w:color w:val="000000"/>
          <w:szCs w:val="26"/>
        </w:rPr>
        <w:t>onin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13.2.3</w:t>
      </w:r>
      <w:r>
        <w:rPr>
          <w:bCs/>
          <w:color w:val="000000"/>
          <w:szCs w:val="26"/>
        </w:rPr>
        <w:t xml:space="preserve">.2 </w:t>
      </w:r>
      <w:r>
        <w:rPr>
          <w:bCs/>
          <w:color w:val="000000"/>
          <w:szCs w:val="26"/>
        </w:rPr>
        <w:t xml:space="preserve">  </w:t>
      </w:r>
      <w:r>
        <w:rPr>
          <w:bCs/>
          <w:color w:val="000000"/>
          <w:szCs w:val="26"/>
        </w:rPr>
        <w:t>Determination o</w:t>
      </w:r>
      <w:r>
        <w:rPr>
          <w:bCs/>
          <w:color w:val="000000"/>
          <w:szCs w:val="26"/>
        </w:rPr>
        <w:t>f Tannins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77</w:t>
      </w:r>
    </w:p>
    <w:p>
      <w:pPr>
        <w:pStyle w:val="style94"/>
        <w:spacing w:after="0" w:lineRule="auto" w:line="360"/>
        <w:jc w:val="both"/>
        <w:rPr>
          <w:bCs/>
          <w:color w:val="000000"/>
          <w:szCs w:val="26"/>
        </w:rPr>
      </w:pPr>
      <w:r>
        <w:rPr>
          <w:bCs/>
          <w:color w:val="000000"/>
          <w:szCs w:val="26"/>
        </w:rPr>
        <w:t>3.2.3</w:t>
      </w:r>
      <w:r>
        <w:rPr>
          <w:bCs/>
          <w:color w:val="000000"/>
          <w:szCs w:val="26"/>
        </w:rPr>
        <w:t xml:space="preserve">.3 </w:t>
      </w:r>
      <w:r>
        <w:rPr>
          <w:bCs/>
          <w:color w:val="000000"/>
          <w:szCs w:val="26"/>
        </w:rPr>
        <w:t xml:space="preserve">  </w:t>
      </w:r>
      <w:r>
        <w:rPr>
          <w:bCs/>
          <w:color w:val="000000"/>
          <w:szCs w:val="26"/>
        </w:rPr>
        <w:t>Determination of Flavonoids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3.2.3</w:t>
      </w:r>
      <w:r>
        <w:rPr>
          <w:bCs/>
          <w:color w:val="000000"/>
          <w:szCs w:val="26"/>
        </w:rPr>
        <w:t xml:space="preserve">.4 </w:t>
      </w:r>
      <w:r>
        <w:rPr>
          <w:bCs/>
          <w:color w:val="000000"/>
          <w:szCs w:val="26"/>
        </w:rPr>
        <w:t xml:space="preserve">  </w:t>
      </w:r>
      <w:r>
        <w:rPr>
          <w:bCs/>
          <w:color w:val="000000"/>
          <w:szCs w:val="26"/>
        </w:rPr>
        <w:t>Determination of Phenols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3.2.3</w:t>
      </w:r>
      <w:r>
        <w:rPr>
          <w:bCs/>
          <w:color w:val="000000"/>
          <w:szCs w:val="26"/>
        </w:rPr>
        <w:t xml:space="preserve">.5 </w:t>
      </w:r>
      <w:r>
        <w:rPr>
          <w:bCs/>
          <w:color w:val="000000"/>
          <w:szCs w:val="26"/>
        </w:rPr>
        <w:t xml:space="preserve">  </w:t>
      </w:r>
      <w:r>
        <w:rPr>
          <w:bCs/>
          <w:color w:val="000000"/>
          <w:szCs w:val="26"/>
        </w:rPr>
        <w:t>Determination of Glycosides.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3.2.4</w:t>
      </w:r>
      <w:r>
        <w:rPr>
          <w:bCs/>
          <w:color w:val="000000"/>
          <w:szCs w:val="26"/>
        </w:rPr>
        <w:t xml:space="preserve"> </w:t>
      </w:r>
      <w:r>
        <w:rPr>
          <w:bCs/>
          <w:color w:val="000000"/>
          <w:szCs w:val="26"/>
        </w:rPr>
        <w:t xml:space="preserve">    </w:t>
      </w:r>
      <w:r>
        <w:rPr>
          <w:bCs/>
          <w:color w:val="000000"/>
          <w:szCs w:val="26"/>
        </w:rPr>
        <w:t>Proximate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w:t>
      </w:r>
    </w:p>
    <w:p>
      <w:pPr>
        <w:pStyle w:val="style94"/>
        <w:spacing w:after="0" w:lineRule="auto" w:line="360"/>
        <w:jc w:val="both"/>
        <w:rPr>
          <w:bCs/>
          <w:color w:val="000000"/>
          <w:szCs w:val="26"/>
        </w:rPr>
      </w:pPr>
      <w:r>
        <w:rPr>
          <w:bCs/>
          <w:color w:val="000000"/>
          <w:szCs w:val="26"/>
        </w:rPr>
        <w:t>3.2.4</w:t>
      </w:r>
      <w:r>
        <w:rPr>
          <w:bCs/>
          <w:color w:val="000000"/>
          <w:szCs w:val="26"/>
        </w:rPr>
        <w:t xml:space="preserve">.1 </w:t>
      </w:r>
      <w:r>
        <w:rPr>
          <w:bCs/>
          <w:color w:val="000000"/>
          <w:szCs w:val="26"/>
        </w:rPr>
        <w:t xml:space="preserve">  </w:t>
      </w:r>
      <w:r>
        <w:rPr>
          <w:bCs/>
          <w:color w:val="000000"/>
          <w:szCs w:val="26"/>
        </w:rPr>
        <w:t>Determination of moisture Content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78-79</w:t>
      </w:r>
    </w:p>
    <w:p>
      <w:pPr>
        <w:pStyle w:val="style94"/>
        <w:spacing w:after="0" w:lineRule="auto" w:line="360"/>
        <w:jc w:val="both"/>
        <w:rPr>
          <w:bCs/>
          <w:color w:val="000000"/>
          <w:szCs w:val="26"/>
        </w:rPr>
      </w:pPr>
      <w:r>
        <w:rPr>
          <w:bCs/>
          <w:color w:val="000000"/>
          <w:szCs w:val="26"/>
        </w:rPr>
        <w:t>3.2.4</w:t>
      </w:r>
      <w:r>
        <w:rPr>
          <w:bCs/>
          <w:color w:val="000000"/>
          <w:szCs w:val="26"/>
        </w:rPr>
        <w:t xml:space="preserve">.2 </w:t>
      </w:r>
      <w:r>
        <w:rPr>
          <w:bCs/>
          <w:color w:val="000000"/>
          <w:szCs w:val="26"/>
        </w:rPr>
        <w:t xml:space="preserve">  </w:t>
      </w:r>
      <w:r>
        <w:rPr>
          <w:bCs/>
          <w:color w:val="000000"/>
          <w:szCs w:val="26"/>
        </w:rPr>
        <w:t>Determination of Crude Protein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79</w:t>
      </w:r>
    </w:p>
    <w:p>
      <w:pPr>
        <w:pStyle w:val="style94"/>
        <w:spacing w:after="0" w:lineRule="auto" w:line="360"/>
        <w:jc w:val="both"/>
        <w:rPr>
          <w:bCs/>
          <w:color w:val="000000"/>
          <w:szCs w:val="26"/>
        </w:rPr>
      </w:pPr>
      <w:r>
        <w:rPr>
          <w:bCs/>
          <w:color w:val="000000"/>
          <w:szCs w:val="26"/>
        </w:rPr>
        <w:t>3.2.4</w:t>
      </w:r>
      <w:r>
        <w:rPr>
          <w:bCs/>
          <w:color w:val="000000"/>
          <w:szCs w:val="26"/>
        </w:rPr>
        <w:t xml:space="preserve">.3 </w:t>
      </w:r>
      <w:r>
        <w:rPr>
          <w:bCs/>
          <w:color w:val="000000"/>
          <w:szCs w:val="26"/>
        </w:rPr>
        <w:t xml:space="preserve">  </w:t>
      </w:r>
      <w:r>
        <w:rPr>
          <w:bCs/>
          <w:color w:val="000000"/>
          <w:szCs w:val="26"/>
        </w:rPr>
        <w:t>Determination of Crude Ash.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80</w:t>
      </w:r>
    </w:p>
    <w:p>
      <w:pPr>
        <w:pStyle w:val="style94"/>
        <w:spacing w:after="0" w:lineRule="auto" w:line="360"/>
        <w:jc w:val="both"/>
        <w:rPr>
          <w:bCs/>
          <w:color w:val="000000"/>
          <w:szCs w:val="26"/>
        </w:rPr>
      </w:pPr>
      <w:r>
        <w:rPr>
          <w:bCs/>
          <w:color w:val="000000"/>
          <w:szCs w:val="26"/>
        </w:rPr>
        <w:t>3.2.4</w:t>
      </w:r>
      <w:r>
        <w:rPr>
          <w:bCs/>
          <w:color w:val="000000"/>
          <w:szCs w:val="26"/>
        </w:rPr>
        <w:t xml:space="preserve">.4 </w:t>
      </w:r>
      <w:r>
        <w:rPr>
          <w:bCs/>
          <w:color w:val="000000"/>
          <w:szCs w:val="26"/>
        </w:rPr>
        <w:t xml:space="preserve">  </w:t>
      </w:r>
      <w:r>
        <w:rPr>
          <w:bCs/>
          <w:color w:val="000000"/>
          <w:szCs w:val="26"/>
        </w:rPr>
        <w:t>Determination o</w:t>
      </w:r>
      <w:r>
        <w:rPr>
          <w:bCs/>
          <w:color w:val="000000"/>
          <w:szCs w:val="26"/>
        </w:rPr>
        <w:t>f Lipid</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81</w:t>
      </w:r>
    </w:p>
    <w:p>
      <w:pPr>
        <w:pStyle w:val="style94"/>
        <w:spacing w:after="0" w:lineRule="auto" w:line="360"/>
        <w:jc w:val="both"/>
        <w:rPr>
          <w:bCs/>
          <w:color w:val="000000"/>
          <w:szCs w:val="26"/>
        </w:rPr>
      </w:pPr>
      <w:r>
        <w:rPr>
          <w:bCs/>
          <w:color w:val="000000"/>
          <w:szCs w:val="26"/>
        </w:rPr>
        <w:t>3.2.</w:t>
      </w:r>
      <w:r>
        <w:rPr>
          <w:bCs/>
          <w:color w:val="000000"/>
          <w:szCs w:val="26"/>
        </w:rPr>
        <w:t>4</w:t>
      </w:r>
      <w:r>
        <w:rPr>
          <w:bCs/>
          <w:color w:val="000000"/>
          <w:szCs w:val="26"/>
        </w:rPr>
        <w:t xml:space="preserve">.5 </w:t>
      </w:r>
      <w:r>
        <w:rPr>
          <w:bCs/>
          <w:color w:val="000000"/>
          <w:szCs w:val="26"/>
        </w:rPr>
        <w:t xml:space="preserve">  </w:t>
      </w:r>
      <w:r>
        <w:rPr>
          <w:bCs/>
          <w:color w:val="000000"/>
          <w:szCs w:val="26"/>
        </w:rPr>
        <w:t>Determination o</w:t>
      </w:r>
      <w:r>
        <w:rPr>
          <w:bCs/>
          <w:color w:val="000000"/>
          <w:szCs w:val="26"/>
        </w:rPr>
        <w:t>f Fibre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81-82</w:t>
      </w:r>
    </w:p>
    <w:p>
      <w:pPr>
        <w:pStyle w:val="style94"/>
        <w:spacing w:after="0" w:lineRule="auto" w:line="360"/>
        <w:jc w:val="both"/>
        <w:rPr>
          <w:bCs/>
          <w:color w:val="000000"/>
          <w:szCs w:val="26"/>
        </w:rPr>
      </w:pPr>
      <w:r>
        <w:rPr>
          <w:bCs/>
          <w:color w:val="000000"/>
          <w:szCs w:val="26"/>
        </w:rPr>
        <w:t>3.2.5</w:t>
      </w:r>
      <w:r>
        <w:rPr>
          <w:bCs/>
          <w:color w:val="000000"/>
          <w:szCs w:val="26"/>
        </w:rPr>
        <w:t xml:space="preserve"> </w:t>
      </w:r>
      <w:r>
        <w:rPr>
          <w:bCs/>
          <w:color w:val="000000"/>
          <w:szCs w:val="26"/>
        </w:rPr>
        <w:t xml:space="preserve">   </w:t>
      </w:r>
      <w:r>
        <w:rPr>
          <w:bCs/>
          <w:color w:val="000000"/>
          <w:szCs w:val="26"/>
        </w:rPr>
        <w:t>Mineral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.1 </w:t>
      </w:r>
      <w:r>
        <w:rPr>
          <w:bCs/>
          <w:color w:val="000000"/>
          <w:szCs w:val="26"/>
        </w:rPr>
        <w:t xml:space="preserve">  </w:t>
      </w:r>
      <w:r>
        <w:rPr>
          <w:bCs/>
          <w:color w:val="000000"/>
          <w:szCs w:val="26"/>
        </w:rPr>
        <w:t>Calcuim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.2 </w:t>
      </w:r>
      <w:r>
        <w:rPr>
          <w:bCs/>
          <w:color w:val="000000"/>
          <w:szCs w:val="26"/>
        </w:rPr>
        <w:t xml:space="preserve">  </w:t>
      </w:r>
      <w:r>
        <w:rPr>
          <w:bCs/>
          <w:color w:val="000000"/>
          <w:szCs w:val="26"/>
        </w:rPr>
        <w:t>Sodium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.3 </w:t>
      </w:r>
      <w:r>
        <w:rPr>
          <w:bCs/>
          <w:color w:val="000000"/>
          <w:szCs w:val="26"/>
        </w:rPr>
        <w:t xml:space="preserve">  </w:t>
      </w:r>
      <w:r>
        <w:rPr>
          <w:bCs/>
          <w:color w:val="000000"/>
          <w:szCs w:val="26"/>
        </w:rPr>
        <w:t>Potassium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83</w:t>
      </w:r>
    </w:p>
    <w:p>
      <w:pPr>
        <w:pStyle w:val="style94"/>
        <w:spacing w:after="0" w:lineRule="auto" w:line="360"/>
        <w:jc w:val="both"/>
        <w:rPr>
          <w:bCs/>
          <w:color w:val="000000"/>
          <w:szCs w:val="26"/>
        </w:rPr>
      </w:pPr>
      <w:r>
        <w:rPr>
          <w:bCs/>
          <w:color w:val="000000"/>
          <w:szCs w:val="26"/>
        </w:rPr>
        <w:t>3.2.5</w:t>
      </w:r>
      <w:r>
        <w:rPr>
          <w:bCs/>
          <w:color w:val="000000"/>
          <w:szCs w:val="26"/>
        </w:rPr>
        <w:t xml:space="preserve">.4 </w:t>
      </w:r>
      <w:r>
        <w:rPr>
          <w:bCs/>
          <w:color w:val="000000"/>
          <w:szCs w:val="26"/>
        </w:rPr>
        <w:t xml:space="preserve">  </w:t>
      </w:r>
      <w:r>
        <w:rPr>
          <w:bCs/>
          <w:color w:val="000000"/>
          <w:szCs w:val="26"/>
        </w:rPr>
        <w:t>Phosphorus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84</w:t>
      </w:r>
    </w:p>
    <w:p>
      <w:pPr>
        <w:pStyle w:val="style94"/>
        <w:spacing w:after="0" w:lineRule="auto" w:line="360"/>
        <w:jc w:val="both"/>
        <w:rPr>
          <w:bCs/>
          <w:color w:val="000000"/>
          <w:szCs w:val="26"/>
        </w:rPr>
      </w:pPr>
      <w:r>
        <w:rPr>
          <w:bCs/>
          <w:color w:val="000000"/>
          <w:szCs w:val="26"/>
        </w:rPr>
        <w:t>3.2.5</w:t>
      </w:r>
      <w:r>
        <w:rPr>
          <w:bCs/>
          <w:color w:val="000000"/>
          <w:szCs w:val="26"/>
        </w:rPr>
        <w:t xml:space="preserve">.5 </w:t>
      </w:r>
      <w:r>
        <w:rPr>
          <w:bCs/>
          <w:color w:val="000000"/>
          <w:szCs w:val="26"/>
        </w:rPr>
        <w:t xml:space="preserve">  </w:t>
      </w:r>
      <w:r>
        <w:rPr>
          <w:bCs/>
          <w:color w:val="000000"/>
          <w:szCs w:val="26"/>
        </w:rPr>
        <w:t>Iron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84</w:t>
      </w:r>
    </w:p>
    <w:p>
      <w:pPr>
        <w:pStyle w:val="style94"/>
        <w:spacing w:after="0" w:lineRule="auto" w:line="360"/>
        <w:jc w:val="both"/>
        <w:rPr>
          <w:bCs/>
          <w:color w:val="000000"/>
          <w:szCs w:val="26"/>
        </w:rPr>
      </w:pPr>
      <w:r>
        <w:rPr>
          <w:bCs/>
          <w:color w:val="000000"/>
          <w:szCs w:val="26"/>
        </w:rPr>
        <w:t>3.2.5</w:t>
      </w:r>
      <w:r>
        <w:rPr>
          <w:bCs/>
          <w:color w:val="000000"/>
          <w:szCs w:val="26"/>
        </w:rPr>
        <w:t xml:space="preserve">.6 </w:t>
      </w:r>
      <w:r>
        <w:rPr>
          <w:bCs/>
          <w:color w:val="000000"/>
          <w:szCs w:val="26"/>
        </w:rPr>
        <w:t xml:space="preserve">  </w:t>
      </w:r>
      <w:r>
        <w:rPr>
          <w:bCs/>
          <w:color w:val="000000"/>
          <w:szCs w:val="26"/>
        </w:rPr>
        <w:t>Copper</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85</w:t>
      </w:r>
    </w:p>
    <w:p>
      <w:pPr>
        <w:pStyle w:val="style94"/>
        <w:spacing w:after="0" w:lineRule="auto" w:line="360"/>
        <w:jc w:val="both"/>
        <w:rPr>
          <w:bCs/>
          <w:color w:val="000000"/>
          <w:szCs w:val="26"/>
        </w:rPr>
      </w:pPr>
      <w:r>
        <w:rPr>
          <w:bCs/>
          <w:color w:val="000000"/>
          <w:szCs w:val="26"/>
        </w:rPr>
        <w:t>3.2.6</w:t>
      </w:r>
      <w:r>
        <w:rPr>
          <w:bCs/>
          <w:color w:val="000000"/>
          <w:szCs w:val="26"/>
        </w:rPr>
        <w:t xml:space="preserve"> </w:t>
      </w:r>
      <w:r>
        <w:rPr>
          <w:bCs/>
          <w:color w:val="000000"/>
          <w:szCs w:val="26"/>
        </w:rPr>
        <w:t xml:space="preserve">   </w:t>
      </w:r>
      <w:r>
        <w:rPr>
          <w:bCs/>
          <w:color w:val="000000"/>
          <w:szCs w:val="26"/>
        </w:rPr>
        <w:t>Determination of Antioxidant Properties.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.1 </w:t>
      </w:r>
      <w:r>
        <w:rPr>
          <w:bCs/>
          <w:color w:val="000000"/>
          <w:szCs w:val="26"/>
        </w:rPr>
        <w:t xml:space="preserve">  </w:t>
      </w:r>
      <w:r>
        <w:rPr>
          <w:bCs/>
          <w:color w:val="000000"/>
          <w:szCs w:val="26"/>
        </w:rPr>
        <w:t>Determination of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.2 </w:t>
      </w:r>
      <w:r>
        <w:rPr>
          <w:bCs/>
          <w:color w:val="000000"/>
          <w:szCs w:val="26"/>
        </w:rPr>
        <w:t xml:space="preserve">  </w:t>
      </w:r>
      <w:r>
        <w:rPr>
          <w:bCs/>
          <w:color w:val="000000"/>
          <w:szCs w:val="26"/>
        </w:rPr>
        <w:t>Determination of ABTS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86</w:t>
      </w:r>
    </w:p>
    <w:p>
      <w:pPr>
        <w:pStyle w:val="style94"/>
        <w:spacing w:after="0" w:lineRule="auto" w:line="360"/>
        <w:jc w:val="both"/>
        <w:rPr>
          <w:bCs/>
          <w:color w:val="000000"/>
          <w:szCs w:val="26"/>
        </w:rPr>
      </w:pPr>
      <w:r>
        <w:rPr>
          <w:bCs/>
          <w:color w:val="000000"/>
          <w:szCs w:val="26"/>
        </w:rPr>
        <w:t>3.2.6</w:t>
      </w:r>
      <w:r>
        <w:rPr>
          <w:bCs/>
          <w:color w:val="000000"/>
          <w:szCs w:val="26"/>
        </w:rPr>
        <w:t xml:space="preserve">.3 </w:t>
      </w:r>
      <w:r>
        <w:rPr>
          <w:bCs/>
          <w:color w:val="000000"/>
          <w:szCs w:val="26"/>
        </w:rPr>
        <w:t xml:space="preserve">  </w:t>
      </w:r>
      <w:r>
        <w:rPr>
          <w:bCs/>
          <w:color w:val="000000"/>
          <w:szCs w:val="26"/>
        </w:rPr>
        <w:t>Determination of TPC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87</w:t>
      </w:r>
    </w:p>
    <w:p>
      <w:pPr>
        <w:pStyle w:val="style94"/>
        <w:spacing w:after="0" w:lineRule="auto" w:line="360"/>
        <w:jc w:val="both"/>
        <w:rPr>
          <w:bCs/>
          <w:color w:val="000000"/>
          <w:szCs w:val="26"/>
        </w:rPr>
      </w:pPr>
      <w:r>
        <w:rPr>
          <w:bCs/>
          <w:color w:val="000000"/>
          <w:szCs w:val="26"/>
        </w:rPr>
        <w:t>3.2.6</w:t>
      </w:r>
      <w:r>
        <w:rPr>
          <w:bCs/>
          <w:color w:val="000000"/>
          <w:szCs w:val="26"/>
        </w:rPr>
        <w:t xml:space="preserve">.4 </w:t>
      </w:r>
      <w:r>
        <w:rPr>
          <w:bCs/>
          <w:color w:val="000000"/>
          <w:szCs w:val="26"/>
        </w:rPr>
        <w:t xml:space="preserve">  </w:t>
      </w:r>
      <w:r>
        <w:rPr>
          <w:bCs/>
          <w:color w:val="000000"/>
          <w:szCs w:val="26"/>
        </w:rPr>
        <w:t>Determination of TEC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88</w:t>
      </w:r>
    </w:p>
    <w:p>
      <w:pPr>
        <w:pStyle w:val="style94"/>
        <w:spacing w:after="0" w:lineRule="auto" w:line="360"/>
        <w:jc w:val="both"/>
        <w:rPr>
          <w:bCs/>
          <w:color w:val="000000"/>
          <w:szCs w:val="26"/>
        </w:rPr>
      </w:pPr>
      <w:r>
        <w:rPr>
          <w:bCs/>
          <w:color w:val="000000"/>
          <w:szCs w:val="26"/>
        </w:rPr>
        <w:t>3.2.6</w:t>
      </w:r>
      <w:r>
        <w:rPr>
          <w:bCs/>
          <w:color w:val="000000"/>
          <w:szCs w:val="26"/>
        </w:rPr>
        <w:t xml:space="preserve">.5 </w:t>
      </w:r>
      <w:r>
        <w:rPr>
          <w:bCs/>
          <w:color w:val="000000"/>
          <w:szCs w:val="26"/>
        </w:rPr>
        <w:t xml:space="preserve">  </w:t>
      </w:r>
      <w:r>
        <w:rPr>
          <w:bCs/>
          <w:color w:val="000000"/>
          <w:szCs w:val="26"/>
        </w:rPr>
        <w:t>Determination o</w:t>
      </w:r>
      <w:r>
        <w:rPr>
          <w:bCs/>
          <w:color w:val="000000"/>
          <w:szCs w:val="26"/>
        </w:rPr>
        <w:t>f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88-89</w:t>
      </w:r>
    </w:p>
    <w:p>
      <w:pPr>
        <w:pStyle w:val="style94"/>
        <w:spacing w:after="0" w:lineRule="auto" w:line="360"/>
        <w:jc w:val="both"/>
        <w:rPr>
          <w:bCs/>
          <w:color w:val="000000"/>
          <w:szCs w:val="26"/>
        </w:rPr>
      </w:pPr>
      <w:r>
        <w:rPr>
          <w:bCs/>
          <w:color w:val="000000"/>
          <w:szCs w:val="26"/>
        </w:rPr>
        <w:t xml:space="preserve">3.3 </w:t>
      </w:r>
      <w:r>
        <w:rPr>
          <w:bCs/>
          <w:color w:val="000000"/>
          <w:szCs w:val="26"/>
        </w:rPr>
        <w:t xml:space="preserve">      </w:t>
      </w:r>
      <w:r>
        <w:rPr>
          <w:bCs/>
          <w:color w:val="000000"/>
          <w:szCs w:val="26"/>
        </w:rPr>
        <w:t>Experi</w:t>
      </w:r>
      <w:r>
        <w:rPr>
          <w:bCs/>
          <w:color w:val="000000"/>
          <w:szCs w:val="26"/>
        </w:rPr>
        <w:t>ment Design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89</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3.4       Determination of Ulcerated Albino Rats</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90-91</w:t>
      </w:r>
    </w:p>
    <w:p>
      <w:pPr>
        <w:pStyle w:val="style0"/>
        <w:spacing w:lineRule="auto" w:line="480"/>
        <w:jc w:val="both"/>
        <w:rPr>
          <w:sz w:val="24"/>
          <w:szCs w:val="26"/>
        </w:rPr>
      </w:pPr>
      <w:r>
        <w:rPr>
          <w:sz w:val="24"/>
          <w:szCs w:val="26"/>
        </w:rPr>
        <w:t xml:space="preserve">3.5       Hematological of Albino Rats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91</w:t>
      </w:r>
    </w:p>
    <w:p>
      <w:pPr>
        <w:pStyle w:val="style94"/>
        <w:spacing w:after="0" w:lineRule="auto" w:line="360"/>
        <w:jc w:val="both"/>
        <w:rPr>
          <w:b/>
          <w:bCs/>
          <w:color w:val="000000"/>
          <w:szCs w:val="26"/>
        </w:rPr>
      </w:pPr>
      <w:r>
        <w:rPr>
          <w:b/>
          <w:bCs/>
          <w:color w:val="000000"/>
          <w:szCs w:val="26"/>
        </w:rPr>
        <w:t>CHAPTER FOUR</w:t>
      </w:r>
    </w:p>
    <w:p>
      <w:pPr>
        <w:pStyle w:val="style94"/>
        <w:spacing w:after="0" w:lineRule="auto" w:line="360"/>
        <w:jc w:val="both"/>
        <w:rPr>
          <w:b/>
          <w:bCs/>
          <w:color w:val="000000"/>
          <w:szCs w:val="26"/>
        </w:rPr>
      </w:pPr>
      <w:r>
        <w:rPr>
          <w:b/>
          <w:bCs/>
          <w:color w:val="000000"/>
          <w:szCs w:val="26"/>
        </w:rPr>
        <w:t>4.0 RESULT</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92</w:t>
      </w:r>
    </w:p>
    <w:p>
      <w:pPr>
        <w:pStyle w:val="style94"/>
        <w:spacing w:after="0" w:lineRule="auto" w:line="360"/>
        <w:jc w:val="both"/>
        <w:rPr>
          <w:bCs/>
          <w:szCs w:val="26"/>
        </w:rPr>
      </w:pPr>
      <w:r>
        <w:rPr>
          <w:bCs/>
          <w:color w:val="000000"/>
          <w:szCs w:val="26"/>
        </w:rPr>
        <w:t xml:space="preserve">4.1 </w:t>
      </w:r>
      <w:r>
        <w:rPr>
          <w:bCs/>
          <w:color w:val="000000"/>
          <w:szCs w:val="26"/>
        </w:rPr>
        <w:t xml:space="preserve">  </w:t>
      </w:r>
      <w:r>
        <w:rPr>
          <w:bCs/>
          <w:szCs w:val="26"/>
        </w:rPr>
        <w:t>Body Weight Gain in Experimental Animals</w:t>
      </w:r>
      <w:r>
        <w:rPr>
          <w:bCs/>
          <w:szCs w:val="26"/>
        </w:rPr>
        <w:tab/>
      </w:r>
      <w:r>
        <w:rPr>
          <w:bCs/>
          <w:szCs w:val="26"/>
        </w:rPr>
        <w:tab/>
      </w:r>
      <w:r>
        <w:rPr>
          <w:bCs/>
          <w:szCs w:val="26"/>
        </w:rPr>
        <w:tab/>
      </w:r>
      <w:r>
        <w:rPr>
          <w:bCs/>
          <w:szCs w:val="26"/>
        </w:rPr>
        <w:tab/>
      </w:r>
      <w:r>
        <w:rPr>
          <w:bCs/>
          <w:szCs w:val="26"/>
        </w:rPr>
        <w:tab/>
      </w:r>
      <w:r>
        <w:rPr>
          <w:bCs/>
          <w:szCs w:val="26"/>
        </w:rPr>
        <w:t>92</w:t>
      </w:r>
    </w:p>
    <w:p>
      <w:pPr>
        <w:pStyle w:val="style94"/>
        <w:spacing w:after="0" w:lineRule="auto" w:line="360"/>
        <w:jc w:val="both"/>
        <w:rPr>
          <w:bCs/>
          <w:color w:val="000000"/>
          <w:sz w:val="22"/>
        </w:rPr>
      </w:pPr>
      <w:r>
        <w:rPr>
          <w:bCs/>
          <w:szCs w:val="26"/>
        </w:rPr>
        <w:t xml:space="preserve">4.2 </w:t>
      </w:r>
      <w:r>
        <w:rPr>
          <w:bCs/>
          <w:szCs w:val="26"/>
        </w:rPr>
        <w:t xml:space="preserve">   </w:t>
      </w:r>
      <w:r>
        <w:rPr>
          <w:bCs/>
          <w:szCs w:val="26"/>
        </w:rPr>
        <w:t xml:space="preserve">Phytochemical Present in the Sample </w:t>
      </w:r>
      <w:r>
        <w:rPr>
          <w:bCs/>
          <w:szCs w:val="26"/>
        </w:rPr>
        <w:tab/>
      </w:r>
      <w:r>
        <w:rPr>
          <w:bCs/>
          <w:szCs w:val="26"/>
        </w:rPr>
        <w:tab/>
      </w:r>
      <w:r>
        <w:rPr>
          <w:bCs/>
          <w:szCs w:val="26"/>
        </w:rPr>
        <w:tab/>
      </w:r>
      <w:r>
        <w:rPr>
          <w:bCs/>
          <w:szCs w:val="26"/>
        </w:rPr>
        <w:tab/>
      </w:r>
      <w:r>
        <w:rPr>
          <w:bCs/>
          <w:szCs w:val="26"/>
        </w:rPr>
        <w:tab/>
      </w:r>
      <w:r>
        <w:rPr>
          <w:bCs/>
          <w:szCs w:val="26"/>
        </w:rPr>
        <w:tab/>
      </w:r>
      <w:r>
        <w:rPr>
          <w:bCs/>
          <w:szCs w:val="26"/>
        </w:rPr>
        <w:t>93-94</w:t>
      </w:r>
    </w:p>
    <w:p>
      <w:pPr>
        <w:pStyle w:val="style0"/>
        <w:spacing w:before="100" w:beforeAutospacing="true" w:after="0" w:lineRule="auto" w:line="360"/>
        <w:jc w:val="both"/>
        <w:rPr>
          <w:rFonts w:eastAsia="Times New Roman"/>
          <w:bCs/>
          <w:sz w:val="24"/>
          <w:szCs w:val="26"/>
        </w:rPr>
      </w:pPr>
      <w:r>
        <w:rPr>
          <w:rFonts w:eastAsia="Times New Roman"/>
          <w:bCs/>
          <w:sz w:val="24"/>
          <w:szCs w:val="26"/>
        </w:rPr>
        <w:t xml:space="preserve">4.3 </w:t>
      </w:r>
      <w:r>
        <w:rPr>
          <w:rFonts w:eastAsia="Times New Roman"/>
          <w:bCs/>
          <w:sz w:val="24"/>
          <w:szCs w:val="26"/>
        </w:rPr>
        <w:t xml:space="preserve">   </w:t>
      </w:r>
      <w:r>
        <w:rPr>
          <w:rFonts w:eastAsia="Times New Roman"/>
          <w:bCs/>
          <w:sz w:val="24"/>
          <w:szCs w:val="26"/>
        </w:rPr>
        <w:t xml:space="preserve">Proximate Analysis of </w:t>
      </w:r>
      <w:r>
        <w:rPr>
          <w:rFonts w:eastAsia="Times New Roman"/>
          <w:bCs/>
          <w:i/>
          <w:sz w:val="24"/>
          <w:szCs w:val="26"/>
        </w:rPr>
        <w:t>Sida Acuta</w:t>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sz w:val="24"/>
          <w:szCs w:val="26"/>
        </w:rPr>
        <w:t>95-97</w:t>
      </w:r>
    </w:p>
    <w:p>
      <w:pPr>
        <w:pStyle w:val="style0"/>
        <w:spacing w:lineRule="auto" w:line="360"/>
        <w:rPr>
          <w:rFonts w:eastAsia="Times New Roman"/>
          <w:bCs/>
          <w:iCs/>
          <w:sz w:val="24"/>
          <w:szCs w:val="26"/>
        </w:rPr>
      </w:pPr>
      <w:r>
        <w:rPr>
          <w:rFonts w:eastAsia="Times New Roman"/>
          <w:bCs/>
          <w:sz w:val="24"/>
          <w:szCs w:val="26"/>
        </w:rPr>
        <w:t xml:space="preserve">4.5.   Determination of Mineral contents of </w:t>
      </w:r>
      <w:r>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pPr>
        <w:pStyle w:val="style0"/>
        <w:spacing w:after="0" w:lineRule="auto" w:line="360"/>
        <w:jc w:val="both"/>
        <w:rPr>
          <w:rFonts w:eastAsia="Times New Roman"/>
          <w:bCs/>
          <w:color w:val="000000"/>
          <w:sz w:val="24"/>
          <w:szCs w:val="26"/>
        </w:rPr>
      </w:pPr>
      <w:r>
        <w:rPr>
          <w:rFonts w:eastAsia="Times New Roman"/>
          <w:bCs/>
          <w:color w:val="000000"/>
          <w:sz w:val="24"/>
          <w:szCs w:val="26"/>
        </w:rPr>
        <w:t>4.6</w:t>
      </w:r>
      <w:r>
        <w:rPr>
          <w:rFonts w:eastAsia="Times New Roman"/>
          <w:bCs/>
          <w:color w:val="000000"/>
          <w:sz w:val="24"/>
          <w:szCs w:val="26"/>
        </w:rPr>
        <w:t xml:space="preserve">    </w:t>
      </w:r>
      <w:r>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r>
      <w:r>
        <w:rPr>
          <w:sz w:val="22"/>
          <w:szCs w:val="24"/>
        </w:rPr>
        <w:t>99-115</w:t>
      </w:r>
    </w:p>
    <w:p>
      <w:pPr>
        <w:pStyle w:val="style0"/>
        <w:spacing w:before="100" w:beforeAutospacing="true" w:after="0" w:lineRule="auto" w:line="360"/>
        <w:jc w:val="both"/>
        <w:rPr>
          <w:rFonts w:eastAsia="Times New Roman"/>
          <w:bCs/>
          <w:sz w:val="24"/>
          <w:szCs w:val="26"/>
        </w:rPr>
      </w:pPr>
      <w:r>
        <w:rPr>
          <w:bCs/>
          <w:sz w:val="24"/>
          <w:szCs w:val="26"/>
        </w:rPr>
        <w:t>4.7</w:t>
      </w:r>
      <w:r>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 xml:space="preserve">        115-117</w:t>
      </w:r>
    </w:p>
    <w:p>
      <w:pPr>
        <w:pStyle w:val="style0"/>
        <w:spacing w:before="100" w:beforeAutospacing="true" w:after="0" w:lineRule="auto" w:line="360"/>
        <w:jc w:val="both"/>
        <w:rPr>
          <w:rFonts w:eastAsia="Times New Roman"/>
          <w:bCs/>
          <w:sz w:val="24"/>
          <w:szCs w:val="26"/>
        </w:rPr>
      </w:pPr>
      <w:r>
        <w:rPr>
          <w:rFonts w:eastAsia="Times New Roman"/>
          <w:bCs/>
          <w:sz w:val="24"/>
          <w:szCs w:val="26"/>
        </w:rPr>
        <w:t>4.8</w:t>
      </w:r>
      <w:r>
        <w:rPr>
          <w:rFonts w:eastAsia="Times New Roman"/>
          <w:bCs/>
          <w:sz w:val="24"/>
          <w:szCs w:val="26"/>
        </w:rPr>
        <w:t xml:space="preserve"> </w:t>
      </w:r>
      <w:r>
        <w:rPr>
          <w:rFonts w:eastAsia="Times New Roman"/>
          <w:bCs/>
          <w:sz w:val="24"/>
          <w:szCs w:val="26"/>
        </w:rPr>
        <w:t xml:space="preserve">  </w:t>
      </w:r>
      <w:r>
        <w:rPr>
          <w:rFonts w:eastAsia="Times New Roman"/>
          <w:bCs/>
          <w:sz w:val="24"/>
          <w:szCs w:val="26"/>
        </w:rPr>
        <w:t>Hematological Analysis of Rats blood samples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117-119</w:t>
      </w:r>
      <w:r>
        <w:rPr>
          <w:rFonts w:eastAsia="Times New Roman"/>
          <w:bCs/>
          <w:sz w:val="24"/>
          <w:szCs w:val="26"/>
        </w:rPr>
        <w:tab/>
      </w:r>
    </w:p>
    <w:p>
      <w:pPr>
        <w:pStyle w:val="style94"/>
        <w:spacing w:lineRule="auto" w:line="360"/>
        <w:rPr>
          <w:b/>
          <w:szCs w:val="26"/>
        </w:rPr>
      </w:pPr>
      <w:r>
        <w:rPr>
          <w:b/>
          <w:szCs w:val="26"/>
        </w:rPr>
        <w:t>CHAPTER FIVE</w:t>
      </w:r>
    </w:p>
    <w:p>
      <w:pPr>
        <w:pStyle w:val="style94"/>
        <w:spacing w:lineRule="auto" w:line="360"/>
        <w:rPr>
          <w:b/>
          <w:szCs w:val="26"/>
        </w:rPr>
      </w:pPr>
      <w:r>
        <w:rPr>
          <w:b/>
          <w:szCs w:val="26"/>
        </w:rPr>
        <w:t>5.0 DISCUSSION</w:t>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 xml:space="preserve">       </w:t>
      </w:r>
      <w:r>
        <w:rPr>
          <w:szCs w:val="26"/>
        </w:rPr>
        <w:t>120</w:t>
      </w:r>
    </w:p>
    <w:p>
      <w:pPr>
        <w:pStyle w:val="style94"/>
        <w:rPr>
          <w:szCs w:val="26"/>
        </w:rPr>
      </w:pPr>
      <w:r>
        <w:rPr>
          <w:szCs w:val="26"/>
        </w:rPr>
        <w:t xml:space="preserve">5.1 </w:t>
      </w:r>
      <w:r>
        <w:rPr>
          <w:szCs w:val="26"/>
        </w:rPr>
        <w:t xml:space="preserve">  </w:t>
      </w:r>
      <w:r>
        <w:rPr>
          <w:szCs w:val="26"/>
        </w:rPr>
        <w:t>Body Weight Gain in Experimental Animals</w:t>
      </w:r>
      <w:r>
        <w:rPr>
          <w:szCs w:val="26"/>
        </w:rPr>
        <w:tab/>
      </w:r>
      <w:r>
        <w:rPr>
          <w:szCs w:val="26"/>
        </w:rPr>
        <w:tab/>
      </w:r>
      <w:r>
        <w:rPr>
          <w:szCs w:val="26"/>
        </w:rPr>
        <w:tab/>
      </w:r>
      <w:r>
        <w:rPr>
          <w:szCs w:val="26"/>
        </w:rPr>
        <w:tab/>
      </w:r>
      <w:r>
        <w:rPr>
          <w:szCs w:val="26"/>
        </w:rPr>
        <w:t xml:space="preserve">       120-121</w:t>
      </w:r>
    </w:p>
    <w:p>
      <w:pPr>
        <w:pStyle w:val="style0"/>
        <w:spacing w:before="100" w:beforeAutospacing="true" w:after="100" w:afterAutospacing="true" w:lineRule="auto" w:line="240"/>
        <w:outlineLvl w:val="3"/>
        <w:rPr>
          <w:rFonts w:eastAsia="Times New Roman"/>
          <w:bCs/>
          <w:sz w:val="24"/>
          <w:szCs w:val="26"/>
        </w:rPr>
      </w:pPr>
      <w:r>
        <w:rPr>
          <w:rFonts w:eastAsia="Times New Roman"/>
          <w:bCs/>
          <w:sz w:val="24"/>
          <w:szCs w:val="26"/>
        </w:rPr>
        <w:t xml:space="preserve">5.2 </w:t>
      </w:r>
      <w:r>
        <w:rPr>
          <w:rFonts w:eastAsia="Times New Roman"/>
          <w:bCs/>
          <w:sz w:val="24"/>
          <w:szCs w:val="26"/>
        </w:rPr>
        <w:t xml:space="preserve">  </w:t>
      </w:r>
      <w:r>
        <w:rPr>
          <w:rFonts w:eastAsia="Times New Roman"/>
          <w:bCs/>
          <w:sz w:val="24"/>
          <w:szCs w:val="26"/>
        </w:rPr>
        <w:t xml:space="preserve">Phytochemical </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121-122</w:t>
      </w:r>
    </w:p>
    <w:p>
      <w:pPr>
        <w:pStyle w:val="style0"/>
        <w:spacing w:before="100" w:beforeAutospacing="true" w:after="100" w:afterAutospacing="true" w:lineRule="auto" w:line="240"/>
        <w:rPr>
          <w:rFonts w:eastAsia="Times New Roman"/>
          <w:sz w:val="24"/>
          <w:szCs w:val="26"/>
        </w:rPr>
      </w:pPr>
      <w:r>
        <w:rPr>
          <w:rFonts w:eastAsia="Times New Roman"/>
          <w:sz w:val="24"/>
          <w:szCs w:val="26"/>
        </w:rPr>
        <w:t xml:space="preserve">5.3 </w:t>
      </w:r>
      <w:r>
        <w:rPr>
          <w:rFonts w:eastAsia="Times New Roman"/>
          <w:sz w:val="24"/>
          <w:szCs w:val="26"/>
        </w:rPr>
        <w:t xml:space="preserve">  </w:t>
      </w:r>
      <w:r>
        <w:rPr>
          <w:rFonts w:eastAsia="Times New Roman"/>
          <w:sz w:val="24"/>
          <w:szCs w:val="26"/>
        </w:rPr>
        <w:t>Proximate Analysis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 xml:space="preserve">         123-124</w:t>
      </w:r>
    </w:p>
    <w:p>
      <w:pPr>
        <w:pStyle w:val="style0"/>
        <w:spacing w:before="100" w:beforeAutospacing="true" w:after="100" w:afterAutospacing="true" w:lineRule="auto" w:line="240"/>
        <w:outlineLvl w:val="3"/>
        <w:rPr>
          <w:rFonts w:eastAsia="Times New Roman"/>
          <w:bCs/>
          <w:sz w:val="24"/>
          <w:szCs w:val="26"/>
        </w:rPr>
      </w:pPr>
      <w:r>
        <w:rPr>
          <w:rFonts w:eastAsia="Times New Roman"/>
          <w:bCs/>
          <w:sz w:val="24"/>
          <w:szCs w:val="26"/>
        </w:rPr>
        <w:t xml:space="preserve">5.4 </w:t>
      </w:r>
      <w:r>
        <w:rPr>
          <w:rFonts w:eastAsia="Times New Roman"/>
          <w:bCs/>
          <w:sz w:val="24"/>
          <w:szCs w:val="26"/>
        </w:rPr>
        <w:t xml:space="preserve">  </w:t>
      </w:r>
      <w:r>
        <w:rPr>
          <w:rFonts w:eastAsia="Times New Roman"/>
          <w:bCs/>
          <w:sz w:val="24"/>
          <w:szCs w:val="26"/>
        </w:rPr>
        <w:t>Hematological Findings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 xml:space="preserve">         125-126</w:t>
      </w:r>
    </w:p>
    <w:p>
      <w:pPr>
        <w:pStyle w:val="style0"/>
        <w:spacing w:before="100" w:beforeAutospacing="true" w:after="100" w:afterAutospacing="true" w:lineRule="auto" w:line="240"/>
        <w:rPr>
          <w:rFonts w:eastAsia="Times New Roman"/>
          <w:sz w:val="24"/>
          <w:szCs w:val="26"/>
        </w:rPr>
      </w:pPr>
      <w:r>
        <w:rPr>
          <w:rFonts w:eastAsia="Times New Roman"/>
          <w:sz w:val="24"/>
          <w:szCs w:val="26"/>
        </w:rPr>
        <w:t xml:space="preserve">5.5 </w:t>
      </w:r>
      <w:r>
        <w:rPr>
          <w:rFonts w:eastAsia="Times New Roman"/>
          <w:sz w:val="24"/>
          <w:szCs w:val="26"/>
        </w:rPr>
        <w:t xml:space="preserve">  </w:t>
      </w:r>
      <w:r>
        <w:rPr>
          <w:rFonts w:eastAsia="Times New Roman"/>
          <w:sz w:val="24"/>
          <w:szCs w:val="26"/>
        </w:rPr>
        <w:t>Mineral Contents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 xml:space="preserve">         126</w:t>
      </w:r>
    </w:p>
    <w:p>
      <w:pPr>
        <w:pStyle w:val="style94"/>
        <w:rPr>
          <w:rStyle w:val="style87"/>
          <w:b w:val="false"/>
          <w:szCs w:val="26"/>
        </w:rPr>
      </w:pPr>
      <w:r>
        <w:rPr>
          <w:szCs w:val="26"/>
        </w:rPr>
        <w:t>5.6</w:t>
      </w:r>
      <w:r>
        <w:rPr>
          <w:b/>
          <w:szCs w:val="26"/>
        </w:rPr>
        <w:t xml:space="preserve"> </w:t>
      </w:r>
      <w:r>
        <w:rPr>
          <w:b/>
          <w:szCs w:val="26"/>
        </w:rPr>
        <w:t xml:space="preserve">  </w:t>
      </w:r>
      <w:r>
        <w:rPr>
          <w:rStyle w:val="style87"/>
          <w:b w:val="false"/>
          <w:szCs w:val="26"/>
        </w:rPr>
        <w:t>Ulcerated Area</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 xml:space="preserve">          126-127</w:t>
      </w:r>
    </w:p>
    <w:p>
      <w:pPr>
        <w:pStyle w:val="style94"/>
        <w:rPr>
          <w:rStyle w:val="style87"/>
          <w:b w:val="false"/>
          <w:szCs w:val="26"/>
        </w:rPr>
      </w:pPr>
      <w:r>
        <w:rPr>
          <w:rStyle w:val="style87"/>
          <w:b w:val="false"/>
          <w:szCs w:val="26"/>
        </w:rPr>
        <w:t xml:space="preserve">5.7 </w:t>
      </w:r>
      <w:r>
        <w:rPr>
          <w:rStyle w:val="style87"/>
          <w:b w:val="false"/>
          <w:szCs w:val="26"/>
        </w:rPr>
        <w:t xml:space="preserve">  </w:t>
      </w:r>
      <w:r>
        <w:rPr>
          <w:rStyle w:val="style87"/>
          <w:b w:val="false"/>
          <w:szCs w:val="26"/>
        </w:rPr>
        <w:t>Stomach Area</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127</w:t>
      </w:r>
    </w:p>
    <w:p>
      <w:pPr>
        <w:pStyle w:val="style94"/>
        <w:rPr>
          <w:rStyle w:val="style87"/>
          <w:b w:val="false"/>
          <w:szCs w:val="26"/>
        </w:rPr>
      </w:pPr>
      <w:r>
        <w:rPr>
          <w:rStyle w:val="style87"/>
          <w:b w:val="false"/>
          <w:szCs w:val="26"/>
        </w:rPr>
        <w:t xml:space="preserve">5.8 </w:t>
      </w:r>
      <w:r>
        <w:rPr>
          <w:rStyle w:val="style87"/>
          <w:b w:val="false"/>
          <w:szCs w:val="26"/>
        </w:rPr>
        <w:t xml:space="preserve">  </w:t>
      </w:r>
      <w:r>
        <w:rPr>
          <w:rStyle w:val="style87"/>
          <w:b w:val="false"/>
          <w:szCs w:val="26"/>
        </w:rPr>
        <w:t>Total Tannin Content</w:t>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ab/>
      </w:r>
      <w:r>
        <w:rPr>
          <w:rStyle w:val="style87"/>
          <w:b w:val="false"/>
          <w:szCs w:val="26"/>
        </w:rPr>
        <w:t>128</w:t>
      </w:r>
    </w:p>
    <w:p>
      <w:pPr>
        <w:pStyle w:val="style94"/>
        <w:rPr>
          <w:sz w:val="22"/>
        </w:rPr>
      </w:pPr>
      <w:r>
        <w:rPr>
          <w:sz w:val="22"/>
        </w:rPr>
        <w:t>CONCLUSION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129</w:t>
      </w:r>
    </w:p>
    <w:p>
      <w:pPr>
        <w:pStyle w:val="style94"/>
        <w:jc w:val="both"/>
        <w:rPr>
          <w:szCs w:val="26"/>
        </w:rPr>
      </w:pPr>
      <w:r>
        <w:rPr>
          <w:szCs w:val="26"/>
        </w:rPr>
        <w:t xml:space="preserve">RECOMMENDATION </w:t>
      </w:r>
      <w:r>
        <w:rPr>
          <w:rStyle w:val="style87"/>
          <w:b w:val="false"/>
          <w:bCs w:val="false"/>
          <w:sz w:val="22"/>
        </w:rPr>
        <w:t>FUTURE RESEARCHERS</w:t>
      </w:r>
      <w:r>
        <w:rPr>
          <w:rStyle w:val="style87"/>
          <w:b w:val="false"/>
          <w:bCs w:val="false"/>
          <w:sz w:val="22"/>
        </w:rPr>
        <w:tab/>
      </w:r>
      <w:r>
        <w:rPr>
          <w:rStyle w:val="style87"/>
          <w:b w:val="false"/>
          <w:bCs w:val="false"/>
          <w:sz w:val="22"/>
        </w:rPr>
        <w:tab/>
      </w:r>
      <w:r>
        <w:rPr>
          <w:rStyle w:val="style87"/>
          <w:b w:val="false"/>
          <w:bCs w:val="false"/>
          <w:sz w:val="22"/>
        </w:rPr>
        <w:tab/>
      </w:r>
      <w:r>
        <w:rPr>
          <w:rStyle w:val="style87"/>
          <w:b w:val="false"/>
          <w:bCs w:val="false"/>
          <w:sz w:val="22"/>
        </w:rPr>
        <w:tab/>
      </w:r>
      <w:r>
        <w:rPr>
          <w:rStyle w:val="style87"/>
          <w:b w:val="false"/>
          <w:bCs w:val="false"/>
          <w:sz w:val="22"/>
        </w:rPr>
        <w:t xml:space="preserve">          130-131</w:t>
      </w:r>
    </w:p>
    <w:p>
      <w:pPr>
        <w:pStyle w:val="style94"/>
        <w:jc w:val="both"/>
        <w:rPr>
          <w:szCs w:val="26"/>
        </w:rPr>
      </w:pPr>
      <w:r>
        <w:rPr>
          <w:color w:val="000000"/>
          <w:szCs w:val="26"/>
        </w:rPr>
        <w:t>REFERENCE</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 xml:space="preserve">          132-149</w:t>
      </w:r>
    </w:p>
    <w:p>
      <w:pPr>
        <w:pStyle w:val="style94"/>
        <w:rPr>
          <w:b/>
          <w:sz w:val="22"/>
        </w:rPr>
      </w:pPr>
      <w:r>
        <w:rPr>
          <w:sz w:val="22"/>
        </w:rPr>
        <w:t>APPENDIX</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 xml:space="preserve">            150-153</w:t>
      </w:r>
    </w:p>
    <w:p>
      <w:pPr>
        <w:pStyle w:val="style0"/>
        <w:spacing w:after="0" w:lineRule="auto" w:line="480"/>
        <w:rPr>
          <w:bCs/>
          <w:color w:val="000000"/>
          <w:sz w:val="24"/>
          <w:szCs w:val="26"/>
        </w:rPr>
      </w:pPr>
      <w:r>
        <w:rPr>
          <w:bCs/>
          <w:color w:val="000000"/>
          <w:sz w:val="24"/>
          <w:szCs w:val="26"/>
        </w:rPr>
        <w:t>MATERIAL USED</w:t>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 xml:space="preserve">          </w:t>
      </w:r>
      <w:r>
        <w:rPr>
          <w:bCs/>
          <w:color w:val="000000"/>
          <w:sz w:val="24"/>
          <w:szCs w:val="26"/>
        </w:rPr>
        <w:t>154-161</w:t>
      </w: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p>
    <w:p>
      <w:pPr>
        <w:pStyle w:val="style0"/>
        <w:spacing w:after="0" w:lineRule="auto" w:line="480"/>
        <w:jc w:val="center"/>
        <w:rPr>
          <w:b/>
          <w:bCs/>
          <w:color w:val="000000"/>
          <w:sz w:val="24"/>
          <w:szCs w:val="26"/>
        </w:rPr>
      </w:pPr>
      <w:r>
        <w:rPr>
          <w:b/>
          <w:bCs/>
          <w:color w:val="000000"/>
          <w:sz w:val="24"/>
          <w:szCs w:val="26"/>
        </w:rPr>
        <w:t>ABSTRACT</w:t>
      </w:r>
    </w:p>
    <w:p>
      <w:pPr>
        <w:pStyle w:val="style0"/>
        <w:spacing w:before="100" w:beforeAutospacing="true" w:after="100" w:afterAutospacing="true" w:lineRule="auto" w:line="360"/>
        <w:jc w:val="both"/>
        <w:rPr>
          <w:rFonts w:eastAsia="Times New Roman"/>
          <w:i/>
          <w:sz w:val="24"/>
          <w:szCs w:val="24"/>
        </w:rPr>
      </w:pPr>
      <w:r>
        <w:rPr>
          <w:rFonts w:eastAsia="Times New Roman"/>
          <w:i/>
          <w:sz w:val="24"/>
          <w:szCs w:val="24"/>
        </w:rPr>
        <w:t xml:space="preserve">This study investigates the ameliorative effects of </w:t>
      </w:r>
      <w:r>
        <w:rPr>
          <w:rFonts w:eastAsia="Times New Roman"/>
          <w:i/>
          <w:iCs/>
          <w:sz w:val="24"/>
          <w:szCs w:val="24"/>
        </w:rPr>
        <w:t>Sida acuta</w:t>
      </w:r>
      <w:r>
        <w:rPr>
          <w:rFonts w:eastAsia="Times New Roman"/>
          <w:i/>
          <w:sz w:val="24"/>
          <w:szCs w:val="24"/>
        </w:rPr>
        <w:t xml:space="preserve"> on indomethacin-induced ulcerogenic rats, focusing on its antiulcerogenic potential and underlying mechanisms. Ethanol extracts of </w:t>
      </w:r>
      <w:r>
        <w:rPr>
          <w:rFonts w:eastAsia="Times New Roman"/>
          <w:i/>
          <w:iCs/>
          <w:sz w:val="24"/>
          <w:szCs w:val="24"/>
        </w:rPr>
        <w:t>Sida acuta</w:t>
      </w:r>
      <w:r>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Pr>
          <w:rFonts w:eastAsia="Times New Roman"/>
          <w:i/>
          <w:iCs/>
          <w:sz w:val="24"/>
          <w:szCs w:val="24"/>
        </w:rPr>
        <w:t>Sida acuta</w:t>
      </w:r>
      <w:r>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Pr>
          <w:rFonts w:eastAsia="Times New Roman"/>
          <w:i/>
          <w:iCs/>
          <w:sz w:val="24"/>
          <w:szCs w:val="24"/>
        </w:rPr>
        <w:t>Sida acuta</w:t>
      </w:r>
      <w:r>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Pr>
          <w:rFonts w:eastAsia="Times New Roman"/>
          <w:i/>
          <w:iCs/>
          <w:sz w:val="24"/>
          <w:szCs w:val="24"/>
        </w:rPr>
        <w:t>Sida acuta</w:t>
      </w:r>
      <w:r>
        <w:rPr>
          <w:rFonts w:eastAsia="Times New Roman"/>
          <w:i/>
          <w:sz w:val="24"/>
          <w:szCs w:val="24"/>
        </w:rPr>
        <w:t xml:space="preserve"> and underscore its nutritional and pharmacological significance in treating gastrointestinal disorders.</w:t>
      </w:r>
    </w:p>
    <w:p>
      <w:pPr>
        <w:pStyle w:val="style0"/>
        <w:spacing w:after="0" w:lineRule="auto" w:line="480"/>
        <w:rPr>
          <w:b/>
          <w:bCs/>
          <w:color w:val="000000"/>
          <w:sz w:val="26"/>
          <w:szCs w:val="26"/>
        </w:rPr>
      </w:pPr>
    </w:p>
    <w:p>
      <w:pPr>
        <w:pStyle w:val="style0"/>
        <w:spacing w:after="0" w:lineRule="auto" w:line="480"/>
        <w:jc w:val="center"/>
        <w:rPr>
          <w:b/>
          <w:bCs/>
          <w:color w:val="000000"/>
          <w:sz w:val="26"/>
          <w:szCs w:val="26"/>
        </w:rPr>
        <w:sectPr>
          <w:footerReference w:type="default" r:id="rId3"/>
          <w:pgSz w:w="11520" w:h="14400" w:orient="portrait"/>
          <w:pgMar w:top="1440" w:right="1440" w:bottom="1440" w:left="1440" w:header="720" w:footer="720" w:gutter="0"/>
          <w:pgNumType w:fmt="lowerRoman"/>
          <w:cols w:space="720"/>
          <w:titlePg/>
          <w:docGrid w:linePitch="381"/>
        </w:sectPr>
      </w:pPr>
    </w:p>
    <w:p>
      <w:pPr>
        <w:pStyle w:val="style0"/>
        <w:spacing w:after="0" w:lineRule="auto" w:line="480"/>
        <w:jc w:val="center"/>
        <w:rPr>
          <w:b/>
          <w:bCs/>
          <w:color w:val="000000"/>
          <w:sz w:val="24"/>
          <w:szCs w:val="26"/>
        </w:rPr>
      </w:pPr>
      <w:r>
        <w:rPr>
          <w:b/>
          <w:bCs/>
          <w:color w:val="000000"/>
          <w:sz w:val="24"/>
          <w:szCs w:val="26"/>
        </w:rPr>
        <w:t>CHAPTER ONE</w:t>
      </w:r>
    </w:p>
    <w:p>
      <w:pPr>
        <w:pStyle w:val="style0"/>
        <w:spacing w:after="0" w:lineRule="auto" w:line="480"/>
        <w:rPr>
          <w:b/>
          <w:bCs/>
          <w:color w:val="000000"/>
          <w:sz w:val="24"/>
          <w:szCs w:val="26"/>
        </w:rPr>
      </w:pPr>
      <w:r>
        <w:rPr>
          <w:b/>
          <w:bCs/>
          <w:color w:val="000000"/>
          <w:sz w:val="24"/>
          <w:szCs w:val="26"/>
        </w:rPr>
        <w:t xml:space="preserve">1.0 </w:t>
      </w:r>
      <w:r>
        <w:rPr>
          <w:b/>
          <w:bCs/>
          <w:color w:val="000000"/>
          <w:sz w:val="24"/>
          <w:szCs w:val="26"/>
        </w:rPr>
        <w:t xml:space="preserve">INTRODUCTION </w:t>
      </w:r>
    </w:p>
    <w:p>
      <w:pPr>
        <w:pStyle w:val="style0"/>
        <w:spacing w:after="0" w:lineRule="auto" w:line="480"/>
        <w:jc w:val="both"/>
        <w:rPr>
          <w:b/>
          <w:bCs/>
          <w:color w:val="000000"/>
          <w:sz w:val="24"/>
          <w:szCs w:val="26"/>
        </w:rPr>
      </w:pPr>
      <w:r>
        <w:rPr>
          <w:b/>
          <w:bCs/>
          <w:color w:val="000000"/>
          <w:sz w:val="24"/>
          <w:szCs w:val="26"/>
        </w:rPr>
        <w:t xml:space="preserve">1.1 </w:t>
      </w:r>
      <w:r>
        <w:rPr>
          <w:b/>
          <w:bCs/>
          <w:color w:val="000000"/>
          <w:sz w:val="24"/>
          <w:szCs w:val="26"/>
        </w:rPr>
        <w:t xml:space="preserve">  </w:t>
      </w:r>
      <w:r>
        <w:rPr>
          <w:b/>
          <w:bCs/>
          <w:color w:val="000000"/>
          <w:sz w:val="24"/>
          <w:szCs w:val="26"/>
        </w:rPr>
        <w:t>Background of the Study</w:t>
      </w:r>
    </w:p>
    <w:p>
      <w:pPr>
        <w:pStyle w:val="style0"/>
        <w:spacing w:after="0" w:lineRule="auto" w:line="480"/>
        <w:ind w:firstLine="720"/>
        <w:jc w:val="both"/>
        <w:rPr>
          <w:color w:val="000000"/>
          <w:sz w:val="24"/>
          <w:szCs w:val="26"/>
        </w:rPr>
      </w:pPr>
      <w:r>
        <w:rPr>
          <w:color w:val="000000"/>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pPr>
        <w:pStyle w:val="style0"/>
        <w:spacing w:after="0" w:lineRule="auto" w:line="480"/>
        <w:ind w:firstLine="720"/>
        <w:jc w:val="both"/>
        <w:rPr>
          <w:color w:val="000000"/>
          <w:sz w:val="24"/>
          <w:szCs w:val="26"/>
        </w:rPr>
      </w:pPr>
      <w:r>
        <w:rPr>
          <w:i/>
          <w:color w:val="000000"/>
          <w:sz w:val="24"/>
          <w:szCs w:val="26"/>
        </w:rPr>
        <w:t>Sida acuta</w:t>
      </w:r>
      <w:r>
        <w:rPr>
          <w:color w:val="000000"/>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Pr>
          <w:color w:val="000000"/>
          <w:sz w:val="24"/>
          <w:szCs w:val="26"/>
          <w:shd w:val="clear" w:color="auto" w:fill="ffffff"/>
        </w:rPr>
        <w:t xml:space="preserve">Mohideen </w:t>
      </w:r>
      <w:r>
        <w:rPr>
          <w:i/>
          <w:iCs/>
          <w:color w:val="000000"/>
          <w:sz w:val="24"/>
          <w:szCs w:val="26"/>
          <w:shd w:val="clear" w:color="auto" w:fill="ffffff"/>
        </w:rPr>
        <w:t>et al</w:t>
      </w:r>
      <w:r>
        <w:rPr>
          <w:color w:val="000000"/>
          <w:sz w:val="24"/>
          <w:szCs w:val="26"/>
          <w:shd w:val="clear" w:color="auto" w:fill="ffffff"/>
        </w:rPr>
        <w:t>., 2002)</w:t>
      </w:r>
      <w:r>
        <w:rPr>
          <w:color w:val="000000"/>
          <w:sz w:val="24"/>
          <w:szCs w:val="26"/>
        </w:rPr>
        <w:t xml:space="preserve">. For thousands of years, plants and herbs have been a tremendous source of food and medicine. Various parts of </w:t>
      </w:r>
      <w:r>
        <w:rPr>
          <w:i/>
          <w:color w:val="000000"/>
          <w:sz w:val="24"/>
          <w:szCs w:val="26"/>
        </w:rPr>
        <w:t>Sida acuta</w:t>
      </w:r>
      <w:r>
        <w:rPr>
          <w:color w:val="000000"/>
          <w:sz w:val="24"/>
          <w:szCs w:val="26"/>
        </w:rPr>
        <w:t xml:space="preserve"> have been reported in many studies to be used by indigenous people from tropical countries to manage some health problems: rheumatic affections, azoospermia, oligospermia and spermatorrhea, leucorrhoea, wounds, sciatica, </w:t>
      </w:r>
      <w:r>
        <w:rPr>
          <w:color w:val="000000"/>
          <w:sz w:val="24"/>
          <w:szCs w:val="26"/>
        </w:rPr>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 xml:space="preserve">). </w:t>
      </w:r>
      <w:r>
        <w:rPr>
          <w:i/>
          <w:color w:val="000000"/>
          <w:sz w:val="24"/>
          <w:szCs w:val="26"/>
        </w:rPr>
        <w:t>Sida acuta</w:t>
      </w:r>
      <w:r>
        <w:rPr>
          <w:color w:val="000000"/>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w:t>
      </w:r>
    </w:p>
    <w:p>
      <w:pPr>
        <w:pStyle w:val="style0"/>
        <w:spacing w:after="0" w:lineRule="auto" w:line="480"/>
        <w:ind w:firstLine="720"/>
        <w:jc w:val="both"/>
        <w:rPr>
          <w:color w:val="000000"/>
          <w:sz w:val="24"/>
          <w:szCs w:val="26"/>
          <w:shd w:val="clear" w:color="auto" w:fill="ffffff"/>
        </w:rPr>
      </w:pPr>
      <w:r>
        <w:rPr>
          <w:i/>
          <w:color w:val="000000"/>
          <w:sz w:val="24"/>
          <w:szCs w:val="26"/>
        </w:rPr>
        <w:t>Sida acuta</w:t>
      </w:r>
      <w:r>
        <w:rPr>
          <w:color w:val="000000"/>
          <w:sz w:val="24"/>
          <w:szCs w:val="26"/>
        </w:rPr>
        <w:t xml:space="preserve"> otherwise known as broom weed is a shrub belonging to Malvaceae family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The plant is widely distributed in the subtropical regions and has many traditional usages that varied from one region to another (</w:t>
      </w:r>
      <w:r>
        <w:rPr>
          <w:color w:val="000000"/>
          <w:sz w:val="24"/>
          <w:szCs w:val="26"/>
          <w:shd w:val="clear" w:color="auto" w:fill="ffffff"/>
        </w:rPr>
        <w:t xml:space="preserve">Karou </w:t>
      </w:r>
      <w:r>
        <w:rPr>
          <w:i/>
          <w:iCs/>
          <w:color w:val="000000"/>
          <w:sz w:val="24"/>
          <w:szCs w:val="26"/>
          <w:shd w:val="clear" w:color="auto" w:fill="ffffff"/>
        </w:rPr>
        <w:t>et al</w:t>
      </w:r>
      <w:r>
        <w:rPr>
          <w:color w:val="000000"/>
          <w:sz w:val="24"/>
          <w:szCs w:val="26"/>
          <w:shd w:val="clear" w:color="auto" w:fill="ffffff"/>
        </w:rPr>
        <w:t>., 2007</w:t>
      </w:r>
      <w:r>
        <w:rPr>
          <w:color w:val="000000"/>
          <w:sz w:val="24"/>
          <w:szCs w:val="26"/>
        </w:rPr>
        <w:t>). All the plant parts exert various pharmacological properties which include antiplasmodial, antimicrobial, antioxidant and cytotoxic activities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 In Nigeria, </w:t>
      </w:r>
      <w:r>
        <w:rPr>
          <w:i/>
          <w:color w:val="000000"/>
          <w:sz w:val="24"/>
          <w:szCs w:val="26"/>
        </w:rPr>
        <w:t>Sida acuta</w:t>
      </w:r>
      <w:r>
        <w:rPr>
          <w:color w:val="000000"/>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Pr>
          <w:color w:val="000000"/>
          <w:sz w:val="24"/>
          <w:szCs w:val="26"/>
        </w:rPr>
        <w:t>haemorrhage (</w:t>
      </w:r>
      <w:r>
        <w:rPr>
          <w:color w:val="000000"/>
          <w:sz w:val="24"/>
          <w:szCs w:val="26"/>
          <w:shd w:val="clear" w:color="auto" w:fill="ffffff"/>
        </w:rPr>
        <w:t xml:space="preserve">Kayode, 2006). </w:t>
      </w:r>
      <w:r>
        <w:rPr>
          <w:color w:val="000000"/>
          <w:sz w:val="24"/>
          <w:szCs w:val="26"/>
        </w:rPr>
        <w:t xml:space="preserve">Different plant part of </w:t>
      </w:r>
      <w:r>
        <w:rPr>
          <w:i/>
          <w:color w:val="000000"/>
          <w:sz w:val="24"/>
          <w:szCs w:val="26"/>
        </w:rPr>
        <w:t>Sida acuta</w:t>
      </w:r>
      <w:r>
        <w:rPr>
          <w:color w:val="000000"/>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Pr>
          <w:i/>
          <w:color w:val="000000"/>
          <w:sz w:val="24"/>
          <w:szCs w:val="26"/>
        </w:rPr>
        <w:t>Sida acuta</w:t>
      </w:r>
      <w:r>
        <w:rPr>
          <w:color w:val="000000"/>
          <w:sz w:val="24"/>
          <w:szCs w:val="26"/>
        </w:rPr>
        <w:t>’s traditional importance, pharmacological properties, and chemical constituents.</w:t>
      </w:r>
    </w:p>
    <w:p>
      <w:pPr>
        <w:pStyle w:val="style0"/>
        <w:spacing w:after="0" w:lineRule="auto" w:line="480"/>
        <w:jc w:val="both"/>
        <w:rPr>
          <w:color w:val="000000"/>
          <w:sz w:val="24"/>
          <w:szCs w:val="26"/>
        </w:rPr>
      </w:pPr>
      <w:r>
        <w:rPr>
          <w:noProof/>
          <w:color w:val="000000"/>
          <w:sz w:val="24"/>
          <w:szCs w:val="26"/>
        </w:rPr>
        <w:drawing>
          <wp:inline distL="0" distT="0" distB="0" distR="0">
            <wp:extent cx="4648200" cy="3343275"/>
            <wp:effectExtent l="0" t="0" r="0" b="9525"/>
            <wp:docPr id="1027" name="Picture 2" descr="IMG-20250614-WA00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4648200" cy="334327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1: </w:t>
      </w:r>
      <w:r>
        <w:rPr>
          <w:b/>
          <w:i/>
          <w:color w:val="000000"/>
          <w:sz w:val="24"/>
          <w:szCs w:val="26"/>
        </w:rPr>
        <w:t>Sida acuta</w:t>
      </w:r>
      <w:r>
        <w:rPr>
          <w:b/>
          <w:color w:val="000000"/>
          <w:sz w:val="24"/>
          <w:szCs w:val="26"/>
        </w:rPr>
        <w:t xml:space="preserve"> plant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shd w:val="clear" w:color="auto" w:fill="ffffff"/>
        </w:rPr>
        <w:t>Srinivasan and Murali, (2022)</w:t>
      </w:r>
      <w:r>
        <w:rPr>
          <w:color w:val="000000"/>
          <w:sz w:val="24"/>
          <w:szCs w:val="26"/>
          <w:shd w:val="clear" w:color="auto" w:fill="ffffff"/>
        </w:rPr>
        <w:t>.</w:t>
      </w:r>
    </w:p>
    <w:p>
      <w:pPr>
        <w:pStyle w:val="style0"/>
        <w:spacing w:after="0" w:lineRule="auto" w:line="480"/>
        <w:ind w:firstLine="720"/>
        <w:jc w:val="both"/>
        <w:rPr>
          <w:color w:val="000000"/>
          <w:sz w:val="24"/>
          <w:szCs w:val="26"/>
        </w:rPr>
      </w:pPr>
      <w:r>
        <w:rPr>
          <w:color w:val="000000"/>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Pr>
          <w:color w:val="000000"/>
          <w:sz w:val="24"/>
          <w:szCs w:val="26"/>
        </w:rPr>
        <w:t xml:space="preserve">their potential to prevent or treat various diseases. The medicinal plant </w:t>
      </w:r>
      <w:r>
        <w:rPr>
          <w:i/>
          <w:color w:val="000000"/>
          <w:sz w:val="24"/>
          <w:szCs w:val="26"/>
        </w:rPr>
        <w:t>Sida acuta</w:t>
      </w:r>
      <w:r>
        <w:rPr>
          <w:color w:val="000000"/>
          <w:sz w:val="24"/>
          <w:szCs w:val="26"/>
        </w:rPr>
        <w:t xml:space="preserve"> consists of a variety of phytocompounds and the chemical structures are shown in Figure 2. An analysis of ethanol extracts from </w:t>
      </w:r>
      <w:r>
        <w:rPr>
          <w:i/>
          <w:color w:val="000000"/>
          <w:sz w:val="24"/>
          <w:szCs w:val="26"/>
        </w:rPr>
        <w:t>Sida acuta</w:t>
      </w:r>
      <w:r>
        <w:rPr>
          <w:color w:val="000000"/>
          <w:sz w:val="24"/>
          <w:szCs w:val="26"/>
        </w:rPr>
        <w:t xml:space="preserve"> leaves revealed the presence of alkaloids, flavonoids, steroids, tannins, terpenoids, and cardiac glycosides (Adeniyi </w:t>
      </w:r>
      <w:r>
        <w:rPr>
          <w:i/>
          <w:iCs/>
          <w:color w:val="000000"/>
          <w:sz w:val="24"/>
          <w:szCs w:val="26"/>
        </w:rPr>
        <w:t>et al</w:t>
      </w:r>
      <w:r>
        <w:rPr>
          <w:color w:val="000000"/>
          <w:sz w:val="24"/>
          <w:szCs w:val="26"/>
        </w:rPr>
        <w:t xml:space="preserve">., 2010). Vitamins and minerals present in </w:t>
      </w:r>
      <w:r>
        <w:rPr>
          <w:i/>
          <w:color w:val="000000"/>
          <w:sz w:val="24"/>
          <w:szCs w:val="26"/>
        </w:rPr>
        <w:t>Sida acuta</w:t>
      </w:r>
      <w:r>
        <w:rPr>
          <w:color w:val="000000"/>
          <w:sz w:val="24"/>
          <w:szCs w:val="26"/>
        </w:rPr>
        <w:t xml:space="preserve"> leaves include ascorbic acid, niacin, thiamine, riboflavin, and β-carotene, as well as calcium, iron, phosphorus, sodium, and magnesium (Raimi </w:t>
      </w:r>
      <w:r>
        <w:rPr>
          <w:i/>
          <w:iCs/>
          <w:color w:val="000000"/>
          <w:sz w:val="24"/>
          <w:szCs w:val="26"/>
        </w:rPr>
        <w:t>et al</w:t>
      </w:r>
      <w:r>
        <w:rPr>
          <w:color w:val="000000"/>
          <w:sz w:val="24"/>
          <w:szCs w:val="26"/>
        </w:rPr>
        <w:t xml:space="preserve">., 2014). </w:t>
      </w:r>
    </w:p>
    <w:p>
      <w:pPr>
        <w:pStyle w:val="style94"/>
        <w:spacing w:after="0" w:afterAutospacing="false" w:lineRule="auto" w:line="480"/>
        <w:ind w:firstLine="420"/>
        <w:jc w:val="both"/>
        <w:rPr>
          <w:color w:val="000000"/>
          <w:szCs w:val="26"/>
        </w:rPr>
      </w:pPr>
      <w:r>
        <w:rPr>
          <w:color w:val="000000"/>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Pr>
          <w:i/>
          <w:iCs/>
          <w:color w:val="000000"/>
          <w:szCs w:val="26"/>
        </w:rPr>
        <w:t>et al</w:t>
      </w:r>
      <w:r>
        <w:rPr>
          <w:color w:val="000000"/>
          <w:szCs w:val="26"/>
        </w:rPr>
        <w:t xml:space="preserve">., 2020). The condition affects millions worldwide, leading to significant morbidity and economic burdens. Common causes of gastric ulcers include </w:t>
      </w:r>
      <w:r>
        <w:rPr>
          <w:i/>
          <w:color w:val="000000"/>
          <w:szCs w:val="26"/>
        </w:rPr>
        <w:t xml:space="preserve">Helicobacter pylori </w:t>
      </w:r>
      <w:r>
        <w:rPr>
          <w:color w:val="000000"/>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Pr>
          <w:i/>
          <w:iCs/>
          <w:color w:val="000000"/>
          <w:szCs w:val="26"/>
        </w:rPr>
        <w:t>et al</w:t>
      </w:r>
      <w:r>
        <w:rPr>
          <w:color w:val="000000"/>
          <w:szCs w:val="26"/>
        </w:rPr>
        <w:t xml:space="preserve">., 2017). However, their long-term use is associated with several side effects, including increased risk of fractures, kidney disease, and microbial imbalances (Moayyedi </w:t>
      </w:r>
      <w:r>
        <w:rPr>
          <w:i/>
          <w:iCs/>
          <w:color w:val="000000"/>
          <w:szCs w:val="26"/>
        </w:rPr>
        <w:t>et al</w:t>
      </w:r>
      <w:r>
        <w:rPr>
          <w:color w:val="000000"/>
          <w:szCs w:val="26"/>
        </w:rPr>
        <w:t xml:space="preserve">., 2019). </w:t>
      </w:r>
    </w:p>
    <w:p>
      <w:pPr>
        <w:pStyle w:val="style94"/>
        <w:spacing w:after="0" w:afterAutospacing="false" w:lineRule="auto" w:line="480"/>
        <w:ind w:firstLine="420"/>
        <w:jc w:val="both"/>
        <w:rPr>
          <w:color w:val="000000"/>
          <w:szCs w:val="26"/>
        </w:rPr>
      </w:pPr>
      <w:r>
        <w:rPr>
          <w:color w:val="000000"/>
          <w:szCs w:val="26"/>
        </w:rPr>
        <w:t xml:space="preserve">As a result, there is growing interest in exploring alternative and complementary medicines, particularly plant-based remedies, which have been traditionally used for ulcer </w:t>
      </w:r>
      <w:r>
        <w:rPr>
          <w:color w:val="000000"/>
          <w:szCs w:val="26"/>
        </w:rPr>
        <w:t xml:space="preserve">treatment with minimal side effects. </w:t>
      </w:r>
      <w:r>
        <w:rPr>
          <w:i/>
          <w:color w:val="000000"/>
          <w:szCs w:val="26"/>
        </w:rPr>
        <w:t>Sida acuta</w:t>
      </w:r>
      <w:r>
        <w:rPr>
          <w:color w:val="000000"/>
          <w:szCs w:val="26"/>
        </w:rPr>
        <w:t xml:space="preserve"> (Malvaceae) is a widely distributed medicinal plant recognized for its pharmacological properties, including antimicrobial, antioxidant, anti-inflammatory, and antiulcer activities (Ekwealor </w:t>
      </w:r>
      <w:r>
        <w:rPr>
          <w:i/>
          <w:iCs/>
          <w:color w:val="000000"/>
          <w:szCs w:val="26"/>
        </w:rPr>
        <w:t>et al</w:t>
      </w:r>
      <w:r>
        <w:rPr>
          <w:color w:val="000000"/>
          <w:szCs w:val="26"/>
        </w:rPr>
        <w:t xml:space="preserve">., 2020). Indigenous communities in tropical regions have used </w:t>
      </w:r>
      <w:r>
        <w:rPr>
          <w:rStyle w:val="style88"/>
          <w:color w:val="000000"/>
          <w:szCs w:val="26"/>
        </w:rPr>
        <w:t>Sida acuta</w:t>
      </w:r>
      <w:r>
        <w:rPr>
          <w:color w:val="000000"/>
          <w:szCs w:val="26"/>
        </w:rPr>
        <w:t xml:space="preserve"> for treating various ailments, including ulcers, fever, malaria, wounds, and gastrointestinal disorders (Tcheghebe </w:t>
      </w:r>
      <w:r>
        <w:rPr>
          <w:i/>
          <w:iCs/>
          <w:color w:val="000000"/>
          <w:szCs w:val="26"/>
        </w:rPr>
        <w:t>et al</w:t>
      </w:r>
      <w:r>
        <w:rPr>
          <w:color w:val="000000"/>
          <w:szCs w:val="26"/>
        </w:rPr>
        <w:t xml:space="preserve">., 2017). Given its rich phytochemical composition, including alkaloids, flavonoids, tannins, and phenolic compounds, </w:t>
      </w:r>
      <w:r>
        <w:rPr>
          <w:rStyle w:val="style88"/>
          <w:color w:val="000000"/>
          <w:szCs w:val="26"/>
        </w:rPr>
        <w:t>Sida acuta</w:t>
      </w:r>
      <w:r>
        <w:rPr>
          <w:color w:val="000000"/>
          <w:szCs w:val="26"/>
        </w:rPr>
        <w:t xml:space="preserve"> exhibits promising bioactivities that could be beneficial in ulcer treatment (Adeniyi </w:t>
      </w:r>
      <w:r>
        <w:rPr>
          <w:i/>
          <w:iCs/>
          <w:color w:val="000000"/>
          <w:szCs w:val="26"/>
        </w:rPr>
        <w:t>et al</w:t>
      </w:r>
      <w:r>
        <w:rPr>
          <w:color w:val="000000"/>
          <w:szCs w:val="26"/>
        </w:rPr>
        <w:t xml:space="preserve">., 2010). </w:t>
      </w:r>
    </w:p>
    <w:p>
      <w:pPr>
        <w:pStyle w:val="style94"/>
        <w:spacing w:after="0" w:afterAutospacing="false" w:lineRule="auto" w:line="480"/>
        <w:ind w:firstLine="720"/>
        <w:jc w:val="both"/>
        <w:rPr>
          <w:color w:val="000000"/>
          <w:szCs w:val="26"/>
        </w:rPr>
      </w:pPr>
      <w:r>
        <w:rPr>
          <w:color w:val="000000"/>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Pr>
          <w:i/>
          <w:iCs/>
          <w:color w:val="000000"/>
          <w:szCs w:val="26"/>
        </w:rPr>
        <w:t>et al</w:t>
      </w:r>
      <w:r>
        <w:rPr>
          <w:color w:val="000000"/>
          <w:szCs w:val="26"/>
        </w:rPr>
        <w:t xml:space="preserve">., 2017). </w:t>
      </w:r>
    </w:p>
    <w:p>
      <w:pPr>
        <w:pStyle w:val="style94"/>
        <w:spacing w:after="0" w:afterAutospacing="false" w:lineRule="auto" w:line="480"/>
        <w:ind w:firstLine="720"/>
        <w:jc w:val="both"/>
        <w:rPr>
          <w:color w:val="000000"/>
          <w:szCs w:val="26"/>
        </w:rPr>
      </w:pPr>
      <w:r>
        <w:rPr>
          <w:color w:val="000000"/>
          <w:szCs w:val="26"/>
        </w:rPr>
        <w:t xml:space="preserve">Medicinal plants have been widely explored as potential antiulcer agents due to their natural bioactive compounds that offer gastroprotective effects (Balogun </w:t>
      </w:r>
      <w:r>
        <w:rPr>
          <w:i/>
          <w:iCs/>
          <w:color w:val="000000"/>
          <w:szCs w:val="26"/>
        </w:rPr>
        <w:t>et al</w:t>
      </w:r>
      <w:r>
        <w:rPr>
          <w:color w:val="000000"/>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Pr>
          <w:color w:val="000000"/>
          <w:szCs w:val="26"/>
        </w:rPr>
        <w:t xml:space="preserve">acid secretion, promoting mucus production, and improving gastric tissue repair (Jaiswal </w:t>
      </w:r>
      <w:r>
        <w:rPr>
          <w:i/>
          <w:iCs/>
          <w:color w:val="000000"/>
          <w:szCs w:val="26"/>
        </w:rPr>
        <w:t>et al</w:t>
      </w:r>
      <w:r>
        <w:rPr>
          <w:color w:val="000000"/>
          <w:szCs w:val="26"/>
        </w:rPr>
        <w:t xml:space="preserve">., 2016). </w:t>
      </w:r>
    </w:p>
    <w:p>
      <w:pPr>
        <w:pStyle w:val="style94"/>
        <w:spacing w:after="0" w:afterAutospacing="false" w:lineRule="auto" w:line="480"/>
        <w:ind w:firstLine="720"/>
        <w:jc w:val="both"/>
        <w:rPr>
          <w:color w:val="000000"/>
          <w:szCs w:val="26"/>
        </w:rPr>
      </w:pPr>
      <w:r>
        <w:rPr>
          <w:rStyle w:val="style88"/>
          <w:color w:val="000000"/>
          <w:szCs w:val="26"/>
        </w:rPr>
        <w:t>Sida acuta</w:t>
      </w:r>
      <w:r>
        <w:rPr>
          <w:color w:val="000000"/>
          <w:szCs w:val="26"/>
        </w:rPr>
        <w:t xml:space="preserve"> has been reported to possess multiple pharmacological activities, including antimicrobial, anti-inflammatory, hepatoprotective, hypoglycemic, and antioxidant effects (Karou </w:t>
      </w:r>
      <w:r>
        <w:rPr>
          <w:i/>
          <w:iCs/>
          <w:color w:val="000000"/>
          <w:szCs w:val="26"/>
        </w:rPr>
        <w:t>et al</w:t>
      </w:r>
      <w:r>
        <w:rPr>
          <w:color w:val="000000"/>
          <w:szCs w:val="26"/>
        </w:rPr>
        <w:t xml:space="preserve">., 2007). The plant’s traditional use in treating ulcers is supported by scientific evidence demonstrating its gastroprotective and healing potential (Ekwealor </w:t>
      </w:r>
      <w:r>
        <w:rPr>
          <w:i/>
          <w:iCs/>
          <w:color w:val="000000"/>
          <w:szCs w:val="26"/>
        </w:rPr>
        <w:t>et al</w:t>
      </w:r>
      <w:r>
        <w:rPr>
          <w:color w:val="000000"/>
          <w:szCs w:val="26"/>
        </w:rPr>
        <w:t xml:space="preserve">., 2020). Studies indicate that </w:t>
      </w:r>
      <w:r>
        <w:rPr>
          <w:rStyle w:val="style88"/>
          <w:color w:val="000000"/>
          <w:szCs w:val="26"/>
        </w:rPr>
        <w:t>Sida acuta</w:t>
      </w:r>
      <w:r>
        <w:rPr>
          <w:color w:val="000000"/>
          <w:szCs w:val="26"/>
        </w:rPr>
        <w:t xml:space="preserve"> contains significant levels of flavonoids, tannins, saponins, and other phytochemicals known for their antiulcer activity (Tcheghebe </w:t>
      </w:r>
      <w:r>
        <w:rPr>
          <w:i/>
          <w:iCs/>
          <w:color w:val="000000"/>
          <w:szCs w:val="26"/>
        </w:rPr>
        <w:t>et al</w:t>
      </w:r>
      <w:r>
        <w:rPr>
          <w:color w:val="000000"/>
          <w:szCs w:val="26"/>
        </w:rPr>
        <w:t xml:space="preserve">., 2017). Phytochemical analysis of </w:t>
      </w:r>
      <w:r>
        <w:rPr>
          <w:rStyle w:val="style88"/>
          <w:color w:val="000000"/>
          <w:szCs w:val="26"/>
        </w:rPr>
        <w:t>Sida acuta</w:t>
      </w:r>
      <w:r>
        <w:rPr>
          <w:color w:val="000000"/>
          <w:szCs w:val="26"/>
        </w:rPr>
        <w:t xml:space="preserve"> reveals the presence of alkaloids, flavonoids, steroids, tannins, terpenoids, and cardiac glycosides, which contribute to its therapeutic properties (Adeniyi </w:t>
      </w:r>
      <w:r>
        <w:rPr>
          <w:i/>
          <w:iCs/>
          <w:color w:val="000000"/>
          <w:szCs w:val="26"/>
        </w:rPr>
        <w:t>et al</w:t>
      </w:r>
      <w:r>
        <w:rPr>
          <w:color w:val="000000"/>
          <w:szCs w:val="26"/>
        </w:rPr>
        <w:t xml:space="preserve">., 2010). These compounds are known to enhance mucosal protection, reduce inflammation, and scavenge free radicals that contribute to ulcer pathogenesis (Raimi </w:t>
      </w:r>
      <w:r>
        <w:rPr>
          <w:i/>
          <w:iCs/>
          <w:color w:val="000000"/>
          <w:szCs w:val="26"/>
        </w:rPr>
        <w:t>et al</w:t>
      </w:r>
      <w:r>
        <w:rPr>
          <w:color w:val="000000"/>
          <w:szCs w:val="26"/>
        </w:rPr>
        <w:t xml:space="preserve">., 2014). Moreover, </w:t>
      </w:r>
      <w:r>
        <w:rPr>
          <w:rStyle w:val="style88"/>
          <w:color w:val="000000"/>
          <w:szCs w:val="26"/>
        </w:rPr>
        <w:t>Sida acuta</w:t>
      </w:r>
      <w:r>
        <w:rPr>
          <w:color w:val="000000"/>
          <w:szCs w:val="26"/>
        </w:rPr>
        <w:t xml:space="preserve"> has demonstrated significant antioxidant activity, which may help in alleviating oxidative stress-induced gastric mucosal damage (Mohideen </w:t>
      </w:r>
      <w:r>
        <w:rPr>
          <w:i/>
          <w:iCs/>
          <w:color w:val="000000"/>
          <w:szCs w:val="26"/>
        </w:rPr>
        <w:t>et al</w:t>
      </w:r>
      <w:r>
        <w:rPr>
          <w:color w:val="000000"/>
          <w:szCs w:val="26"/>
        </w:rPr>
        <w:t>., 2002).</w:t>
      </w:r>
    </w:p>
    <w:p>
      <w:pPr>
        <w:pStyle w:val="style0"/>
        <w:spacing w:after="0" w:lineRule="auto" w:line="240"/>
        <w:jc w:val="both"/>
        <w:rPr>
          <w:b/>
          <w:bCs/>
          <w:color w:val="000000"/>
          <w:sz w:val="24"/>
          <w:szCs w:val="26"/>
        </w:rPr>
      </w:pPr>
      <w:r>
        <w:rPr>
          <w:b/>
          <w:bCs/>
          <w:color w:val="000000"/>
          <w:sz w:val="24"/>
          <w:szCs w:val="26"/>
        </w:rPr>
        <w:t>1.2 Statement of the research problem</w:t>
      </w:r>
    </w:p>
    <w:p>
      <w:pPr>
        <w:pStyle w:val="style94"/>
        <w:spacing w:after="0" w:afterAutospacing="false" w:lineRule="auto" w:line="480"/>
        <w:ind w:firstLine="720"/>
        <w:jc w:val="both"/>
        <w:rPr>
          <w:color w:val="000000"/>
          <w:szCs w:val="26"/>
        </w:rPr>
      </w:pPr>
      <w:r>
        <w:rPr>
          <w:color w:val="000000"/>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Pr>
          <w:color w:val="000000"/>
          <w:szCs w:val="26"/>
        </w:rPr>
        <w:t xml:space="preserve">acid secretion, impaired mucosal defense mechanisms, and </w:t>
      </w:r>
      <w:r>
        <w:rPr>
          <w:i/>
          <w:color w:val="000000"/>
          <w:szCs w:val="26"/>
        </w:rPr>
        <w:t xml:space="preserve">Helicobacter pylori </w:t>
      </w:r>
      <w:r>
        <w:rPr>
          <w:color w:val="000000"/>
          <w:szCs w:val="26"/>
        </w:rPr>
        <w:t xml:space="preserve">infection. While various pharmacological agents are available for ulcer management, their side effects and the potential for drug resistance remain a concern. </w:t>
      </w:r>
      <w:r>
        <w:rPr>
          <w:i/>
          <w:color w:val="000000"/>
          <w:szCs w:val="26"/>
        </w:rPr>
        <w:t>Sida acuta</w:t>
      </w:r>
      <w:r>
        <w:rPr>
          <w:color w:val="000000"/>
          <w:szCs w:val="26"/>
        </w:rPr>
        <w:t xml:space="preserve">, a medicinal plant traditionally used in folk medicine for its purported therapeutic properties, has been suggested to possess anti-inflammatory, analgesic, and antioxidant effects. </w:t>
      </w:r>
    </w:p>
    <w:p>
      <w:pPr>
        <w:pStyle w:val="style94"/>
        <w:spacing w:after="0" w:afterAutospacing="false" w:lineRule="auto" w:line="480"/>
        <w:ind w:firstLine="720"/>
        <w:jc w:val="both"/>
        <w:rPr>
          <w:color w:val="000000"/>
          <w:szCs w:val="26"/>
        </w:rPr>
      </w:pPr>
      <w:r>
        <w:rPr>
          <w:color w:val="000000"/>
          <w:szCs w:val="26"/>
        </w:rPr>
        <w:t xml:space="preserve">However, its potential role in treating peptic ulcers, particularly through in vivo models, remains underexplored. This study aims to investigate the in vivo antiulcer activity of </w:t>
      </w:r>
      <w:r>
        <w:rPr>
          <w:i/>
          <w:color w:val="000000"/>
          <w:szCs w:val="26"/>
        </w:rPr>
        <w:t>Sida acuta</w:t>
      </w:r>
      <w:r>
        <w:rPr>
          <w:color w:val="000000"/>
          <w:szCs w:val="26"/>
        </w:rPr>
        <w:t xml:space="preserve"> in a rat model induced with peptic ulcers, assessing its effectiveness in reducing ulceration, healing gastric mucosal damage, and its possible mechanisms of action. Understanding the pharmacological potential of </w:t>
      </w:r>
      <w:r>
        <w:rPr>
          <w:i/>
          <w:color w:val="000000"/>
          <w:szCs w:val="26"/>
        </w:rPr>
        <w:t>Sida acuta</w:t>
      </w:r>
      <w:r>
        <w:rPr>
          <w:color w:val="000000"/>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pPr>
        <w:pStyle w:val="style94"/>
        <w:spacing w:after="0" w:afterAutospacing="false"/>
        <w:jc w:val="both"/>
        <w:rPr>
          <w:b/>
          <w:color w:val="000000"/>
          <w:szCs w:val="26"/>
        </w:rPr>
      </w:pPr>
      <w:r>
        <w:rPr>
          <w:b/>
          <w:color w:val="000000"/>
          <w:szCs w:val="26"/>
        </w:rPr>
        <w:t>1.2 Justification for the Study</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Pr>
          <w:rFonts w:eastAsia="Times New Roman"/>
          <w:color w:val="000000"/>
          <w:sz w:val="24"/>
          <w:szCs w:val="26"/>
        </w:rPr>
        <w:t xml:space="preserve">toxicity, and drug resistance (Lanas and Chan, 2017). Moreover, the over-reliance on synthetic drugs has raised concerns about their long-term effectiveness and safety, emphasizing the need for alternative, natural, and safer therapeutic options (Kambe </w:t>
      </w:r>
      <w:r>
        <w:rPr>
          <w:rFonts w:eastAsia="Times New Roman"/>
          <w:i/>
          <w:color w:val="000000"/>
          <w:sz w:val="24"/>
          <w:szCs w:val="26"/>
        </w:rPr>
        <w:t>et al</w:t>
      </w:r>
      <w:r>
        <w:rPr>
          <w:rFonts w:eastAsia="Times New Roman"/>
          <w:color w:val="000000"/>
          <w:sz w:val="24"/>
          <w:szCs w:val="26"/>
        </w:rPr>
        <w:t>., 2019).</w:t>
      </w:r>
    </w:p>
    <w:p>
      <w:pPr>
        <w:pStyle w:val="style0"/>
        <w:spacing w:before="100" w:beforeAutospacing="true" w:after="100" w:afterAutospacing="true" w:lineRule="auto" w:line="48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a plant known for its traditional medicinal uses, has shown potential as an effective therapeutic agent in managing various ailments (Akinmoladun </w:t>
      </w:r>
      <w:r>
        <w:rPr>
          <w:rFonts w:eastAsia="Times New Roman"/>
          <w:i/>
          <w:color w:val="000000"/>
          <w:sz w:val="24"/>
          <w:szCs w:val="26"/>
        </w:rPr>
        <w:t>et al</w:t>
      </w:r>
      <w:r>
        <w:rPr>
          <w:rFonts w:eastAsia="Times New Roman"/>
          <w:color w:val="000000"/>
          <w:sz w:val="24"/>
          <w:szCs w:val="26"/>
        </w:rPr>
        <w:t xml:space="preserve">., 2020). Preliminary studies indicate that </w:t>
      </w:r>
      <w:r>
        <w:rPr>
          <w:rFonts w:eastAsia="Times New Roman"/>
          <w:i/>
          <w:iCs/>
          <w:color w:val="000000"/>
          <w:sz w:val="24"/>
          <w:szCs w:val="26"/>
        </w:rPr>
        <w:t>Sida acuta</w:t>
      </w:r>
      <w:r>
        <w:rPr>
          <w:rFonts w:eastAsia="Times New Roman"/>
          <w:color w:val="000000"/>
          <w:sz w:val="24"/>
          <w:szCs w:val="26"/>
        </w:rPr>
        <w:t xml:space="preserve"> possesses bioactive compounds with anti-inflammatory, antioxidant, and antimicrobial properties, which could play a significant role in managing peptic ulcers (Ugwu </w:t>
      </w:r>
      <w:r>
        <w:rPr>
          <w:rFonts w:eastAsia="Times New Roman"/>
          <w:i/>
          <w:color w:val="000000"/>
          <w:sz w:val="24"/>
          <w:szCs w:val="26"/>
        </w:rPr>
        <w:t>et al</w:t>
      </w:r>
      <w:r>
        <w:rPr>
          <w:rFonts w:eastAsia="Times New Roman"/>
          <w:color w:val="000000"/>
          <w:sz w:val="24"/>
          <w:szCs w:val="26"/>
        </w:rPr>
        <w:t xml:space="preserve">., 2020; Oyedemi </w:t>
      </w:r>
      <w:r>
        <w:rPr>
          <w:rFonts w:eastAsia="Times New Roman"/>
          <w:i/>
          <w:color w:val="000000"/>
          <w:sz w:val="24"/>
          <w:szCs w:val="26"/>
        </w:rPr>
        <w:t>et al.</w:t>
      </w:r>
      <w:r>
        <w:rPr>
          <w:rFonts w:eastAsia="Times New Roman"/>
          <w:color w:val="000000"/>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Pr>
          <w:rFonts w:eastAsia="Times New Roman"/>
          <w:i/>
          <w:iCs/>
          <w:color w:val="000000"/>
          <w:sz w:val="24"/>
          <w:szCs w:val="26"/>
        </w:rPr>
        <w:t>Sida acuta</w:t>
      </w:r>
      <w:r>
        <w:rPr>
          <w:rFonts w:eastAsia="Times New Roman"/>
          <w:color w:val="000000"/>
          <w:sz w:val="24"/>
          <w:szCs w:val="26"/>
        </w:rPr>
        <w:t xml:space="preserve"> through rigorous scientific investigation. This study, focusing on the in vivo antiulcer activity of </w:t>
      </w:r>
      <w:r>
        <w:rPr>
          <w:rFonts w:eastAsia="Times New Roman"/>
          <w:i/>
          <w:iCs/>
          <w:color w:val="000000"/>
          <w:sz w:val="24"/>
          <w:szCs w:val="26"/>
        </w:rPr>
        <w:t>Sida acuta</w:t>
      </w:r>
      <w:r>
        <w:rPr>
          <w:rFonts w:eastAsia="Times New Roman"/>
          <w:color w:val="000000"/>
          <w:sz w:val="24"/>
          <w:szCs w:val="26"/>
        </w:rPr>
        <w:t xml:space="preserve"> in an induced rat model (Oyedemi </w:t>
      </w:r>
      <w:r>
        <w:rPr>
          <w:rFonts w:eastAsia="Times New Roman"/>
          <w:i/>
          <w:color w:val="000000"/>
          <w:sz w:val="24"/>
          <w:szCs w:val="26"/>
        </w:rPr>
        <w:t>et al.</w:t>
      </w:r>
      <w:r>
        <w:rPr>
          <w:rFonts w:eastAsia="Times New Roman"/>
          <w:color w:val="000000"/>
          <w:sz w:val="24"/>
          <w:szCs w:val="26"/>
        </w:rPr>
        <w:t>, 2015), will contribute to the understanding of its pharmacological potential and support the exploration of plant-based alternatives to conventional antiulcer treatments.</w:t>
      </w:r>
    </w:p>
    <w:p>
      <w:pPr>
        <w:pStyle w:val="style0"/>
        <w:spacing w:after="0"/>
        <w:jc w:val="both"/>
        <w:rPr>
          <w:b/>
          <w:color w:val="000000"/>
          <w:sz w:val="24"/>
          <w:szCs w:val="26"/>
        </w:rPr>
      </w:pPr>
      <w:r>
        <w:rPr>
          <w:b/>
          <w:color w:val="000000"/>
          <w:sz w:val="24"/>
          <w:szCs w:val="26"/>
        </w:rPr>
        <w:t>1.3 Aim and objectives of the study</w:t>
      </w:r>
    </w:p>
    <w:p>
      <w:pPr>
        <w:pStyle w:val="style94"/>
        <w:spacing w:after="0" w:afterAutospacing="false" w:lineRule="auto" w:line="480"/>
        <w:ind w:firstLine="720"/>
        <w:jc w:val="both"/>
        <w:rPr>
          <w:color w:val="000000"/>
          <w:szCs w:val="26"/>
        </w:rPr>
      </w:pPr>
      <w:r>
        <w:rPr>
          <w:color w:val="000000"/>
          <w:szCs w:val="26"/>
        </w:rPr>
        <w:t xml:space="preserve">The primary aim of this study is to evaluate the in vivo antiulcerogenic activity of </w:t>
      </w:r>
      <w:r>
        <w:rPr>
          <w:rStyle w:val="style88"/>
          <w:color w:val="000000"/>
          <w:szCs w:val="26"/>
        </w:rPr>
        <w:t>Sida acuta</w:t>
      </w:r>
      <w:r>
        <w:rPr>
          <w:color w:val="000000"/>
          <w:szCs w:val="26"/>
        </w:rPr>
        <w:t xml:space="preserve"> in a rat model of induced ulcers, with a focus on assessing its ulcer-healing potential and possible mechanisms of action.</w:t>
      </w:r>
    </w:p>
    <w:p>
      <w:pPr>
        <w:pStyle w:val="style94"/>
        <w:spacing w:after="0" w:afterAutospacing="false" w:lineRule="auto" w:line="480"/>
        <w:jc w:val="both"/>
        <w:rPr>
          <w:rStyle w:val="style87"/>
          <w:color w:val="000000"/>
          <w:szCs w:val="26"/>
        </w:rPr>
      </w:pPr>
      <w:r>
        <w:rPr>
          <w:rStyle w:val="style87"/>
          <w:color w:val="000000"/>
          <w:szCs w:val="26"/>
        </w:rPr>
        <w:t>Objectives of the Study</w:t>
      </w:r>
    </w:p>
    <w:p>
      <w:pPr>
        <w:pStyle w:val="style94"/>
        <w:spacing w:after="0" w:afterAutospacing="false" w:lineRule="auto" w:line="480"/>
        <w:ind w:firstLine="360"/>
        <w:jc w:val="both"/>
        <w:rPr>
          <w:rStyle w:val="style87"/>
          <w:b w:val="false"/>
          <w:color w:val="000000"/>
          <w:szCs w:val="26"/>
        </w:rPr>
      </w:pPr>
      <w:r>
        <w:rPr>
          <w:rStyle w:val="style87"/>
          <w:color w:val="000000"/>
          <w:szCs w:val="26"/>
        </w:rPr>
        <w:t>The specific objectives were:</w:t>
      </w:r>
    </w:p>
    <w:p>
      <w:pPr>
        <w:pStyle w:val="style94"/>
        <w:numPr>
          <w:ilvl w:val="0"/>
          <w:numId w:val="8"/>
        </w:numPr>
        <w:spacing w:after="0" w:afterAutospacing="false" w:lineRule="auto" w:line="480"/>
        <w:jc w:val="both"/>
        <w:rPr>
          <w:rStyle w:val="style87"/>
          <w:b w:val="false"/>
          <w:bCs w:val="false"/>
          <w:color w:val="000000"/>
          <w:szCs w:val="26"/>
        </w:rPr>
      </w:pPr>
      <w:r>
        <w:rPr>
          <w:rStyle w:val="style87"/>
          <w:b w:val="false"/>
          <w:color w:val="000000"/>
          <w:szCs w:val="26"/>
        </w:rPr>
        <w:t xml:space="preserve">To extract </w:t>
      </w:r>
      <w:r>
        <w:rPr>
          <w:rStyle w:val="style87"/>
          <w:b w:val="false"/>
          <w:i/>
          <w:color w:val="000000"/>
          <w:szCs w:val="26"/>
        </w:rPr>
        <w:t xml:space="preserve">Sida acuta </w:t>
      </w:r>
      <w:r>
        <w:rPr>
          <w:rStyle w:val="style87"/>
          <w:b w:val="false"/>
          <w:color w:val="000000"/>
          <w:szCs w:val="26"/>
        </w:rPr>
        <w:t>plant using ethanol</w:t>
      </w:r>
    </w:p>
    <w:p>
      <w:pPr>
        <w:pStyle w:val="style94"/>
        <w:numPr>
          <w:ilvl w:val="0"/>
          <w:numId w:val="8"/>
        </w:numPr>
        <w:spacing w:after="0" w:afterAutospacing="false" w:lineRule="auto" w:line="480"/>
        <w:jc w:val="both"/>
        <w:rPr>
          <w:rStyle w:val="style87"/>
          <w:bCs w:val="false"/>
          <w:color w:val="000000"/>
          <w:szCs w:val="26"/>
        </w:rPr>
      </w:pPr>
      <w:r>
        <w:rPr>
          <w:rStyle w:val="style87"/>
          <w:b w:val="false"/>
          <w:color w:val="000000"/>
          <w:szCs w:val="26"/>
        </w:rPr>
        <w:t xml:space="preserve">To determine phytochemicals present in </w:t>
      </w:r>
      <w:r>
        <w:rPr>
          <w:rStyle w:val="style88"/>
          <w:color w:val="000000"/>
          <w:szCs w:val="26"/>
        </w:rPr>
        <w:t>Sida acuta</w:t>
      </w:r>
    </w:p>
    <w:p>
      <w:pPr>
        <w:pStyle w:val="style94"/>
        <w:numPr>
          <w:ilvl w:val="0"/>
          <w:numId w:val="8"/>
        </w:numPr>
        <w:spacing w:after="0" w:afterAutospacing="false" w:lineRule="auto" w:line="480"/>
        <w:jc w:val="both"/>
        <w:rPr>
          <w:color w:val="000000"/>
          <w:szCs w:val="26"/>
        </w:rPr>
      </w:pPr>
      <w:r>
        <w:rPr>
          <w:rStyle w:val="style87"/>
          <w:b w:val="false"/>
          <w:color w:val="000000"/>
          <w:szCs w:val="26"/>
        </w:rPr>
        <w:t xml:space="preserve">To assess the effect of </w:t>
      </w:r>
      <w:r>
        <w:rPr>
          <w:rStyle w:val="style88"/>
          <w:color w:val="000000"/>
          <w:szCs w:val="26"/>
        </w:rPr>
        <w:t>Sida acuta</w:t>
      </w:r>
      <w:r>
        <w:rPr>
          <w:rStyle w:val="style87"/>
          <w:b w:val="false"/>
          <w:color w:val="000000"/>
          <w:szCs w:val="26"/>
        </w:rPr>
        <w:t xml:space="preserve"> on ulcer formation</w:t>
      </w:r>
      <w:r>
        <w:rPr>
          <w:color w:val="000000"/>
          <w:szCs w:val="26"/>
        </w:rPr>
        <w:t xml:space="preserve"> in rats induced with gastric ulcers by using a</w:t>
      </w:r>
      <w:r>
        <w:rPr>
          <w:color w:val="000000"/>
          <w:szCs w:val="26"/>
        </w:rPr>
        <w:t>n</w:t>
      </w:r>
      <w:r>
        <w:rPr>
          <w:color w:val="000000"/>
          <w:szCs w:val="26"/>
        </w:rPr>
        <w:t xml:space="preserve"> indomethacin.</w:t>
      </w:r>
    </w:p>
    <w:p>
      <w:pPr>
        <w:pStyle w:val="style94"/>
        <w:numPr>
          <w:ilvl w:val="0"/>
          <w:numId w:val="8"/>
        </w:numPr>
        <w:spacing w:after="0" w:afterAutospacing="false" w:lineRule="auto" w:line="480"/>
        <w:jc w:val="both"/>
        <w:rPr>
          <w:color w:val="000000"/>
          <w:szCs w:val="26"/>
        </w:rPr>
      </w:pPr>
      <w:r>
        <w:rPr>
          <w:rStyle w:val="style87"/>
          <w:b w:val="false"/>
          <w:color w:val="000000"/>
          <w:szCs w:val="26"/>
        </w:rPr>
        <w:t xml:space="preserve">To evaluate the healing properties of </w:t>
      </w:r>
      <w:r>
        <w:rPr>
          <w:rStyle w:val="style88"/>
          <w:color w:val="000000"/>
          <w:szCs w:val="26"/>
        </w:rPr>
        <w:t>Sida acuta</w:t>
      </w:r>
      <w:r>
        <w:rPr>
          <w:rStyle w:val="style87"/>
          <w:b w:val="false"/>
          <w:color w:val="000000"/>
          <w:szCs w:val="26"/>
        </w:rPr>
        <w:t xml:space="preserve"> on gastric mucosal damage</w:t>
      </w:r>
      <w:r>
        <w:rPr>
          <w:color w:val="000000"/>
          <w:szCs w:val="26"/>
        </w:rPr>
        <w:t>, measuring parameters such as ulcer index, gastric pH, and histopathological changes in the gastric tissues.</w:t>
      </w:r>
    </w:p>
    <w:p>
      <w:pPr>
        <w:pStyle w:val="style94"/>
        <w:numPr>
          <w:ilvl w:val="0"/>
          <w:numId w:val="8"/>
        </w:numPr>
        <w:spacing w:after="0" w:afterAutospacing="false" w:lineRule="auto" w:line="480"/>
        <w:jc w:val="both"/>
        <w:rPr>
          <w:color w:val="000000"/>
          <w:szCs w:val="26"/>
        </w:rPr>
      </w:pPr>
      <w:r>
        <w:rPr>
          <w:rStyle w:val="style87"/>
          <w:b w:val="false"/>
          <w:color w:val="000000"/>
          <w:szCs w:val="26"/>
        </w:rPr>
        <w:t>To determine the proximate composition of</w:t>
      </w:r>
      <w:r>
        <w:rPr>
          <w:rStyle w:val="style87"/>
          <w:color w:val="000000"/>
          <w:szCs w:val="26"/>
        </w:rPr>
        <w:t xml:space="preserve"> </w:t>
      </w:r>
      <w:r>
        <w:rPr>
          <w:rStyle w:val="style88"/>
          <w:color w:val="000000"/>
          <w:szCs w:val="26"/>
        </w:rPr>
        <w:t>Sida acuta extract</w:t>
      </w:r>
    </w:p>
    <w:p>
      <w:pPr>
        <w:pStyle w:val="style94"/>
        <w:numPr>
          <w:ilvl w:val="0"/>
          <w:numId w:val="8"/>
        </w:numPr>
        <w:spacing w:after="0" w:afterAutospacing="false" w:lineRule="auto" w:line="480"/>
        <w:jc w:val="both"/>
        <w:rPr>
          <w:b/>
          <w:color w:val="000000"/>
          <w:szCs w:val="26"/>
        </w:rPr>
      </w:pPr>
      <w:r>
        <w:rPr>
          <w:rStyle w:val="style87"/>
          <w:b w:val="false"/>
          <w:color w:val="000000"/>
          <w:szCs w:val="26"/>
        </w:rPr>
        <w:t xml:space="preserve">To investigate the antioxidant potential of </w:t>
      </w:r>
      <w:r>
        <w:rPr>
          <w:rStyle w:val="style88"/>
          <w:color w:val="000000"/>
          <w:szCs w:val="26"/>
        </w:rPr>
        <w:t>Sida acuta</w:t>
      </w:r>
      <w:r>
        <w:rPr>
          <w:rStyle w:val="style87"/>
          <w:b w:val="false"/>
          <w:color w:val="000000"/>
          <w:szCs w:val="26"/>
        </w:rPr>
        <w:t xml:space="preserve"> by evaluating oxidative stress markers</w:t>
      </w:r>
    </w:p>
    <w:p>
      <w:pPr>
        <w:pStyle w:val="style94"/>
        <w:numPr>
          <w:ilvl w:val="0"/>
          <w:numId w:val="8"/>
        </w:numPr>
        <w:spacing w:after="0" w:afterAutospacing="false" w:lineRule="auto" w:line="480"/>
        <w:jc w:val="both"/>
        <w:rPr>
          <w:rStyle w:val="style87"/>
          <w:b w:val="false"/>
          <w:bCs w:val="false"/>
          <w:color w:val="000000"/>
          <w:szCs w:val="26"/>
        </w:rPr>
      </w:pPr>
      <w:r>
        <w:rPr>
          <w:rStyle w:val="style87"/>
          <w:b w:val="false"/>
          <w:color w:val="000000"/>
          <w:szCs w:val="26"/>
        </w:rPr>
        <w:t xml:space="preserve">To compare the effectiveness of </w:t>
      </w:r>
      <w:r>
        <w:rPr>
          <w:rStyle w:val="style88"/>
          <w:color w:val="000000"/>
          <w:szCs w:val="26"/>
        </w:rPr>
        <w:t>Sida acuta</w:t>
      </w:r>
      <w:r>
        <w:rPr>
          <w:rStyle w:val="style87"/>
          <w:b w:val="false"/>
          <w:color w:val="000000"/>
          <w:szCs w:val="26"/>
        </w:rPr>
        <w:t xml:space="preserve"> to conventional antiulcer medications</w:t>
      </w:r>
    </w:p>
    <w:p>
      <w:pPr>
        <w:pStyle w:val="style94"/>
        <w:spacing w:after="0" w:afterAutospacing="false" w:lineRule="auto" w:line="480"/>
        <w:ind w:left="720"/>
        <w:jc w:val="both"/>
        <w:rPr>
          <w:rStyle w:val="style87"/>
          <w:b w:val="false"/>
          <w:bCs w:val="false"/>
          <w:color w:val="000000"/>
          <w:szCs w:val="26"/>
        </w:rPr>
      </w:pPr>
    </w:p>
    <w:p>
      <w:pPr>
        <w:pStyle w:val="style94"/>
        <w:spacing w:after="0" w:afterAutospacing="false" w:lineRule="auto" w:line="480"/>
        <w:ind w:left="720"/>
        <w:jc w:val="both"/>
        <w:rPr>
          <w:rStyle w:val="style87"/>
          <w:b w:val="false"/>
          <w:bCs w:val="false"/>
          <w:color w:val="000000"/>
          <w:szCs w:val="26"/>
        </w:rPr>
      </w:pPr>
    </w:p>
    <w:p>
      <w:pPr>
        <w:pStyle w:val="style94"/>
        <w:spacing w:after="0" w:afterAutospacing="false" w:lineRule="auto" w:line="480"/>
        <w:jc w:val="both"/>
        <w:rPr>
          <w:rStyle w:val="style87"/>
          <w:b w:val="false"/>
          <w:bCs w:val="false"/>
          <w:color w:val="000000"/>
          <w:szCs w:val="26"/>
        </w:rPr>
      </w:pPr>
    </w:p>
    <w:p>
      <w:pPr>
        <w:pStyle w:val="style94"/>
        <w:spacing w:after="0" w:afterAutospacing="false" w:lineRule="auto" w:line="480"/>
        <w:jc w:val="both"/>
        <w:rPr>
          <w:rStyle w:val="style87"/>
          <w:b w:val="false"/>
          <w:bCs w:val="false"/>
          <w:color w:val="000000"/>
          <w:szCs w:val="26"/>
        </w:rPr>
      </w:pPr>
    </w:p>
    <w:p>
      <w:pPr>
        <w:pStyle w:val="style0"/>
        <w:spacing w:after="0" w:lineRule="auto" w:line="480"/>
        <w:rPr>
          <w:rStyle w:val="style87"/>
          <w:rFonts w:eastAsia="Times New Roman"/>
          <w:b w:val="false"/>
          <w:bCs w:val="false"/>
          <w:color w:val="000000"/>
          <w:sz w:val="24"/>
          <w:szCs w:val="26"/>
        </w:rPr>
      </w:pPr>
    </w:p>
    <w:p>
      <w:pPr>
        <w:pStyle w:val="style0"/>
        <w:spacing w:after="0" w:lineRule="auto" w:line="480"/>
        <w:jc w:val="center"/>
        <w:rPr>
          <w:b/>
          <w:color w:val="000000"/>
          <w:sz w:val="24"/>
          <w:szCs w:val="26"/>
        </w:rPr>
      </w:pPr>
      <w:r>
        <w:rPr>
          <w:b/>
          <w:color w:val="000000"/>
          <w:sz w:val="24"/>
          <w:szCs w:val="26"/>
        </w:rPr>
        <w:t>CHAPTER TWO</w:t>
      </w:r>
    </w:p>
    <w:p>
      <w:pPr>
        <w:pStyle w:val="style0"/>
        <w:spacing w:after="0" w:lineRule="auto" w:line="480"/>
        <w:jc w:val="both"/>
        <w:rPr>
          <w:b/>
          <w:color w:val="000000"/>
          <w:sz w:val="24"/>
          <w:szCs w:val="26"/>
        </w:rPr>
      </w:pPr>
      <w:r>
        <w:rPr>
          <w:b/>
          <w:color w:val="000000"/>
          <w:sz w:val="24"/>
          <w:szCs w:val="26"/>
        </w:rPr>
        <w:t>2.0</w:t>
      </w:r>
      <w:r>
        <w:rPr>
          <w:b/>
          <w:color w:val="000000"/>
          <w:sz w:val="24"/>
          <w:szCs w:val="26"/>
        </w:rPr>
        <w:tab/>
      </w:r>
      <w:r>
        <w:rPr>
          <w:b/>
          <w:color w:val="000000"/>
          <w:sz w:val="24"/>
          <w:szCs w:val="26"/>
        </w:rPr>
        <w:t xml:space="preserve">LITERATURE REVIEW </w:t>
      </w:r>
    </w:p>
    <w:p>
      <w:pPr>
        <w:pStyle w:val="style0"/>
        <w:spacing w:after="0" w:lineRule="auto" w:line="480"/>
        <w:ind w:firstLine="720"/>
        <w:jc w:val="both"/>
        <w:rPr>
          <w:color w:val="000000"/>
          <w:sz w:val="24"/>
          <w:szCs w:val="26"/>
        </w:rPr>
      </w:pPr>
      <w:r>
        <w:rPr>
          <w:color w:val="000000"/>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xml:space="preserve">., 2017). Research indicates that an imbalance between aggressive factors, such as gastric acid secretion and pepsin activity, and protective mucosal defense mechanisms contributes to ulcer formation (Laine </w:t>
      </w:r>
      <w:r>
        <w:rPr>
          <w:i/>
          <w:iCs/>
          <w:color w:val="000000"/>
          <w:sz w:val="24"/>
          <w:szCs w:val="26"/>
        </w:rPr>
        <w:t>et al</w:t>
      </w:r>
      <w:r>
        <w:rPr>
          <w:color w:val="000000"/>
          <w:sz w:val="24"/>
          <w:szCs w:val="26"/>
        </w:rPr>
        <w:t>., 2021). The role of stress and dietary habits has also been explored in ulcer pathogenesis, although their direct causation remains debated (Lanas and Chan, 2017).</w:t>
      </w:r>
    </w:p>
    <w:p>
      <w:pPr>
        <w:pStyle w:val="style0"/>
        <w:spacing w:after="0" w:lineRule="auto" w:line="480"/>
        <w:ind w:firstLine="720"/>
        <w:jc w:val="both"/>
        <w:rPr>
          <w:color w:val="000000"/>
          <w:sz w:val="24"/>
          <w:szCs w:val="26"/>
        </w:rPr>
      </w:pPr>
      <w:r>
        <w:rPr>
          <w:color w:val="000000"/>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Pr>
          <w:i/>
          <w:iCs/>
          <w:color w:val="000000"/>
          <w:sz w:val="24"/>
          <w:szCs w:val="26"/>
        </w:rPr>
        <w:t>et al</w:t>
      </w:r>
      <w:r>
        <w:rPr>
          <w:color w:val="000000"/>
          <w:sz w:val="24"/>
          <w:szCs w:val="26"/>
        </w:rPr>
        <w:t xml:space="preserve">., 2020). Histamine Type 2 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The discovery of </w:t>
      </w:r>
      <w:r>
        <w:rPr>
          <w:i/>
          <w:color w:val="000000"/>
          <w:sz w:val="24"/>
          <w:szCs w:val="26"/>
        </w:rPr>
        <w:t>H. pylori</w:t>
      </w:r>
      <w:r>
        <w:rPr>
          <w:color w:val="000000"/>
          <w:sz w:val="24"/>
          <w:szCs w:val="26"/>
        </w:rPr>
        <w:t xml:space="preserve"> as a key factor in peptic ulcer disease led to the introduction of antibiotic therapy, significantly improving treatment outcomes (Malfertheiner </w:t>
      </w:r>
      <w:r>
        <w:rPr>
          <w:i/>
          <w:iCs/>
          <w:color w:val="000000"/>
          <w:sz w:val="24"/>
          <w:szCs w:val="26"/>
        </w:rPr>
        <w:t>et al</w:t>
      </w:r>
      <w:r>
        <w:rPr>
          <w:color w:val="000000"/>
          <w:sz w:val="24"/>
          <w:szCs w:val="26"/>
        </w:rPr>
        <w:t xml:space="preserve">., 2017). </w:t>
      </w:r>
    </w:p>
    <w:p>
      <w:pPr>
        <w:pStyle w:val="style0"/>
        <w:spacing w:after="0" w:lineRule="auto" w:line="480"/>
        <w:ind w:firstLine="720"/>
        <w:jc w:val="both"/>
        <w:rPr>
          <w:color w:val="000000"/>
          <w:sz w:val="24"/>
          <w:szCs w:val="26"/>
        </w:rPr>
      </w:pPr>
      <w:r>
        <w:rPr>
          <w:color w:val="000000"/>
          <w:sz w:val="24"/>
          <w:szCs w:val="26"/>
        </w:rPr>
        <w:t xml:space="preserve">However, antibiotic resistance poses a growing challenge, necessitating ongoing research into alternative therapeutic strategies (Sung </w:t>
      </w:r>
      <w:r>
        <w:rPr>
          <w:i/>
          <w:iCs/>
          <w:color w:val="000000"/>
          <w:sz w:val="24"/>
          <w:szCs w:val="26"/>
        </w:rPr>
        <w:t>et al</w:t>
      </w:r>
      <w:r>
        <w:rPr>
          <w:color w:val="000000"/>
          <w:sz w:val="24"/>
          <w:szCs w:val="26"/>
        </w:rPr>
        <w:t xml:space="preserve">., 2020). Recent studies have </w:t>
      </w:r>
      <w:r>
        <w:rPr>
          <w:color w:val="000000"/>
          <w:sz w:val="24"/>
          <w:szCs w:val="26"/>
        </w:rPr>
        <w:t xml:space="preserve">focused on the role of the gut microbiome in ulcer pathophysiology, suggesting that microbial composition influences disease progression and healing (Lanas and Chan, 2017). </w:t>
      </w:r>
      <w:r>
        <w:rPr>
          <w:color w:val="000000"/>
          <w:sz w:val="24"/>
          <w:szCs w:val="26"/>
        </w:rPr>
        <w:t>may</w:t>
      </w:r>
      <w:r>
        <w:rPr>
          <w:color w:val="000000"/>
          <w:sz w:val="24"/>
          <w:szCs w:val="26"/>
        </w:rPr>
        <w:t xml:space="preserve"> offer complementary therapeutic benefits (Malfertheiner </w:t>
      </w:r>
      <w:r>
        <w:rPr>
          <w:i/>
          <w:iCs/>
          <w:color w:val="000000"/>
          <w:sz w:val="24"/>
          <w:szCs w:val="26"/>
        </w:rPr>
        <w:t>et al</w:t>
      </w:r>
      <w:r>
        <w:rPr>
          <w:color w:val="000000"/>
          <w:sz w:val="24"/>
          <w:szCs w:val="26"/>
        </w:rPr>
        <w:t xml:space="preserve">., 2017). </w:t>
      </w:r>
    </w:p>
    <w:p>
      <w:pPr>
        <w:pStyle w:val="style0"/>
        <w:spacing w:after="0" w:lineRule="auto" w:line="480"/>
        <w:ind w:firstLine="720"/>
        <w:jc w:val="both"/>
        <w:rPr>
          <w:color w:val="000000"/>
          <w:sz w:val="24"/>
          <w:szCs w:val="26"/>
        </w:rPr>
      </w:pPr>
      <w:r>
        <w:rPr>
          <w:color w:val="000000"/>
          <w:sz w:val="24"/>
          <w:szCs w:val="26"/>
        </w:rPr>
        <w:t xml:space="preserve">Despite advancements in treatment, ulcers remain a global health concern, particularly in developing countries where </w:t>
      </w:r>
      <w:r>
        <w:rPr>
          <w:color w:val="000000"/>
          <w:sz w:val="24"/>
          <w:szCs w:val="26"/>
        </w:rPr>
        <w:t xml:space="preserve">access to healthcare and eradication programs for </w:t>
      </w:r>
      <w:r>
        <w:rPr>
          <w:i/>
          <w:color w:val="000000"/>
          <w:sz w:val="24"/>
          <w:szCs w:val="26"/>
        </w:rPr>
        <w:t>H. pylori</w:t>
      </w:r>
      <w:r>
        <w:rPr>
          <w:color w:val="000000"/>
          <w:sz w:val="24"/>
          <w:szCs w:val="26"/>
        </w:rPr>
        <w:t xml:space="preserve"> are</w:t>
      </w:r>
      <w:r>
        <w:rPr>
          <w:color w:val="000000"/>
          <w:sz w:val="24"/>
          <w:szCs w:val="26"/>
        </w:rPr>
        <w:t xml:space="preserve"> limited. Further research is needed to address these disparities and develop more effective, accessible treatment options (Sung </w:t>
      </w:r>
      <w:r>
        <w:rPr>
          <w:i/>
          <w:iCs/>
          <w:color w:val="000000"/>
          <w:sz w:val="24"/>
          <w:szCs w:val="26"/>
        </w:rPr>
        <w:t>et al</w:t>
      </w:r>
      <w:r>
        <w:rPr>
          <w:color w:val="000000"/>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2017). The role of stress and dietary habits has also been explored in ulcer pathogenesis, although their direct causation remains debated (Lanas and Chan, 2017).</w:t>
      </w:r>
    </w:p>
    <w:p>
      <w:pPr>
        <w:pStyle w:val="style0"/>
        <w:spacing w:after="0" w:lineRule="auto" w:line="480"/>
        <w:jc w:val="both"/>
        <w:rPr>
          <w:b/>
          <w:color w:val="000000"/>
          <w:sz w:val="24"/>
          <w:szCs w:val="26"/>
        </w:rPr>
      </w:pPr>
      <w:r>
        <w:rPr>
          <w:b/>
          <w:color w:val="000000"/>
          <w:sz w:val="24"/>
          <w:szCs w:val="26"/>
        </w:rPr>
        <w:t>2.1 Ulcer</w:t>
      </w:r>
    </w:p>
    <w:p>
      <w:pPr>
        <w:pStyle w:val="style0"/>
        <w:spacing w:after="0" w:lineRule="auto" w:line="480"/>
        <w:ind w:firstLine="720"/>
        <w:jc w:val="both"/>
        <w:rPr>
          <w:color w:val="000000"/>
          <w:sz w:val="24"/>
          <w:szCs w:val="26"/>
        </w:rPr>
      </w:pPr>
      <w:r>
        <w:rPr>
          <w:color w:val="000000"/>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Pr>
          <w:color w:val="000000"/>
          <w:sz w:val="24"/>
          <w:szCs w:val="26"/>
        </w:rPr>
        <w:t xml:space="preserve">impact on global health (Sung </w:t>
      </w:r>
      <w:r>
        <w:rPr>
          <w:i/>
          <w:iCs/>
          <w:color w:val="000000"/>
          <w:sz w:val="24"/>
          <w:szCs w:val="26"/>
        </w:rPr>
        <w:t>et al</w:t>
      </w:r>
      <w:r>
        <w:rPr>
          <w:color w:val="000000"/>
          <w:sz w:val="24"/>
          <w:szCs w:val="26"/>
        </w:rPr>
        <w:t xml:space="preserve">., 2020). The prevalence of ulcers varies globally, influenced by dietary habits, healthcare accessibility, and infection rates of </w:t>
      </w:r>
      <w:r>
        <w:rPr>
          <w:i/>
          <w:color w:val="000000"/>
          <w:sz w:val="24"/>
          <w:szCs w:val="26"/>
        </w:rPr>
        <w:t>H. pylori</w:t>
      </w:r>
      <w:r>
        <w:rPr>
          <w:color w:val="000000"/>
          <w:sz w:val="24"/>
          <w:szCs w:val="26"/>
        </w:rPr>
        <w:t xml:space="preserve">. Developing countries report higher incidences of peptic ulcers due to poor sanitation and high transmission of </w:t>
      </w:r>
      <w:r>
        <w:rPr>
          <w:i/>
          <w:color w:val="000000"/>
          <w:sz w:val="24"/>
          <w:szCs w:val="26"/>
        </w:rPr>
        <w:t>H. pylori</w:t>
      </w:r>
      <w:r>
        <w:rPr>
          <w:color w:val="000000"/>
          <w:sz w:val="24"/>
          <w:szCs w:val="26"/>
        </w:rPr>
        <w:t xml:space="preserve"> (Sung </w:t>
      </w:r>
      <w:r>
        <w:rPr>
          <w:i/>
          <w:iCs/>
          <w:color w:val="000000"/>
          <w:sz w:val="24"/>
          <w:szCs w:val="26"/>
        </w:rPr>
        <w:t>et al</w:t>
      </w:r>
      <w:r>
        <w:rPr>
          <w:color w:val="000000"/>
          <w:sz w:val="24"/>
          <w:szCs w:val="26"/>
        </w:rPr>
        <w:t xml:space="preserve">., 2020). </w:t>
      </w:r>
    </w:p>
    <w:p>
      <w:pPr>
        <w:pStyle w:val="style0"/>
        <w:spacing w:after="0" w:lineRule="auto" w:line="480"/>
        <w:ind w:firstLine="720"/>
        <w:jc w:val="both"/>
        <w:rPr>
          <w:color w:val="000000"/>
          <w:sz w:val="24"/>
          <w:szCs w:val="26"/>
        </w:rPr>
      </w:pPr>
      <w:r>
        <w:rPr>
          <w:color w:val="000000"/>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Pr>
          <w:i/>
          <w:iCs/>
          <w:color w:val="000000"/>
          <w:sz w:val="24"/>
          <w:szCs w:val="26"/>
        </w:rPr>
        <w:t>et al</w:t>
      </w:r>
      <w:r>
        <w:rPr>
          <w:color w:val="000000"/>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Pr>
          <w:i/>
          <w:iCs/>
          <w:color w:val="000000"/>
          <w:sz w:val="24"/>
          <w:szCs w:val="26"/>
        </w:rPr>
        <w:t>et al</w:t>
      </w:r>
      <w:r>
        <w:rPr>
          <w:color w:val="000000"/>
          <w:sz w:val="24"/>
          <w:szCs w:val="26"/>
        </w:rPr>
        <w:t xml:space="preserve">., 2020). H2-receptor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2021). </w:t>
      </w:r>
    </w:p>
    <w:p>
      <w:pPr>
        <w:pStyle w:val="style0"/>
        <w:spacing w:after="0" w:lineRule="auto" w:line="480"/>
        <w:jc w:val="both"/>
        <w:rPr>
          <w:b/>
          <w:color w:val="000000"/>
          <w:sz w:val="24"/>
          <w:szCs w:val="26"/>
        </w:rPr>
      </w:pPr>
      <w:r>
        <w:rPr>
          <w:b/>
          <w:color w:val="000000"/>
          <w:sz w:val="24"/>
          <w:szCs w:val="26"/>
        </w:rPr>
        <w:t>2.2 Types of Ulcer</w:t>
      </w:r>
    </w:p>
    <w:p>
      <w:pPr>
        <w:pStyle w:val="style0"/>
        <w:spacing w:after="0" w:lineRule="auto" w:line="480"/>
        <w:jc w:val="both"/>
        <w:rPr>
          <w:b/>
          <w:color w:val="000000"/>
          <w:sz w:val="24"/>
          <w:szCs w:val="26"/>
        </w:rPr>
      </w:pPr>
      <w:r>
        <w:rPr>
          <w:b/>
          <w:color w:val="000000"/>
          <w:sz w:val="24"/>
          <w:szCs w:val="26"/>
        </w:rPr>
        <w:t>2.2.1 Peptic Ulcer</w:t>
      </w:r>
    </w:p>
    <w:p>
      <w:pPr>
        <w:pStyle w:val="style0"/>
        <w:spacing w:after="0" w:lineRule="auto" w:line="480"/>
        <w:ind w:firstLine="720"/>
        <w:jc w:val="both"/>
        <w:rPr>
          <w:color w:val="000000"/>
          <w:sz w:val="24"/>
          <w:szCs w:val="26"/>
        </w:rPr>
      </w:pPr>
      <w:r>
        <w:rPr>
          <w:color w:val="000000"/>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Pr>
          <w:color w:val="000000"/>
          <w:sz w:val="24"/>
          <w:szCs w:val="26"/>
        </w:rPr>
        <w:t xml:space="preserve">mucosa (e.g., in Meckel’s diverticulum) (Kalyanakrishnan </w:t>
      </w:r>
      <w:r>
        <w:rPr>
          <w:i/>
          <w:iCs/>
          <w:color w:val="000000"/>
          <w:sz w:val="24"/>
          <w:szCs w:val="26"/>
        </w:rPr>
        <w:t>et al</w:t>
      </w:r>
      <w:r>
        <w:rPr>
          <w:color w:val="000000"/>
          <w:sz w:val="24"/>
          <w:szCs w:val="26"/>
        </w:rPr>
        <w:t xml:space="preserve">., 2007). Peptic ulcer disease affects 1-2 per 1000 people annually as per a systematic review with data from the USA, UK, and Europe (Sung </w:t>
      </w:r>
      <w:r>
        <w:rPr>
          <w:i/>
          <w:color w:val="000000"/>
          <w:sz w:val="24"/>
          <w:szCs w:val="26"/>
        </w:rPr>
        <w:t>et al</w:t>
      </w:r>
      <w:r>
        <w:rPr>
          <w:i/>
          <w:color w:val="000000"/>
          <w:sz w:val="24"/>
          <w:szCs w:val="26"/>
        </w:rPr>
        <w:t>.,</w:t>
      </w:r>
      <w:r>
        <w:rPr>
          <w:color w:val="000000"/>
          <w:sz w:val="24"/>
          <w:szCs w:val="26"/>
        </w:rPr>
        <w:t xml:space="preserve"> 2009). The incidence is declining, possibly due to decreasing prevalence of </w:t>
      </w:r>
      <w:r>
        <w:rPr>
          <w:i/>
          <w:color w:val="000000"/>
          <w:sz w:val="24"/>
          <w:szCs w:val="26"/>
        </w:rPr>
        <w:t xml:space="preserve">Helicobacter pylori </w:t>
      </w:r>
      <w:r>
        <w:rPr>
          <w:color w:val="000000"/>
          <w:sz w:val="24"/>
          <w:szCs w:val="26"/>
        </w:rPr>
        <w:t xml:space="preserve">infection (Agréus </w:t>
      </w:r>
      <w:r>
        <w:rPr>
          <w:i/>
          <w:iCs/>
          <w:color w:val="000000"/>
          <w:sz w:val="24"/>
          <w:szCs w:val="26"/>
        </w:rPr>
        <w:t>et al</w:t>
      </w:r>
      <w:r>
        <w:rPr>
          <w:color w:val="000000"/>
          <w:sz w:val="24"/>
          <w:szCs w:val="26"/>
        </w:rPr>
        <w:t xml:space="preserve">., 2016). </w:t>
      </w:r>
    </w:p>
    <w:p>
      <w:pPr>
        <w:pStyle w:val="style0"/>
        <w:spacing w:after="0" w:lineRule="auto" w:line="480"/>
        <w:ind w:firstLine="720"/>
        <w:jc w:val="both"/>
        <w:rPr>
          <w:color w:val="000000"/>
          <w:sz w:val="24"/>
          <w:szCs w:val="26"/>
        </w:rPr>
      </w:pPr>
      <w:r>
        <w:rPr>
          <w:color w:val="000000"/>
          <w:sz w:val="24"/>
          <w:szCs w:val="26"/>
        </w:rPr>
        <w:t xml:space="preserve">Previous studies suggest that 90% of duodenal ulcers and 70% of gastric ulcers are associated with </w:t>
      </w:r>
      <w:r>
        <w:rPr>
          <w:i/>
          <w:color w:val="000000"/>
          <w:sz w:val="24"/>
          <w:szCs w:val="26"/>
        </w:rPr>
        <w:t xml:space="preserve">Helicobacter pylori </w:t>
      </w:r>
      <w:r>
        <w:rPr>
          <w:color w:val="000000"/>
          <w:sz w:val="24"/>
          <w:szCs w:val="26"/>
        </w:rPr>
        <w:t xml:space="preserve">infection. Although these percentages are now considered to be lower, </w:t>
      </w:r>
      <w:r>
        <w:rPr>
          <w:i/>
          <w:color w:val="000000"/>
          <w:sz w:val="24"/>
          <w:szCs w:val="26"/>
        </w:rPr>
        <w:t xml:space="preserve">Helicobacter pylori </w:t>
      </w:r>
      <w:r>
        <w:rPr>
          <w:color w:val="000000"/>
          <w:sz w:val="24"/>
          <w:szCs w:val="26"/>
        </w:rPr>
        <w:t xml:space="preserve">is also an important risk factor for gastric cancer, which further emphasises the importance of its eradication (Ford </w:t>
      </w:r>
      <w:r>
        <w:rPr>
          <w:i/>
          <w:iCs/>
          <w:color w:val="000000"/>
          <w:sz w:val="24"/>
          <w:szCs w:val="26"/>
        </w:rPr>
        <w:t>et al</w:t>
      </w:r>
      <w:r>
        <w:rPr>
          <w:color w:val="000000"/>
          <w:sz w:val="24"/>
          <w:szCs w:val="26"/>
        </w:rPr>
        <w:t>., 2017).</w:t>
      </w:r>
    </w:p>
    <w:p>
      <w:pPr>
        <w:pStyle w:val="style0"/>
        <w:spacing w:after="0" w:lineRule="auto" w:line="480"/>
        <w:jc w:val="both"/>
        <w:rPr>
          <w:color w:val="000000"/>
          <w:sz w:val="24"/>
          <w:szCs w:val="26"/>
        </w:rPr>
      </w:pPr>
      <w:r>
        <w:rPr>
          <w:i/>
          <w:color w:val="000000"/>
          <w:sz w:val="24"/>
          <w:szCs w:val="26"/>
        </w:rPr>
        <w:t xml:space="preserve">Helicobacter pylori </w:t>
      </w:r>
      <w:r>
        <w:rPr>
          <w:color w:val="000000"/>
          <w:sz w:val="24"/>
          <w:szCs w:val="26"/>
        </w:rPr>
        <w:t xml:space="preserve">infection and the use of nonsteroidal anti-inflammatory drugs (NSAIDs) are the predominant causes of peptic ulcer disease (Kurata and Nogawa, 1997). Although </w:t>
      </w:r>
      <w:r>
        <w:rPr>
          <w:i/>
          <w:color w:val="000000"/>
          <w:sz w:val="24"/>
          <w:szCs w:val="26"/>
        </w:rPr>
        <w:t xml:space="preserve">Helicobacter </w:t>
      </w:r>
      <w:r>
        <w:rPr>
          <w:i/>
          <w:color w:val="000000"/>
          <w:sz w:val="24"/>
          <w:szCs w:val="26"/>
        </w:rPr>
        <w:t>pylori</w:t>
      </w:r>
      <w:r>
        <w:rPr>
          <w:color w:val="000000"/>
          <w:sz w:val="24"/>
          <w:szCs w:val="26"/>
        </w:rPr>
        <w:t xml:space="preserve"> is</w:t>
      </w:r>
      <w:r>
        <w:rPr>
          <w:color w:val="000000"/>
          <w:sz w:val="24"/>
          <w:szCs w:val="26"/>
        </w:rPr>
        <w:t xml:space="preserve"> present in the gastroduodenal mucosa in most patients with duodenal ulcers, only a minority (10 to 15 percent) of patients with </w:t>
      </w:r>
      <w:r>
        <w:rPr>
          <w:i/>
          <w:color w:val="000000"/>
          <w:sz w:val="24"/>
          <w:szCs w:val="26"/>
        </w:rPr>
        <w:t>H. pylori</w:t>
      </w:r>
      <w:r>
        <w:rPr>
          <w:color w:val="000000"/>
          <w:sz w:val="24"/>
          <w:szCs w:val="26"/>
        </w:rPr>
        <w:t xml:space="preserve"> infection develop peptic ulcer disease. </w:t>
      </w:r>
      <w:r>
        <w:rPr>
          <w:i/>
          <w:color w:val="000000"/>
          <w:sz w:val="24"/>
          <w:szCs w:val="26"/>
        </w:rPr>
        <w:t>Helicobacter pylori</w:t>
      </w:r>
      <w:r>
        <w:rPr>
          <w:color w:val="000000"/>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Pr>
          <w:i/>
          <w:iCs/>
          <w:color w:val="000000"/>
          <w:sz w:val="24"/>
          <w:szCs w:val="26"/>
        </w:rPr>
        <w:t>et al</w:t>
      </w:r>
      <w:r>
        <w:rPr>
          <w:color w:val="000000"/>
          <w:sz w:val="24"/>
          <w:szCs w:val="26"/>
        </w:rPr>
        <w:t xml:space="preserve">., 2003). </w:t>
      </w:r>
    </w:p>
    <w:p>
      <w:pPr>
        <w:pStyle w:val="style0"/>
        <w:spacing w:after="0" w:lineRule="auto" w:line="480"/>
        <w:jc w:val="both"/>
        <w:rPr>
          <w:color w:val="000000"/>
          <w:sz w:val="24"/>
          <w:szCs w:val="26"/>
        </w:rPr>
      </w:pPr>
    </w:p>
    <w:p>
      <w:pPr>
        <w:pStyle w:val="style0"/>
        <w:spacing w:after="0" w:lineRule="auto" w:line="480"/>
        <w:jc w:val="both"/>
        <w:rPr>
          <w:b/>
          <w:color w:val="000000"/>
          <w:sz w:val="24"/>
          <w:szCs w:val="26"/>
        </w:rPr>
      </w:pPr>
      <w:r>
        <w:rPr>
          <w:b/>
          <w:noProof/>
          <w:color w:val="000000"/>
          <w:sz w:val="24"/>
          <w:szCs w:val="26"/>
        </w:rPr>
        <w:drawing>
          <wp:inline distL="0" distT="0" distB="0" distR="0">
            <wp:extent cx="5341882" cy="2809875"/>
            <wp:effectExtent l="0" t="0" r="0" b="0"/>
            <wp:docPr id="1028"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5" cstate="print"/>
                    <a:srcRect l="0" t="0" r="0" b="0"/>
                    <a:stretch/>
                  </pic:blipFill>
                  <pic:spPr>
                    <a:xfrm rot="0">
                      <a:off x="0" y="0"/>
                      <a:ext cx="5341882" cy="280987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2: Peptic Ulcer infection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Lauret (2015)</w:t>
      </w:r>
      <w:r>
        <w:rPr>
          <w:color w:val="000000"/>
          <w:sz w:val="24"/>
          <w:szCs w:val="26"/>
        </w:rPr>
        <w:t>.</w:t>
      </w:r>
    </w:p>
    <w:p>
      <w:pPr>
        <w:pStyle w:val="style0"/>
        <w:spacing w:after="0" w:lineRule="auto" w:line="480"/>
        <w:jc w:val="both"/>
        <w:rPr>
          <w:b/>
          <w:color w:val="000000"/>
          <w:sz w:val="24"/>
          <w:szCs w:val="26"/>
        </w:rPr>
      </w:pPr>
      <w:r>
        <w:rPr>
          <w:b/>
          <w:color w:val="000000"/>
          <w:sz w:val="24"/>
          <w:szCs w:val="26"/>
        </w:rPr>
        <w:t>2.2.2 Skin Ulcer</w:t>
      </w:r>
    </w:p>
    <w:p>
      <w:pPr>
        <w:pStyle w:val="style0"/>
        <w:spacing w:after="0" w:lineRule="auto" w:line="480"/>
        <w:ind w:firstLine="720"/>
        <w:jc w:val="both"/>
        <w:rPr>
          <w:color w:val="000000"/>
          <w:sz w:val="24"/>
          <w:szCs w:val="26"/>
        </w:rPr>
      </w:pPr>
      <w:r>
        <w:rPr>
          <w:color w:val="000000"/>
          <w:sz w:val="24"/>
          <w:szCs w:val="26"/>
        </w:rPr>
        <w:t xml:space="preserve">A skin ulcer is a localized defect or excavation of the skin surface that results from the progressive disintegration and necrosis of epidermal and dermal tissues, often extending into the subcutaneous layers (Gupta </w:t>
      </w:r>
      <w:r>
        <w:rPr>
          <w:i/>
          <w:iCs/>
          <w:color w:val="000000"/>
          <w:sz w:val="24"/>
          <w:szCs w:val="26"/>
        </w:rPr>
        <w:t>et al</w:t>
      </w:r>
      <w:r>
        <w:rPr>
          <w:color w:val="000000"/>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Pr>
          <w:i/>
          <w:iCs/>
          <w:color w:val="000000"/>
          <w:sz w:val="24"/>
          <w:szCs w:val="26"/>
        </w:rPr>
        <w:t>et al</w:t>
      </w:r>
      <w:r>
        <w:rPr>
          <w:color w:val="000000"/>
          <w:sz w:val="24"/>
          <w:szCs w:val="26"/>
        </w:rPr>
        <w:t xml:space="preserve">., 2018). </w:t>
      </w:r>
    </w:p>
    <w:p>
      <w:pPr>
        <w:pStyle w:val="style0"/>
        <w:spacing w:after="0" w:lineRule="auto" w:line="480"/>
        <w:ind w:firstLine="720"/>
        <w:jc w:val="both"/>
        <w:rPr>
          <w:color w:val="000000"/>
          <w:sz w:val="24"/>
          <w:szCs w:val="26"/>
        </w:rPr>
      </w:pPr>
      <w:r>
        <w:rPr>
          <w:color w:val="000000"/>
          <w:sz w:val="24"/>
          <w:szCs w:val="26"/>
        </w:rPr>
        <w:t xml:space="preserve">Skin ulcers are a significant health concern globally, affecting individuals across various age groups and socioeconomic backgrounds. These chronic wounds result from </w:t>
      </w:r>
      <w:r>
        <w:rPr>
          <w:color w:val="000000"/>
          <w:sz w:val="24"/>
          <w:szCs w:val="26"/>
        </w:rPr>
        <w:t xml:space="preserve">multiple underlying conditions, including vascular insufficiency, prolonged pressure, infection, and systemic diseases (Sen </w:t>
      </w:r>
      <w:r>
        <w:rPr>
          <w:i/>
          <w:iCs/>
          <w:color w:val="000000"/>
          <w:sz w:val="24"/>
          <w:szCs w:val="26"/>
        </w:rPr>
        <w:t>et al</w:t>
      </w:r>
      <w:r>
        <w:rPr>
          <w:color w:val="000000"/>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Pr>
          <w:i/>
          <w:iCs/>
          <w:color w:val="000000"/>
          <w:sz w:val="24"/>
          <w:szCs w:val="26"/>
        </w:rPr>
        <w:t>et al</w:t>
      </w:r>
      <w:r>
        <w:rPr>
          <w:color w:val="000000"/>
          <w:sz w:val="24"/>
          <w:szCs w:val="26"/>
        </w:rPr>
        <w:t xml:space="preserve">., 2018). Studies have shown that factors such as persistent inflammation, excessive protease activity, and reduced cellular migration contribute to the delayed healing seen in ulcerative conditions (Eming </w:t>
      </w:r>
      <w:r>
        <w:rPr>
          <w:i/>
          <w:iCs/>
          <w:color w:val="000000"/>
          <w:sz w:val="24"/>
          <w:szCs w:val="26"/>
        </w:rPr>
        <w:t>et al</w:t>
      </w:r>
      <w:r>
        <w:rPr>
          <w:color w:val="000000"/>
          <w:sz w:val="24"/>
          <w:szCs w:val="26"/>
        </w:rPr>
        <w:t xml:space="preserve">., 2014). </w:t>
      </w:r>
    </w:p>
    <w:p>
      <w:pPr>
        <w:pStyle w:val="style0"/>
        <w:spacing w:after="0" w:lineRule="auto" w:line="480"/>
        <w:jc w:val="both"/>
        <w:rPr>
          <w:b/>
          <w:color w:val="000000"/>
          <w:sz w:val="24"/>
          <w:szCs w:val="26"/>
        </w:rPr>
      </w:pPr>
      <w:r>
        <w:rPr>
          <w:b/>
          <w:noProof/>
          <w:color w:val="000000"/>
          <w:sz w:val="24"/>
          <w:szCs w:val="26"/>
        </w:rPr>
        <w:drawing>
          <wp:inline distL="0" distT="0" distB="0" distR="0">
            <wp:extent cx="2474405" cy="2371725"/>
            <wp:effectExtent l="0" t="0" r="2540" b="0"/>
            <wp:docPr id="1029"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6" cstate="print"/>
                    <a:srcRect l="0" t="0" r="0" b="17828"/>
                    <a:stretch/>
                  </pic:blipFill>
                  <pic:spPr>
                    <a:xfrm rot="0">
                      <a:off x="0" y="0"/>
                      <a:ext cx="2474405" cy="2371725"/>
                    </a:xfrm>
                    <a:prstGeom prst="rect"/>
                    <a:ln>
                      <a:noFill/>
                    </a:ln>
                  </pic:spPr>
                </pic:pic>
              </a:graphicData>
            </a:graphic>
          </wp:inline>
        </w:drawing>
      </w:r>
      <w:r>
        <w:rPr>
          <w:b/>
          <w:color w:val="000000"/>
          <w:sz w:val="24"/>
          <w:szCs w:val="26"/>
        </w:rPr>
        <w:t xml:space="preserve"> </w:t>
      </w:r>
      <w:r>
        <w:rPr>
          <w:b/>
          <w:noProof/>
          <w:color w:val="000000"/>
          <w:sz w:val="24"/>
          <w:szCs w:val="26"/>
        </w:rPr>
        <w:drawing>
          <wp:inline distL="0" distT="0" distB="0" distR="0">
            <wp:extent cx="2537649" cy="2428875"/>
            <wp:effectExtent l="0" t="0" r="0" b="0"/>
            <wp:docPr id="103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7" cstate="print"/>
                    <a:srcRect l="0" t="12734" r="0" b="20834"/>
                    <a:stretch/>
                  </pic:blipFill>
                  <pic:spPr>
                    <a:xfrm rot="0">
                      <a:off x="0" y="0"/>
                      <a:ext cx="2537649" cy="242887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3: Skin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Skin ulcers are also associated with substantial economic burdens, as their treatment often involves prolonged hospitalization, use of advanced wound care products, and surgical interventions (Sen </w:t>
      </w:r>
      <w:r>
        <w:rPr>
          <w:i/>
          <w:iCs/>
          <w:color w:val="000000"/>
          <w:sz w:val="24"/>
          <w:szCs w:val="26"/>
        </w:rPr>
        <w:t>et al</w:t>
      </w:r>
      <w:r>
        <w:rPr>
          <w:color w:val="000000"/>
          <w:sz w:val="24"/>
          <w:szCs w:val="26"/>
        </w:rPr>
        <w:t xml:space="preserve">., 2009). A study by Guest </w:t>
      </w:r>
      <w:r>
        <w:rPr>
          <w:i/>
          <w:iCs/>
          <w:color w:val="000000"/>
          <w:sz w:val="24"/>
          <w:szCs w:val="26"/>
        </w:rPr>
        <w:t>et al</w:t>
      </w:r>
      <w:r>
        <w:rPr>
          <w:color w:val="000000"/>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Pr>
          <w:i/>
          <w:iCs/>
          <w:color w:val="000000"/>
          <w:sz w:val="24"/>
          <w:szCs w:val="26"/>
        </w:rPr>
        <w:t>et al</w:t>
      </w:r>
      <w:r>
        <w:rPr>
          <w:color w:val="000000"/>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Pr>
          <w:i/>
          <w:iCs/>
          <w:color w:val="000000"/>
          <w:sz w:val="24"/>
          <w:szCs w:val="26"/>
        </w:rPr>
        <w:t>et al</w:t>
      </w:r>
      <w:r>
        <w:rPr>
          <w:color w:val="000000"/>
          <w:sz w:val="24"/>
          <w:szCs w:val="26"/>
        </w:rPr>
        <w:t>., 2018).</w:t>
      </w:r>
    </w:p>
    <w:p>
      <w:pPr>
        <w:pStyle w:val="style0"/>
        <w:spacing w:after="0" w:lineRule="auto" w:line="480"/>
        <w:jc w:val="both"/>
        <w:rPr>
          <w:color w:val="000000"/>
          <w:sz w:val="24"/>
          <w:szCs w:val="26"/>
        </w:rPr>
      </w:pPr>
      <w:r>
        <w:rPr>
          <w:noProof/>
          <w:color w:val="000000"/>
          <w:sz w:val="24"/>
          <w:szCs w:val="26"/>
        </w:rPr>
        <w:drawing>
          <wp:inline distL="0" distT="0" distB="0" distR="0">
            <wp:extent cx="3705225" cy="2495550"/>
            <wp:effectExtent l="0" t="0" r="0" b="0"/>
            <wp:docPr id="103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3705225" cy="2495550"/>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3: Pressure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Venous ulcers are the most common type of chronic lower extremity ulcers and result from venous insufficiency due to dysfunctional venous valves (Armstrong </w:t>
      </w:r>
      <w:r>
        <w:rPr>
          <w:i/>
          <w:iCs/>
          <w:color w:val="000000"/>
          <w:sz w:val="24"/>
          <w:szCs w:val="26"/>
        </w:rPr>
        <w:t>et al</w:t>
      </w:r>
      <w:r>
        <w:rPr>
          <w:color w:val="000000"/>
          <w:sz w:val="24"/>
          <w:szCs w:val="26"/>
        </w:rPr>
        <w:t xml:space="preserve">., 2019). These ulcers are usually found around the medial malleolus, Figure 4 below shows </w:t>
      </w:r>
      <w:r>
        <w:rPr>
          <w:color w:val="000000"/>
          <w:sz w:val="24"/>
          <w:szCs w:val="26"/>
        </w:rPr>
        <w:t>Venous</w:t>
      </w:r>
      <w:r>
        <w:rPr>
          <w:color w:val="000000"/>
          <w:sz w:val="24"/>
          <w:szCs w:val="26"/>
        </w:rPr>
        <w:t xml:space="preserve"> ulcer effect on human skin, alwaysw presenting with irregular borders, edema, and hyperpigmentation due to hemosiderin deposition (O’Donnell </w:t>
      </w:r>
      <w:r>
        <w:rPr>
          <w:i/>
          <w:iCs/>
          <w:color w:val="000000"/>
          <w:sz w:val="24"/>
          <w:szCs w:val="26"/>
        </w:rPr>
        <w:t>et al</w:t>
      </w:r>
      <w:r>
        <w:rPr>
          <w:color w:val="000000"/>
          <w:sz w:val="24"/>
          <w:szCs w:val="26"/>
        </w:rPr>
        <w:t>., 2020).</w:t>
      </w:r>
    </w:p>
    <w:p>
      <w:pPr>
        <w:pStyle w:val="style0"/>
        <w:spacing w:after="0" w:lineRule="auto" w:line="480"/>
        <w:jc w:val="both"/>
        <w:rPr>
          <w:color w:val="000000"/>
          <w:sz w:val="24"/>
          <w:szCs w:val="26"/>
        </w:rPr>
      </w:pPr>
      <w:r>
        <w:rPr>
          <w:noProof/>
          <w:color w:val="000000"/>
          <w:sz w:val="24"/>
          <w:szCs w:val="26"/>
        </w:rPr>
        <w:drawing>
          <wp:inline distL="0" distT="0" distB="0" distR="0">
            <wp:extent cx="2975704" cy="2028825"/>
            <wp:effectExtent l="0" t="0" r="0" b="0"/>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9" cstate="print"/>
                    <a:srcRect l="0" t="0" r="0" b="0"/>
                    <a:stretch/>
                  </pic:blipFill>
                  <pic:spPr>
                    <a:xfrm rot="0">
                      <a:off x="0" y="0"/>
                      <a:ext cx="2975704" cy="202882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4: Venus Ulcer </w:t>
      </w:r>
    </w:p>
    <w:p>
      <w:pPr>
        <w:pStyle w:val="style0"/>
        <w:spacing w:after="0" w:lineRule="auto" w:line="480"/>
        <w:jc w:val="both"/>
        <w:rPr>
          <w:b/>
          <w:color w:val="000000"/>
          <w:sz w:val="24"/>
          <w:szCs w:val="26"/>
        </w:rPr>
      </w:pPr>
      <w:r>
        <w:rPr>
          <w:b/>
          <w:color w:val="000000"/>
          <w:sz w:val="24"/>
          <w:szCs w:val="26"/>
        </w:rPr>
        <w:t xml:space="preserve">Source: </w:t>
      </w:r>
      <w:r>
        <w:rPr>
          <w:color w:val="000000"/>
          <w:sz w:val="24"/>
          <w:szCs w:val="26"/>
        </w:rPr>
        <w:t>Kumar</w:t>
      </w:r>
      <w:r>
        <w:rPr>
          <w:color w:val="000000"/>
          <w:sz w:val="24"/>
          <w:szCs w:val="26"/>
        </w:rPr>
        <w:t>,</w:t>
      </w:r>
      <w:r>
        <w:rPr>
          <w:color w:val="000000"/>
          <w:sz w:val="24"/>
          <w:szCs w:val="26"/>
        </w:rPr>
        <w:t xml:space="preserve"> (2004)</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Arterial ulcers develop due to inadequate blood supply from peripheral arterial disease (PAD), leading to ischemia and tissue necrosis (Fowkes </w:t>
      </w:r>
      <w:r>
        <w:rPr>
          <w:i/>
          <w:iCs/>
          <w:color w:val="000000"/>
          <w:sz w:val="24"/>
          <w:szCs w:val="26"/>
        </w:rPr>
        <w:t>et al</w:t>
      </w:r>
      <w:r>
        <w:rPr>
          <w:color w:val="000000"/>
          <w:sz w:val="24"/>
          <w:szCs w:val="26"/>
        </w:rPr>
        <w:t xml:space="preserve">., 2020). These ulcers are usually located on the toes, feet, (see figure 5) or lateral malleolus and have a punched-out appearance with a pale wound bed and minimal exudate (Conte </w:t>
      </w:r>
      <w:r>
        <w:rPr>
          <w:i/>
          <w:iCs/>
          <w:color w:val="000000"/>
          <w:sz w:val="24"/>
          <w:szCs w:val="26"/>
        </w:rPr>
        <w:t>et al</w:t>
      </w:r>
      <w:r>
        <w:rPr>
          <w:color w:val="000000"/>
          <w:sz w:val="24"/>
          <w:szCs w:val="26"/>
        </w:rPr>
        <w:t>., 2019).</w:t>
      </w:r>
    </w:p>
    <w:p>
      <w:pPr>
        <w:pStyle w:val="style0"/>
        <w:spacing w:after="0" w:lineRule="auto" w:line="480"/>
        <w:ind w:firstLine="720"/>
        <w:jc w:val="both"/>
        <w:rPr>
          <w:color w:val="000000"/>
          <w:sz w:val="24"/>
          <w:szCs w:val="26"/>
        </w:rPr>
      </w:pPr>
    </w:p>
    <w:p>
      <w:pPr>
        <w:pStyle w:val="style0"/>
        <w:spacing w:after="0" w:lineRule="auto" w:line="480"/>
        <w:jc w:val="both"/>
        <w:rPr>
          <w:color w:val="000000"/>
          <w:sz w:val="24"/>
          <w:szCs w:val="26"/>
        </w:rPr>
      </w:pPr>
      <w:r>
        <w:rPr>
          <w:noProof/>
          <w:color w:val="000000"/>
          <w:sz w:val="24"/>
          <w:szCs w:val="26"/>
        </w:rPr>
        <w:drawing>
          <wp:inline distL="0" distT="0" distB="0" distR="0">
            <wp:extent cx="2581275" cy="1762125"/>
            <wp:effectExtent l="0" t="0" r="9525" b="9525"/>
            <wp:docPr id="1033"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0" cstate="print"/>
                    <a:srcRect l="0" t="0" r="0" b="0"/>
                    <a:stretch/>
                  </pic:blipFill>
                  <pic:spPr>
                    <a:xfrm rot="0">
                      <a:off x="0" y="0"/>
                      <a:ext cx="2581275" cy="176212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5: Arterial ulcers </w:t>
      </w:r>
    </w:p>
    <w:p>
      <w:pPr>
        <w:pStyle w:val="style0"/>
        <w:spacing w:after="0" w:lineRule="auto" w:line="480"/>
        <w:jc w:val="both"/>
        <w:rPr>
          <w:color w:val="000000"/>
          <w:sz w:val="24"/>
          <w:szCs w:val="26"/>
        </w:rPr>
      </w:pPr>
      <w:r>
        <w:rPr>
          <w:b/>
          <w:color w:val="000000"/>
          <w:sz w:val="24"/>
          <w:szCs w:val="26"/>
        </w:rPr>
        <w:t xml:space="preserve">Source: </w:t>
      </w:r>
      <w:r>
        <w:rPr>
          <w:color w:val="000000"/>
          <w:sz w:val="24"/>
          <w:szCs w:val="26"/>
        </w:rPr>
        <w:t xml:space="preserve">Fowkes </w:t>
      </w:r>
      <w:r>
        <w:rPr>
          <w:i/>
          <w:iCs/>
          <w:color w:val="000000"/>
          <w:sz w:val="24"/>
          <w:szCs w:val="26"/>
        </w:rPr>
        <w:t>et al</w:t>
      </w:r>
      <w:r>
        <w:rPr>
          <w:color w:val="000000"/>
          <w:sz w:val="24"/>
          <w:szCs w:val="26"/>
        </w:rPr>
        <w:t>. (2020)</w:t>
      </w:r>
      <w:r>
        <w:rPr>
          <w:color w:val="000000"/>
          <w:sz w:val="24"/>
          <w:szCs w:val="26"/>
        </w:rPr>
        <w:t>.</w:t>
      </w:r>
    </w:p>
    <w:p>
      <w:pPr>
        <w:pStyle w:val="style0"/>
        <w:spacing w:after="0" w:lineRule="auto" w:line="480"/>
        <w:ind w:firstLine="720"/>
        <w:jc w:val="both"/>
        <w:rPr>
          <w:color w:val="000000"/>
          <w:sz w:val="24"/>
          <w:szCs w:val="26"/>
        </w:rPr>
      </w:pPr>
      <w:r>
        <w:rPr>
          <w:color w:val="000000"/>
          <w:sz w:val="24"/>
          <w:szCs w:val="26"/>
        </w:rPr>
        <w:t xml:space="preserve">Neuropathic ulcers are common in diabetic patients and result from peripheral neuropathy, leading to loss of sensation and repeated trauma (Armstrong </w:t>
      </w:r>
      <w:r>
        <w:rPr>
          <w:i/>
          <w:iCs/>
          <w:color w:val="000000"/>
          <w:sz w:val="24"/>
          <w:szCs w:val="26"/>
        </w:rPr>
        <w:t>et al</w:t>
      </w:r>
      <w:r>
        <w:rPr>
          <w:color w:val="000000"/>
          <w:sz w:val="24"/>
          <w:szCs w:val="26"/>
        </w:rPr>
        <w:t xml:space="preserve">., 2021). These ulcers are typically found on weight-bearing areas of the feet (figure 6), and are often associated with osteomyelitis and poor healing (Lazzarini </w:t>
      </w:r>
      <w:r>
        <w:rPr>
          <w:i/>
          <w:iCs/>
          <w:color w:val="000000"/>
          <w:sz w:val="24"/>
          <w:szCs w:val="26"/>
        </w:rPr>
        <w:t>et al</w:t>
      </w:r>
      <w:r>
        <w:rPr>
          <w:color w:val="000000"/>
          <w:sz w:val="24"/>
          <w:szCs w:val="26"/>
        </w:rPr>
        <w:t xml:space="preserve">., 2019). Skin ulcers can also arise due to bacterial, viral, or fungal infections. Examples include </w:t>
      </w:r>
      <w:r>
        <w:rPr>
          <w:color w:val="000000"/>
          <w:sz w:val="24"/>
          <w:szCs w:val="26"/>
        </w:rPr>
        <w:t xml:space="preserve">Mycobacterium ulcerans infections (Buruli ulcer), Treponema pallidum (syphilitic ulcers), and Leishmania species (cutaneous leishmaniasis) (Sadeghian </w:t>
      </w:r>
      <w:r>
        <w:rPr>
          <w:i/>
          <w:iCs/>
          <w:color w:val="000000"/>
          <w:sz w:val="24"/>
          <w:szCs w:val="26"/>
        </w:rPr>
        <w:t>et al</w:t>
      </w:r>
      <w:r>
        <w:rPr>
          <w:color w:val="000000"/>
          <w:sz w:val="24"/>
          <w:szCs w:val="26"/>
        </w:rPr>
        <w:t>., 2020).</w:t>
      </w:r>
    </w:p>
    <w:p>
      <w:pPr>
        <w:pStyle w:val="style0"/>
        <w:spacing w:after="0" w:lineRule="auto" w:line="480"/>
        <w:jc w:val="both"/>
        <w:rPr>
          <w:color w:val="000000"/>
          <w:sz w:val="24"/>
          <w:szCs w:val="26"/>
        </w:rPr>
      </w:pPr>
      <w:r>
        <w:rPr>
          <w:noProof/>
          <w:color w:val="000000"/>
          <w:sz w:val="24"/>
          <w:szCs w:val="26"/>
        </w:rPr>
        <w:drawing>
          <wp:inline distL="0" distT="0" distB="0" distR="0">
            <wp:extent cx="2695575" cy="1243485"/>
            <wp:effectExtent l="0" t="0" r="0" b="0"/>
            <wp:docPr id="103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1" cstate="print"/>
                    <a:srcRect l="0" t="0" r="0" b="0"/>
                    <a:stretch/>
                  </pic:blipFill>
                  <pic:spPr>
                    <a:xfrm rot="0">
                      <a:off x="0" y="0"/>
                      <a:ext cx="2695575" cy="1243485"/>
                    </a:xfrm>
                    <a:prstGeom prst="rect"/>
                  </pic:spPr>
                </pic:pic>
              </a:graphicData>
            </a:graphic>
          </wp:inline>
        </w:drawing>
      </w:r>
    </w:p>
    <w:p>
      <w:pPr>
        <w:pStyle w:val="style0"/>
        <w:spacing w:after="0" w:lineRule="auto" w:line="480"/>
        <w:jc w:val="both"/>
        <w:rPr>
          <w:b/>
          <w:color w:val="000000"/>
          <w:sz w:val="24"/>
          <w:szCs w:val="26"/>
        </w:rPr>
      </w:pPr>
      <w:r>
        <w:rPr>
          <w:b/>
          <w:color w:val="000000"/>
          <w:sz w:val="24"/>
          <w:szCs w:val="26"/>
        </w:rPr>
        <w:t>Figure 6: Arterial ulcers</w:t>
      </w:r>
    </w:p>
    <w:p>
      <w:pPr>
        <w:pStyle w:val="style0"/>
        <w:spacing w:after="0" w:lineRule="auto" w:line="480"/>
        <w:jc w:val="both"/>
        <w:rPr>
          <w:b/>
          <w:color w:val="000000"/>
          <w:sz w:val="24"/>
          <w:szCs w:val="26"/>
        </w:rPr>
      </w:pPr>
      <w:r>
        <w:rPr>
          <w:b/>
          <w:color w:val="000000"/>
          <w:sz w:val="24"/>
          <w:szCs w:val="26"/>
        </w:rPr>
        <w:t>2.2.3 Mouth Ulcer</w:t>
      </w:r>
    </w:p>
    <w:p>
      <w:pPr>
        <w:pStyle w:val="style0"/>
        <w:spacing w:after="0" w:lineRule="auto" w:line="480"/>
        <w:ind w:firstLine="720"/>
        <w:jc w:val="both"/>
        <w:rPr>
          <w:color w:val="000000"/>
          <w:sz w:val="24"/>
          <w:szCs w:val="26"/>
        </w:rPr>
      </w:pPr>
      <w:r>
        <w:rPr>
          <w:color w:val="000000"/>
          <w:sz w:val="24"/>
          <w:szCs w:val="26"/>
        </w:rPr>
        <w:t>The oral cavity is lined by epithelia, extending from the inner aspect of the lips to the oropharynx. Keratinized mucosa includes the dorsal tongue, ging</w:t>
      </w:r>
      <w:r>
        <w:rPr>
          <w:color w:val="000000"/>
          <w:sz w:val="24"/>
          <w:szCs w:val="26"/>
        </w:rPr>
        <w:t xml:space="preserve">ivae and hard palate, while non </w:t>
      </w:r>
      <w:r>
        <w:rPr>
          <w:color w:val="000000"/>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Pr>
          <w:rFonts w:eastAsia="Times New Roman"/>
          <w:color w:val="000000"/>
          <w:sz w:val="24"/>
          <w:szCs w:val="26"/>
        </w:rPr>
        <w:t xml:space="preserve">Yogarajah and Setterfield, 2021). </w:t>
      </w:r>
      <w:r>
        <w:rPr>
          <w:color w:val="000000"/>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2019).</w:t>
      </w:r>
    </w:p>
    <w:p>
      <w:pPr>
        <w:pStyle w:val="style0"/>
        <w:spacing w:after="0" w:lineRule="auto" w:line="480"/>
        <w:ind w:firstLine="720"/>
        <w:jc w:val="both"/>
        <w:rPr>
          <w:color w:val="000000"/>
          <w:sz w:val="24"/>
          <w:szCs w:val="26"/>
        </w:rPr>
      </w:pPr>
      <w:r>
        <w:rPr>
          <w:color w:val="000000"/>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Pr>
          <w:color w:val="000000"/>
          <w:sz w:val="24"/>
          <w:szCs w:val="26"/>
        </w:rPr>
        <w:t>immune related, traumatic, or neoplastic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xml:space="preserve">., 2019). </w:t>
      </w:r>
      <w:r>
        <w:rPr>
          <w:color w:val="000000"/>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Pr>
          <w:i/>
          <w:iCs/>
          <w:color w:val="000000"/>
          <w:sz w:val="24"/>
          <w:szCs w:val="26"/>
        </w:rPr>
        <w:t>et al</w:t>
      </w:r>
      <w:r>
        <w:rPr>
          <w:color w:val="000000"/>
          <w:sz w:val="24"/>
          <w:szCs w:val="26"/>
        </w:rPr>
        <w:t xml:space="preserve">., 2003). </w:t>
      </w:r>
    </w:p>
    <w:p>
      <w:pPr>
        <w:pStyle w:val="style0"/>
        <w:spacing w:after="0" w:lineRule="auto" w:line="480"/>
        <w:ind w:firstLine="720"/>
        <w:jc w:val="both"/>
        <w:rPr>
          <w:color w:val="000000"/>
          <w:sz w:val="24"/>
          <w:szCs w:val="26"/>
        </w:rPr>
      </w:pPr>
      <w:r>
        <w:rPr>
          <w:color w:val="000000"/>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Pr>
          <w:i/>
          <w:iCs/>
          <w:color w:val="000000"/>
          <w:sz w:val="24"/>
          <w:szCs w:val="26"/>
        </w:rPr>
        <w:t>et al</w:t>
      </w:r>
      <w:r>
        <w:rPr>
          <w:color w:val="000000"/>
          <w:sz w:val="24"/>
          <w:szCs w:val="26"/>
        </w:rPr>
        <w:t xml:space="preserve">., 2000; Mantovani </w:t>
      </w:r>
      <w:r>
        <w:rPr>
          <w:i/>
          <w:iCs/>
          <w:color w:val="000000"/>
          <w:sz w:val="24"/>
          <w:szCs w:val="26"/>
        </w:rPr>
        <w:t>et al</w:t>
      </w:r>
      <w:r>
        <w:rPr>
          <w:color w:val="000000"/>
          <w:sz w:val="24"/>
          <w:szCs w:val="26"/>
        </w:rPr>
        <w:t>., 2003).</w:t>
      </w:r>
    </w:p>
    <w:p>
      <w:pPr>
        <w:pStyle w:val="style0"/>
        <w:spacing w:after="0" w:lineRule="auto" w:line="480"/>
        <w:jc w:val="both"/>
        <w:rPr>
          <w:b/>
          <w:color w:val="000000"/>
          <w:sz w:val="24"/>
          <w:szCs w:val="26"/>
        </w:rPr>
      </w:pPr>
      <w:r>
        <w:rPr>
          <w:b/>
          <w:noProof/>
          <w:color w:val="000000"/>
          <w:sz w:val="24"/>
          <w:szCs w:val="26"/>
        </w:rPr>
        <w:drawing>
          <wp:inline distL="0" distT="0" distB="0" distR="0">
            <wp:extent cx="2424412" cy="2358292"/>
            <wp:effectExtent l="0" t="0" r="0" b="4445"/>
            <wp:docPr id="1035"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2" cstate="print"/>
                    <a:srcRect l="0" t="0" r="0" b="0"/>
                    <a:stretch/>
                  </pic:blipFill>
                  <pic:spPr>
                    <a:xfrm rot="0">
                      <a:off x="0" y="0"/>
                      <a:ext cx="2424412" cy="2358292"/>
                    </a:xfrm>
                    <a:prstGeom prst="rect"/>
                  </pic:spPr>
                </pic:pic>
              </a:graphicData>
            </a:graphic>
          </wp:inline>
        </w:drawing>
      </w:r>
      <w:r>
        <w:rPr>
          <w:b/>
          <w:noProof/>
          <w:color w:val="000000"/>
          <w:sz w:val="24"/>
          <w:szCs w:val="26"/>
        </w:rPr>
        <w:drawing>
          <wp:inline distL="0" distT="0" distB="0" distR="0">
            <wp:extent cx="2846070" cy="2319316"/>
            <wp:effectExtent l="0" t="0" r="0" b="5080"/>
            <wp:docPr id="1036"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13" cstate="print"/>
                    <a:srcRect l="0" t="0" r="0" b="0"/>
                    <a:stretch/>
                  </pic:blipFill>
                  <pic:spPr>
                    <a:xfrm rot="0">
                      <a:off x="0" y="0"/>
                      <a:ext cx="2846070" cy="2319316"/>
                    </a:xfrm>
                    <a:prstGeom prst="rect"/>
                  </pic:spPr>
                </pic:pic>
              </a:graphicData>
            </a:graphic>
          </wp:inline>
        </w:drawing>
      </w:r>
      <w:r>
        <w:rPr>
          <w:b/>
          <w:color w:val="000000"/>
          <w:sz w:val="24"/>
          <w:szCs w:val="26"/>
        </w:rPr>
        <w:t xml:space="preserve">       </w:t>
      </w:r>
    </w:p>
    <w:p>
      <w:pPr>
        <w:pStyle w:val="style179"/>
        <w:numPr>
          <w:ilvl w:val="0"/>
          <w:numId w:val="10"/>
        </w:numPr>
        <w:spacing w:after="0" w:lineRule="auto" w:line="480"/>
        <w:jc w:val="both"/>
        <w:rPr>
          <w:b/>
          <w:color w:val="000000"/>
          <w:sz w:val="24"/>
          <w:szCs w:val="26"/>
        </w:rPr>
      </w:pPr>
      <w:r>
        <w:rPr>
          <w:b/>
          <w:color w:val="000000"/>
          <w:sz w:val="24"/>
          <w:szCs w:val="26"/>
        </w:rPr>
        <w:t xml:space="preserve">                                                      (b)</w:t>
      </w:r>
    </w:p>
    <w:p>
      <w:pPr>
        <w:pStyle w:val="style0"/>
        <w:spacing w:after="0" w:lineRule="auto" w:line="480"/>
        <w:jc w:val="both"/>
        <w:rPr>
          <w:b/>
          <w:color w:val="000000"/>
          <w:sz w:val="24"/>
          <w:szCs w:val="26"/>
        </w:rPr>
      </w:pPr>
      <w:r>
        <w:rPr>
          <w:b/>
          <w:color w:val="000000"/>
          <w:sz w:val="24"/>
          <w:szCs w:val="26"/>
        </w:rPr>
        <w:t>Figure 7: (a) Aphthous Ulcerations           (b)</w:t>
      </w:r>
      <w:r>
        <w:rPr>
          <w:color w:val="000000"/>
          <w:sz w:val="24"/>
          <w:szCs w:val="26"/>
        </w:rPr>
        <w:t xml:space="preserve"> </w:t>
      </w:r>
      <w:r>
        <w:rPr>
          <w:b/>
          <w:color w:val="000000"/>
          <w:sz w:val="24"/>
          <w:szCs w:val="26"/>
        </w:rPr>
        <w:t>Herpetiform ulceration</w:t>
      </w:r>
    </w:p>
    <w:p>
      <w:pPr>
        <w:pStyle w:val="style0"/>
        <w:spacing w:after="0" w:lineRule="auto" w:line="480"/>
        <w:jc w:val="both"/>
        <w:rPr>
          <w:color w:val="000000"/>
          <w:sz w:val="24"/>
          <w:szCs w:val="26"/>
        </w:rPr>
      </w:pPr>
      <w:r>
        <w:rPr>
          <w:b/>
          <w:color w:val="000000"/>
          <w:sz w:val="24"/>
          <w:szCs w:val="26"/>
        </w:rPr>
        <w:t>Source:</w:t>
      </w:r>
      <w:r>
        <w:rPr>
          <w:color w:val="000000"/>
          <w:sz w:val="24"/>
          <w:szCs w:val="26"/>
        </w:rPr>
        <w:t xml:space="preserve"> Crispian and Rosemary (2000)</w:t>
      </w:r>
      <w:r>
        <w:rPr>
          <w:color w:val="000000"/>
          <w:sz w:val="24"/>
          <w:szCs w:val="26"/>
        </w:rPr>
        <w:t>.</w:t>
      </w:r>
    </w:p>
    <w:p>
      <w:pPr>
        <w:pStyle w:val="style0"/>
        <w:spacing w:after="0" w:lineRule="auto" w:line="480"/>
        <w:jc w:val="both"/>
        <w:rPr>
          <w:b/>
          <w:color w:val="000000"/>
          <w:sz w:val="24"/>
          <w:szCs w:val="26"/>
        </w:rPr>
      </w:pPr>
      <w:r>
        <w:rPr>
          <w:b/>
          <w:color w:val="000000"/>
          <w:sz w:val="24"/>
          <w:szCs w:val="26"/>
        </w:rPr>
        <w:t>2.2.4 Corneal Ulcer</w:t>
      </w:r>
    </w:p>
    <w:p>
      <w:pPr>
        <w:pStyle w:val="style0"/>
        <w:spacing w:after="0" w:lineRule="auto" w:line="480"/>
        <w:ind w:firstLine="720"/>
        <w:jc w:val="both"/>
        <w:rPr>
          <w:b/>
          <w:color w:val="000000"/>
          <w:sz w:val="24"/>
          <w:szCs w:val="26"/>
        </w:rPr>
      </w:pPr>
      <w:r>
        <w:rPr>
          <w:color w:val="000000"/>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Pr>
          <w:i/>
          <w:iCs/>
          <w:color w:val="000000"/>
          <w:sz w:val="24"/>
          <w:szCs w:val="26"/>
        </w:rPr>
        <w:t>et al</w:t>
      </w:r>
      <w:r>
        <w:rPr>
          <w:color w:val="000000"/>
          <w:sz w:val="24"/>
          <w:szCs w:val="26"/>
        </w:rPr>
        <w:t xml:space="preserve">., 2003). </w:t>
      </w:r>
    </w:p>
    <w:p>
      <w:pPr>
        <w:pStyle w:val="style0"/>
        <w:spacing w:after="0" w:lineRule="auto" w:line="480"/>
        <w:ind w:firstLine="720"/>
        <w:jc w:val="both"/>
        <w:rPr>
          <w:color w:val="000000"/>
          <w:sz w:val="24"/>
          <w:szCs w:val="26"/>
        </w:rPr>
      </w:pPr>
      <w:r>
        <w:rPr>
          <w:color w:val="000000"/>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Pr>
          <w:color w:val="000000"/>
          <w:sz w:val="24"/>
          <w:szCs w:val="26"/>
        </w:rPr>
        <w:t xml:space="preserve">compromise the corneal surface, such as dry eye or previous eye surgery (Johnson, 2023). </w:t>
      </w:r>
      <w:r>
        <w:rPr>
          <w:rFonts w:eastAsia="Times New Roman"/>
          <w:color w:val="000000"/>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Pr>
          <w:rFonts w:eastAsia="Times New Roman"/>
          <w:i/>
          <w:iCs/>
          <w:color w:val="000000"/>
          <w:sz w:val="24"/>
          <w:szCs w:val="26"/>
        </w:rPr>
        <w:t>et al</w:t>
      </w:r>
      <w:r>
        <w:rPr>
          <w:rFonts w:eastAsia="Times New Roman"/>
          <w:color w:val="000000"/>
          <w:sz w:val="24"/>
          <w:szCs w:val="26"/>
        </w:rPr>
        <w:t>., 2023).</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pPr>
        <w:pStyle w:val="style0"/>
        <w:spacing w:after="0" w:lineRule="auto" w:line="480"/>
        <w:jc w:val="both"/>
        <w:rPr>
          <w:rFonts w:eastAsia="Times New Roman"/>
          <w:color w:val="000000"/>
          <w:sz w:val="24"/>
          <w:szCs w:val="26"/>
        </w:rPr>
      </w:pPr>
      <w:r>
        <w:rPr>
          <w:rFonts w:eastAsia="Times New Roman"/>
          <w:noProof/>
          <w:color w:val="000000"/>
          <w:sz w:val="24"/>
          <w:szCs w:val="26"/>
        </w:rPr>
        <w:drawing>
          <wp:inline distL="0" distT="0" distB="0" distR="0">
            <wp:extent cx="2375819" cy="1750950"/>
            <wp:effectExtent l="0" t="0" r="5715" b="1905"/>
            <wp:docPr id="1037"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14" cstate="print"/>
                    <a:srcRect l="0" t="0" r="0" b="0"/>
                    <a:stretch/>
                  </pic:blipFill>
                  <pic:spPr>
                    <a:xfrm rot="0">
                      <a:off x="0" y="0"/>
                      <a:ext cx="2375819" cy="1750950"/>
                    </a:xfrm>
                    <a:prstGeom prst="rect"/>
                  </pic:spPr>
                </pic:pic>
              </a:graphicData>
            </a:graphic>
          </wp:inline>
        </w:drawing>
      </w:r>
    </w:p>
    <w:p>
      <w:pPr>
        <w:pStyle w:val="style0"/>
        <w:spacing w:after="0" w:lineRule="auto" w:line="480"/>
        <w:jc w:val="both"/>
        <w:rPr>
          <w:b/>
          <w:bCs/>
          <w:color w:val="000000"/>
          <w:sz w:val="24"/>
          <w:szCs w:val="26"/>
        </w:rPr>
      </w:pPr>
      <w:r>
        <w:rPr>
          <w:b/>
          <w:color w:val="000000"/>
          <w:sz w:val="24"/>
          <w:szCs w:val="26"/>
        </w:rPr>
        <w:t xml:space="preserve">Figure 8: The </w:t>
      </w:r>
      <w:r>
        <w:rPr>
          <w:b/>
          <w:bCs/>
          <w:color w:val="000000"/>
          <w:sz w:val="24"/>
          <w:szCs w:val="26"/>
        </w:rPr>
        <w:t xml:space="preserve">Fungal keratitis </w:t>
      </w:r>
    </w:p>
    <w:p>
      <w:pPr>
        <w:pStyle w:val="style0"/>
        <w:spacing w:after="0" w:lineRule="auto" w:line="480"/>
        <w:jc w:val="both"/>
        <w:rPr>
          <w:b/>
          <w:bCs/>
          <w:color w:val="000000"/>
          <w:sz w:val="24"/>
          <w:szCs w:val="26"/>
        </w:rPr>
      </w:pPr>
      <w:r>
        <w:rPr>
          <w:b/>
          <w:bCs/>
          <w:color w:val="000000"/>
          <w:sz w:val="24"/>
          <w:szCs w:val="26"/>
        </w:rPr>
        <w:t xml:space="preserve">Source: </w:t>
      </w:r>
      <w:r>
        <w:rPr>
          <w:rFonts w:eastAsia="Times New Roman"/>
          <w:color w:val="000000"/>
          <w:sz w:val="24"/>
          <w:szCs w:val="26"/>
        </w:rPr>
        <w:t>WHO (2015)</w:t>
      </w:r>
    </w:p>
    <w:p>
      <w:pPr>
        <w:pStyle w:val="style0"/>
        <w:spacing w:after="0" w:lineRule="auto" w:line="480"/>
        <w:jc w:val="both"/>
        <w:rPr>
          <w:b/>
          <w:color w:val="000000"/>
          <w:sz w:val="24"/>
          <w:szCs w:val="26"/>
        </w:rPr>
      </w:pPr>
      <w:r>
        <w:rPr>
          <w:b/>
          <w:color w:val="000000"/>
          <w:sz w:val="24"/>
          <w:szCs w:val="26"/>
        </w:rPr>
        <w:t>2.2.5 Diabetic Ulcer</w:t>
      </w:r>
    </w:p>
    <w:p>
      <w:pPr>
        <w:pStyle w:val="style0"/>
        <w:spacing w:after="0" w:lineRule="auto" w:line="480"/>
        <w:ind w:firstLine="720"/>
        <w:jc w:val="both"/>
        <w:rPr>
          <w:color w:val="000000"/>
          <w:sz w:val="24"/>
          <w:szCs w:val="26"/>
        </w:rPr>
      </w:pPr>
      <w:r>
        <w:rPr>
          <w:color w:val="000000"/>
          <w:sz w:val="24"/>
          <w:szCs w:val="26"/>
        </w:rPr>
        <w:t xml:space="preserve">Diabetes mellitus affects approximately 422 million people worldwide and is responsible for an estimated 2 million deaths per year. It affects 11.3% of the United States population (Raja </w:t>
      </w:r>
      <w:r>
        <w:rPr>
          <w:i/>
          <w:iCs/>
          <w:color w:val="000000"/>
          <w:sz w:val="24"/>
          <w:szCs w:val="26"/>
        </w:rPr>
        <w:t>et al</w:t>
      </w:r>
      <w:r>
        <w:rPr>
          <w:color w:val="000000"/>
          <w:sz w:val="24"/>
          <w:szCs w:val="26"/>
        </w:rPr>
        <w:t xml:space="preserve">., 2023). Diabetic ulcer (DU) is a debilitating and severe manifestation of uncontrolled and prolonged diabetes that presents as </w:t>
      </w:r>
      <w:r>
        <w:rPr>
          <w:color w:val="000000"/>
          <w:sz w:val="24"/>
          <w:szCs w:val="26"/>
        </w:rPr>
        <w:t>an ulceration</w:t>
      </w:r>
      <w:r>
        <w:rPr>
          <w:color w:val="000000"/>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Pr>
          <w:i/>
          <w:iCs/>
          <w:color w:val="000000"/>
          <w:sz w:val="24"/>
          <w:szCs w:val="26"/>
        </w:rPr>
        <w:t>et al</w:t>
      </w:r>
      <w:r>
        <w:rPr>
          <w:color w:val="000000"/>
          <w:sz w:val="24"/>
          <w:szCs w:val="26"/>
        </w:rPr>
        <w:t>., 2023).</w:t>
      </w:r>
    </w:p>
    <w:p>
      <w:pPr>
        <w:pStyle w:val="style0"/>
        <w:spacing w:after="0" w:lineRule="auto" w:line="480"/>
        <w:ind w:firstLine="720"/>
        <w:jc w:val="both"/>
        <w:rPr>
          <w:color w:val="000000"/>
          <w:sz w:val="24"/>
          <w:szCs w:val="26"/>
        </w:rPr>
      </w:pPr>
      <w:r>
        <w:rPr>
          <w:color w:val="000000"/>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Pr>
          <w:i/>
          <w:iCs/>
          <w:color w:val="000000"/>
          <w:sz w:val="24"/>
          <w:szCs w:val="26"/>
        </w:rPr>
        <w:t>et al</w:t>
      </w:r>
      <w:r>
        <w:rPr>
          <w:color w:val="000000"/>
          <w:sz w:val="24"/>
          <w:szCs w:val="26"/>
        </w:rPr>
        <w:t>., 2023).</w:t>
      </w:r>
    </w:p>
    <w:p>
      <w:pPr>
        <w:pStyle w:val="style0"/>
        <w:spacing w:after="0" w:lineRule="auto" w:line="480"/>
        <w:jc w:val="both"/>
        <w:rPr>
          <w:rFonts w:eastAsia="Times New Roman"/>
          <w:color w:val="000000"/>
          <w:sz w:val="24"/>
          <w:szCs w:val="26"/>
        </w:rPr>
      </w:pPr>
      <w:r>
        <w:rPr>
          <w:rFonts w:eastAsia="Times New Roman"/>
          <w:noProof/>
          <w:color w:val="000000"/>
          <w:sz w:val="24"/>
          <w:szCs w:val="26"/>
        </w:rPr>
        <w:drawing>
          <wp:inline distL="0" distT="0" distB="0" distR="0">
            <wp:extent cx="5800534" cy="3438525"/>
            <wp:effectExtent l="0" t="0" r="0" b="0"/>
            <wp:docPr id="103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5" cstate="print"/>
                    <a:srcRect l="0" t="0" r="0" b="5957"/>
                    <a:stretch/>
                  </pic:blipFill>
                  <pic:spPr>
                    <a:xfrm rot="0">
                      <a:off x="0" y="0"/>
                      <a:ext cx="5800534" cy="3438525"/>
                    </a:xfrm>
                    <a:prstGeom prst="rect"/>
                    <a:ln>
                      <a:noFill/>
                    </a:ln>
                  </pic:spPr>
                </pic:pic>
              </a:graphicData>
            </a:graphic>
          </wp:inline>
        </w:drawing>
      </w:r>
    </w:p>
    <w:p>
      <w:pPr>
        <w:pStyle w:val="style0"/>
        <w:spacing w:after="0" w:lineRule="auto" w:line="480"/>
        <w:jc w:val="both"/>
        <w:rPr>
          <w:b/>
          <w:color w:val="000000"/>
          <w:sz w:val="24"/>
          <w:szCs w:val="26"/>
        </w:rPr>
      </w:pPr>
      <w:r>
        <w:rPr>
          <w:b/>
          <w:color w:val="000000"/>
          <w:sz w:val="24"/>
          <w:szCs w:val="26"/>
        </w:rPr>
        <w:t xml:space="preserve">Figure 9: The pathophysiology of Diabetic Ulcer  </w:t>
      </w:r>
    </w:p>
    <w:p>
      <w:pPr>
        <w:pStyle w:val="style0"/>
        <w:spacing w:after="0" w:lineRule="auto" w:line="480"/>
        <w:jc w:val="both"/>
        <w:rPr>
          <w:b/>
          <w:color w:val="000000"/>
          <w:sz w:val="24"/>
          <w:szCs w:val="26"/>
        </w:rPr>
      </w:pPr>
      <w:r>
        <w:rPr>
          <w:b/>
          <w:color w:val="000000"/>
          <w:sz w:val="24"/>
          <w:szCs w:val="26"/>
        </w:rPr>
        <w:t xml:space="preserve"> Source: </w:t>
      </w:r>
      <w:r>
        <w:rPr>
          <w:color w:val="000000"/>
          <w:sz w:val="24"/>
          <w:szCs w:val="26"/>
        </w:rPr>
        <w:t xml:space="preserve">Raja </w:t>
      </w:r>
      <w:r>
        <w:rPr>
          <w:i/>
          <w:iCs/>
          <w:color w:val="000000"/>
          <w:sz w:val="24"/>
          <w:szCs w:val="26"/>
        </w:rPr>
        <w:t>et al</w:t>
      </w:r>
      <w:r>
        <w:rPr>
          <w:color w:val="000000"/>
          <w:sz w:val="24"/>
          <w:szCs w:val="26"/>
        </w:rPr>
        <w:t>. (2023)</w:t>
      </w:r>
    </w:p>
    <w:p>
      <w:pPr>
        <w:pStyle w:val="style0"/>
        <w:spacing w:after="0" w:lineRule="auto" w:line="480"/>
        <w:jc w:val="both"/>
        <w:rPr>
          <w:b/>
          <w:color w:val="000000"/>
          <w:sz w:val="24"/>
          <w:szCs w:val="26"/>
        </w:rPr>
      </w:pPr>
      <w:r>
        <w:rPr>
          <w:b/>
          <w:color w:val="000000"/>
          <w:sz w:val="24"/>
          <w:szCs w:val="26"/>
        </w:rPr>
        <w:t>2.2.6 Stomach Ulcer</w:t>
      </w:r>
    </w:p>
    <w:p>
      <w:pPr>
        <w:pStyle w:val="style94"/>
        <w:spacing w:after="0" w:afterAutospacing="false" w:lineRule="auto" w:line="480"/>
        <w:ind w:firstLine="720"/>
        <w:jc w:val="both"/>
        <w:rPr>
          <w:color w:val="000000"/>
          <w:szCs w:val="26"/>
        </w:rPr>
      </w:pPr>
      <w:r>
        <w:rPr>
          <w:color w:val="000000"/>
          <w:szCs w:val="26"/>
        </w:rPr>
        <w:t xml:space="preserve">Digestion and the role of the stomach in maintaining health have interested man since early times (Modlin, 1995). Stomach ulcers are a significant gastrointestinal disorder that affects millions of people worldwide. They </w:t>
      </w:r>
      <w:r>
        <w:rPr>
          <w:color w:val="000000"/>
          <w:szCs w:val="26"/>
        </w:rPr>
        <w:t>occur</w:t>
      </w:r>
      <w:r>
        <w:rPr>
          <w:color w:val="000000"/>
          <w:szCs w:val="26"/>
        </w:rPr>
        <w:t xml:space="preserve"> when the mucosal lining of the stomach is eroded due to excessive gastric acid secretion, infection with </w:t>
      </w:r>
      <w:r>
        <w:rPr>
          <w:i/>
          <w:iCs/>
          <w:color w:val="000000"/>
          <w:szCs w:val="26"/>
        </w:rPr>
        <w:t>Helicobacter pylori</w:t>
      </w:r>
      <w:r>
        <w:rPr>
          <w:color w:val="000000"/>
          <w:szCs w:val="26"/>
        </w:rPr>
        <w:t xml:space="preserve">, or the chronic use of non-steroidal anti-inflammatory drugs (NSAIDs) (Sung </w:t>
      </w:r>
      <w:r>
        <w:rPr>
          <w:i/>
          <w:iCs/>
          <w:color w:val="000000"/>
          <w:szCs w:val="26"/>
        </w:rPr>
        <w:t>et al</w:t>
      </w:r>
      <w:r>
        <w:rPr>
          <w:color w:val="000000"/>
          <w:szCs w:val="26"/>
        </w:rPr>
        <w:t xml:space="preserve">., 2020). The primary cause of stomach ulcers is </w:t>
      </w:r>
      <w:r>
        <w:rPr>
          <w:i/>
          <w:iCs/>
          <w:color w:val="000000"/>
          <w:szCs w:val="26"/>
        </w:rPr>
        <w:t>H. pylori</w:t>
      </w:r>
      <w:r>
        <w:rPr>
          <w:color w:val="000000"/>
          <w:szCs w:val="26"/>
        </w:rPr>
        <w:t xml:space="preserve"> infection, which induces inflammation and disrupts the mucosal barrier, making it more susceptible </w:t>
      </w:r>
      <w:r>
        <w:rPr>
          <w:color w:val="000000"/>
          <w:szCs w:val="26"/>
        </w:rPr>
        <w:t xml:space="preserve">to acid damage (Malfertheiner </w:t>
      </w:r>
      <w:r>
        <w:rPr>
          <w:i/>
          <w:iCs/>
          <w:color w:val="000000"/>
          <w:szCs w:val="26"/>
        </w:rPr>
        <w:t>et al</w:t>
      </w:r>
      <w:r>
        <w:rPr>
          <w:color w:val="000000"/>
          <w:szCs w:val="26"/>
        </w:rPr>
        <w:t xml:space="preserve">., 2017). NSAIDs also contribute to ulcer formation by inhibiting cyclooxygenase (COX) enzymes, reducing the production of protective prostaglandins, and increasing gastric acidity (Lanas and Chan, 2017). </w:t>
      </w:r>
    </w:p>
    <w:p>
      <w:pPr>
        <w:pStyle w:val="style94"/>
        <w:spacing w:after="0" w:afterAutospacing="false" w:lineRule="auto" w:line="480"/>
        <w:ind w:firstLine="720"/>
        <w:jc w:val="both"/>
        <w:rPr>
          <w:color w:val="000000"/>
          <w:szCs w:val="26"/>
        </w:rPr>
      </w:pPr>
      <w:r>
        <w:rPr>
          <w:color w:val="000000"/>
          <w:szCs w:val="26"/>
        </w:rPr>
        <w:t xml:space="preserve">Research indicates that </w:t>
      </w:r>
      <w:r>
        <w:rPr>
          <w:i/>
          <w:iCs/>
          <w:color w:val="000000"/>
          <w:szCs w:val="26"/>
        </w:rPr>
        <w:t>H. pylori</w:t>
      </w:r>
      <w:r>
        <w:rPr>
          <w:color w:val="000000"/>
          <w:szCs w:val="26"/>
        </w:rPr>
        <w:t xml:space="preserve"> infection is responsible for the majority of stomach ulcer cases. </w:t>
      </w:r>
      <w:r>
        <w:rPr>
          <w:i/>
          <w:iCs/>
          <w:color w:val="000000"/>
          <w:szCs w:val="26"/>
        </w:rPr>
        <w:t xml:space="preserve">Helicobacter </w:t>
      </w:r>
      <w:r>
        <w:rPr>
          <w:i/>
          <w:iCs/>
          <w:color w:val="000000"/>
          <w:szCs w:val="26"/>
        </w:rPr>
        <w:t>pylori</w:t>
      </w:r>
      <w:r>
        <w:rPr>
          <w:color w:val="000000"/>
          <w:szCs w:val="26"/>
        </w:rPr>
        <w:t xml:space="preserve"> colonizes</w:t>
      </w:r>
      <w:r>
        <w:rPr>
          <w:color w:val="000000"/>
          <w:szCs w:val="26"/>
        </w:rPr>
        <w:t xml:space="preserve"> the gastric epithelium, triggering inflammatory responses and damaging the protective mucosal barrier, image shown in figure 10. This results in increased susceptibility to acid-induced injury (Malfertheiner </w:t>
      </w:r>
      <w:r>
        <w:rPr>
          <w:i/>
          <w:iCs/>
          <w:color w:val="000000"/>
          <w:szCs w:val="26"/>
        </w:rPr>
        <w:t>et al</w:t>
      </w:r>
      <w:r>
        <w:rPr>
          <w:color w:val="000000"/>
          <w:szCs w:val="26"/>
        </w:rPr>
        <w:t xml:space="preserve">., 2017). The bacterium produces virulence factors such as cytotoxin-associated gene A (CagA) and vacuolating cytotoxin A (VacA), which further contribute to epithelial damage and ulcer formation (Sugano </w:t>
      </w:r>
      <w:r>
        <w:rPr>
          <w:i/>
          <w:iCs/>
          <w:color w:val="000000"/>
          <w:szCs w:val="26"/>
        </w:rPr>
        <w:t>et al</w:t>
      </w:r>
      <w:r>
        <w:rPr>
          <w:color w:val="000000"/>
          <w:szCs w:val="26"/>
        </w:rPr>
        <w:t>., 2021).</w:t>
      </w:r>
    </w:p>
    <w:p>
      <w:pPr>
        <w:pStyle w:val="style0"/>
        <w:spacing w:before="100" w:beforeAutospacing="true" w:after="0" w:lineRule="auto" w:line="480"/>
        <w:ind w:firstLine="720"/>
        <w:jc w:val="both"/>
        <w:rPr>
          <w:color w:val="000000"/>
          <w:sz w:val="24"/>
          <w:szCs w:val="26"/>
        </w:rPr>
      </w:pPr>
      <w:r>
        <w:rPr>
          <w:noProof/>
          <w:color w:val="000000"/>
          <w:sz w:val="24"/>
          <w:szCs w:val="26"/>
        </w:rPr>
        <w:t xml:space="preserve">   </w:t>
      </w:r>
      <w:r>
        <w:rPr>
          <w:noProof/>
          <w:color w:val="000000"/>
          <w:sz w:val="24"/>
          <w:szCs w:val="26"/>
        </w:rPr>
        <w:drawing>
          <wp:inline distL="0" distT="0" distB="0" distR="0">
            <wp:extent cx="2342278" cy="2327564"/>
            <wp:effectExtent l="0" t="0" r="1270" b="0"/>
            <wp:docPr id="1039"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16" cstate="print"/>
                    <a:srcRect l="0" t="0" r="0" b="0"/>
                    <a:stretch/>
                  </pic:blipFill>
                  <pic:spPr>
                    <a:xfrm rot="0">
                      <a:off x="0" y="0"/>
                      <a:ext cx="2342278" cy="2327564"/>
                    </a:xfrm>
                    <a:prstGeom prst="rect"/>
                    <a:ln>
                      <a:noFill/>
                    </a:ln>
                  </pic:spPr>
                </pic:pic>
              </a:graphicData>
            </a:graphic>
          </wp:inline>
        </w:drawing>
      </w:r>
      <w:r>
        <w:rPr>
          <w:noProof/>
          <w:color w:val="000000"/>
          <w:sz w:val="24"/>
          <w:szCs w:val="26"/>
        </w:rPr>
        <w:drawing>
          <wp:inline distL="0" distT="0" distB="0" distR="0">
            <wp:extent cx="2281927" cy="2327564"/>
            <wp:effectExtent l="0" t="0" r="4445" b="0"/>
            <wp:docPr id="1040" name="Picture 18" descr="undefined"/>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17" cstate="print"/>
                    <a:srcRect l="0" t="0" r="0" b="0"/>
                    <a:stretch/>
                  </pic:blipFill>
                  <pic:spPr>
                    <a:xfrm rot="0">
                      <a:off x="0" y="0"/>
                      <a:ext cx="2281927" cy="2327564"/>
                    </a:xfrm>
                    <a:prstGeom prst="rect"/>
                    <a:ln>
                      <a:noFill/>
                    </a:ln>
                  </pic:spPr>
                </pic:pic>
              </a:graphicData>
            </a:graphic>
          </wp:inline>
        </w:drawing>
      </w:r>
      <w:r>
        <w:rPr>
          <w:color w:val="000000"/>
          <w:sz w:val="24"/>
          <w:szCs w:val="26"/>
        </w:rPr>
        <w:t xml:space="preserve">      </w:t>
      </w:r>
    </w:p>
    <w:p>
      <w:pPr>
        <w:pStyle w:val="style0"/>
        <w:spacing w:before="100" w:beforeAutospacing="true" w:after="0" w:lineRule="auto" w:line="240"/>
        <w:jc w:val="both"/>
        <w:rPr>
          <w:b/>
          <w:bCs/>
          <w:color w:val="000000"/>
          <w:sz w:val="24"/>
          <w:szCs w:val="26"/>
        </w:rPr>
      </w:pPr>
      <w:r>
        <w:rPr>
          <w:b/>
          <w:bCs/>
          <w:color w:val="000000"/>
          <w:sz w:val="24"/>
          <w:szCs w:val="26"/>
        </w:rPr>
        <w:t xml:space="preserve">Figure 10: Stomach Ulcer    </w:t>
      </w:r>
    </w:p>
    <w:p>
      <w:pPr>
        <w:pStyle w:val="style0"/>
        <w:spacing w:before="100" w:beforeAutospacing="true" w:after="0" w:lineRule="auto" w:line="240"/>
        <w:jc w:val="both"/>
        <w:rPr>
          <w:color w:val="000000"/>
          <w:sz w:val="24"/>
          <w:szCs w:val="26"/>
        </w:rPr>
      </w:pPr>
      <w:r>
        <w:rPr>
          <w:b/>
          <w:bCs/>
          <w:color w:val="000000"/>
          <w:sz w:val="24"/>
          <w:szCs w:val="26"/>
        </w:rPr>
        <w:t xml:space="preserve">Source: </w:t>
      </w:r>
      <w:r>
        <w:rPr>
          <w:color w:val="000000"/>
          <w:sz w:val="24"/>
          <w:szCs w:val="26"/>
          <w:shd w:val="clear" w:color="auto" w:fill="ffffff"/>
        </w:rPr>
        <w:t>Najm, (2011)</w:t>
      </w:r>
      <w:r>
        <w:rPr>
          <w:color w:val="000000"/>
          <w:sz w:val="24"/>
          <w:szCs w:val="26"/>
          <w:shd w:val="clear" w:color="auto" w:fill="ffffff"/>
        </w:rPr>
        <w:t>.</w:t>
      </w:r>
    </w:p>
    <w:p>
      <w:pPr>
        <w:pStyle w:val="style0"/>
        <w:spacing w:before="100" w:beforeAutospacing="true" w:after="0" w:lineRule="auto" w:line="480"/>
        <w:ind w:firstLine="720"/>
        <w:jc w:val="both"/>
        <w:rPr>
          <w:color w:val="000000"/>
          <w:sz w:val="24"/>
          <w:szCs w:val="26"/>
        </w:rPr>
      </w:pPr>
      <w:r>
        <w:rPr>
          <w:color w:val="000000"/>
          <w:sz w:val="24"/>
          <w:szCs w:val="26"/>
        </w:rPr>
        <w:t xml:space="preserve">Gastric cancer is a multifaceted disease with different aetiologies, genetic changes and phenotypes. </w:t>
      </w:r>
      <w:r>
        <w:rPr>
          <w:i/>
          <w:color w:val="000000"/>
          <w:sz w:val="24"/>
          <w:szCs w:val="26"/>
        </w:rPr>
        <w:t>Helicobacter pylori</w:t>
      </w:r>
      <w:r>
        <w:rPr>
          <w:color w:val="000000"/>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Pr>
          <w:i/>
          <w:iCs/>
          <w:color w:val="000000"/>
          <w:sz w:val="24"/>
          <w:szCs w:val="26"/>
        </w:rPr>
        <w:t>et al</w:t>
      </w:r>
      <w:r>
        <w:rPr>
          <w:color w:val="000000"/>
          <w:sz w:val="24"/>
          <w:szCs w:val="26"/>
        </w:rPr>
        <w:t>., 2011).</w:t>
      </w:r>
    </w:p>
    <w:p>
      <w:pPr>
        <w:pStyle w:val="style0"/>
        <w:spacing w:after="0"/>
        <w:jc w:val="both"/>
        <w:rPr>
          <w:bCs/>
          <w:color w:val="000000"/>
          <w:sz w:val="24"/>
          <w:szCs w:val="26"/>
        </w:rPr>
      </w:pPr>
      <w:r>
        <w:rPr>
          <w:bCs/>
          <w:noProof/>
          <w:color w:val="000000"/>
          <w:sz w:val="24"/>
          <w:szCs w:val="26"/>
        </w:rPr>
        <w:drawing>
          <wp:inline distL="0" distT="0" distB="0" distR="0">
            <wp:extent cx="5943600" cy="4036695"/>
            <wp:effectExtent l="0" t="0" r="0" b="1905"/>
            <wp:docPr id="104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18" cstate="print"/>
                    <a:srcRect l="0" t="0" r="0" b="0"/>
                    <a:stretch/>
                  </pic:blipFill>
                  <pic:spPr>
                    <a:xfrm rot="0">
                      <a:off x="0" y="0"/>
                      <a:ext cx="5943600" cy="4036695"/>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Figure 11: Key functions of the stomach and common harmful and noxious agents that affect gastric mucosal, secretory and motor functions</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rPr>
        <w:t xml:space="preserve">Stearns </w:t>
      </w:r>
      <w:r>
        <w:rPr>
          <w:i/>
          <w:iCs/>
          <w:color w:val="000000"/>
          <w:sz w:val="24"/>
          <w:szCs w:val="26"/>
        </w:rPr>
        <w:t>et al</w:t>
      </w:r>
      <w:r>
        <w:rPr>
          <w:color w:val="000000"/>
          <w:sz w:val="24"/>
          <w:szCs w:val="26"/>
        </w:rPr>
        <w:t>. (2011)</w:t>
      </w:r>
      <w:r>
        <w:rPr>
          <w:color w:val="000000"/>
          <w:sz w:val="24"/>
          <w:szCs w:val="26"/>
        </w:rPr>
        <w:t>.</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2.3 Causes of Ulcer</w:t>
      </w:r>
    </w:p>
    <w:p>
      <w:pPr>
        <w:pStyle w:val="style0"/>
        <w:spacing w:after="0" w:lineRule="auto" w:line="480"/>
        <w:jc w:val="both"/>
        <w:rPr>
          <w:b/>
          <w:bCs/>
          <w:color w:val="000000"/>
          <w:sz w:val="24"/>
          <w:szCs w:val="26"/>
        </w:rPr>
      </w:pPr>
      <w:r>
        <w:rPr>
          <w:b/>
          <w:bCs/>
          <w:color w:val="000000"/>
          <w:sz w:val="24"/>
          <w:szCs w:val="26"/>
        </w:rPr>
        <w:t>2.3.1 Psychological Causes</w:t>
      </w:r>
    </w:p>
    <w:p>
      <w:pPr>
        <w:pStyle w:val="style0"/>
        <w:spacing w:after="0" w:lineRule="auto" w:line="480"/>
        <w:ind w:firstLine="720"/>
        <w:jc w:val="both"/>
        <w:rPr>
          <w:bCs/>
          <w:color w:val="000000"/>
          <w:sz w:val="24"/>
          <w:szCs w:val="26"/>
        </w:rPr>
      </w:pPr>
      <w:r>
        <w:rPr>
          <w:bCs/>
          <w:color w:val="000000"/>
          <w:sz w:val="24"/>
          <w:szCs w:val="26"/>
        </w:rPr>
        <w:t>Over the generations clinicians have been intrigued by the relationships</w:t>
      </w:r>
      <w:r>
        <w:rPr>
          <w:b/>
          <w:bCs/>
          <w:color w:val="000000"/>
          <w:sz w:val="24"/>
          <w:szCs w:val="26"/>
        </w:rPr>
        <w:t xml:space="preserve"> </w:t>
      </w:r>
      <w:r>
        <w:rPr>
          <w:bCs/>
          <w:color w:val="000000"/>
          <w:sz w:val="24"/>
          <w:szCs w:val="26"/>
        </w:rPr>
        <w:t>between physical disorders and psychologic states. Observations of the role</w:t>
      </w:r>
      <w:r>
        <w:rPr>
          <w:b/>
          <w:bCs/>
          <w:color w:val="000000"/>
          <w:sz w:val="24"/>
          <w:szCs w:val="26"/>
        </w:rPr>
        <w:t xml:space="preserve"> </w:t>
      </w:r>
      <w:r>
        <w:rPr>
          <w:bCs/>
          <w:color w:val="000000"/>
          <w:sz w:val="24"/>
          <w:szCs w:val="26"/>
        </w:rPr>
        <w:t>of psychologic processes in the pathogenesis and course of medical diseases</w:t>
      </w:r>
      <w:r>
        <w:rPr>
          <w:b/>
          <w:bCs/>
          <w:color w:val="000000"/>
          <w:sz w:val="24"/>
          <w:szCs w:val="26"/>
        </w:rPr>
        <w:t xml:space="preserve"> </w:t>
      </w:r>
      <w:r>
        <w:rPr>
          <w:bCs/>
          <w:color w:val="000000"/>
          <w:sz w:val="24"/>
          <w:szCs w:val="26"/>
        </w:rPr>
        <w:t>have been shown by many researchers. Some illnesses, recognized as the classic</w:t>
      </w:r>
      <w:r>
        <w:rPr>
          <w:b/>
          <w:bCs/>
          <w:color w:val="000000"/>
          <w:sz w:val="24"/>
          <w:szCs w:val="26"/>
        </w:rPr>
        <w:t xml:space="preserve"> </w:t>
      </w:r>
      <w:r>
        <w:rPr>
          <w:bCs/>
          <w:color w:val="000000"/>
          <w:sz w:val="24"/>
          <w:szCs w:val="26"/>
        </w:rPr>
        <w:t>psychosomatic disorders in the 1930s, appear to be directly affected by the</w:t>
      </w:r>
      <w:r>
        <w:rPr>
          <w:b/>
          <w:bCs/>
          <w:color w:val="000000"/>
          <w:sz w:val="24"/>
          <w:szCs w:val="26"/>
        </w:rPr>
        <w:t xml:space="preserve"> </w:t>
      </w:r>
      <w:r>
        <w:rPr>
          <w:bCs/>
          <w:color w:val="000000"/>
          <w:sz w:val="24"/>
          <w:szCs w:val="26"/>
        </w:rPr>
        <w:t>impact of psychosocial factors. Peptic ulcer disease is regarded as one of</w:t>
      </w:r>
      <w:r>
        <w:rPr>
          <w:b/>
          <w:bCs/>
          <w:color w:val="000000"/>
          <w:sz w:val="24"/>
          <w:szCs w:val="26"/>
        </w:rPr>
        <w:t xml:space="preserve"> </w:t>
      </w:r>
      <w:r>
        <w:rPr>
          <w:bCs/>
          <w:color w:val="000000"/>
          <w:sz w:val="24"/>
          <w:szCs w:val="26"/>
        </w:rPr>
        <w:t>the psychosomatic disorders. Alexander's initial psychologic constructs,</w:t>
      </w:r>
      <w:r>
        <w:rPr>
          <w:b/>
          <w:bCs/>
          <w:color w:val="000000"/>
          <w:sz w:val="24"/>
          <w:szCs w:val="26"/>
        </w:rPr>
        <w:t xml:space="preserve"> </w:t>
      </w:r>
      <w:r>
        <w:rPr>
          <w:bCs/>
          <w:color w:val="000000"/>
          <w:sz w:val="24"/>
          <w:szCs w:val="26"/>
        </w:rPr>
        <w:t>based on retrospective data, were elaborated by the prospective studies of</w:t>
      </w:r>
      <w:r>
        <w:rPr>
          <w:b/>
          <w:bCs/>
          <w:color w:val="000000"/>
          <w:sz w:val="24"/>
          <w:szCs w:val="26"/>
        </w:rPr>
        <w:t xml:space="preserve"> </w:t>
      </w:r>
      <w:r>
        <w:rPr>
          <w:bCs/>
          <w:color w:val="000000"/>
          <w:sz w:val="24"/>
          <w:szCs w:val="26"/>
        </w:rPr>
        <w:t>Mirsky and Weiner (</w:t>
      </w:r>
      <w:r>
        <w:rPr>
          <w:color w:val="000000"/>
          <w:sz w:val="24"/>
          <w:szCs w:val="26"/>
        </w:rPr>
        <w:t>NIasiry and Piper, 1985).</w:t>
      </w:r>
    </w:p>
    <w:p>
      <w:pPr>
        <w:pStyle w:val="style0"/>
        <w:spacing w:after="0" w:lineRule="auto" w:line="480"/>
        <w:ind w:firstLine="720"/>
        <w:jc w:val="both"/>
        <w:rPr>
          <w:color w:val="000000"/>
          <w:sz w:val="24"/>
          <w:szCs w:val="26"/>
        </w:rPr>
      </w:pPr>
      <w:r>
        <w:rPr>
          <w:color w:val="000000"/>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r>
        <w:rPr>
          <w:color w:val="000000"/>
          <w:sz w:val="24"/>
          <w:szCs w:val="26"/>
        </w:rPr>
        <w:t>have</w:t>
      </w:r>
      <w:r>
        <w:rPr>
          <w:color w:val="000000"/>
          <w:sz w:val="24"/>
          <w:szCs w:val="26"/>
        </w:rPr>
        <w:t xml:space="preserve"> normal levels. </w:t>
      </w:r>
      <w:r>
        <w:rPr>
          <w:color w:val="000000"/>
          <w:sz w:val="24"/>
          <w:szCs w:val="26"/>
        </w:rPr>
        <w:t>Elevated serum levels have been found in peptic ulcer disease patients with increased psychopathology, especially poor coping ability, hostility, and hypersensitivity.</w:t>
      </w:r>
      <w:r>
        <w:rPr>
          <w:color w:val="000000"/>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Pr>
          <w:i/>
          <w:iCs/>
          <w:color w:val="000000"/>
          <w:sz w:val="24"/>
          <w:szCs w:val="26"/>
        </w:rPr>
        <w:t>et al</w:t>
      </w:r>
      <w:r>
        <w:rPr>
          <w:color w:val="000000"/>
          <w:sz w:val="24"/>
          <w:szCs w:val="26"/>
        </w:rPr>
        <w:t>., 1987).</w:t>
      </w:r>
    </w:p>
    <w:p>
      <w:pPr>
        <w:pStyle w:val="style0"/>
        <w:spacing w:after="0" w:lineRule="auto" w:line="480"/>
        <w:ind w:firstLine="720"/>
        <w:jc w:val="both"/>
        <w:rPr>
          <w:color w:val="000000"/>
          <w:sz w:val="24"/>
          <w:szCs w:val="26"/>
        </w:rPr>
      </w:pPr>
      <w:r>
        <w:rPr>
          <w:color w:val="000000"/>
          <w:sz w:val="24"/>
          <w:szCs w:val="26"/>
        </w:rPr>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pPr>
        <w:pStyle w:val="style0"/>
        <w:spacing w:after="0" w:lineRule="auto" w:line="480"/>
        <w:ind w:firstLine="720"/>
        <w:jc w:val="both"/>
        <w:rPr>
          <w:color w:val="000000"/>
          <w:sz w:val="24"/>
          <w:szCs w:val="26"/>
        </w:rPr>
      </w:pPr>
      <w:r>
        <w:rPr>
          <w:color w:val="000000"/>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Pr>
          <w:i/>
          <w:iCs/>
          <w:color w:val="000000"/>
          <w:sz w:val="24"/>
          <w:szCs w:val="26"/>
        </w:rPr>
        <w:t>et al</w:t>
      </w:r>
      <w:r>
        <w:rPr>
          <w:color w:val="000000"/>
          <w:sz w:val="24"/>
          <w:szCs w:val="26"/>
        </w:rPr>
        <w:t>., 1991).</w:t>
      </w:r>
    </w:p>
    <w:p>
      <w:pPr>
        <w:pStyle w:val="style0"/>
        <w:spacing w:after="0" w:lineRule="auto" w:line="480"/>
        <w:jc w:val="both"/>
        <w:rPr>
          <w:b/>
          <w:bCs/>
          <w:color w:val="000000"/>
          <w:sz w:val="24"/>
          <w:szCs w:val="26"/>
        </w:rPr>
      </w:pPr>
      <w:r>
        <w:rPr>
          <w:b/>
          <w:bCs/>
          <w:color w:val="000000"/>
          <w:sz w:val="24"/>
          <w:szCs w:val="26"/>
        </w:rPr>
        <w:t>2.3.2 Medication</w:t>
      </w:r>
    </w:p>
    <w:p>
      <w:pPr>
        <w:pStyle w:val="style0"/>
        <w:spacing w:after="0" w:lineRule="auto" w:line="480"/>
        <w:ind w:firstLine="720"/>
        <w:jc w:val="both"/>
        <w:rPr>
          <w:color w:val="000000"/>
          <w:sz w:val="24"/>
          <w:szCs w:val="26"/>
        </w:rPr>
      </w:pPr>
      <w:r>
        <w:rPr>
          <w:color w:val="000000"/>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Pr>
          <w:color w:val="000000"/>
          <w:sz w:val="24"/>
          <w:szCs w:val="26"/>
        </w:rPr>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r>
        <w:rPr>
          <w:color w:val="000000"/>
          <w:sz w:val="24"/>
          <w:szCs w:val="26"/>
        </w:rPr>
        <w:t>ulceration,</w:t>
      </w:r>
      <w:r>
        <w:rPr>
          <w:color w:val="000000"/>
          <w:sz w:val="24"/>
          <w:szCs w:val="26"/>
        </w:rPr>
        <w:t xml:space="preserve"> with a flat surface showing slightly white appear ance (Ozkaya, 2013).</w:t>
      </w:r>
    </w:p>
    <w:p>
      <w:pPr>
        <w:pStyle w:val="style0"/>
        <w:spacing w:after="0" w:lineRule="auto" w:line="480"/>
        <w:ind w:firstLine="720"/>
        <w:jc w:val="both"/>
        <w:rPr>
          <w:color w:val="000000"/>
          <w:sz w:val="24"/>
          <w:szCs w:val="26"/>
        </w:rPr>
      </w:pPr>
      <w:r>
        <w:rPr>
          <w:color w:val="000000"/>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pPr>
        <w:pStyle w:val="style0"/>
        <w:spacing w:after="0" w:lineRule="auto" w:line="480"/>
        <w:ind w:firstLine="720"/>
        <w:jc w:val="both"/>
        <w:rPr>
          <w:color w:val="000000"/>
          <w:sz w:val="24"/>
          <w:szCs w:val="26"/>
        </w:rPr>
      </w:pPr>
      <w:r>
        <w:rPr>
          <w:color w:val="000000"/>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Table 1: Drugs inducing oral ulceration.</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 xml:space="preserve">Antibiotics </w:t>
            </w:r>
          </w:p>
        </w:tc>
        <w:tc>
          <w:tcPr>
            <w:tcW w:w="3419" w:type="dxa"/>
            <w:tcBorders/>
          </w:tcPr>
          <w:p>
            <w:pPr>
              <w:pStyle w:val="style0"/>
              <w:spacing w:lineRule="auto" w:line="480"/>
              <w:jc w:val="both"/>
              <w:rPr>
                <w:b/>
                <w:bCs/>
                <w:color w:val="000000"/>
                <w:sz w:val="22"/>
                <w:szCs w:val="24"/>
              </w:rPr>
            </w:pPr>
            <w:r>
              <w:rPr>
                <w:color w:val="000000"/>
                <w:sz w:val="22"/>
                <w:szCs w:val="24"/>
              </w:rPr>
              <w:t>Gastric ulcer treatments</w:t>
            </w:r>
          </w:p>
        </w:tc>
      </w:tr>
      <w:tr>
        <w:tblPrEx/>
        <w:trPr>
          <w:trHeight w:val="429" w:hRule="atLeast"/>
        </w:trPr>
        <w:tc>
          <w:tcPr>
            <w:tcW w:w="3419" w:type="dxa"/>
            <w:tcBorders/>
          </w:tcPr>
          <w:p>
            <w:pPr>
              <w:pStyle w:val="style0"/>
              <w:spacing w:lineRule="auto" w:line="480"/>
              <w:jc w:val="both"/>
              <w:rPr>
                <w:b/>
                <w:bCs/>
                <w:color w:val="000000"/>
                <w:sz w:val="22"/>
                <w:szCs w:val="24"/>
              </w:rPr>
            </w:pPr>
            <w:r>
              <w:rPr>
                <w:color w:val="000000"/>
                <w:sz w:val="22"/>
                <w:szCs w:val="24"/>
              </w:rPr>
              <w:t>Anticholinergic bronchodilators</w:t>
            </w:r>
          </w:p>
        </w:tc>
        <w:tc>
          <w:tcPr>
            <w:tcW w:w="3419" w:type="dxa"/>
            <w:tcBorders/>
          </w:tcPr>
          <w:p>
            <w:pPr>
              <w:pStyle w:val="style0"/>
              <w:spacing w:lineRule="auto" w:line="480"/>
              <w:jc w:val="both"/>
              <w:rPr>
                <w:b/>
                <w:bCs/>
                <w:color w:val="000000"/>
                <w:sz w:val="22"/>
                <w:szCs w:val="24"/>
              </w:rPr>
            </w:pPr>
            <w:r>
              <w:rPr>
                <w:color w:val="000000"/>
                <w:sz w:val="22"/>
                <w:szCs w:val="24"/>
              </w:rPr>
              <w:t>Hypoglycemic agents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Anti-hypertensives</w:t>
            </w:r>
          </w:p>
        </w:tc>
        <w:tc>
          <w:tcPr>
            <w:tcW w:w="3419" w:type="dxa"/>
            <w:tcBorders/>
          </w:tcPr>
          <w:p>
            <w:pPr>
              <w:pStyle w:val="style0"/>
              <w:spacing w:lineRule="auto" w:line="480"/>
              <w:jc w:val="both"/>
              <w:rPr>
                <w:b/>
                <w:bCs/>
                <w:color w:val="000000"/>
                <w:sz w:val="22"/>
                <w:szCs w:val="24"/>
              </w:rPr>
            </w:pPr>
            <w:r>
              <w:rPr>
                <w:color w:val="000000"/>
                <w:sz w:val="22"/>
                <w:szCs w:val="24"/>
              </w:rPr>
              <w:t>Immunosuppressants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Antiretrovirals</w:t>
            </w:r>
          </w:p>
        </w:tc>
        <w:tc>
          <w:tcPr>
            <w:tcW w:w="3419" w:type="dxa"/>
            <w:tcBorders/>
          </w:tcPr>
          <w:p>
            <w:pPr>
              <w:pStyle w:val="style0"/>
              <w:spacing w:lineRule="auto" w:line="480"/>
              <w:jc w:val="both"/>
              <w:rPr>
                <w:b/>
                <w:bCs/>
                <w:color w:val="000000"/>
                <w:sz w:val="22"/>
                <w:szCs w:val="24"/>
              </w:rPr>
            </w:pPr>
            <w:r>
              <w:rPr>
                <w:color w:val="000000"/>
                <w:sz w:val="22"/>
                <w:szCs w:val="24"/>
              </w:rPr>
              <w:t>Interferons</w:t>
            </w:r>
          </w:p>
        </w:tc>
      </w:tr>
      <w:tr>
        <w:tblPrEx/>
        <w:trPr>
          <w:trHeight w:val="882" w:hRule="atLeast"/>
        </w:trPr>
        <w:tc>
          <w:tcPr>
            <w:tcW w:w="3419" w:type="dxa"/>
            <w:tcBorders/>
          </w:tcPr>
          <w:p>
            <w:pPr>
              <w:pStyle w:val="style0"/>
              <w:spacing w:lineRule="auto" w:line="480"/>
              <w:jc w:val="both"/>
              <w:rPr>
                <w:b/>
                <w:bCs/>
                <w:color w:val="000000"/>
                <w:sz w:val="22"/>
                <w:szCs w:val="24"/>
              </w:rPr>
            </w:pPr>
            <w:r>
              <w:rPr>
                <w:color w:val="000000"/>
                <w:sz w:val="22"/>
                <w:szCs w:val="24"/>
              </w:rPr>
              <w:t>Anti-rheumatic drug</w:t>
            </w:r>
          </w:p>
        </w:tc>
        <w:tc>
          <w:tcPr>
            <w:tcW w:w="3419" w:type="dxa"/>
            <w:tcBorders/>
          </w:tcPr>
          <w:p>
            <w:pPr>
              <w:pStyle w:val="style0"/>
              <w:spacing w:lineRule="auto" w:line="480"/>
              <w:jc w:val="both"/>
              <w:rPr>
                <w:b/>
                <w:bCs/>
                <w:color w:val="000000"/>
                <w:sz w:val="22"/>
                <w:szCs w:val="24"/>
              </w:rPr>
            </w:pPr>
            <w:r>
              <w:rPr>
                <w:color w:val="000000"/>
                <w:sz w:val="22"/>
                <w:szCs w:val="24"/>
              </w:rPr>
              <w:t>Non-steroidal anti-inflammatory drugs (NSAIDs)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Anti-septics</w:t>
            </w:r>
          </w:p>
        </w:tc>
        <w:tc>
          <w:tcPr>
            <w:tcW w:w="3419" w:type="dxa"/>
            <w:tcBorders/>
          </w:tcPr>
          <w:p>
            <w:pPr>
              <w:pStyle w:val="style0"/>
              <w:spacing w:lineRule="auto" w:line="480"/>
              <w:jc w:val="both"/>
              <w:rPr>
                <w:b/>
                <w:bCs/>
                <w:color w:val="000000"/>
                <w:sz w:val="22"/>
                <w:szCs w:val="24"/>
              </w:rPr>
            </w:pPr>
            <w:r>
              <w:rPr>
                <w:color w:val="000000"/>
                <w:sz w:val="22"/>
                <w:szCs w:val="24"/>
              </w:rPr>
              <w:t>Platelet aggregation inhibitors</w:t>
            </w:r>
          </w:p>
        </w:tc>
      </w:tr>
      <w:tr>
        <w:tblPrEx/>
        <w:trPr>
          <w:trHeight w:val="440" w:hRule="atLeast"/>
        </w:trPr>
        <w:tc>
          <w:tcPr>
            <w:tcW w:w="3419" w:type="dxa"/>
            <w:tcBorders/>
          </w:tcPr>
          <w:p>
            <w:pPr>
              <w:pStyle w:val="style0"/>
              <w:spacing w:lineRule="auto" w:line="480"/>
              <w:jc w:val="both"/>
              <w:rPr>
                <w:b/>
                <w:bCs/>
                <w:color w:val="000000"/>
                <w:sz w:val="22"/>
                <w:szCs w:val="24"/>
              </w:rPr>
            </w:pPr>
            <w:r>
              <w:rPr>
                <w:color w:val="000000"/>
                <w:sz w:val="22"/>
                <w:szCs w:val="24"/>
              </w:rPr>
              <w:t>Bisphosphonate</w:t>
            </w:r>
          </w:p>
        </w:tc>
        <w:tc>
          <w:tcPr>
            <w:tcW w:w="3419" w:type="dxa"/>
            <w:tcBorders/>
          </w:tcPr>
          <w:p>
            <w:pPr>
              <w:pStyle w:val="style0"/>
              <w:spacing w:lineRule="auto" w:line="480"/>
              <w:jc w:val="both"/>
              <w:rPr>
                <w:b/>
                <w:bCs/>
                <w:color w:val="000000"/>
                <w:sz w:val="22"/>
                <w:szCs w:val="24"/>
              </w:rPr>
            </w:pPr>
            <w:r>
              <w:rPr>
                <w:color w:val="000000"/>
                <w:sz w:val="22"/>
                <w:szCs w:val="24"/>
              </w:rPr>
              <w:t>Potassium-channel activators</w:t>
            </w:r>
          </w:p>
        </w:tc>
      </w:tr>
      <w:tr>
        <w:tblPrEx/>
        <w:trPr>
          <w:trHeight w:val="429" w:hRule="atLeast"/>
        </w:trPr>
        <w:tc>
          <w:tcPr>
            <w:tcW w:w="3419" w:type="dxa"/>
            <w:tcBorders/>
          </w:tcPr>
          <w:p>
            <w:pPr>
              <w:pStyle w:val="style0"/>
              <w:spacing w:lineRule="auto" w:line="480"/>
              <w:jc w:val="both"/>
              <w:rPr>
                <w:color w:val="000000"/>
                <w:sz w:val="22"/>
                <w:szCs w:val="24"/>
              </w:rPr>
            </w:pPr>
            <w:r>
              <w:rPr>
                <w:color w:val="000000"/>
                <w:sz w:val="22"/>
                <w:szCs w:val="24"/>
              </w:rPr>
              <w:t>b-Blockers</w:t>
            </w:r>
          </w:p>
        </w:tc>
        <w:tc>
          <w:tcPr>
            <w:tcW w:w="3419" w:type="dxa"/>
            <w:tcBorders/>
          </w:tcPr>
          <w:p>
            <w:pPr>
              <w:pStyle w:val="style0"/>
              <w:spacing w:lineRule="auto" w:line="480"/>
              <w:jc w:val="both"/>
              <w:rPr>
                <w:color w:val="000000"/>
                <w:sz w:val="22"/>
                <w:szCs w:val="24"/>
              </w:rPr>
            </w:pPr>
            <w:r>
              <w:rPr>
                <w:color w:val="000000"/>
                <w:sz w:val="22"/>
                <w:szCs w:val="24"/>
              </w:rPr>
              <w:t>Protease inhibitors</w:t>
            </w:r>
          </w:p>
        </w:tc>
      </w:tr>
      <w:tr>
        <w:tblPrEx/>
        <w:trPr>
          <w:trHeight w:val="429" w:hRule="atLeast"/>
        </w:trPr>
        <w:tc>
          <w:tcPr>
            <w:tcW w:w="3419" w:type="dxa"/>
            <w:tcBorders/>
          </w:tcPr>
          <w:p>
            <w:pPr>
              <w:pStyle w:val="style0"/>
              <w:spacing w:lineRule="auto" w:line="480"/>
              <w:jc w:val="both"/>
              <w:rPr>
                <w:color w:val="000000"/>
                <w:sz w:val="22"/>
                <w:szCs w:val="24"/>
              </w:rPr>
            </w:pPr>
            <w:r>
              <w:rPr>
                <w:color w:val="000000"/>
                <w:sz w:val="22"/>
                <w:szCs w:val="24"/>
              </w:rPr>
              <w:t>Corticosteroids</w:t>
            </w:r>
          </w:p>
        </w:tc>
        <w:tc>
          <w:tcPr>
            <w:tcW w:w="3419" w:type="dxa"/>
            <w:tcBorders/>
          </w:tcPr>
          <w:p>
            <w:pPr>
              <w:pStyle w:val="style0"/>
              <w:spacing w:lineRule="auto" w:line="480"/>
              <w:jc w:val="both"/>
              <w:rPr>
                <w:color w:val="000000"/>
                <w:sz w:val="22"/>
                <w:szCs w:val="24"/>
              </w:rPr>
            </w:pPr>
            <w:r>
              <w:rPr>
                <w:color w:val="000000"/>
                <w:sz w:val="22"/>
                <w:szCs w:val="24"/>
              </w:rPr>
              <w:t>Vasodilators</w:t>
            </w:r>
          </w:p>
        </w:tc>
      </w:tr>
    </w:tbl>
    <w:p>
      <w:pPr>
        <w:pStyle w:val="style0"/>
        <w:spacing w:after="0" w:lineRule="auto" w:line="480"/>
        <w:jc w:val="both"/>
        <w:rPr>
          <w:color w:val="000000"/>
          <w:sz w:val="24"/>
          <w:szCs w:val="26"/>
        </w:rPr>
      </w:pPr>
      <w:r>
        <w:rPr>
          <w:b/>
          <w:color w:val="000000"/>
          <w:sz w:val="24"/>
          <w:szCs w:val="26"/>
          <w:shd w:val="clear" w:color="auto" w:fill="ffffff"/>
        </w:rPr>
        <w:t>Source:</w:t>
      </w:r>
      <w:r>
        <w:rPr>
          <w:color w:val="000000"/>
          <w:sz w:val="24"/>
          <w:szCs w:val="26"/>
          <w:shd w:val="clear" w:color="auto" w:fill="ffffff"/>
        </w:rPr>
        <w:t xml:space="preserve"> Jinbu and Demitsu (2014).</w:t>
      </w:r>
    </w:p>
    <w:p>
      <w:pPr>
        <w:pStyle w:val="style0"/>
        <w:spacing w:after="0" w:lineRule="auto" w:line="480"/>
        <w:ind w:firstLine="720"/>
        <w:jc w:val="both"/>
        <w:rPr>
          <w:color w:val="000000"/>
          <w:sz w:val="24"/>
          <w:szCs w:val="26"/>
        </w:rPr>
      </w:pPr>
      <w:r>
        <w:rPr>
          <w:color w:val="000000"/>
          <w:sz w:val="24"/>
          <w:szCs w:val="26"/>
        </w:rPr>
        <w:t>Alendronate (bisphosphonate).</w:t>
      </w:r>
      <w:r>
        <w:rPr>
          <w:color w:val="000000"/>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Pr>
          <w:color w:val="000000"/>
          <w:sz w:val="24"/>
          <w:szCs w:val="26"/>
          <w:shd w:val="clear" w:color="auto" w:fill="ffffff"/>
        </w:rPr>
        <w:t>Jinbu and Demitsu, (2014).</w:t>
      </w:r>
    </w:p>
    <w:p>
      <w:pPr>
        <w:pStyle w:val="style0"/>
        <w:spacing w:after="0" w:lineRule="auto" w:line="480"/>
        <w:jc w:val="both"/>
        <w:rPr>
          <w:b/>
          <w:bCs/>
          <w:color w:val="000000"/>
          <w:sz w:val="24"/>
          <w:szCs w:val="26"/>
        </w:rPr>
      </w:pPr>
      <w:r>
        <w:rPr>
          <w:b/>
          <w:bCs/>
          <w:noProof/>
          <w:color w:val="000000"/>
          <w:sz w:val="24"/>
          <w:szCs w:val="26"/>
        </w:rPr>
        <w:drawing>
          <wp:inline distL="0" distT="0" distB="0" distR="0">
            <wp:extent cx="2586892" cy="1914707"/>
            <wp:effectExtent l="0" t="0" r="4445" b="0"/>
            <wp:docPr id="1042"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22"/>
                    <pic:cNvPicPr/>
                  </pic:nvPicPr>
                  <pic:blipFill>
                    <a:blip r:embed="rId19" cstate="print"/>
                    <a:srcRect l="0" t="0" r="0" b="0"/>
                    <a:stretch/>
                  </pic:blipFill>
                  <pic:spPr>
                    <a:xfrm rot="0">
                      <a:off x="0" y="0"/>
                      <a:ext cx="2586892" cy="1914707"/>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12: Indomethacin-induced oral ulceration. </w:t>
      </w:r>
      <w:r>
        <w:rPr>
          <w:b/>
          <w:bCs/>
          <w:color w:val="000000"/>
          <w:sz w:val="24"/>
          <w:szCs w:val="26"/>
        </w:rPr>
        <w:t>Ulceration on the left tongue margin with no induration.</w:t>
      </w:r>
      <w:r>
        <w:rPr>
          <w:b/>
          <w:bCs/>
          <w:color w:val="000000"/>
          <w:sz w:val="24"/>
          <w:szCs w:val="26"/>
        </w:rPr>
        <w:t xml:space="preserve"> Line shows the biopsy site. </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shd w:val="clear" w:color="auto" w:fill="ffffff"/>
        </w:rPr>
        <w:t>Jinbu and Demitsu, (2014).</w:t>
      </w:r>
    </w:p>
    <w:p>
      <w:pPr>
        <w:pStyle w:val="style0"/>
        <w:spacing w:after="0" w:lineRule="auto" w:line="480"/>
        <w:jc w:val="both"/>
        <w:rPr>
          <w:color w:val="000000"/>
          <w:sz w:val="24"/>
          <w:szCs w:val="26"/>
        </w:rPr>
      </w:pPr>
      <w:r>
        <w:rPr>
          <w:noProof/>
          <w:color w:val="000000"/>
          <w:sz w:val="24"/>
          <w:szCs w:val="26"/>
        </w:rPr>
        <w:drawing>
          <wp:inline distL="0" distT="0" distB="0" distR="0">
            <wp:extent cx="2610338" cy="1970857"/>
            <wp:effectExtent l="0" t="0" r="0" b="0"/>
            <wp:docPr id="1043"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4"/>
                    <pic:cNvPicPr/>
                  </pic:nvPicPr>
                  <pic:blipFill>
                    <a:blip r:embed="rId20" cstate="print"/>
                    <a:srcRect l="0" t="0" r="0" b="0"/>
                    <a:stretch/>
                  </pic:blipFill>
                  <pic:spPr>
                    <a:xfrm rot="0">
                      <a:off x="0" y="0"/>
                      <a:ext cx="2610338" cy="1970857"/>
                    </a:xfrm>
                    <a:prstGeom prst="rect"/>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13: Oral ulcerations due to nicorandil. </w:t>
      </w:r>
      <w:r>
        <w:rPr>
          <w:b/>
          <w:bCs/>
          <w:color w:val="000000"/>
          <w:sz w:val="24"/>
          <w:szCs w:val="26"/>
        </w:rPr>
        <w:t>Multiple ulcers on bilateral buccal mucosa and bilateral tongue margins.</w:t>
      </w:r>
    </w:p>
    <w:p>
      <w:pPr>
        <w:pStyle w:val="style0"/>
        <w:spacing w:after="0" w:lineRule="auto" w:line="480"/>
        <w:jc w:val="both"/>
        <w:rPr>
          <w:color w:val="000000"/>
          <w:sz w:val="24"/>
          <w:szCs w:val="26"/>
          <w:shd w:val="clear" w:color="auto" w:fill="ffffff"/>
        </w:rPr>
      </w:pPr>
      <w:r>
        <w:rPr>
          <w:color w:val="000000"/>
          <w:sz w:val="24"/>
          <w:szCs w:val="26"/>
          <w:shd w:val="clear" w:color="auto" w:fill="ffffff"/>
        </w:rPr>
        <w:t>Jinbu and Demitsu, (2014).</w:t>
      </w:r>
    </w:p>
    <w:p>
      <w:pPr>
        <w:pStyle w:val="style0"/>
        <w:spacing w:after="0" w:lineRule="auto" w:line="480"/>
        <w:ind w:firstLine="720"/>
        <w:jc w:val="both"/>
        <w:rPr>
          <w:color w:val="000000"/>
          <w:sz w:val="24"/>
          <w:szCs w:val="26"/>
        </w:rPr>
      </w:pPr>
      <w:r>
        <w:rPr>
          <w:color w:val="000000"/>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Pr>
          <w:color w:val="000000"/>
          <w:sz w:val="24"/>
          <w:szCs w:val="26"/>
        </w:rPr>
        <w:t>medications have been reported to delay wound healing, but the effect of medications on pressure ulcer remains unclear.</w:t>
      </w:r>
      <w:r>
        <w:rPr>
          <w:color w:val="000000"/>
          <w:sz w:val="24"/>
          <w:szCs w:val="26"/>
          <w:shd w:val="clear" w:color="auto" w:fill="ffffff"/>
        </w:rPr>
        <w:t xml:space="preserve"> </w:t>
      </w:r>
      <w:r>
        <w:rPr>
          <w:color w:val="000000"/>
          <w:sz w:val="24"/>
          <w:szCs w:val="26"/>
        </w:rPr>
        <w:t>Non-steroidal anti-inflammatory drugs (NSAIDs) ongoing use of this class of medications is the second most common cause of ulcers (</w:t>
      </w:r>
      <w:r>
        <w:rPr>
          <w:color w:val="000000"/>
          <w:sz w:val="24"/>
          <w:szCs w:val="26"/>
          <w:shd w:val="clear" w:color="auto" w:fill="ffffff"/>
        </w:rPr>
        <w:t xml:space="preserve">Arai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These drugs (which include aspirin, ibuprofen, naproxen, diclofenac, tolmetin, piroxicam, fenoprofen, indomethacin, oxaprozin, ketoprofen, sulindac, nabumetone, etodolac, and salsalate) are acidic (Debjit </w:t>
      </w:r>
      <w:r>
        <w:rPr>
          <w:i/>
          <w:iCs/>
          <w:color w:val="000000"/>
          <w:sz w:val="24"/>
          <w:szCs w:val="26"/>
        </w:rPr>
        <w:t>et al</w:t>
      </w:r>
      <w:r>
        <w:rPr>
          <w:color w:val="000000"/>
          <w:sz w:val="24"/>
          <w:szCs w:val="26"/>
        </w:rPr>
        <w:t>., 2010).</w:t>
      </w:r>
    </w:p>
    <w:p>
      <w:pPr>
        <w:pStyle w:val="style0"/>
        <w:spacing w:after="0"/>
        <w:jc w:val="both"/>
        <w:rPr>
          <w:b/>
          <w:bCs/>
          <w:color w:val="000000"/>
          <w:sz w:val="24"/>
          <w:szCs w:val="26"/>
        </w:rPr>
      </w:pPr>
      <w:r>
        <w:rPr>
          <w:b/>
          <w:bCs/>
          <w:color w:val="000000"/>
          <w:sz w:val="24"/>
          <w:szCs w:val="26"/>
        </w:rPr>
        <w:t>2.3.3 Dietary Factors</w:t>
      </w:r>
    </w:p>
    <w:p>
      <w:pPr>
        <w:pStyle w:val="style94"/>
        <w:spacing w:after="0" w:afterAutospacing="false" w:lineRule="auto" w:line="480"/>
        <w:ind w:firstLine="720"/>
        <w:jc w:val="both"/>
        <w:rPr>
          <w:color w:val="000000"/>
          <w:szCs w:val="26"/>
        </w:rPr>
      </w:pPr>
      <w:r>
        <w:rPr>
          <w:color w:val="000000"/>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Pr>
          <w:i/>
          <w:iCs/>
          <w:color w:val="000000"/>
          <w:szCs w:val="26"/>
        </w:rPr>
        <w:t>et al</w:t>
      </w:r>
      <w:r>
        <w:rPr>
          <w:color w:val="000000"/>
          <w:szCs w:val="26"/>
        </w:rPr>
        <w:t xml:space="preserve">., 2019). However, other research indicates that capsaicin may have protective effects by stimulating mucus secretion and promoting gastric mucosal blood flow (Satyanarayana </w:t>
      </w:r>
      <w:r>
        <w:rPr>
          <w:i/>
          <w:iCs/>
          <w:color w:val="000000"/>
          <w:szCs w:val="26"/>
        </w:rPr>
        <w:t>et al</w:t>
      </w:r>
      <w:r>
        <w:rPr>
          <w:color w:val="000000"/>
          <w:szCs w:val="26"/>
        </w:rPr>
        <w:t>., 2021). Despite these conflicting findings, individuals with existing ulcers are often advised to limit spicy food intake.</w:t>
      </w:r>
    </w:p>
    <w:p>
      <w:pPr>
        <w:pStyle w:val="style94"/>
        <w:spacing w:after="0" w:afterAutospacing="false" w:lineRule="auto" w:line="480"/>
        <w:ind w:firstLine="720"/>
        <w:jc w:val="both"/>
        <w:rPr>
          <w:color w:val="000000"/>
          <w:szCs w:val="26"/>
        </w:rPr>
      </w:pPr>
      <w:r>
        <w:rPr>
          <w:color w:val="000000"/>
          <w:szCs w:val="26"/>
        </w:rPr>
        <w:t xml:space="preserve">A diet high in sodium has been implicated in gastric mucosal damage and increased susceptibility to H. pylori infection, which is a major risk factor for ulcers (Huang </w:t>
      </w:r>
      <w:r>
        <w:rPr>
          <w:i/>
          <w:iCs/>
          <w:color w:val="000000"/>
          <w:szCs w:val="26"/>
        </w:rPr>
        <w:t>et al</w:t>
      </w:r>
      <w:r>
        <w:rPr>
          <w:color w:val="000000"/>
          <w:szCs w:val="26"/>
        </w:rPr>
        <w:t xml:space="preserve">., 2017). High salt intake may alter gastric mucus composition and impair its protective functions, thereby making the stomach lining more vulnerable to acid-induced </w:t>
      </w:r>
      <w:r>
        <w:rPr>
          <w:color w:val="000000"/>
          <w:szCs w:val="26"/>
        </w:rPr>
        <w:t xml:space="preserve">injury (Gaddy </w:t>
      </w:r>
      <w:r>
        <w:rPr>
          <w:i/>
          <w:iCs/>
          <w:color w:val="000000"/>
          <w:szCs w:val="26"/>
        </w:rPr>
        <w:t>et al</w:t>
      </w:r>
      <w:r>
        <w:rPr>
          <w:color w:val="000000"/>
          <w:szCs w:val="26"/>
        </w:rPr>
        <w:t xml:space="preserve">., 2019). Excessive alcohol consumption has been shown to contribute to ulcer formation by weakening the gastric mucosal barrier and increasing acid production (Jiang </w:t>
      </w:r>
      <w:r>
        <w:rPr>
          <w:i/>
          <w:iCs/>
          <w:color w:val="000000"/>
          <w:szCs w:val="26"/>
        </w:rPr>
        <w:t>et al</w:t>
      </w:r>
      <w:r>
        <w:rPr>
          <w:color w:val="000000"/>
          <w:szCs w:val="26"/>
        </w:rPr>
        <w:t xml:space="preserve">., 2021). Alcohol can also stimulate inflammatory responses and delay ulcer healing by interfering with prostaglandin synthesis (Matsuhashi </w:t>
      </w:r>
      <w:r>
        <w:rPr>
          <w:i/>
          <w:iCs/>
          <w:color w:val="000000"/>
          <w:szCs w:val="26"/>
        </w:rPr>
        <w:t>et al</w:t>
      </w:r>
      <w:r>
        <w:rPr>
          <w:color w:val="000000"/>
          <w:szCs w:val="26"/>
        </w:rPr>
        <w:t xml:space="preserve">., 2018). </w:t>
      </w:r>
    </w:p>
    <w:p>
      <w:pPr>
        <w:pStyle w:val="style94"/>
        <w:spacing w:after="0" w:afterAutospacing="false" w:lineRule="auto" w:line="480"/>
        <w:ind w:firstLine="720"/>
        <w:jc w:val="both"/>
        <w:rPr>
          <w:color w:val="000000"/>
          <w:szCs w:val="26"/>
        </w:rPr>
      </w:pPr>
      <w:r>
        <w:rPr>
          <w:color w:val="000000"/>
          <w:szCs w:val="26"/>
        </w:rPr>
        <w:t xml:space="preserve">Diets rich in processed foods containing artificial additives, preservatives, and high levels of unhealthy fats have been associated with increased ulcer risk (Zhang </w:t>
      </w:r>
      <w:r>
        <w:rPr>
          <w:i/>
          <w:iCs/>
          <w:color w:val="000000"/>
          <w:szCs w:val="26"/>
        </w:rPr>
        <w:t>et al</w:t>
      </w:r>
      <w:r>
        <w:rPr>
          <w:color w:val="000000"/>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Pr>
          <w:i/>
          <w:iCs/>
          <w:color w:val="000000"/>
          <w:szCs w:val="26"/>
        </w:rPr>
        <w:t>et al</w:t>
      </w:r>
      <w:r>
        <w:rPr>
          <w:color w:val="000000"/>
          <w:szCs w:val="26"/>
        </w:rPr>
        <w:t xml:space="preserve">., 2018). </w:t>
      </w:r>
    </w:p>
    <w:p>
      <w:pPr>
        <w:pStyle w:val="style0"/>
        <w:spacing w:before="100" w:beforeAutospacing="true" w:after="0" w:lineRule="auto" w:line="480"/>
        <w:jc w:val="both"/>
        <w:rPr>
          <w:rFonts w:eastAsia="Times New Roman"/>
          <w:noProof/>
          <w:color w:val="000000"/>
          <w:sz w:val="24"/>
          <w:szCs w:val="26"/>
        </w:rPr>
      </w:pPr>
      <w:r>
        <w:rPr>
          <w:rFonts w:eastAsia="Times New Roman"/>
          <w:noProof/>
          <w:color w:val="000000"/>
          <w:sz w:val="24"/>
          <w:szCs w:val="26"/>
        </w:rPr>
        <w:drawing>
          <wp:inline distL="0" distT="0" distB="0" distR="0">
            <wp:extent cx="3800475" cy="2809875"/>
            <wp:effectExtent l="0" t="0" r="9525" b="9525"/>
            <wp:docPr id="1044"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21" cstate="print"/>
                    <a:srcRect l="3954" t="11172" r="4382" b="6436"/>
                    <a:stretch/>
                  </pic:blipFill>
                  <pic:spPr>
                    <a:xfrm rot="0">
                      <a:off x="0" y="0"/>
                      <a:ext cx="3800475" cy="2809875"/>
                    </a:xfrm>
                    <a:prstGeom prst="rect"/>
                    <a:ln>
                      <a:noFill/>
                    </a:ln>
                  </pic:spPr>
                </pic:pic>
              </a:graphicData>
            </a:graphic>
          </wp:inline>
        </w:drawing>
      </w:r>
    </w:p>
    <w:p>
      <w:pPr>
        <w:pStyle w:val="style0"/>
        <w:spacing w:before="100" w:beforeAutospacing="true" w:after="0"/>
        <w:jc w:val="both"/>
        <w:rPr>
          <w:rFonts w:eastAsia="Times New Roman"/>
          <w:b/>
          <w:bCs/>
          <w:color w:val="000000"/>
          <w:sz w:val="24"/>
          <w:szCs w:val="26"/>
        </w:rPr>
      </w:pPr>
      <w:r>
        <w:rPr>
          <w:rFonts w:eastAsia="Times New Roman"/>
          <w:b/>
          <w:bCs/>
          <w:color w:val="000000"/>
          <w:sz w:val="24"/>
          <w:szCs w:val="26"/>
        </w:rPr>
        <w:t xml:space="preserve">Figure 14: Stomach ulcer Diet </w:t>
      </w:r>
    </w:p>
    <w:p>
      <w:pPr>
        <w:pStyle w:val="style0"/>
        <w:spacing w:before="100" w:beforeAutospacing="true" w:after="0"/>
        <w:jc w:val="both"/>
        <w:rPr>
          <w:rFonts w:eastAsia="Times New Roman"/>
          <w:color w:val="000000"/>
          <w:sz w:val="24"/>
          <w:szCs w:val="26"/>
        </w:rPr>
      </w:pPr>
      <w:r>
        <w:rPr>
          <w:rFonts w:eastAsia="Times New Roman"/>
          <w:b/>
          <w:color w:val="000000"/>
          <w:sz w:val="24"/>
          <w:szCs w:val="26"/>
        </w:rPr>
        <w:t>Source:</w:t>
      </w:r>
      <w:r>
        <w:rPr>
          <w:rFonts w:eastAsia="Times New Roman"/>
          <w:color w:val="000000"/>
          <w:sz w:val="24"/>
          <w:szCs w:val="26"/>
        </w:rPr>
        <w:t xml:space="preserve"> </w:t>
      </w:r>
      <w:r>
        <w:rPr/>
        <w:fldChar w:fldCharType="begin"/>
      </w:r>
      <w:r>
        <w:instrText xml:space="preserve"> HYPERLINK "http://www.sprintmedical.in" </w:instrText>
      </w:r>
      <w:r>
        <w:rPr/>
        <w:fldChar w:fldCharType="separate"/>
      </w:r>
      <w:r>
        <w:rPr>
          <w:rStyle w:val="style85"/>
          <w:rFonts w:eastAsia="Times New Roman"/>
          <w:color w:val="000000"/>
          <w:sz w:val="24"/>
          <w:szCs w:val="26"/>
        </w:rPr>
        <w:t>www.sprintmedical.in</w:t>
      </w:r>
      <w:r>
        <w:rPr/>
        <w:fldChar w:fldCharType="end"/>
      </w:r>
    </w:p>
    <w:p>
      <w:pPr>
        <w:pStyle w:val="style0"/>
        <w:spacing w:before="100" w:beforeAutospacing="true" w:after="0"/>
        <w:jc w:val="both"/>
        <w:rPr>
          <w:rFonts w:eastAsia="Times New Roman"/>
          <w:color w:val="000000"/>
          <w:sz w:val="24"/>
          <w:szCs w:val="26"/>
        </w:rPr>
      </w:pPr>
    </w:p>
    <w:p>
      <w:pPr>
        <w:pStyle w:val="style0"/>
        <w:spacing w:after="0" w:lineRule="auto" w:line="480"/>
        <w:jc w:val="both"/>
        <w:rPr>
          <w:b/>
          <w:bCs/>
          <w:color w:val="000000"/>
          <w:sz w:val="24"/>
          <w:szCs w:val="26"/>
        </w:rPr>
      </w:pPr>
      <w:r>
        <w:rPr>
          <w:b/>
          <w:bCs/>
          <w:color w:val="000000"/>
          <w:sz w:val="24"/>
          <w:szCs w:val="26"/>
        </w:rPr>
        <w:t>2.4 Pathophysiology of Ulcer</w:t>
      </w:r>
    </w:p>
    <w:p>
      <w:pPr>
        <w:pStyle w:val="style0"/>
        <w:spacing w:after="0" w:lineRule="auto" w:line="480"/>
        <w:ind w:firstLine="720"/>
        <w:jc w:val="both"/>
        <w:rPr>
          <w:color w:val="000000"/>
          <w:sz w:val="24"/>
          <w:szCs w:val="26"/>
        </w:rPr>
      </w:pPr>
      <w:r>
        <w:rPr>
          <w:color w:val="000000"/>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Pr>
          <w:i/>
          <w:iCs/>
          <w:color w:val="000000"/>
          <w:sz w:val="24"/>
          <w:szCs w:val="26"/>
        </w:rPr>
        <w:t>et al</w:t>
      </w:r>
      <w:r>
        <w:rPr>
          <w:color w:val="000000"/>
          <w:sz w:val="24"/>
          <w:szCs w:val="26"/>
        </w:rPr>
        <w:t xml:space="preserve">., 2021). Excessive acid production leads to mucosal erosion and ulcer formation, especially in conditions such as </w:t>
      </w:r>
      <w:r>
        <w:rPr>
          <w:color w:val="000000"/>
          <w:sz w:val="24"/>
          <w:szCs w:val="26"/>
        </w:rPr>
        <w:t xml:space="preserve">Zollinger-Ellison syndrome (Sundaram and Sitaraman, 2018). Pepsin, a proteolytic enzyme, further degrades the mucosal proteins, worsening ulceration (Wang </w:t>
      </w:r>
      <w:r>
        <w:rPr>
          <w:i/>
          <w:iCs/>
          <w:color w:val="000000"/>
          <w:sz w:val="24"/>
          <w:szCs w:val="26"/>
        </w:rPr>
        <w:t>et al</w:t>
      </w:r>
      <w:r>
        <w:rPr>
          <w:color w:val="000000"/>
          <w:sz w:val="24"/>
          <w:szCs w:val="26"/>
        </w:rPr>
        <w:t>., 2019).</w:t>
      </w:r>
    </w:p>
    <w:p>
      <w:pPr>
        <w:pStyle w:val="style0"/>
        <w:spacing w:after="0" w:lineRule="auto" w:line="480"/>
        <w:ind w:firstLine="720"/>
        <w:jc w:val="both"/>
        <w:rPr>
          <w:color w:val="000000"/>
          <w:sz w:val="24"/>
          <w:szCs w:val="26"/>
        </w:rPr>
      </w:pPr>
      <w:r>
        <w:rPr>
          <w:color w:val="000000"/>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Pr>
          <w:i/>
          <w:iCs/>
          <w:color w:val="000000"/>
          <w:sz w:val="24"/>
          <w:szCs w:val="26"/>
        </w:rPr>
        <w:t>et al</w:t>
      </w:r>
      <w:r>
        <w:rPr>
          <w:color w:val="000000"/>
          <w:sz w:val="24"/>
          <w:szCs w:val="26"/>
        </w:rPr>
        <w:t xml:space="preserve">., 2017). Additionally, H. </w:t>
      </w:r>
      <w:r>
        <w:rPr>
          <w:color w:val="000000"/>
          <w:sz w:val="24"/>
          <w:szCs w:val="26"/>
        </w:rPr>
        <w:t>pylori releases</w:t>
      </w:r>
      <w:r>
        <w:rPr>
          <w:color w:val="000000"/>
          <w:sz w:val="24"/>
          <w:szCs w:val="26"/>
        </w:rPr>
        <w:t xml:space="preserve"> cytotoxins such as CagA (cytotoxin-associated gene A) and VacA (vacuolating cytotoxin A), leading to epithelial cell damage, inflammation, and disruption of gastric mucosal integrity (Chey and Leontiadis, 2018).</w:t>
      </w:r>
    </w:p>
    <w:p>
      <w:pPr>
        <w:pStyle w:val="style0"/>
        <w:spacing w:after="0" w:lineRule="auto" w:line="480"/>
        <w:ind w:firstLine="720"/>
        <w:jc w:val="both"/>
        <w:rPr>
          <w:color w:val="000000"/>
          <w:sz w:val="24"/>
          <w:szCs w:val="26"/>
        </w:rPr>
      </w:pPr>
      <w:r>
        <w:rPr>
          <w:color w:val="000000"/>
          <w:sz w:val="24"/>
          <w:szCs w:val="26"/>
        </w:rPr>
        <w:t xml:space="preserve">This colonization is highly specific in vivo when it overlays islands of gastric metaplasia (Peek and Crabtree, 2006). </w:t>
      </w:r>
      <w:r>
        <w:rPr>
          <w:i/>
          <w:color w:val="000000"/>
          <w:sz w:val="24"/>
          <w:szCs w:val="26"/>
        </w:rPr>
        <w:t>Helicobacter pylori</w:t>
      </w:r>
      <w:r>
        <w:rPr>
          <w:color w:val="000000"/>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r>
        <w:rPr>
          <w:color w:val="000000"/>
          <w:sz w:val="24"/>
          <w:szCs w:val="26"/>
        </w:rPr>
        <w:t>pylori is</w:t>
      </w:r>
      <w:r>
        <w:rPr>
          <w:color w:val="000000"/>
          <w:sz w:val="24"/>
          <w:szCs w:val="26"/>
        </w:rPr>
        <w:t xml:space="preserve"> not the only organism that is believed to cause active chronie gastritis in man. Other infections with spiral organisms have been described (Israel and Peek, 2006).</w:t>
      </w:r>
    </w:p>
    <w:p>
      <w:pPr>
        <w:pStyle w:val="style0"/>
        <w:spacing w:after="0" w:lineRule="auto" w:line="480"/>
        <w:ind w:firstLine="720"/>
        <w:jc w:val="both"/>
        <w:rPr>
          <w:color w:val="000000"/>
          <w:sz w:val="24"/>
          <w:szCs w:val="26"/>
        </w:rPr>
      </w:pPr>
      <w:r>
        <w:rPr>
          <w:color w:val="000000"/>
          <w:sz w:val="24"/>
          <w:szCs w:val="26"/>
        </w:rPr>
        <w:t xml:space="preserve">The bacillus is sensitive to penicillin, erythromycin, cephalosporins, gentamycin, </w:t>
      </w:r>
      <w:r>
        <w:rPr>
          <w:color w:val="000000"/>
          <w:sz w:val="24"/>
          <w:szCs w:val="26"/>
        </w:rPr>
        <w:t>tetracycline</w:t>
      </w:r>
      <w:r>
        <w:rPr>
          <w:color w:val="000000"/>
          <w:sz w:val="24"/>
          <w:szCs w:val="26"/>
        </w:rPr>
        <w:t xml:space="preserve"> and bismuth citrate. Ranitidine has been combined with bismuth citrate </w:t>
      </w:r>
      <w:r>
        <w:rPr>
          <w:color w:val="000000"/>
          <w:sz w:val="24"/>
          <w:szCs w:val="26"/>
        </w:rPr>
        <w:t xml:space="preserve">(RBC), clarithromycin or amoxycillin. In 70% of patients the peptic ulcer healed within 4 weeks, but only 41-48% of the Helicobacter </w:t>
      </w:r>
      <w:r>
        <w:rPr>
          <w:color w:val="000000"/>
          <w:sz w:val="24"/>
          <w:szCs w:val="26"/>
        </w:rPr>
        <w:t>organism were</w:t>
      </w:r>
      <w:r>
        <w:rPr>
          <w:color w:val="000000"/>
          <w:sz w:val="24"/>
          <w:szCs w:val="26"/>
        </w:rPr>
        <w:t xml:space="preserve"> eradicated. In a randomized study of 900 patients with peptic complaints </w:t>
      </w:r>
      <w:r>
        <w:rPr>
          <w:color w:val="000000"/>
          <w:sz w:val="24"/>
          <w:szCs w:val="26"/>
        </w:rPr>
        <w:t>an</w:t>
      </w:r>
      <w:r>
        <w:rPr>
          <w:color w:val="000000"/>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pPr>
        <w:pStyle w:val="style0"/>
        <w:spacing w:after="0" w:lineRule="auto" w:line="480"/>
        <w:jc w:val="both"/>
        <w:rPr>
          <w:b/>
          <w:color w:val="000000"/>
          <w:sz w:val="24"/>
          <w:szCs w:val="26"/>
        </w:rPr>
      </w:pPr>
      <w:r>
        <w:rPr>
          <w:b/>
          <w:color w:val="000000"/>
          <w:sz w:val="24"/>
          <w:szCs w:val="26"/>
        </w:rPr>
        <w:t xml:space="preserve">2.5 </w:t>
      </w:r>
      <w:r>
        <w:rPr>
          <w:b/>
          <w:i/>
          <w:color w:val="000000"/>
          <w:sz w:val="24"/>
          <w:szCs w:val="26"/>
        </w:rPr>
        <w:t>Sida acuta</w:t>
      </w:r>
      <w:r>
        <w:rPr>
          <w:b/>
          <w:color w:val="000000"/>
          <w:sz w:val="24"/>
          <w:szCs w:val="26"/>
        </w:rPr>
        <w:t xml:space="preserve"> </w:t>
      </w:r>
    </w:p>
    <w:p>
      <w:pPr>
        <w:pStyle w:val="style0"/>
        <w:spacing w:after="0" w:lineRule="auto" w:line="480"/>
        <w:ind w:firstLine="720"/>
        <w:jc w:val="both"/>
        <w:rPr>
          <w:color w:val="000000"/>
          <w:sz w:val="24"/>
          <w:szCs w:val="26"/>
        </w:rPr>
      </w:pPr>
      <w:r>
        <w:rPr>
          <w:color w:val="000000"/>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pPr>
        <w:pStyle w:val="style0"/>
        <w:spacing w:after="0" w:lineRule="auto" w:line="480"/>
        <w:ind w:firstLine="720"/>
        <w:jc w:val="both"/>
        <w:rPr>
          <w:color w:val="000000"/>
          <w:sz w:val="24"/>
          <w:szCs w:val="26"/>
        </w:rPr>
      </w:pPr>
      <w:r>
        <w:rPr>
          <w:i/>
          <w:color w:val="000000"/>
          <w:sz w:val="24"/>
          <w:szCs w:val="26"/>
        </w:rPr>
        <w:t>Sida acuta</w:t>
      </w:r>
      <w:r>
        <w:rPr>
          <w:color w:val="000000"/>
          <w:sz w:val="24"/>
          <w:szCs w:val="26"/>
        </w:rPr>
        <w:t xml:space="preserve"> (broom weed) is one of the plants with medicinal potential qualities and present in abundance in the tropics. It is drought resistance tropical weeds that are common in almost everywhere. </w:t>
      </w:r>
      <w:r>
        <w:rPr>
          <w:i/>
          <w:color w:val="000000"/>
          <w:sz w:val="24"/>
          <w:szCs w:val="26"/>
        </w:rPr>
        <w:t>Sida acuta</w:t>
      </w:r>
      <w:r>
        <w:rPr>
          <w:color w:val="000000"/>
          <w:sz w:val="24"/>
          <w:szCs w:val="26"/>
        </w:rPr>
        <w:t xml:space="preserve"> is an erect, branched and perennial shrub with a woody tap root, hairy branded up to 1 m high and is reproduced from their seeds. The </w:t>
      </w:r>
      <w:r>
        <w:rPr>
          <w:color w:val="000000"/>
          <w:sz w:val="24"/>
          <w:szCs w:val="26"/>
        </w:rPr>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pPr>
        <w:pStyle w:val="style0"/>
        <w:spacing w:after="0" w:lineRule="auto" w:line="480"/>
        <w:ind w:firstLine="720"/>
        <w:jc w:val="both"/>
        <w:rPr>
          <w:color w:val="000000"/>
          <w:sz w:val="24"/>
          <w:szCs w:val="26"/>
          <w:shd w:val="clear" w:color="auto" w:fill="ffffff"/>
        </w:rPr>
      </w:pPr>
      <w:r>
        <w:rPr>
          <w:color w:val="000000"/>
          <w:sz w:val="24"/>
          <w:szCs w:val="26"/>
        </w:rPr>
        <w:t xml:space="preserve">As shown in figure 15, the bark of </w:t>
      </w:r>
      <w:r>
        <w:rPr>
          <w:i/>
          <w:color w:val="000000"/>
          <w:sz w:val="24"/>
          <w:szCs w:val="26"/>
        </w:rPr>
        <w:t>Sida acuta</w:t>
      </w:r>
      <w:r>
        <w:rPr>
          <w:color w:val="000000"/>
          <w:sz w:val="24"/>
          <w:szCs w:val="26"/>
        </w:rPr>
        <w:t xml:space="preserve"> is smooth, greenish, the root is thin, long, cylindrical and very rough; leaves are lanceolate, the flowers are yellow, solitary or in pairs; seeds are smooth and black. In Indian traditional medicine, the root of </w:t>
      </w:r>
      <w:r>
        <w:rPr>
          <w:i/>
          <w:color w:val="000000"/>
          <w:sz w:val="24"/>
          <w:szCs w:val="26"/>
        </w:rPr>
        <w:t>Sida acuta</w:t>
      </w:r>
      <w:r>
        <w:rPr>
          <w:color w:val="000000"/>
          <w:sz w:val="24"/>
          <w:szCs w:val="26"/>
        </w:rPr>
        <w:t xml:space="preserve"> is extensively used as a stomachic, diaphoretic and antipyretic. It is regarded as cooling, astringent, tonic and useful in treating nervous and urinary diseases and also disorders of the blood, bile and liver (Khare </w:t>
      </w:r>
      <w:r>
        <w:rPr>
          <w:i/>
          <w:iCs/>
          <w:color w:val="000000"/>
          <w:sz w:val="24"/>
          <w:szCs w:val="26"/>
        </w:rPr>
        <w:t>et al</w:t>
      </w:r>
      <w:r>
        <w:rPr>
          <w:color w:val="000000"/>
          <w:sz w:val="24"/>
          <w:szCs w:val="26"/>
        </w:rPr>
        <w:t xml:space="preserve">., 2002).The ethanol extract of </w:t>
      </w:r>
      <w:r>
        <w:rPr>
          <w:i/>
          <w:color w:val="000000"/>
          <w:sz w:val="24"/>
          <w:szCs w:val="26"/>
        </w:rPr>
        <w:t>Sida acuta</w:t>
      </w:r>
      <w:r>
        <w:rPr>
          <w:color w:val="000000"/>
          <w:sz w:val="24"/>
          <w:szCs w:val="26"/>
        </w:rPr>
        <w:t xml:space="preserve"> whole plant exhibited moderate anti-ulcer activity in ulcer models in rats (Malairajan </w:t>
      </w:r>
      <w:r>
        <w:rPr>
          <w:i/>
          <w:iCs/>
          <w:color w:val="000000"/>
          <w:sz w:val="24"/>
          <w:szCs w:val="26"/>
        </w:rPr>
        <w:t>et al</w:t>
      </w:r>
      <w:r>
        <w:rPr>
          <w:color w:val="000000"/>
          <w:sz w:val="24"/>
          <w:szCs w:val="26"/>
        </w:rPr>
        <w:t xml:space="preserve">., 2006). The ethanol extract of </w:t>
      </w:r>
      <w:r>
        <w:rPr>
          <w:i/>
          <w:color w:val="000000"/>
          <w:sz w:val="24"/>
          <w:szCs w:val="26"/>
        </w:rPr>
        <w:t>S. acuta</w:t>
      </w:r>
      <w:r>
        <w:rPr>
          <w:color w:val="000000"/>
          <w:sz w:val="24"/>
          <w:szCs w:val="26"/>
        </w:rPr>
        <w:t xml:space="preserve"> leaf also exhibited antiulcer activity in ulcer models in rats (Akilandeswari </w:t>
      </w:r>
      <w:r>
        <w:rPr>
          <w:i/>
          <w:iCs/>
          <w:color w:val="000000"/>
          <w:sz w:val="24"/>
          <w:szCs w:val="26"/>
        </w:rPr>
        <w:t>et al</w:t>
      </w:r>
      <w:r>
        <w:rPr>
          <w:color w:val="000000"/>
          <w:sz w:val="24"/>
          <w:szCs w:val="26"/>
        </w:rPr>
        <w:t xml:space="preserve">., 2010). </w:t>
      </w:r>
    </w:p>
    <w:p>
      <w:pPr>
        <w:pStyle w:val="style0"/>
        <w:spacing w:after="0" w:lineRule="auto" w:line="480"/>
        <w:jc w:val="both"/>
        <w:rPr>
          <w:color w:val="000000"/>
          <w:sz w:val="24"/>
          <w:szCs w:val="26"/>
        </w:rPr>
      </w:pPr>
      <w:r>
        <w:rPr>
          <w:noProof/>
          <w:color w:val="000000"/>
          <w:sz w:val="24"/>
          <w:szCs w:val="26"/>
        </w:rPr>
        <w:drawing>
          <wp:inline distL="0" distT="0" distB="0" distR="0">
            <wp:extent cx="3276600" cy="2483761"/>
            <wp:effectExtent l="0" t="0" r="0" b="0"/>
            <wp:docPr id="1045"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22" cstate="print"/>
                    <a:srcRect l="2298" t="1918" r="8239" b="13190"/>
                    <a:stretch/>
                  </pic:blipFill>
                  <pic:spPr>
                    <a:xfrm rot="0">
                      <a:off x="0" y="0"/>
                      <a:ext cx="3276600" cy="2483761"/>
                    </a:xfrm>
                    <a:prstGeom prst="rect"/>
                    <a:ln>
                      <a:noFill/>
                    </a:ln>
                  </pic:spPr>
                </pic:pic>
              </a:graphicData>
            </a:graphic>
          </wp:inline>
        </w:drawing>
      </w:r>
    </w:p>
    <w:p>
      <w:pPr>
        <w:pStyle w:val="style0"/>
        <w:spacing w:after="0" w:lineRule="auto" w:line="480"/>
        <w:jc w:val="both"/>
        <w:rPr>
          <w:b/>
          <w:bCs/>
          <w:color w:val="000000"/>
          <w:sz w:val="24"/>
          <w:szCs w:val="26"/>
        </w:rPr>
      </w:pPr>
      <w:r>
        <w:rPr>
          <w:b/>
          <w:bCs/>
          <w:color w:val="000000"/>
          <w:sz w:val="24"/>
          <w:szCs w:val="26"/>
        </w:rPr>
        <w:t xml:space="preserve">Figure 20: </w:t>
      </w:r>
      <w:r>
        <w:rPr>
          <w:b/>
          <w:bCs/>
          <w:i/>
          <w:color w:val="000000"/>
          <w:sz w:val="24"/>
          <w:szCs w:val="26"/>
        </w:rPr>
        <w:t>Sida acuta</w:t>
      </w:r>
      <w:r>
        <w:rPr>
          <w:b/>
          <w:bCs/>
          <w:color w:val="000000"/>
          <w:sz w:val="24"/>
          <w:szCs w:val="26"/>
        </w:rPr>
        <w:t xml:space="preserve"> Plant with arrow indicating different parts </w:t>
      </w:r>
    </w:p>
    <w:p>
      <w:pPr>
        <w:pStyle w:val="style0"/>
        <w:spacing w:after="0" w:lineRule="auto" w:line="480"/>
        <w:jc w:val="both"/>
        <w:rPr>
          <w:color w:val="000000"/>
          <w:sz w:val="24"/>
          <w:szCs w:val="26"/>
        </w:rPr>
      </w:pPr>
      <w:r>
        <w:rPr>
          <w:b/>
          <w:bCs/>
          <w:color w:val="000000"/>
          <w:sz w:val="24"/>
          <w:szCs w:val="26"/>
        </w:rPr>
        <w:t xml:space="preserve">Source: </w:t>
      </w:r>
      <w:r>
        <w:rPr>
          <w:color w:val="000000"/>
          <w:sz w:val="24"/>
          <w:szCs w:val="26"/>
        </w:rPr>
        <w:t xml:space="preserve">Tejas </w:t>
      </w:r>
      <w:r>
        <w:rPr>
          <w:i/>
          <w:iCs/>
          <w:color w:val="000000"/>
          <w:sz w:val="24"/>
          <w:szCs w:val="26"/>
        </w:rPr>
        <w:t>et al</w:t>
      </w:r>
      <w:r>
        <w:rPr>
          <w:color w:val="000000"/>
          <w:sz w:val="24"/>
          <w:szCs w:val="26"/>
        </w:rPr>
        <w:t>. (2024)</w:t>
      </w:r>
    </w:p>
    <w:p>
      <w:pPr>
        <w:pStyle w:val="style0"/>
        <w:spacing w:after="0" w:lineRule="auto" w:line="480"/>
        <w:jc w:val="both"/>
        <w:rPr>
          <w:b/>
          <w:color w:val="000000"/>
          <w:sz w:val="24"/>
          <w:szCs w:val="26"/>
        </w:rPr>
      </w:pPr>
      <w:r>
        <w:rPr>
          <w:b/>
          <w:color w:val="000000"/>
          <w:sz w:val="24"/>
          <w:szCs w:val="26"/>
        </w:rPr>
        <w:t>Table 2: Taxonomical Hierarchy</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49"/>
      </w:tblGrid>
      <w:tr>
        <w:trPr/>
        <w:tc>
          <w:tcPr>
            <w:tcW w:w="4675" w:type="dxa"/>
            <w:tcBorders/>
          </w:tcPr>
          <w:p>
            <w:pPr>
              <w:pStyle w:val="style0"/>
              <w:spacing w:lineRule="auto" w:line="480"/>
              <w:jc w:val="both"/>
              <w:rPr>
                <w:color w:val="000000"/>
                <w:sz w:val="24"/>
                <w:szCs w:val="26"/>
              </w:rPr>
            </w:pPr>
            <w:r>
              <w:rPr>
                <w:color w:val="000000"/>
                <w:sz w:val="24"/>
                <w:szCs w:val="26"/>
              </w:rPr>
              <w:t>Kingdom</w:t>
            </w:r>
          </w:p>
        </w:tc>
        <w:tc>
          <w:tcPr>
            <w:tcW w:w="4675" w:type="dxa"/>
            <w:tcBorders/>
          </w:tcPr>
          <w:p>
            <w:pPr>
              <w:pStyle w:val="style0"/>
              <w:spacing w:lineRule="auto" w:line="480"/>
              <w:jc w:val="both"/>
              <w:rPr>
                <w:color w:val="000000"/>
                <w:sz w:val="24"/>
                <w:szCs w:val="26"/>
              </w:rPr>
            </w:pPr>
            <w:r>
              <w:rPr>
                <w:color w:val="000000"/>
                <w:sz w:val="24"/>
                <w:szCs w:val="26"/>
              </w:rPr>
              <w:t>Plantae</w:t>
            </w:r>
          </w:p>
        </w:tc>
      </w:tr>
      <w:tr>
        <w:tblPrEx/>
        <w:trPr/>
        <w:tc>
          <w:tcPr>
            <w:tcW w:w="4675" w:type="dxa"/>
            <w:tcBorders/>
          </w:tcPr>
          <w:p>
            <w:pPr>
              <w:pStyle w:val="style0"/>
              <w:spacing w:lineRule="auto" w:line="480"/>
              <w:jc w:val="both"/>
              <w:rPr>
                <w:color w:val="000000"/>
                <w:sz w:val="24"/>
                <w:szCs w:val="26"/>
              </w:rPr>
            </w:pPr>
            <w:r>
              <w:rPr>
                <w:color w:val="000000"/>
                <w:sz w:val="24"/>
                <w:szCs w:val="26"/>
              </w:rPr>
              <w:t>Phylum</w:t>
            </w:r>
          </w:p>
        </w:tc>
        <w:tc>
          <w:tcPr>
            <w:tcW w:w="4675" w:type="dxa"/>
            <w:tcBorders/>
          </w:tcPr>
          <w:p>
            <w:pPr>
              <w:pStyle w:val="style0"/>
              <w:spacing w:lineRule="auto" w:line="480"/>
              <w:jc w:val="both"/>
              <w:rPr>
                <w:color w:val="000000"/>
                <w:sz w:val="24"/>
                <w:szCs w:val="26"/>
              </w:rPr>
            </w:pPr>
            <w:r>
              <w:rPr>
                <w:color w:val="000000"/>
                <w:sz w:val="24"/>
                <w:szCs w:val="26"/>
              </w:rPr>
              <w:t>Anthophyta</w:t>
            </w:r>
          </w:p>
        </w:tc>
      </w:tr>
      <w:tr>
        <w:tblPrEx/>
        <w:trPr/>
        <w:tc>
          <w:tcPr>
            <w:tcW w:w="4675" w:type="dxa"/>
            <w:tcBorders/>
          </w:tcPr>
          <w:p>
            <w:pPr>
              <w:pStyle w:val="style0"/>
              <w:spacing w:lineRule="auto" w:line="480"/>
              <w:jc w:val="both"/>
              <w:rPr>
                <w:color w:val="000000"/>
                <w:sz w:val="24"/>
                <w:szCs w:val="26"/>
              </w:rPr>
            </w:pPr>
            <w:r>
              <w:rPr>
                <w:color w:val="000000"/>
                <w:sz w:val="24"/>
                <w:szCs w:val="26"/>
              </w:rPr>
              <w:t>Class</w:t>
            </w:r>
          </w:p>
        </w:tc>
        <w:tc>
          <w:tcPr>
            <w:tcW w:w="4675" w:type="dxa"/>
            <w:tcBorders/>
          </w:tcPr>
          <w:p>
            <w:pPr>
              <w:pStyle w:val="style0"/>
              <w:spacing w:lineRule="auto" w:line="480"/>
              <w:jc w:val="both"/>
              <w:rPr>
                <w:color w:val="000000"/>
                <w:sz w:val="24"/>
                <w:szCs w:val="26"/>
              </w:rPr>
            </w:pPr>
            <w:r>
              <w:rPr>
                <w:color w:val="000000"/>
                <w:sz w:val="24"/>
                <w:szCs w:val="26"/>
              </w:rPr>
              <w:t>Dicotyledonae</w:t>
            </w:r>
          </w:p>
        </w:tc>
      </w:tr>
      <w:tr>
        <w:tblPrEx/>
        <w:trPr/>
        <w:tc>
          <w:tcPr>
            <w:tcW w:w="4675" w:type="dxa"/>
            <w:tcBorders/>
          </w:tcPr>
          <w:p>
            <w:pPr>
              <w:pStyle w:val="style0"/>
              <w:spacing w:lineRule="auto" w:line="480"/>
              <w:jc w:val="both"/>
              <w:rPr>
                <w:color w:val="000000"/>
                <w:sz w:val="24"/>
                <w:szCs w:val="26"/>
              </w:rPr>
            </w:pPr>
            <w:r>
              <w:rPr>
                <w:color w:val="000000"/>
                <w:sz w:val="24"/>
                <w:szCs w:val="26"/>
              </w:rPr>
              <w:t>Order</w:t>
            </w:r>
          </w:p>
        </w:tc>
        <w:tc>
          <w:tcPr>
            <w:tcW w:w="4675" w:type="dxa"/>
            <w:tcBorders/>
          </w:tcPr>
          <w:p>
            <w:pPr>
              <w:pStyle w:val="style0"/>
              <w:spacing w:lineRule="auto" w:line="480"/>
              <w:jc w:val="both"/>
              <w:rPr>
                <w:color w:val="000000"/>
                <w:sz w:val="24"/>
                <w:szCs w:val="26"/>
              </w:rPr>
            </w:pPr>
            <w:r>
              <w:rPr>
                <w:color w:val="000000"/>
                <w:sz w:val="24"/>
                <w:szCs w:val="26"/>
              </w:rPr>
              <w:t>Malvales</w:t>
            </w:r>
          </w:p>
        </w:tc>
      </w:tr>
      <w:tr>
        <w:tblPrEx/>
        <w:trPr/>
        <w:tc>
          <w:tcPr>
            <w:tcW w:w="4675" w:type="dxa"/>
            <w:tcBorders/>
          </w:tcPr>
          <w:p>
            <w:pPr>
              <w:pStyle w:val="style0"/>
              <w:spacing w:lineRule="auto" w:line="480"/>
              <w:jc w:val="both"/>
              <w:rPr>
                <w:color w:val="000000"/>
                <w:sz w:val="24"/>
                <w:szCs w:val="26"/>
              </w:rPr>
            </w:pPr>
            <w:r>
              <w:rPr>
                <w:color w:val="000000"/>
                <w:sz w:val="24"/>
                <w:szCs w:val="26"/>
              </w:rPr>
              <w:t>Family</w:t>
            </w:r>
          </w:p>
        </w:tc>
        <w:tc>
          <w:tcPr>
            <w:tcW w:w="4675" w:type="dxa"/>
            <w:tcBorders/>
          </w:tcPr>
          <w:p>
            <w:pPr>
              <w:pStyle w:val="style0"/>
              <w:spacing w:lineRule="auto" w:line="480"/>
              <w:jc w:val="both"/>
              <w:rPr>
                <w:color w:val="000000"/>
                <w:sz w:val="24"/>
                <w:szCs w:val="26"/>
              </w:rPr>
            </w:pPr>
            <w:r>
              <w:rPr>
                <w:color w:val="000000"/>
                <w:sz w:val="24"/>
                <w:szCs w:val="26"/>
              </w:rPr>
              <w:t>Malvaceae</w:t>
            </w:r>
          </w:p>
        </w:tc>
      </w:tr>
      <w:tr>
        <w:tblPrEx/>
        <w:trPr/>
        <w:tc>
          <w:tcPr>
            <w:tcW w:w="4675" w:type="dxa"/>
            <w:tcBorders/>
          </w:tcPr>
          <w:p>
            <w:pPr>
              <w:pStyle w:val="style0"/>
              <w:spacing w:lineRule="auto" w:line="480"/>
              <w:jc w:val="both"/>
              <w:rPr>
                <w:color w:val="000000"/>
                <w:sz w:val="24"/>
                <w:szCs w:val="26"/>
              </w:rPr>
            </w:pPr>
            <w:r>
              <w:rPr>
                <w:color w:val="000000"/>
                <w:sz w:val="24"/>
                <w:szCs w:val="26"/>
              </w:rPr>
              <w:t>Genius</w:t>
            </w:r>
          </w:p>
        </w:tc>
        <w:tc>
          <w:tcPr>
            <w:tcW w:w="4675" w:type="dxa"/>
            <w:tcBorders/>
          </w:tcPr>
          <w:p>
            <w:pPr>
              <w:pStyle w:val="style0"/>
              <w:spacing w:lineRule="auto" w:line="480"/>
              <w:jc w:val="both"/>
              <w:rPr>
                <w:i/>
                <w:color w:val="000000"/>
                <w:sz w:val="24"/>
                <w:szCs w:val="26"/>
              </w:rPr>
            </w:pPr>
            <w:r>
              <w:rPr>
                <w:i/>
                <w:color w:val="000000"/>
                <w:sz w:val="24"/>
                <w:szCs w:val="26"/>
              </w:rPr>
              <w:t>Sida</w:t>
            </w:r>
          </w:p>
        </w:tc>
      </w:tr>
      <w:tr>
        <w:tblPrEx/>
        <w:trPr/>
        <w:tc>
          <w:tcPr>
            <w:tcW w:w="4675" w:type="dxa"/>
            <w:tcBorders/>
          </w:tcPr>
          <w:p>
            <w:pPr>
              <w:pStyle w:val="style0"/>
              <w:spacing w:lineRule="auto" w:line="480"/>
              <w:jc w:val="both"/>
              <w:rPr>
                <w:color w:val="000000"/>
                <w:sz w:val="24"/>
                <w:szCs w:val="26"/>
              </w:rPr>
            </w:pPr>
            <w:r>
              <w:rPr>
                <w:color w:val="000000"/>
                <w:sz w:val="24"/>
                <w:szCs w:val="26"/>
              </w:rPr>
              <w:t>Species</w:t>
            </w:r>
          </w:p>
        </w:tc>
        <w:tc>
          <w:tcPr>
            <w:tcW w:w="4675" w:type="dxa"/>
            <w:tcBorders/>
          </w:tcPr>
          <w:p>
            <w:pPr>
              <w:pStyle w:val="style0"/>
              <w:spacing w:lineRule="auto" w:line="480"/>
              <w:jc w:val="both"/>
              <w:rPr>
                <w:i/>
                <w:color w:val="000000"/>
                <w:sz w:val="24"/>
                <w:szCs w:val="26"/>
              </w:rPr>
            </w:pPr>
            <w:r>
              <w:rPr>
                <w:i/>
                <w:color w:val="000000"/>
                <w:sz w:val="24"/>
                <w:szCs w:val="26"/>
              </w:rPr>
              <w:t>Sida acuta</w:t>
            </w:r>
          </w:p>
        </w:tc>
      </w:tr>
      <w:tr>
        <w:tblPrEx/>
        <w:trPr/>
        <w:tc>
          <w:tcPr>
            <w:tcW w:w="4675" w:type="dxa"/>
            <w:tcBorders/>
          </w:tcPr>
          <w:p>
            <w:pPr>
              <w:pStyle w:val="style0"/>
              <w:spacing w:lineRule="auto" w:line="480"/>
              <w:jc w:val="both"/>
              <w:rPr>
                <w:color w:val="000000"/>
                <w:sz w:val="24"/>
                <w:szCs w:val="26"/>
              </w:rPr>
            </w:pPr>
            <w:r>
              <w:rPr>
                <w:color w:val="000000"/>
                <w:sz w:val="24"/>
                <w:szCs w:val="26"/>
              </w:rPr>
              <w:t>Scientific Name</w:t>
            </w:r>
          </w:p>
        </w:tc>
        <w:tc>
          <w:tcPr>
            <w:tcW w:w="4675" w:type="dxa"/>
            <w:tcBorders/>
          </w:tcPr>
          <w:p>
            <w:pPr>
              <w:pStyle w:val="style0"/>
              <w:spacing w:lineRule="auto" w:line="480"/>
              <w:jc w:val="both"/>
              <w:rPr>
                <w:i/>
                <w:color w:val="000000"/>
                <w:sz w:val="24"/>
                <w:szCs w:val="26"/>
              </w:rPr>
            </w:pPr>
            <w:r>
              <w:rPr>
                <w:i/>
                <w:color w:val="000000"/>
                <w:sz w:val="24"/>
                <w:szCs w:val="26"/>
              </w:rPr>
              <w:t>Sida acuta Burm f.</w:t>
            </w:r>
          </w:p>
        </w:tc>
      </w:tr>
    </w:tbl>
    <w:p>
      <w:pPr>
        <w:pStyle w:val="style0"/>
        <w:spacing w:after="0" w:lineRule="auto" w:line="480"/>
        <w:jc w:val="both"/>
        <w:rPr>
          <w:color w:val="000000"/>
          <w:sz w:val="24"/>
          <w:szCs w:val="26"/>
        </w:rPr>
      </w:pPr>
      <w:r>
        <w:rPr>
          <w:color w:val="000000"/>
          <w:sz w:val="24"/>
          <w:szCs w:val="26"/>
        </w:rPr>
        <w:t xml:space="preserve">Tejas, </w:t>
      </w:r>
      <w:r>
        <w:rPr>
          <w:i/>
          <w:iCs/>
          <w:color w:val="000000"/>
          <w:sz w:val="24"/>
          <w:szCs w:val="26"/>
        </w:rPr>
        <w:t>et al</w:t>
      </w:r>
      <w:r>
        <w:rPr>
          <w:i/>
          <w:color w:val="000000"/>
          <w:sz w:val="24"/>
          <w:szCs w:val="26"/>
        </w:rPr>
        <w:t>.</w:t>
      </w:r>
      <w:r>
        <w:rPr>
          <w:color w:val="000000"/>
          <w:sz w:val="24"/>
          <w:szCs w:val="26"/>
        </w:rPr>
        <w:t xml:space="preserve"> (2024)</w:t>
      </w:r>
      <w:r>
        <w:rPr>
          <w:color w:val="000000"/>
          <w:sz w:val="24"/>
          <w:szCs w:val="26"/>
        </w:rPr>
        <w:t>.</w:t>
      </w:r>
    </w:p>
    <w:p>
      <w:pPr>
        <w:pStyle w:val="style94"/>
        <w:spacing w:after="0" w:afterAutospacing="false" w:lineRule="auto" w:line="480"/>
        <w:ind w:firstLine="720"/>
        <w:jc w:val="both"/>
        <w:rPr>
          <w:color w:val="000000"/>
          <w:szCs w:val="26"/>
        </w:rPr>
      </w:pPr>
      <w:r>
        <w:rPr>
          <w:rStyle w:val="style88"/>
          <w:rFonts w:eastAsia="宋体"/>
          <w:color w:val="000000"/>
          <w:szCs w:val="26"/>
        </w:rPr>
        <w:t>Sida acuta</w:t>
      </w:r>
      <w:r>
        <w:rPr>
          <w:color w:val="000000"/>
          <w:szCs w:val="26"/>
        </w:rPr>
        <w:t xml:space="preserve"> Burm.</w:t>
      </w:r>
      <w:r>
        <w:rPr>
          <w:color w:val="000000"/>
          <w:szCs w:val="26"/>
        </w:rPr>
        <w:t xml:space="preserve"> f. (</w:t>
      </w:r>
      <w:r>
        <w:rPr>
          <w:i/>
          <w:color w:val="000000"/>
          <w:szCs w:val="26"/>
        </w:rPr>
        <w:t>Malvaceae</w:t>
      </w:r>
      <w:r>
        <w:rPr>
          <w:color w:val="000000"/>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Pr>
          <w:i/>
          <w:iCs/>
          <w:color w:val="000000"/>
          <w:szCs w:val="26"/>
        </w:rPr>
        <w:t>et al</w:t>
      </w:r>
      <w:r>
        <w:rPr>
          <w:color w:val="000000"/>
          <w:szCs w:val="26"/>
        </w:rPr>
        <w:t xml:space="preserve">., 2018). Studies have identified a variety of bioactive compounds in </w:t>
      </w:r>
      <w:r>
        <w:rPr>
          <w:rStyle w:val="style88"/>
          <w:rFonts w:eastAsia="宋体"/>
          <w:color w:val="000000"/>
          <w:szCs w:val="26"/>
        </w:rPr>
        <w:t>Sida acuta</w:t>
      </w:r>
      <w:r>
        <w:rPr>
          <w:color w:val="000000"/>
          <w:szCs w:val="26"/>
        </w:rPr>
        <w:t xml:space="preserve">, including alkaloids, flavonoids, tannins, saponins, terpenoids, and phenolic compounds (Ogunyemi </w:t>
      </w:r>
      <w:r>
        <w:rPr>
          <w:i/>
          <w:iCs/>
          <w:color w:val="000000"/>
          <w:szCs w:val="26"/>
        </w:rPr>
        <w:t>et al</w:t>
      </w:r>
      <w:r>
        <w:rPr>
          <w:color w:val="000000"/>
          <w:szCs w:val="26"/>
        </w:rPr>
        <w:t xml:space="preserve">., 2019). These secondary metabolites are responsible for its medicinal properties. The presence of flavonoids and </w:t>
      </w:r>
      <w:r>
        <w:rPr>
          <w:color w:val="000000"/>
          <w:szCs w:val="26"/>
        </w:rPr>
        <w:t xml:space="preserve">polyphenols contributes significantly to its antioxidant activity, which plays a crucial role in neutralizing free radicals (Edeoga </w:t>
      </w:r>
      <w:r>
        <w:rPr>
          <w:i/>
          <w:iCs/>
          <w:color w:val="000000"/>
          <w:szCs w:val="26"/>
        </w:rPr>
        <w:t>et al</w:t>
      </w:r>
      <w:r>
        <w:rPr>
          <w:color w:val="000000"/>
          <w:szCs w:val="26"/>
        </w:rPr>
        <w:t xml:space="preserve">., 2020). </w:t>
      </w:r>
    </w:p>
    <w:p>
      <w:pPr>
        <w:pStyle w:val="style94"/>
        <w:spacing w:after="0" w:afterAutospacing="false" w:lineRule="auto" w:line="480"/>
        <w:ind w:firstLine="720"/>
        <w:jc w:val="both"/>
        <w:rPr>
          <w:color w:val="000000"/>
          <w:szCs w:val="26"/>
        </w:rPr>
      </w:pPr>
      <w:r>
        <w:rPr>
          <w:color w:val="000000"/>
          <w:szCs w:val="26"/>
        </w:rPr>
        <w:t xml:space="preserve">The antimicrobial efficacy of </w:t>
      </w:r>
      <w:r>
        <w:rPr>
          <w:rStyle w:val="style88"/>
          <w:rFonts w:eastAsia="宋体"/>
          <w:color w:val="000000"/>
          <w:szCs w:val="26"/>
        </w:rPr>
        <w:t>Sida acuta</w:t>
      </w:r>
      <w:r>
        <w:rPr>
          <w:color w:val="000000"/>
          <w:szCs w:val="26"/>
        </w:rPr>
        <w:t xml:space="preserve"> has been widely reported. Studies indicate that extracts from the plant exhibit strong antibacterial properties against Gram-positive and Gram-negative bacteria, including </w:t>
      </w:r>
      <w:r>
        <w:rPr>
          <w:rStyle w:val="style88"/>
          <w:rFonts w:eastAsia="宋体"/>
          <w:color w:val="000000"/>
          <w:szCs w:val="26"/>
        </w:rPr>
        <w:t>Escherichia coli</w:t>
      </w:r>
      <w:r>
        <w:rPr>
          <w:color w:val="000000"/>
          <w:szCs w:val="26"/>
        </w:rPr>
        <w:t xml:space="preserve">, </w:t>
      </w:r>
      <w:r>
        <w:rPr>
          <w:rStyle w:val="style88"/>
          <w:rFonts w:eastAsia="宋体"/>
          <w:color w:val="000000"/>
          <w:szCs w:val="26"/>
        </w:rPr>
        <w:t>Staphylococcus aureus</w:t>
      </w:r>
      <w:r>
        <w:rPr>
          <w:color w:val="000000"/>
          <w:szCs w:val="26"/>
        </w:rPr>
        <w:t xml:space="preserve">, and </w:t>
      </w:r>
      <w:r>
        <w:rPr>
          <w:rStyle w:val="style88"/>
          <w:rFonts w:eastAsia="宋体"/>
          <w:color w:val="000000"/>
          <w:szCs w:val="26"/>
        </w:rPr>
        <w:t>Pseudomonas aeruginosa</w:t>
      </w:r>
      <w:r>
        <w:rPr>
          <w:color w:val="000000"/>
          <w:szCs w:val="26"/>
        </w:rPr>
        <w:t xml:space="preserve"> (Adegboye </w:t>
      </w:r>
      <w:r>
        <w:rPr>
          <w:i/>
          <w:iCs/>
          <w:color w:val="000000"/>
          <w:szCs w:val="26"/>
        </w:rPr>
        <w:t>et al</w:t>
      </w:r>
      <w:r>
        <w:rPr>
          <w:color w:val="000000"/>
          <w:szCs w:val="26"/>
        </w:rPr>
        <w:t xml:space="preserve">., 2021). Oxidative stress is a major contributor to various diseases, including cancer and cardiovascular disorders. Extracts of </w:t>
      </w:r>
      <w:r>
        <w:rPr>
          <w:rStyle w:val="style88"/>
          <w:rFonts w:eastAsia="宋体"/>
          <w:color w:val="000000"/>
          <w:szCs w:val="26"/>
        </w:rPr>
        <w:t>Sida acuta</w:t>
      </w:r>
      <w:r>
        <w:rPr>
          <w:color w:val="000000"/>
          <w:szCs w:val="26"/>
        </w:rPr>
        <w:t xml:space="preserve"> have been shown to possess potent antioxidant properties, which help in reducing oxidative damage and protecting cells from lipid peroxidation (Uche </w:t>
      </w:r>
      <w:r>
        <w:rPr>
          <w:i/>
          <w:iCs/>
          <w:color w:val="000000"/>
          <w:szCs w:val="26"/>
        </w:rPr>
        <w:t>et al</w:t>
      </w:r>
      <w:r>
        <w:rPr>
          <w:color w:val="000000"/>
          <w:szCs w:val="26"/>
        </w:rPr>
        <w:t xml:space="preserve">., 2020). Animal studies have demonstrated that </w:t>
      </w:r>
      <w:r>
        <w:rPr>
          <w:rStyle w:val="style88"/>
          <w:rFonts w:eastAsia="宋体"/>
          <w:color w:val="000000"/>
          <w:szCs w:val="26"/>
        </w:rPr>
        <w:t>Sida acuta</w:t>
      </w:r>
      <w:r>
        <w:rPr>
          <w:color w:val="000000"/>
          <w:szCs w:val="26"/>
        </w:rPr>
        <w:t xml:space="preserve"> extracts can significantly reduce blood glucose levels in diabetic rats (Akinpelu </w:t>
      </w:r>
      <w:r>
        <w:rPr>
          <w:i/>
          <w:iCs/>
          <w:color w:val="000000"/>
          <w:szCs w:val="26"/>
        </w:rPr>
        <w:t>et al</w:t>
      </w:r>
      <w:r>
        <w:rPr>
          <w:color w:val="000000"/>
          <w:szCs w:val="26"/>
        </w:rPr>
        <w:t xml:space="preserve">., 2021). These effects make it a promising candidate for ulcer management. Despite its numerous pharmacological benefits, toxicological assessments are necessary to determine the safety of </w:t>
      </w:r>
      <w:r>
        <w:rPr>
          <w:rStyle w:val="style88"/>
          <w:rFonts w:eastAsia="宋体"/>
          <w:color w:val="000000"/>
          <w:szCs w:val="26"/>
        </w:rPr>
        <w:t>Sida acuta</w:t>
      </w:r>
      <w:r>
        <w:rPr>
          <w:color w:val="000000"/>
          <w:szCs w:val="26"/>
        </w:rPr>
        <w:t xml:space="preserve"> (Ajayi </w:t>
      </w:r>
      <w:r>
        <w:rPr>
          <w:i/>
          <w:iCs/>
          <w:color w:val="000000"/>
          <w:szCs w:val="26"/>
        </w:rPr>
        <w:t>et al</w:t>
      </w:r>
      <w:r>
        <w:rPr>
          <w:color w:val="000000"/>
          <w:szCs w:val="26"/>
        </w:rPr>
        <w:t>., 2022).</w:t>
      </w:r>
    </w:p>
    <w:p>
      <w:pPr>
        <w:pStyle w:val="style94"/>
        <w:spacing w:before="0" w:beforeAutospacing="false" w:after="0" w:afterAutospacing="false" w:lineRule="auto" w:line="480"/>
        <w:jc w:val="both"/>
        <w:rPr>
          <w:b/>
          <w:color w:val="000000"/>
          <w:szCs w:val="26"/>
        </w:rPr>
      </w:pPr>
      <w:r>
        <w:rPr>
          <w:b/>
          <w:color w:val="000000"/>
          <w:szCs w:val="26"/>
        </w:rPr>
        <w:t>2.5.1 Saponin</w:t>
      </w:r>
    </w:p>
    <w:p>
      <w:pPr>
        <w:pStyle w:val="style94"/>
        <w:spacing w:before="0" w:beforeAutospacing="false" w:after="0" w:afterAutospacing="false" w:lineRule="auto" w:line="480"/>
        <w:ind w:firstLine="720"/>
        <w:jc w:val="both"/>
        <w:rPr>
          <w:color w:val="000000"/>
          <w:szCs w:val="26"/>
        </w:rPr>
      </w:pPr>
      <w:r>
        <w:rPr>
          <w:color w:val="000000"/>
          <w:szCs w:val="26"/>
        </w:rPr>
        <w:t xml:space="preserve">Saponins are bioactive glycosides with a characteristic foaming property, widely studied for their medicinal benefits (Ogunyemi </w:t>
      </w:r>
      <w:r>
        <w:rPr>
          <w:i/>
          <w:iCs/>
          <w:color w:val="000000"/>
          <w:szCs w:val="26"/>
        </w:rPr>
        <w:t>et al</w:t>
      </w:r>
      <w:r>
        <w:rPr>
          <w:color w:val="000000"/>
          <w:szCs w:val="26"/>
        </w:rPr>
        <w:t xml:space="preserve">., 2019). </w:t>
      </w:r>
      <w:r>
        <w:rPr>
          <w:color w:val="000000"/>
          <w:szCs w:val="26"/>
        </w:rPr>
        <w:t>Saponin</w:t>
      </w:r>
      <w:r>
        <w:rPr>
          <w:color w:val="000000"/>
          <w:szCs w:val="26"/>
        </w:rPr>
        <w:t xml:space="preserve"> in </w:t>
      </w:r>
      <w:r>
        <w:rPr>
          <w:rStyle w:val="style88"/>
          <w:rFonts w:eastAsia="宋体"/>
          <w:color w:val="000000"/>
          <w:szCs w:val="26"/>
        </w:rPr>
        <w:t>Sida acuta</w:t>
      </w:r>
      <w:r>
        <w:rPr>
          <w:color w:val="000000"/>
          <w:szCs w:val="26"/>
        </w:rPr>
        <w:t xml:space="preserve"> are</w:t>
      </w:r>
      <w:r>
        <w:rPr>
          <w:color w:val="000000"/>
          <w:szCs w:val="26"/>
        </w:rPr>
        <w:t xml:space="preserve"> a class of triterpenoid or steroidal glycosides known for their amphiphilic nature (Edeoga </w:t>
      </w:r>
      <w:r>
        <w:rPr>
          <w:i/>
          <w:iCs/>
          <w:color w:val="000000"/>
          <w:szCs w:val="26"/>
        </w:rPr>
        <w:t>et al</w:t>
      </w:r>
      <w:r>
        <w:rPr>
          <w:color w:val="000000"/>
          <w:szCs w:val="26"/>
        </w:rPr>
        <w:t xml:space="preserve">., 2020). Phytochemical screening has confirmed the presence of these compounds in various parts of the plant, including leaves, stems, and roots (Adegboye </w:t>
      </w:r>
      <w:r>
        <w:rPr>
          <w:i/>
          <w:iCs/>
          <w:color w:val="000000"/>
          <w:szCs w:val="26"/>
        </w:rPr>
        <w:t>et al</w:t>
      </w:r>
      <w:r>
        <w:rPr>
          <w:color w:val="000000"/>
          <w:szCs w:val="26"/>
        </w:rPr>
        <w:t xml:space="preserve">., 2021). </w:t>
      </w:r>
      <w:r>
        <w:rPr>
          <w:color w:val="000000"/>
          <w:szCs w:val="26"/>
        </w:rPr>
        <w:t xml:space="preserve">Their structural diversity contributes to various biological activities, including antimicrobial, anti-inflammatory, and antioxidant effects (Olajide </w:t>
      </w:r>
      <w:r>
        <w:rPr>
          <w:i/>
          <w:iCs/>
          <w:color w:val="000000"/>
          <w:szCs w:val="26"/>
        </w:rPr>
        <w:t>et al</w:t>
      </w:r>
      <w:r>
        <w:rPr>
          <w:color w:val="000000"/>
          <w:szCs w:val="26"/>
        </w:rPr>
        <w:t xml:space="preserve">., 2019). The extraction of saponins from </w:t>
      </w:r>
      <w:r>
        <w:rPr>
          <w:rStyle w:val="style88"/>
          <w:rFonts w:eastAsia="宋体"/>
          <w:color w:val="000000"/>
          <w:szCs w:val="26"/>
        </w:rPr>
        <w:t>Sida acuta</w:t>
      </w:r>
      <w:r>
        <w:rPr>
          <w:color w:val="000000"/>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Pr>
          <w:i/>
          <w:iCs/>
          <w:color w:val="000000"/>
          <w:szCs w:val="26"/>
        </w:rPr>
        <w:t>et al</w:t>
      </w:r>
      <w:r>
        <w:rPr>
          <w:color w:val="000000"/>
          <w:szCs w:val="26"/>
        </w:rPr>
        <w:t xml:space="preserve">., 2020). </w:t>
      </w:r>
    </w:p>
    <w:p>
      <w:pPr>
        <w:pStyle w:val="style94"/>
        <w:spacing w:before="0" w:beforeAutospacing="false" w:after="0" w:afterAutospacing="false" w:lineRule="auto" w:line="480"/>
        <w:jc w:val="both"/>
        <w:rPr>
          <w:color w:val="000000"/>
          <w:szCs w:val="26"/>
        </w:rPr>
      </w:pPr>
      <w:r>
        <w:rPr>
          <w:b/>
          <w:color w:val="000000"/>
          <w:szCs w:val="26"/>
        </w:rPr>
        <w:t>2.5.2 Tannins</w:t>
      </w:r>
    </w:p>
    <w:p>
      <w:pPr>
        <w:pStyle w:val="style94"/>
        <w:spacing w:before="0" w:beforeAutospacing="false" w:after="0" w:afterAutospacing="false" w:lineRule="auto" w:line="480"/>
        <w:ind w:firstLine="720"/>
        <w:jc w:val="both"/>
        <w:rPr>
          <w:color w:val="000000"/>
          <w:szCs w:val="26"/>
        </w:rPr>
      </w:pPr>
      <w:r>
        <w:rPr>
          <w:color w:val="000000"/>
          <w:szCs w:val="26"/>
        </w:rPr>
        <w:t xml:space="preserve">Tannins are a class of polyphenolic compounds widely distributed in plants, and </w:t>
      </w:r>
      <w:r>
        <w:rPr>
          <w:i/>
          <w:color w:val="000000"/>
          <w:szCs w:val="26"/>
        </w:rPr>
        <w:t>Sida acuta</w:t>
      </w:r>
      <w:r>
        <w:rPr>
          <w:color w:val="000000"/>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Pr>
          <w:i/>
          <w:color w:val="000000"/>
          <w:szCs w:val="26"/>
        </w:rPr>
        <w:t>Sida acuta</w:t>
      </w:r>
      <w:r>
        <w:rPr>
          <w:color w:val="000000"/>
          <w:szCs w:val="26"/>
        </w:rPr>
        <w:t xml:space="preserve"> contribute significantly to its antioxidant properties. These compounds can scavenge free radicals and chelate metal ions, thereby preventing oxidative damage to cells (Hagerman and Butler, 2020). The antioxidant potential of </w:t>
      </w:r>
      <w:r>
        <w:rPr>
          <w:i/>
          <w:color w:val="000000"/>
          <w:szCs w:val="26"/>
        </w:rPr>
        <w:t>Sida acuta</w:t>
      </w:r>
      <w:r>
        <w:rPr>
          <w:color w:val="000000"/>
          <w:szCs w:val="26"/>
        </w:rPr>
        <w:t xml:space="preserve"> tannins has been linked to its effectiveness in preventing lipid peroxidation and oxidative stress-related diseases (Uche </w:t>
      </w:r>
      <w:r>
        <w:rPr>
          <w:i/>
          <w:iCs/>
          <w:color w:val="000000"/>
          <w:szCs w:val="26"/>
        </w:rPr>
        <w:t>et al</w:t>
      </w:r>
      <w:r>
        <w:rPr>
          <w:color w:val="000000"/>
          <w:szCs w:val="26"/>
        </w:rPr>
        <w:t xml:space="preserve">., 2020). Tannins play a crucial role in the gastroprotective activity of </w:t>
      </w:r>
      <w:r>
        <w:rPr>
          <w:i/>
          <w:color w:val="000000"/>
          <w:szCs w:val="26"/>
        </w:rPr>
        <w:t>Sida acuta</w:t>
      </w:r>
      <w:r>
        <w:rPr>
          <w:color w:val="000000"/>
          <w:szCs w:val="26"/>
        </w:rPr>
        <w:t xml:space="preserve">. They enhance mucus secretion, reduce gastric acid production, and strengthen the mucosal barrier, thereby preventing ulcer formation (Ezekwesili </w:t>
      </w:r>
      <w:r>
        <w:rPr>
          <w:i/>
          <w:iCs/>
          <w:color w:val="000000"/>
          <w:szCs w:val="26"/>
        </w:rPr>
        <w:t>et al</w:t>
      </w:r>
      <w:r>
        <w:rPr>
          <w:color w:val="000000"/>
          <w:szCs w:val="26"/>
        </w:rPr>
        <w:t xml:space="preserve">., 2018). </w:t>
      </w:r>
    </w:p>
    <w:p>
      <w:pPr>
        <w:pStyle w:val="style0"/>
        <w:spacing w:after="0" w:lineRule="auto" w:line="480"/>
        <w:jc w:val="both"/>
        <w:rPr>
          <w:rFonts w:eastAsia="Times New Roman"/>
          <w:b/>
          <w:bCs/>
          <w:color w:val="000000"/>
          <w:sz w:val="24"/>
          <w:szCs w:val="26"/>
        </w:rPr>
      </w:pPr>
    </w:p>
    <w:p>
      <w:pPr>
        <w:pStyle w:val="style0"/>
        <w:spacing w:after="0" w:lineRule="auto" w:line="480"/>
        <w:jc w:val="both"/>
        <w:rPr>
          <w:rFonts w:eastAsia="Times New Roman"/>
          <w:color w:val="000000"/>
          <w:sz w:val="24"/>
          <w:szCs w:val="26"/>
        </w:rPr>
      </w:pPr>
      <w:r>
        <w:rPr>
          <w:rFonts w:eastAsia="Times New Roman"/>
          <w:b/>
          <w:bCs/>
          <w:color w:val="000000"/>
          <w:sz w:val="24"/>
          <w:szCs w:val="26"/>
        </w:rPr>
        <w:t>2.5.3 Flavonoids</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is a medicinal plant rich in flavonoids, which are polyphenolic compounds known for their diverse biological activities. Flavonoids play a critical role in the pharmacological potential of </w:t>
      </w:r>
      <w:r>
        <w:rPr>
          <w:rFonts w:eastAsia="Times New Roman"/>
          <w:i/>
          <w:iCs/>
          <w:color w:val="000000"/>
          <w:sz w:val="24"/>
          <w:szCs w:val="26"/>
        </w:rPr>
        <w:t>Sida acuta</w:t>
      </w:r>
      <w:r>
        <w:rPr>
          <w:rFonts w:eastAsia="Times New Roman"/>
          <w:color w:val="000000"/>
          <w:sz w:val="24"/>
          <w:szCs w:val="26"/>
        </w:rPr>
        <w:t xml:space="preserve">, exhibiting antioxidant, antimicrobial, anti-inflammatory, and other health benefits (Ogunyemi </w:t>
      </w:r>
      <w:r>
        <w:rPr>
          <w:rFonts w:eastAsia="Times New Roman"/>
          <w:i/>
          <w:iCs/>
          <w:color w:val="000000"/>
          <w:sz w:val="24"/>
          <w:szCs w:val="26"/>
        </w:rPr>
        <w:t>et al</w:t>
      </w:r>
      <w:r>
        <w:rPr>
          <w:rFonts w:eastAsia="Times New Roman"/>
          <w:color w:val="000000"/>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Pr>
          <w:rFonts w:eastAsia="Times New Roman"/>
          <w:i/>
          <w:iCs/>
          <w:color w:val="000000"/>
          <w:sz w:val="24"/>
          <w:szCs w:val="26"/>
        </w:rPr>
        <w:t>et al</w:t>
      </w:r>
      <w:r>
        <w:rPr>
          <w:rFonts w:eastAsia="Times New Roman"/>
          <w:color w:val="000000"/>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Pr>
          <w:rFonts w:eastAsia="Times New Roman"/>
          <w:i/>
          <w:iCs/>
          <w:color w:val="000000"/>
          <w:sz w:val="24"/>
          <w:szCs w:val="26"/>
        </w:rPr>
        <w:t>et al</w:t>
      </w:r>
      <w:r>
        <w:rPr>
          <w:rFonts w:eastAsia="Times New Roman"/>
          <w:color w:val="000000"/>
          <w:sz w:val="24"/>
          <w:szCs w:val="26"/>
        </w:rPr>
        <w:t>., 2020).</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flavonoids exhibit strong antimicrobial effects. Studies have demonstrated their efficacy against various bacterial and fungal pathogens, including </w:t>
      </w:r>
      <w:r>
        <w:rPr>
          <w:rFonts w:eastAsia="Times New Roman"/>
          <w:i/>
          <w:iCs/>
          <w:color w:val="000000"/>
          <w:sz w:val="24"/>
          <w:szCs w:val="26"/>
        </w:rPr>
        <w:t>Staphylococcus aureus</w:t>
      </w:r>
      <w:r>
        <w:rPr>
          <w:rFonts w:eastAsia="Times New Roman"/>
          <w:color w:val="000000"/>
          <w:sz w:val="24"/>
          <w:szCs w:val="26"/>
        </w:rPr>
        <w:t xml:space="preserve">, </w:t>
      </w:r>
      <w:r>
        <w:rPr>
          <w:rFonts w:eastAsia="Times New Roman"/>
          <w:i/>
          <w:iCs/>
          <w:color w:val="000000"/>
          <w:sz w:val="24"/>
          <w:szCs w:val="26"/>
        </w:rPr>
        <w:t>Escherichia coli</w:t>
      </w:r>
      <w:r>
        <w:rPr>
          <w:rFonts w:eastAsia="Times New Roman"/>
          <w:color w:val="000000"/>
          <w:sz w:val="24"/>
          <w:szCs w:val="26"/>
        </w:rPr>
        <w:t xml:space="preserve">, and </w:t>
      </w:r>
      <w:r>
        <w:rPr>
          <w:rFonts w:eastAsia="Times New Roman"/>
          <w:i/>
          <w:iCs/>
          <w:color w:val="000000"/>
          <w:sz w:val="24"/>
          <w:szCs w:val="26"/>
        </w:rPr>
        <w:t>Pseudomonas aeruginosa</w:t>
      </w:r>
      <w:r>
        <w:rPr>
          <w:rFonts w:eastAsia="Times New Roman"/>
          <w:color w:val="000000"/>
          <w:sz w:val="24"/>
          <w:szCs w:val="26"/>
        </w:rPr>
        <w:t xml:space="preserve"> (Adegboye </w:t>
      </w:r>
      <w:r>
        <w:rPr>
          <w:rFonts w:eastAsia="Times New Roman"/>
          <w:i/>
          <w:iCs/>
          <w:color w:val="000000"/>
          <w:sz w:val="24"/>
          <w:szCs w:val="26"/>
        </w:rPr>
        <w:t>et al</w:t>
      </w:r>
      <w:r>
        <w:rPr>
          <w:rFonts w:eastAsia="Times New Roman"/>
          <w:color w:val="000000"/>
          <w:sz w:val="24"/>
          <w:szCs w:val="26"/>
        </w:rPr>
        <w:t xml:space="preserve">., 2021). The antimicrobial mechanism involves disruption of microbial cell membranes, inhibition of bacterial enzyme systems, and interference with biofilm formation (Olajide </w:t>
      </w:r>
      <w:r>
        <w:rPr>
          <w:rFonts w:eastAsia="Times New Roman"/>
          <w:i/>
          <w:iCs/>
          <w:color w:val="000000"/>
          <w:sz w:val="24"/>
          <w:szCs w:val="26"/>
        </w:rPr>
        <w:t>et al</w:t>
      </w:r>
      <w:r>
        <w:rPr>
          <w:rFonts w:eastAsia="Times New Roman"/>
          <w:color w:val="000000"/>
          <w:sz w:val="24"/>
          <w:szCs w:val="26"/>
        </w:rPr>
        <w:t xml:space="preserve">., 2019). This makes </w:t>
      </w:r>
      <w:r>
        <w:rPr>
          <w:rFonts w:eastAsia="Times New Roman"/>
          <w:i/>
          <w:iCs/>
          <w:color w:val="000000"/>
          <w:sz w:val="24"/>
          <w:szCs w:val="26"/>
        </w:rPr>
        <w:t>Sida acuta</w:t>
      </w:r>
      <w:r>
        <w:rPr>
          <w:rFonts w:eastAsia="Times New Roman"/>
          <w:color w:val="000000"/>
          <w:sz w:val="24"/>
          <w:szCs w:val="26"/>
        </w:rPr>
        <w:t xml:space="preserve"> extracts a promising alternative for combating antibiotic-resistant infections. Flavonoids from </w:t>
      </w:r>
      <w:r>
        <w:rPr>
          <w:rFonts w:eastAsia="Times New Roman"/>
          <w:i/>
          <w:iCs/>
          <w:color w:val="000000"/>
          <w:sz w:val="24"/>
          <w:szCs w:val="26"/>
        </w:rPr>
        <w:t>Sida acuta</w:t>
      </w:r>
      <w:r>
        <w:rPr>
          <w:rFonts w:eastAsia="Times New Roman"/>
          <w:color w:val="000000"/>
          <w:sz w:val="24"/>
          <w:szCs w:val="26"/>
        </w:rPr>
        <w:t xml:space="preserve"> also possess significant anti-inflammatory properties (Mbagwu and Okoro, 2017).</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Research suggests that </w:t>
      </w:r>
      <w:r>
        <w:rPr>
          <w:rFonts w:eastAsia="Times New Roman"/>
          <w:i/>
          <w:iCs/>
          <w:color w:val="000000"/>
          <w:sz w:val="24"/>
          <w:szCs w:val="26"/>
        </w:rPr>
        <w:t>Sida acuta</w:t>
      </w:r>
      <w:r>
        <w:rPr>
          <w:rFonts w:eastAsia="Times New Roman"/>
          <w:color w:val="000000"/>
          <w:sz w:val="24"/>
          <w:szCs w:val="26"/>
        </w:rPr>
        <w:t xml:space="preserve"> flavonoids have anticancer properties. They exhibit cytotoxic effects against tumor cells by inducing apoptosis, inhibiting proliferation, and modulating key signaling pathways involved in cancer progression (Fraga </w:t>
      </w:r>
      <w:r>
        <w:rPr>
          <w:rFonts w:eastAsia="Times New Roman"/>
          <w:i/>
          <w:iCs/>
          <w:color w:val="000000"/>
          <w:sz w:val="24"/>
          <w:szCs w:val="26"/>
        </w:rPr>
        <w:t>et al</w:t>
      </w:r>
      <w:r>
        <w:rPr>
          <w:rFonts w:eastAsia="Times New Roman"/>
          <w:color w:val="000000"/>
          <w:sz w:val="24"/>
          <w:szCs w:val="26"/>
        </w:rPr>
        <w:t xml:space="preserve">., 2019). These properties make </w:t>
      </w:r>
      <w:r>
        <w:rPr>
          <w:rFonts w:eastAsia="Times New Roman"/>
          <w:i/>
          <w:iCs/>
          <w:color w:val="000000"/>
          <w:sz w:val="24"/>
          <w:szCs w:val="26"/>
        </w:rPr>
        <w:t>Sida acuta</w:t>
      </w:r>
      <w:r>
        <w:rPr>
          <w:rFonts w:eastAsia="Times New Roman"/>
          <w:color w:val="000000"/>
          <w:sz w:val="24"/>
          <w:szCs w:val="26"/>
        </w:rPr>
        <w:t xml:space="preserve"> a promising candidate for further investigation in cancer prevention and treatment (Ezekwesili </w:t>
      </w:r>
      <w:r>
        <w:rPr>
          <w:rFonts w:eastAsia="Times New Roman"/>
          <w:i/>
          <w:iCs/>
          <w:color w:val="000000"/>
          <w:sz w:val="24"/>
          <w:szCs w:val="26"/>
        </w:rPr>
        <w:t>et al</w:t>
      </w:r>
      <w:r>
        <w:rPr>
          <w:rFonts w:eastAsia="Times New Roman"/>
          <w:color w:val="000000"/>
          <w:sz w:val="24"/>
          <w:szCs w:val="26"/>
        </w:rPr>
        <w:t xml:space="preserve">., 2018). </w:t>
      </w:r>
    </w:p>
    <w:p>
      <w:pPr>
        <w:pStyle w:val="style0"/>
        <w:spacing w:after="160" w:lineRule="auto" w:line="480"/>
        <w:jc w:val="both"/>
        <w:rPr>
          <w:rFonts w:eastAsia="Times New Roman"/>
          <w:b/>
          <w:bCs/>
          <w:color w:val="000000"/>
          <w:sz w:val="24"/>
          <w:szCs w:val="26"/>
        </w:rPr>
      </w:pPr>
      <w:r>
        <w:rPr>
          <w:rFonts w:eastAsia="Times New Roman"/>
          <w:b/>
          <w:bCs/>
          <w:color w:val="000000"/>
          <w:sz w:val="24"/>
          <w:szCs w:val="26"/>
        </w:rPr>
        <w:t>2.5.4 Phenols</w:t>
      </w:r>
    </w:p>
    <w:p>
      <w:pPr>
        <w:pStyle w:val="style94"/>
        <w:spacing w:before="0" w:beforeAutospacing="false" w:after="0" w:afterAutospacing="false" w:lineRule="auto" w:line="480"/>
        <w:ind w:firstLine="720"/>
        <w:jc w:val="both"/>
        <w:rPr>
          <w:color w:val="000000"/>
          <w:szCs w:val="26"/>
        </w:rPr>
      </w:pPr>
      <w:r>
        <w:rPr>
          <w:rStyle w:val="style88"/>
          <w:rFonts w:eastAsia="宋体"/>
          <w:color w:val="000000"/>
          <w:szCs w:val="26"/>
        </w:rPr>
        <w:t>Sida acuta</w:t>
      </w:r>
      <w:r>
        <w:rPr>
          <w:color w:val="000000"/>
          <w:szCs w:val="26"/>
        </w:rPr>
        <w:t xml:space="preserve"> phenols play a crucial role in neutralizing free radicals and reducing oxidative stress, which is linked to chronic diseases such as cancer, cardiovascular disorders, and neurodegenerative conditions (Edeoga </w:t>
      </w:r>
      <w:r>
        <w:rPr>
          <w:i/>
          <w:iCs/>
          <w:color w:val="000000"/>
          <w:szCs w:val="26"/>
        </w:rPr>
        <w:t>et al</w:t>
      </w:r>
      <w:r>
        <w:rPr>
          <w:color w:val="000000"/>
          <w:szCs w:val="26"/>
        </w:rPr>
        <w:t xml:space="preserve">., 2020). Phenolic compounds exhibit strong radical-scavenging abilities by donating hydrogen atoms to reactive oxygen species (ROS), thereby preventing cellular damage and enhancing the body’s defense mechanisms (Uche </w:t>
      </w:r>
      <w:r>
        <w:rPr>
          <w:i/>
          <w:iCs/>
          <w:color w:val="000000"/>
          <w:szCs w:val="26"/>
        </w:rPr>
        <w:t>et al</w:t>
      </w:r>
      <w:r>
        <w:rPr>
          <w:color w:val="000000"/>
          <w:szCs w:val="26"/>
        </w:rPr>
        <w:t xml:space="preserve">., 2020). Phenols display significant antimicrobial activity against various bacterial and fungal pathogens. Studies have shown that these compounds inhibit the growth of </w:t>
      </w:r>
      <w:r>
        <w:rPr>
          <w:rStyle w:val="style88"/>
          <w:rFonts w:eastAsia="宋体"/>
          <w:color w:val="000000"/>
          <w:szCs w:val="26"/>
        </w:rPr>
        <w:t>Escherichia coli</w:t>
      </w:r>
      <w:r>
        <w:rPr>
          <w:color w:val="000000"/>
          <w:szCs w:val="26"/>
        </w:rPr>
        <w:t xml:space="preserve">, </w:t>
      </w:r>
      <w:r>
        <w:rPr>
          <w:rStyle w:val="style88"/>
          <w:rFonts w:eastAsia="宋体"/>
          <w:color w:val="000000"/>
          <w:szCs w:val="26"/>
        </w:rPr>
        <w:t>Staphylococcus aureus</w:t>
      </w:r>
      <w:r>
        <w:rPr>
          <w:color w:val="000000"/>
          <w:szCs w:val="26"/>
        </w:rPr>
        <w:t xml:space="preserve">, and </w:t>
      </w:r>
      <w:r>
        <w:rPr>
          <w:rStyle w:val="style88"/>
          <w:rFonts w:eastAsia="宋体"/>
          <w:color w:val="000000"/>
          <w:szCs w:val="26"/>
        </w:rPr>
        <w:t>Candida albicans</w:t>
      </w:r>
      <w:r>
        <w:rPr>
          <w:color w:val="000000"/>
          <w:szCs w:val="26"/>
        </w:rPr>
        <w:t xml:space="preserve">, making them effective agents in combating infectious diseases (Adegboye </w:t>
      </w:r>
      <w:r>
        <w:rPr>
          <w:i/>
          <w:iCs/>
          <w:color w:val="000000"/>
          <w:szCs w:val="26"/>
        </w:rPr>
        <w:t>et al</w:t>
      </w:r>
      <w:r>
        <w:rPr>
          <w:color w:val="000000"/>
          <w:szCs w:val="26"/>
        </w:rPr>
        <w:t xml:space="preserve">., 2021). The antimicrobial mechanism involves disrupting microbial cell membranes, inhibiting essential enzymes, and interfering with microbial DNA synthesis (Olajide </w:t>
      </w:r>
      <w:r>
        <w:rPr>
          <w:i/>
          <w:iCs/>
          <w:color w:val="000000"/>
          <w:szCs w:val="26"/>
        </w:rPr>
        <w:t>et al</w:t>
      </w:r>
      <w:r>
        <w:rPr>
          <w:color w:val="000000"/>
          <w:szCs w:val="26"/>
        </w:rPr>
        <w:t xml:space="preserve">., 2019). This highlights the potential of </w:t>
      </w:r>
      <w:r>
        <w:rPr>
          <w:rStyle w:val="style88"/>
          <w:rFonts w:eastAsia="宋体"/>
          <w:color w:val="000000"/>
          <w:szCs w:val="26"/>
        </w:rPr>
        <w:t>Sida acuta</w:t>
      </w:r>
      <w:r>
        <w:rPr>
          <w:color w:val="000000"/>
          <w:szCs w:val="26"/>
        </w:rPr>
        <w:t xml:space="preserve"> as a natural source for developing antimicrobial drugs.</w:t>
      </w:r>
    </w:p>
    <w:p>
      <w:pPr>
        <w:pStyle w:val="style94"/>
        <w:spacing w:before="0" w:beforeAutospacing="false" w:after="0" w:afterAutospacing="false" w:lineRule="auto" w:line="480"/>
        <w:ind w:firstLine="720"/>
        <w:jc w:val="both"/>
        <w:rPr>
          <w:color w:val="000000"/>
          <w:szCs w:val="26"/>
        </w:rPr>
      </w:pPr>
      <w:r>
        <w:rPr>
          <w:color w:val="000000"/>
          <w:szCs w:val="26"/>
        </w:rPr>
        <w:t xml:space="preserve">The phenolic content of </w:t>
      </w:r>
      <w:r>
        <w:rPr>
          <w:rStyle w:val="style88"/>
          <w:rFonts w:eastAsia="宋体"/>
          <w:color w:val="000000"/>
          <w:szCs w:val="26"/>
        </w:rPr>
        <w:t>Sida acuta</w:t>
      </w:r>
      <w:r>
        <w:rPr>
          <w:color w:val="000000"/>
          <w:szCs w:val="26"/>
        </w:rPr>
        <w:t xml:space="preserve"> makes it a promising candidate for further studies in cancer prevention and treatment. However, additional research is required to </w:t>
      </w:r>
      <w:r>
        <w:rPr>
          <w:color w:val="000000"/>
          <w:szCs w:val="26"/>
        </w:rPr>
        <w:t xml:space="preserve">establish the full molecular mechanisms and therapeutic potential of these bioactive molecules. Phenols contribute to gastroprotection by reducing gastric acid secretion, enhancing mucosal defense, and promoting ulcer healing (Ezekwesili </w:t>
      </w:r>
      <w:r>
        <w:rPr>
          <w:i/>
          <w:iCs/>
          <w:color w:val="000000"/>
          <w:szCs w:val="26"/>
        </w:rPr>
        <w:t>et al</w:t>
      </w:r>
      <w:r>
        <w:rPr>
          <w:color w:val="000000"/>
          <w:szCs w:val="26"/>
        </w:rPr>
        <w:t>., 2018).</w:t>
      </w:r>
    </w:p>
    <w:p>
      <w:pPr>
        <w:pStyle w:val="style94"/>
        <w:spacing w:before="0" w:beforeAutospacing="false" w:after="0" w:afterAutospacing="false" w:lineRule="auto" w:line="480"/>
        <w:jc w:val="both"/>
        <w:rPr>
          <w:b/>
          <w:bCs/>
          <w:color w:val="000000"/>
          <w:szCs w:val="26"/>
        </w:rPr>
      </w:pPr>
      <w:r>
        <w:rPr>
          <w:b/>
          <w:bCs/>
          <w:color w:val="000000"/>
          <w:szCs w:val="26"/>
        </w:rPr>
        <w:t xml:space="preserve">2.6 Mineral composition </w:t>
      </w:r>
    </w:p>
    <w:p>
      <w:pPr>
        <w:pStyle w:val="style94"/>
        <w:spacing w:before="0" w:beforeAutospacing="false" w:after="0" w:afterAutospacing="false" w:lineRule="auto" w:line="480"/>
        <w:ind w:firstLine="720"/>
        <w:jc w:val="both"/>
        <w:rPr>
          <w:color w:val="000000"/>
          <w:szCs w:val="26"/>
        </w:rPr>
      </w:pPr>
      <w:r>
        <w:rPr>
          <w:color w:val="000000"/>
          <w:szCs w:val="26"/>
        </w:rPr>
        <w:t xml:space="preserve">The diverse mineral profile of </w:t>
      </w:r>
      <w:r>
        <w:rPr>
          <w:rStyle w:val="style88"/>
          <w:rFonts w:eastAsia="宋体"/>
          <w:color w:val="000000"/>
          <w:szCs w:val="26"/>
        </w:rPr>
        <w:t>Sida acuta</w:t>
      </w:r>
      <w:r>
        <w:rPr>
          <w:color w:val="000000"/>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Pr>
          <w:rStyle w:val="style88"/>
          <w:rFonts w:eastAsia="宋体"/>
          <w:color w:val="000000"/>
          <w:szCs w:val="26"/>
        </w:rPr>
        <w:t>Sida acuta</w:t>
      </w:r>
      <w:r>
        <w:rPr>
          <w:color w:val="000000"/>
          <w:szCs w:val="26"/>
        </w:rPr>
        <w:t xml:space="preserve"> as a nutraceutical or functional food supplement remains promising, warranting further investigation into its therapeutic benefits and clinical applications (Fraga </w:t>
      </w:r>
      <w:r>
        <w:rPr>
          <w:i/>
          <w:iCs/>
          <w:color w:val="000000"/>
          <w:szCs w:val="26"/>
        </w:rPr>
        <w:t>et al</w:t>
      </w:r>
      <w:r>
        <w:rPr>
          <w:color w:val="000000"/>
          <w:szCs w:val="26"/>
        </w:rPr>
        <w:t xml:space="preserve">., 2019). Trace elements such as iron (Fe), zinc (Zn), and copper (Cu) are also present in </w:t>
      </w:r>
      <w:r>
        <w:rPr>
          <w:rStyle w:val="style88"/>
          <w:rFonts w:eastAsia="宋体"/>
          <w:color w:val="000000"/>
          <w:szCs w:val="26"/>
        </w:rPr>
        <w:t>Sida acuta</w:t>
      </w:r>
      <w:r>
        <w:rPr>
          <w:color w:val="000000"/>
          <w:szCs w:val="26"/>
        </w:rPr>
        <w:t xml:space="preserve"> and are essential for various biological processes. Iron is crucial for hemoglobin formation and oxygen transport, making </w:t>
      </w:r>
      <w:r>
        <w:rPr>
          <w:rStyle w:val="style88"/>
          <w:rFonts w:eastAsia="宋体"/>
          <w:color w:val="000000"/>
          <w:szCs w:val="26"/>
        </w:rPr>
        <w:t>Sida acuta</w:t>
      </w:r>
      <w:r>
        <w:rPr>
          <w:color w:val="000000"/>
          <w:szCs w:val="26"/>
        </w:rPr>
        <w:t xml:space="preserve"> beneficial in addressing iron deficiency anemia (Mbagwu and Okoro, 2017). </w:t>
      </w:r>
    </w:p>
    <w:p>
      <w:pPr>
        <w:pStyle w:val="style94"/>
        <w:spacing w:before="0" w:beforeAutospacing="false" w:after="0" w:afterAutospacing="false" w:lineRule="auto" w:line="480"/>
        <w:jc w:val="both"/>
        <w:rPr>
          <w:b/>
          <w:bCs/>
          <w:color w:val="000000"/>
          <w:szCs w:val="26"/>
        </w:rPr>
      </w:pPr>
      <w:r>
        <w:rPr>
          <w:b/>
          <w:bCs/>
          <w:color w:val="000000"/>
          <w:szCs w:val="26"/>
        </w:rPr>
        <w:t xml:space="preserve">2.6.1 Calcium </w:t>
      </w:r>
    </w:p>
    <w:p>
      <w:pPr>
        <w:pStyle w:val="style94"/>
        <w:spacing w:before="0" w:beforeAutospacing="false" w:after="0" w:afterAutospacing="false" w:lineRule="auto" w:line="480"/>
        <w:ind w:firstLine="720"/>
        <w:jc w:val="both"/>
        <w:rPr>
          <w:color w:val="000000"/>
          <w:szCs w:val="26"/>
        </w:rPr>
      </w:pPr>
      <w:r>
        <w:rPr>
          <w:color w:val="000000"/>
          <w:szCs w:val="26"/>
        </w:rPr>
        <w:t xml:space="preserve">Among the macrominerals found in </w:t>
      </w:r>
      <w:r>
        <w:rPr>
          <w:rStyle w:val="style88"/>
          <w:rFonts w:eastAsia="宋体"/>
          <w:color w:val="000000"/>
          <w:szCs w:val="26"/>
        </w:rPr>
        <w:t>Sida acuta</w:t>
      </w:r>
      <w:r>
        <w:rPr>
          <w:color w:val="000000"/>
          <w:szCs w:val="26"/>
        </w:rPr>
        <w:t xml:space="preserve">, calcium (Ca) is one of the most abundant. Calcium is essential for bone health, nerve transmission, and muscle function. The presence of calcium in </w:t>
      </w:r>
      <w:r>
        <w:rPr>
          <w:rStyle w:val="style88"/>
          <w:rFonts w:eastAsia="宋体"/>
          <w:color w:val="000000"/>
          <w:szCs w:val="26"/>
        </w:rPr>
        <w:t>Sida acuta</w:t>
      </w:r>
      <w:r>
        <w:rPr>
          <w:color w:val="000000"/>
          <w:szCs w:val="26"/>
        </w:rPr>
        <w:t xml:space="preserve"> suggests its potential role in preventing osteoporosis and maintaining skeletal integrity (Edeoga </w:t>
      </w:r>
      <w:r>
        <w:rPr>
          <w:i/>
          <w:iCs/>
          <w:color w:val="000000"/>
          <w:szCs w:val="26"/>
        </w:rPr>
        <w:t>et al</w:t>
      </w:r>
      <w:r>
        <w:rPr>
          <w:color w:val="000000"/>
          <w:szCs w:val="26"/>
        </w:rPr>
        <w:t xml:space="preserve">., 2020). According to Enin (2015), the calcium content in </w:t>
      </w:r>
      <w:r>
        <w:rPr>
          <w:i/>
          <w:iCs/>
          <w:color w:val="000000"/>
          <w:szCs w:val="26"/>
        </w:rPr>
        <w:t>Sida acuta</w:t>
      </w:r>
      <w:r>
        <w:rPr>
          <w:color w:val="000000"/>
          <w:szCs w:val="26"/>
        </w:rPr>
        <w:t xml:space="preserve"> leaves is approximately 185 mg per 100 grams of dried sample. This level is relatively high when compared with other wild leafy </w:t>
      </w:r>
      <w:r>
        <w:rPr>
          <w:color w:val="000000"/>
          <w:szCs w:val="26"/>
        </w:rPr>
        <w:t>vegetables and highlights the plant’s potential to support calcium requirements, especially in plant-based or low-income diets. Shittu and Alagbe (2020) similarly observed a significant calcium presence in their analysis of the plant’s mineral profile, further support</w:t>
      </w:r>
      <w:r>
        <w:rPr>
          <w:color w:val="000000"/>
          <w:szCs w:val="26"/>
        </w:rPr>
        <w:t xml:space="preserve">ing its nutritional relevance. </w:t>
      </w:r>
    </w:p>
    <w:p>
      <w:pPr>
        <w:pStyle w:val="style94"/>
        <w:spacing w:before="0" w:beforeAutospacing="false" w:after="0" w:afterAutospacing="false" w:lineRule="auto" w:line="480"/>
        <w:jc w:val="both"/>
        <w:rPr>
          <w:b/>
          <w:bCs/>
          <w:color w:val="000000"/>
          <w:szCs w:val="26"/>
        </w:rPr>
      </w:pPr>
      <w:r>
        <w:rPr>
          <w:b/>
          <w:bCs/>
          <w:color w:val="000000"/>
          <w:szCs w:val="26"/>
        </w:rPr>
        <w:t xml:space="preserve">2.6.2 Potassium </w:t>
      </w:r>
    </w:p>
    <w:p>
      <w:pPr>
        <w:pStyle w:val="style94"/>
        <w:spacing w:before="0" w:beforeAutospacing="false" w:after="0" w:afterAutospacing="false" w:lineRule="auto" w:line="480"/>
        <w:ind w:firstLine="720"/>
        <w:jc w:val="both"/>
        <w:rPr>
          <w:color w:val="000000"/>
          <w:szCs w:val="26"/>
        </w:rPr>
      </w:pPr>
      <w:r>
        <w:rPr>
          <w:color w:val="000000"/>
          <w:szCs w:val="26"/>
        </w:rPr>
        <w:t xml:space="preserve">Potassium (K) is another vital mineral present in </w:t>
      </w:r>
      <w:r>
        <w:rPr>
          <w:rStyle w:val="style88"/>
          <w:rFonts w:eastAsia="宋体"/>
          <w:color w:val="000000"/>
          <w:szCs w:val="26"/>
        </w:rPr>
        <w:t>Sida acuta</w:t>
      </w:r>
      <w:r>
        <w:rPr>
          <w:color w:val="000000"/>
          <w:szCs w:val="26"/>
        </w:rPr>
        <w:t xml:space="preserve">, playing an essential role in maintaining electrolyte balance, nerve signaling, and cardiovascular function. A potassium-rich diet has been linked to reduced blood pressure and a lower risk of stroke (Adegboye </w:t>
      </w:r>
      <w:r>
        <w:rPr>
          <w:i/>
          <w:iCs/>
          <w:color w:val="000000"/>
          <w:szCs w:val="26"/>
        </w:rPr>
        <w:t>et al</w:t>
      </w:r>
      <w:r>
        <w:rPr>
          <w:color w:val="000000"/>
          <w:szCs w:val="26"/>
        </w:rPr>
        <w:t xml:space="preserve">., 2021). The presence of potassium in </w:t>
      </w:r>
      <w:r>
        <w:rPr>
          <w:rStyle w:val="style88"/>
          <w:rFonts w:eastAsia="宋体"/>
          <w:color w:val="000000"/>
          <w:szCs w:val="26"/>
        </w:rPr>
        <w:t>Sida acuta</w:t>
      </w:r>
      <w:r>
        <w:rPr>
          <w:color w:val="000000"/>
          <w:szCs w:val="26"/>
        </w:rPr>
        <w:t xml:space="preserve"> suggests its potential contribution to heart health and blood pressure regulation. Furthermore, sodium (Na) is present in trace amounts, ensuring proper fluid balance and nerve function without contributing to hypertension (Olajide </w:t>
      </w:r>
      <w:r>
        <w:rPr>
          <w:i/>
          <w:iCs/>
          <w:color w:val="000000"/>
          <w:szCs w:val="26"/>
        </w:rPr>
        <w:t>et al</w:t>
      </w:r>
      <w:r>
        <w:rPr>
          <w:color w:val="000000"/>
          <w:szCs w:val="26"/>
        </w:rPr>
        <w:t>., 2019).</w:t>
      </w:r>
    </w:p>
    <w:p>
      <w:pPr>
        <w:pStyle w:val="style0"/>
        <w:spacing w:after="160" w:lineRule="auto" w:line="480"/>
        <w:jc w:val="both"/>
        <w:rPr>
          <w:b/>
          <w:bCs/>
          <w:color w:val="000000"/>
          <w:sz w:val="24"/>
          <w:szCs w:val="26"/>
        </w:rPr>
      </w:pPr>
      <w:r>
        <w:rPr>
          <w:b/>
          <w:bCs/>
          <w:color w:val="000000"/>
          <w:sz w:val="24"/>
          <w:szCs w:val="26"/>
        </w:rPr>
        <w:t xml:space="preserve">2.6.3 Sodium </w:t>
      </w:r>
    </w:p>
    <w:p>
      <w:pPr>
        <w:pStyle w:val="style0"/>
        <w:spacing w:after="0" w:lineRule="auto" w:line="480"/>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Pr>
          <w:rFonts w:eastAsia="Times New Roman"/>
          <w:i/>
          <w:iCs/>
          <w:color w:val="000000"/>
          <w:sz w:val="24"/>
          <w:szCs w:val="26"/>
        </w:rPr>
        <w:t>Sida acuta</w:t>
      </w:r>
      <w:r>
        <w:rPr>
          <w:rFonts w:eastAsia="Times New Roman"/>
          <w:color w:val="000000"/>
          <w:sz w:val="24"/>
          <w:szCs w:val="26"/>
        </w:rPr>
        <w:t xml:space="preserve"> is significant, especially for populations relying on herbal remedies for both nutrition and therapy. Recent analyses have revealed that </w:t>
      </w:r>
      <w:r>
        <w:rPr>
          <w:rFonts w:eastAsia="Times New Roman"/>
          <w:i/>
          <w:iCs/>
          <w:color w:val="000000"/>
          <w:sz w:val="24"/>
          <w:szCs w:val="26"/>
        </w:rPr>
        <w:t>Sida acuta</w:t>
      </w:r>
      <w:r>
        <w:rPr>
          <w:rFonts w:eastAsia="Times New Roman"/>
          <w:color w:val="000000"/>
          <w:sz w:val="24"/>
          <w:szCs w:val="26"/>
        </w:rPr>
        <w:t xml:space="preserve"> leaves contain appreciable amounts of sodium. According </w:t>
      </w:r>
      <w:r>
        <w:rPr>
          <w:rFonts w:eastAsia="Times New Roman"/>
          <w:color w:val="000000"/>
          <w:sz w:val="24"/>
          <w:szCs w:val="26"/>
        </w:rPr>
        <w:t xml:space="preserve">to Shittu and Alagbe (2020), the sodium content in </w:t>
      </w:r>
      <w:r>
        <w:rPr>
          <w:rFonts w:eastAsia="Times New Roman"/>
          <w:i/>
          <w:iCs/>
          <w:color w:val="000000"/>
          <w:sz w:val="24"/>
          <w:szCs w:val="26"/>
        </w:rPr>
        <w:t>Sida acuta</w:t>
      </w:r>
      <w:r>
        <w:rPr>
          <w:rFonts w:eastAsia="Times New Roman"/>
          <w:color w:val="000000"/>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pPr>
        <w:pStyle w:val="style0"/>
        <w:spacing w:after="0" w:lineRule="auto" w:line="480"/>
        <w:jc w:val="both"/>
        <w:rPr>
          <w:b/>
          <w:bCs/>
          <w:color w:val="000000"/>
          <w:sz w:val="24"/>
          <w:szCs w:val="26"/>
        </w:rPr>
      </w:pPr>
      <w:r>
        <w:rPr>
          <w:b/>
          <w:bCs/>
          <w:color w:val="000000"/>
          <w:sz w:val="24"/>
          <w:szCs w:val="26"/>
        </w:rPr>
        <w:t xml:space="preserve">2.6.4 Phosphorus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Pr>
          <w:rFonts w:eastAsia="Times New Roman"/>
          <w:i/>
          <w:iCs/>
          <w:color w:val="000000"/>
          <w:sz w:val="24"/>
          <w:szCs w:val="26"/>
        </w:rPr>
        <w:t>Sida acuta</w:t>
      </w:r>
      <w:r>
        <w:rPr>
          <w:rFonts w:eastAsia="Times New Roman"/>
          <w:color w:val="000000"/>
          <w:sz w:val="24"/>
          <w:szCs w:val="26"/>
        </w:rPr>
        <w:t xml:space="preserve"> also contribute to dietary phosphorus intake, especially in regions where plant-based diets are predominant. The phosphorus content in </w:t>
      </w:r>
      <w:r>
        <w:rPr>
          <w:rFonts w:eastAsia="Times New Roman"/>
          <w:i/>
          <w:iCs/>
          <w:color w:val="000000"/>
          <w:sz w:val="24"/>
          <w:szCs w:val="26"/>
        </w:rPr>
        <w:t>Sida acuta</w:t>
      </w:r>
      <w:r>
        <w:rPr>
          <w:rFonts w:eastAsia="Times New Roman"/>
          <w:color w:val="000000"/>
          <w:sz w:val="24"/>
          <w:szCs w:val="26"/>
        </w:rPr>
        <w:t xml:space="preserve"> has been analyzed in several nutritional studies.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According to Enin (2015), the leaves of </w:t>
      </w:r>
      <w:r>
        <w:rPr>
          <w:rFonts w:eastAsia="Times New Roman"/>
          <w:i/>
          <w:iCs/>
          <w:color w:val="000000"/>
          <w:sz w:val="24"/>
          <w:szCs w:val="26"/>
        </w:rPr>
        <w:t>Sida acuta</w:t>
      </w:r>
      <w:r>
        <w:rPr>
          <w:rFonts w:eastAsia="Times New Roman"/>
          <w:color w:val="000000"/>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pPr>
        <w:pStyle w:val="style94"/>
        <w:spacing w:before="0" w:beforeAutospacing="false" w:after="0" w:afterAutospacing="false" w:lineRule="auto" w:line="480"/>
        <w:jc w:val="both"/>
        <w:rPr>
          <w:b/>
          <w:bCs/>
          <w:color w:val="000000"/>
          <w:szCs w:val="26"/>
        </w:rPr>
      </w:pPr>
      <w:r>
        <w:rPr>
          <w:b/>
          <w:bCs/>
          <w:color w:val="000000"/>
          <w:szCs w:val="26"/>
        </w:rPr>
        <w:t xml:space="preserve">2.6.5 Iron and copper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Iron is crucial for the formation of hemoglobin, the protein responsible for transporting oxygen in the blood, and plays a role in cellular respiration and immune </w:t>
      </w:r>
      <w:r>
        <w:rPr>
          <w:rFonts w:eastAsia="Times New Roman"/>
          <w:color w:val="000000"/>
          <w:sz w:val="24"/>
          <w:szCs w:val="26"/>
        </w:rPr>
        <w:t xml:space="preserve">function. Copper, on the other hand, assists in iron metabolism, supports antioxidant activity, and is necessary for the development of connective tissue and the nervous system. When found together in a plant like </w:t>
      </w:r>
      <w:r>
        <w:rPr>
          <w:rFonts w:eastAsia="Times New Roman"/>
          <w:i/>
          <w:iCs/>
          <w:color w:val="000000"/>
          <w:sz w:val="24"/>
          <w:szCs w:val="26"/>
        </w:rPr>
        <w:t>Sida acuta</w:t>
      </w:r>
      <w:r>
        <w:rPr>
          <w:rFonts w:eastAsia="Times New Roman"/>
          <w:color w:val="000000"/>
          <w:sz w:val="24"/>
          <w:szCs w:val="26"/>
        </w:rPr>
        <w:t>, these minerals suggest that the plant may serve as a valuable dietary supplement, especially in areas where iron-deficiency anemia is common.</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According to Shittu and Alagbe (2020), the iron content in </w:t>
      </w:r>
      <w:r>
        <w:rPr>
          <w:rFonts w:eastAsia="Times New Roman"/>
          <w:i/>
          <w:iCs/>
          <w:color w:val="000000"/>
          <w:sz w:val="24"/>
          <w:szCs w:val="26"/>
        </w:rPr>
        <w:t>Sida acuta</w:t>
      </w:r>
      <w:r>
        <w:rPr>
          <w:rFonts w:eastAsia="Times New Roman"/>
          <w:color w:val="000000"/>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Pr>
          <w:rFonts w:eastAsia="Times New Roman"/>
          <w:i/>
          <w:iCs/>
          <w:color w:val="000000"/>
          <w:sz w:val="24"/>
          <w:szCs w:val="26"/>
        </w:rPr>
        <w:t>Sida acuta</w:t>
      </w:r>
      <w:r>
        <w:rPr>
          <w:rFonts w:eastAsia="Times New Roman"/>
          <w:color w:val="000000"/>
          <w:sz w:val="24"/>
          <w:szCs w:val="26"/>
        </w:rPr>
        <w:t xml:space="preserve"> could be an effective natural source of dietary iron. In terms of copper, </w:t>
      </w:r>
      <w:r>
        <w:rPr>
          <w:rFonts w:eastAsia="Times New Roman"/>
          <w:i/>
          <w:iCs/>
          <w:color w:val="000000"/>
          <w:sz w:val="24"/>
          <w:szCs w:val="26"/>
        </w:rPr>
        <w:t>Sida acuta</w:t>
      </w:r>
      <w:r>
        <w:rPr>
          <w:rFonts w:eastAsia="Times New Roman"/>
          <w:color w:val="000000"/>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pPr>
        <w:pStyle w:val="style94"/>
        <w:spacing w:before="0" w:beforeAutospacing="false" w:after="0" w:afterAutospacing="false" w:lineRule="auto" w:line="480"/>
        <w:jc w:val="both"/>
        <w:rPr>
          <w:b/>
          <w:bCs/>
          <w:color w:val="000000"/>
          <w:szCs w:val="26"/>
        </w:rPr>
      </w:pPr>
      <w:r>
        <w:rPr>
          <w:b/>
          <w:bCs/>
          <w:color w:val="000000"/>
          <w:szCs w:val="26"/>
        </w:rPr>
        <w:t xml:space="preserve">2.6.6 Aluminum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Pr>
          <w:rFonts w:eastAsia="Times New Roman"/>
          <w:i/>
          <w:iCs/>
          <w:color w:val="000000"/>
          <w:sz w:val="24"/>
          <w:szCs w:val="26"/>
        </w:rPr>
        <w:t>Sida acuta</w:t>
      </w:r>
      <w:r>
        <w:rPr>
          <w:rFonts w:eastAsia="Times New Roman"/>
          <w:color w:val="000000"/>
          <w:sz w:val="24"/>
          <w:szCs w:val="26"/>
        </w:rPr>
        <w:t xml:space="preserve"> has sparked interest, especially due to growing concerns about its potential health </w:t>
      </w:r>
      <w:r>
        <w:rPr>
          <w:rFonts w:eastAsia="Times New Roman"/>
          <w:color w:val="000000"/>
          <w:sz w:val="24"/>
          <w:szCs w:val="26"/>
        </w:rPr>
        <w:t xml:space="preserve">effects when consumed in large quantities or over extended periods. </w:t>
      </w:r>
      <w:r>
        <w:rPr>
          <w:rFonts w:eastAsia="Times New Roman"/>
          <w:i/>
          <w:iCs/>
          <w:color w:val="000000"/>
          <w:sz w:val="24"/>
          <w:szCs w:val="26"/>
        </w:rPr>
        <w:t>Sida acuta</w:t>
      </w:r>
      <w:r>
        <w:rPr>
          <w:rFonts w:eastAsia="Times New Roman"/>
          <w:color w:val="000000"/>
          <w:sz w:val="24"/>
          <w:szCs w:val="26"/>
        </w:rPr>
        <w:t xml:space="preserve">, known for its medicinal versatility, has been examined for its elemental composition, including trace amounts of aluminium. According to Enin (2015), the leaves of </w:t>
      </w:r>
      <w:r>
        <w:rPr>
          <w:rFonts w:eastAsia="Times New Roman"/>
          <w:i/>
          <w:iCs/>
          <w:color w:val="000000"/>
          <w:sz w:val="24"/>
          <w:szCs w:val="26"/>
        </w:rPr>
        <w:t>Sida acuta</w:t>
      </w:r>
      <w:r>
        <w:rPr>
          <w:rFonts w:eastAsia="Times New Roman"/>
          <w:color w:val="000000"/>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pPr>
        <w:pStyle w:val="style94"/>
        <w:spacing w:before="0" w:beforeAutospacing="false" w:after="0" w:afterAutospacing="false" w:lineRule="auto" w:line="480"/>
        <w:jc w:val="both"/>
        <w:rPr>
          <w:b/>
          <w:bCs/>
          <w:color w:val="000000"/>
          <w:szCs w:val="26"/>
        </w:rPr>
      </w:pPr>
      <w:r>
        <w:rPr>
          <w:b/>
          <w:bCs/>
          <w:color w:val="000000"/>
          <w:szCs w:val="26"/>
        </w:rPr>
        <w:t xml:space="preserve">2.7 Proximate composition </w:t>
      </w:r>
    </w:p>
    <w:p>
      <w:pPr>
        <w:pStyle w:val="style94"/>
        <w:spacing w:before="0" w:beforeAutospacing="false" w:after="0" w:afterAutospacing="false" w:lineRule="auto" w:line="480"/>
        <w:ind w:firstLine="720"/>
        <w:jc w:val="both"/>
        <w:rPr>
          <w:color w:val="000000"/>
          <w:szCs w:val="26"/>
        </w:rPr>
      </w:pPr>
      <w:r>
        <w:rPr>
          <w:color w:val="000000"/>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r>
        <w:rPr>
          <w:color w:val="000000"/>
          <w:szCs w:val="26"/>
        </w:rPr>
        <w:t>contribute</w:t>
      </w:r>
      <w:r>
        <w:rPr>
          <w:color w:val="000000"/>
          <w:szCs w:val="26"/>
        </w:rPr>
        <w:t xml:space="preserve"> to the total energy content of an organism, while water and ash only contribute mass (</w:t>
      </w:r>
      <w:r>
        <w:rPr>
          <w:color w:val="000000"/>
          <w:szCs w:val="26"/>
          <w:shd w:val="clear" w:color="auto" w:fill="ffffff"/>
        </w:rPr>
        <w:t>Parimelazhagan and Thangaraj, 2016).</w:t>
      </w:r>
    </w:p>
    <w:p>
      <w:pPr>
        <w:pStyle w:val="style94"/>
        <w:spacing w:before="0" w:beforeAutospacing="false" w:after="0" w:afterAutospacing="false" w:lineRule="auto" w:line="480"/>
        <w:jc w:val="both"/>
        <w:rPr>
          <w:b/>
          <w:bCs/>
          <w:color w:val="000000"/>
          <w:szCs w:val="26"/>
          <w:lang w:val="fr-FR"/>
        </w:rPr>
      </w:pPr>
      <w:r>
        <w:rPr>
          <w:b/>
          <w:color w:val="000000"/>
          <w:szCs w:val="26"/>
          <w:lang w:val="fr-FR"/>
        </w:rPr>
        <w:t>2</w:t>
      </w:r>
      <w:r>
        <w:rPr>
          <w:b/>
          <w:bCs/>
          <w:color w:val="000000"/>
          <w:szCs w:val="26"/>
          <w:lang w:val="fr-FR"/>
        </w:rPr>
        <w:t xml:space="preserve">.7.1 Moisture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Pr>
          <w:rFonts w:eastAsia="Times New Roman"/>
          <w:i/>
          <w:iCs/>
          <w:color w:val="000000"/>
          <w:sz w:val="24"/>
          <w:szCs w:val="26"/>
        </w:rPr>
        <w:t>Sida acuta</w:t>
      </w:r>
      <w:r>
        <w:rPr>
          <w:rFonts w:eastAsia="Times New Roman"/>
          <w:color w:val="000000"/>
          <w:sz w:val="24"/>
          <w:szCs w:val="26"/>
        </w:rPr>
        <w:t>, a plant commonly utilized in traditional medicine and as a food supplement, understanding its moisture content is crucial for effective post-harvest handling and processing.</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moisture content in </w:t>
      </w:r>
      <w:r>
        <w:rPr>
          <w:rFonts w:eastAsia="Times New Roman"/>
          <w:i/>
          <w:iCs/>
          <w:color w:val="000000"/>
          <w:sz w:val="24"/>
          <w:szCs w:val="26"/>
        </w:rPr>
        <w:t>Sida acuta</w:t>
      </w:r>
      <w:r>
        <w:rPr>
          <w:rFonts w:eastAsia="Times New Roman"/>
          <w:color w:val="000000"/>
          <w:sz w:val="24"/>
          <w:szCs w:val="26"/>
        </w:rPr>
        <w:t xml:space="preserve"> leaves has been reported to be relatively </w:t>
      </w:r>
      <w:r>
        <w:rPr>
          <w:rFonts w:eastAsia="Times New Roman"/>
          <w:color w:val="000000"/>
          <w:sz w:val="24"/>
          <w:szCs w:val="26"/>
        </w:rPr>
        <w:t>high,</w:t>
      </w:r>
      <w:r>
        <w:rPr>
          <w:rFonts w:eastAsia="Times New Roman"/>
          <w:color w:val="000000"/>
          <w:sz w:val="24"/>
          <w:szCs w:val="26"/>
        </w:rPr>
        <w:t xml:space="preserve"> a study by Moti </w:t>
      </w:r>
      <w:r>
        <w:rPr>
          <w:rFonts w:eastAsia="Times New Roman"/>
          <w:i/>
          <w:iCs/>
          <w:color w:val="000000"/>
          <w:sz w:val="24"/>
          <w:szCs w:val="26"/>
        </w:rPr>
        <w:t>et al</w:t>
      </w:r>
      <w:r>
        <w:rPr>
          <w:rFonts w:eastAsia="Times New Roman"/>
          <w:color w:val="000000"/>
          <w:sz w:val="24"/>
          <w:szCs w:val="26"/>
        </w:rPr>
        <w:t xml:space="preserve">. (2020) found that the fresh leaves of </w:t>
      </w:r>
      <w:r>
        <w:rPr>
          <w:rFonts w:eastAsia="Times New Roman"/>
          <w:i/>
          <w:iCs/>
          <w:color w:val="000000"/>
          <w:sz w:val="24"/>
          <w:szCs w:val="26"/>
        </w:rPr>
        <w:t>Sida acuta</w:t>
      </w:r>
      <w:r>
        <w:rPr>
          <w:rFonts w:eastAsia="Times New Roman"/>
          <w:color w:val="000000"/>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Pr>
          <w:rFonts w:eastAsia="Times New Roman"/>
          <w:i/>
          <w:iCs/>
          <w:color w:val="000000"/>
          <w:sz w:val="24"/>
          <w:szCs w:val="26"/>
        </w:rPr>
        <w:t>et al</w:t>
      </w:r>
      <w:r>
        <w:rPr>
          <w:rFonts w:eastAsia="Times New Roman"/>
          <w:color w:val="000000"/>
          <w:sz w:val="24"/>
          <w:szCs w:val="26"/>
        </w:rPr>
        <w:t>., 2016).</w:t>
      </w:r>
    </w:p>
    <w:p>
      <w:pPr>
        <w:pStyle w:val="style94"/>
        <w:spacing w:before="0" w:beforeAutospacing="false" w:after="0" w:afterAutospacing="false" w:lineRule="auto" w:line="480"/>
        <w:jc w:val="both"/>
        <w:rPr>
          <w:b/>
          <w:bCs/>
          <w:color w:val="000000"/>
          <w:szCs w:val="26"/>
          <w:lang w:val="fr-FR"/>
        </w:rPr>
      </w:pPr>
      <w:r>
        <w:rPr>
          <w:b/>
          <w:bCs/>
          <w:color w:val="000000"/>
          <w:szCs w:val="26"/>
          <w:lang w:val="fr-FR"/>
        </w:rPr>
        <w:t xml:space="preserve">2.7.2 Crude protein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Pr>
          <w:rFonts w:eastAsia="Times New Roman"/>
          <w:i/>
          <w:iCs/>
          <w:color w:val="000000"/>
          <w:sz w:val="24"/>
          <w:szCs w:val="26"/>
        </w:rPr>
        <w:t>Sida acuta</w:t>
      </w:r>
      <w:r>
        <w:rPr>
          <w:rFonts w:eastAsia="Times New Roman"/>
          <w:color w:val="000000"/>
          <w:sz w:val="24"/>
          <w:szCs w:val="26"/>
        </w:rPr>
        <w:t xml:space="preserve"> indicates that it is a reasonable source of plant-based protein. According to Moti </w:t>
      </w:r>
      <w:r>
        <w:rPr>
          <w:rFonts w:eastAsia="Times New Roman"/>
          <w:i/>
          <w:iCs/>
          <w:color w:val="000000"/>
          <w:sz w:val="24"/>
          <w:szCs w:val="26"/>
        </w:rPr>
        <w:t>et al</w:t>
      </w:r>
      <w:r>
        <w:rPr>
          <w:rFonts w:eastAsia="Times New Roman"/>
          <w:color w:val="000000"/>
          <w:sz w:val="24"/>
          <w:szCs w:val="26"/>
        </w:rPr>
        <w:t xml:space="preserve">. (2020), the crude protein content in </w:t>
      </w:r>
      <w:r>
        <w:rPr>
          <w:rFonts w:eastAsia="Times New Roman"/>
          <w:i/>
          <w:iCs/>
          <w:color w:val="000000"/>
          <w:sz w:val="24"/>
          <w:szCs w:val="26"/>
        </w:rPr>
        <w:t>Sida acuta</w:t>
      </w:r>
      <w:r>
        <w:rPr>
          <w:rFonts w:eastAsia="Times New Roman"/>
          <w:color w:val="000000"/>
          <w:sz w:val="24"/>
          <w:szCs w:val="26"/>
        </w:rPr>
        <w:t xml:space="preserve"> leaves was found to be approximately 12.3% on a dry weight basis. This value places </w:t>
      </w:r>
      <w:r>
        <w:rPr>
          <w:rFonts w:eastAsia="Times New Roman"/>
          <w:i/>
          <w:iCs/>
          <w:color w:val="000000"/>
          <w:sz w:val="24"/>
          <w:szCs w:val="26"/>
        </w:rPr>
        <w:t>Sida acuta</w:t>
      </w:r>
      <w:r>
        <w:rPr>
          <w:rFonts w:eastAsia="Times New Roman"/>
          <w:color w:val="000000"/>
          <w:sz w:val="24"/>
          <w:szCs w:val="26"/>
        </w:rPr>
        <w:t xml:space="preserve"> among moderate protein-containing leafy vegetables, which is important for supporting protein intake in plant-based diets. </w:t>
      </w:r>
      <w:r>
        <w:rPr>
          <w:rFonts w:eastAsia="Times New Roman"/>
          <w:color w:val="000000"/>
          <w:sz w:val="24"/>
          <w:szCs w:val="26"/>
        </w:rPr>
        <w:tab/>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Similarly, Akinmoladun </w:t>
      </w:r>
      <w:r>
        <w:rPr>
          <w:rFonts w:eastAsia="Times New Roman"/>
          <w:i/>
          <w:iCs/>
          <w:color w:val="000000"/>
          <w:sz w:val="24"/>
          <w:szCs w:val="26"/>
        </w:rPr>
        <w:t>et al</w:t>
      </w:r>
      <w:r>
        <w:rPr>
          <w:rFonts w:eastAsia="Times New Roman"/>
          <w:color w:val="000000"/>
          <w:sz w:val="24"/>
          <w:szCs w:val="26"/>
        </w:rPr>
        <w:t xml:space="preserve">. (2016) found that the leaves of </w:t>
      </w:r>
      <w:r>
        <w:rPr>
          <w:rFonts w:eastAsia="Times New Roman"/>
          <w:i/>
          <w:iCs/>
          <w:color w:val="000000"/>
          <w:sz w:val="24"/>
          <w:szCs w:val="26"/>
        </w:rPr>
        <w:t>Sida acuta</w:t>
      </w:r>
      <w:r>
        <w:rPr>
          <w:rFonts w:eastAsia="Times New Roman"/>
          <w:color w:val="000000"/>
          <w:sz w:val="24"/>
          <w:szCs w:val="26"/>
        </w:rPr>
        <w:t xml:space="preserve"> contained 11.5% crude protein, which is consistent with the general range found in other leafy plants commonly used in herbal medicine and traditional food. The presence of crude protein in </w:t>
      </w:r>
      <w:r>
        <w:rPr>
          <w:rFonts w:eastAsia="Times New Roman"/>
          <w:i/>
          <w:iCs/>
          <w:color w:val="000000"/>
          <w:sz w:val="24"/>
          <w:szCs w:val="26"/>
        </w:rPr>
        <w:t>Sida acuta</w:t>
      </w:r>
      <w:r>
        <w:rPr>
          <w:rFonts w:eastAsia="Times New Roman"/>
          <w:color w:val="000000"/>
          <w:sz w:val="24"/>
          <w:szCs w:val="26"/>
        </w:rPr>
        <w:t xml:space="preserve"> highlights its potential as a supplementary protein source, especially in regions where animal protein is scarce or expensive. Although the protein </w:t>
      </w:r>
      <w:r>
        <w:rPr>
          <w:rFonts w:eastAsia="Times New Roman"/>
          <w:color w:val="000000"/>
          <w:sz w:val="24"/>
          <w:szCs w:val="26"/>
        </w:rPr>
        <w:t xml:space="preserve">content in </w:t>
      </w:r>
      <w:r>
        <w:rPr>
          <w:rFonts w:eastAsia="Times New Roman"/>
          <w:i/>
          <w:iCs/>
          <w:color w:val="000000"/>
          <w:sz w:val="24"/>
          <w:szCs w:val="26"/>
        </w:rPr>
        <w:t>Sida acuta</w:t>
      </w:r>
      <w:r>
        <w:rPr>
          <w:rFonts w:eastAsia="Times New Roman"/>
          <w:color w:val="000000"/>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Pr>
          <w:rFonts w:eastAsia="Times New Roman"/>
          <w:i/>
          <w:iCs/>
          <w:color w:val="000000"/>
          <w:sz w:val="24"/>
          <w:szCs w:val="26"/>
        </w:rPr>
        <w:t>et al</w:t>
      </w:r>
      <w:r>
        <w:rPr>
          <w:rFonts w:eastAsia="Times New Roman"/>
          <w:color w:val="000000"/>
          <w:sz w:val="24"/>
          <w:szCs w:val="26"/>
        </w:rPr>
        <w:t xml:space="preserve">., 2016; Moti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lang w:val="fr-FR"/>
        </w:rPr>
      </w:pPr>
      <w:r>
        <w:rPr>
          <w:b/>
          <w:bCs/>
          <w:color w:val="000000"/>
          <w:szCs w:val="26"/>
          <w:lang w:val="fr-FR"/>
        </w:rPr>
        <w:t xml:space="preserve">2.7.3 Crude ash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Pr>
          <w:rFonts w:eastAsia="Times New Roman"/>
          <w:i/>
          <w:iCs/>
          <w:color w:val="000000"/>
          <w:sz w:val="24"/>
          <w:szCs w:val="26"/>
        </w:rPr>
        <w:t>Sida acuta</w:t>
      </w:r>
      <w:r>
        <w:rPr>
          <w:rFonts w:eastAsia="Times New Roman"/>
          <w:color w:val="000000"/>
          <w:sz w:val="24"/>
          <w:szCs w:val="26"/>
        </w:rPr>
        <w:t xml:space="preserve">, crude ash content has been studied to evaluate its mineral composition and overall nutritional profile. According to Singh </w:t>
      </w:r>
      <w:r>
        <w:rPr>
          <w:rFonts w:eastAsia="Times New Roman"/>
          <w:i/>
          <w:iCs/>
          <w:color w:val="000000"/>
          <w:sz w:val="24"/>
          <w:szCs w:val="26"/>
        </w:rPr>
        <w:t>et al</w:t>
      </w:r>
      <w:r>
        <w:rPr>
          <w:rFonts w:eastAsia="Times New Roman"/>
          <w:color w:val="000000"/>
          <w:sz w:val="24"/>
          <w:szCs w:val="26"/>
        </w:rPr>
        <w:t xml:space="preserve">. (2019), the crude ash content of </w:t>
      </w:r>
      <w:r>
        <w:rPr>
          <w:rFonts w:eastAsia="Times New Roman"/>
          <w:i/>
          <w:iCs/>
          <w:color w:val="000000"/>
          <w:sz w:val="24"/>
          <w:szCs w:val="26"/>
        </w:rPr>
        <w:t>Sida acuta</w:t>
      </w:r>
      <w:r>
        <w:rPr>
          <w:rFonts w:eastAsia="Times New Roman"/>
          <w:color w:val="000000"/>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Pr>
          <w:rFonts w:eastAsia="Times New Roman"/>
          <w:i/>
          <w:iCs/>
          <w:color w:val="000000"/>
          <w:sz w:val="24"/>
          <w:szCs w:val="26"/>
        </w:rPr>
        <w:t>et al</w:t>
      </w:r>
      <w:r>
        <w:rPr>
          <w:rFonts w:eastAsia="Times New Roman"/>
          <w:color w:val="000000"/>
          <w:sz w:val="24"/>
          <w:szCs w:val="26"/>
        </w:rPr>
        <w:t xml:space="preserve">. (2018) reported that </w:t>
      </w:r>
      <w:r>
        <w:rPr>
          <w:rFonts w:eastAsia="Times New Roman"/>
          <w:i/>
          <w:iCs/>
          <w:color w:val="000000"/>
          <w:sz w:val="24"/>
          <w:szCs w:val="26"/>
        </w:rPr>
        <w:t>Sida acuta</w:t>
      </w:r>
      <w:r>
        <w:rPr>
          <w:rFonts w:eastAsia="Times New Roman"/>
          <w:color w:val="000000"/>
          <w:sz w:val="24"/>
          <w:szCs w:val="26"/>
        </w:rPr>
        <w:t xml:space="preserve"> leaves contained 6.3% crude ash, further supporting its status as a plant rich in essential minerals. The presence of </w:t>
      </w:r>
      <w:r>
        <w:rPr>
          <w:rFonts w:eastAsia="Times New Roman"/>
          <w:color w:val="000000"/>
          <w:sz w:val="24"/>
          <w:szCs w:val="26"/>
        </w:rPr>
        <w:t>a relatively</w:t>
      </w:r>
      <w:r>
        <w:rPr>
          <w:rFonts w:eastAsia="Times New Roman"/>
          <w:color w:val="000000"/>
          <w:sz w:val="24"/>
          <w:szCs w:val="26"/>
        </w:rPr>
        <w:t xml:space="preserve"> high crude ash content in </w:t>
      </w:r>
      <w:r>
        <w:rPr>
          <w:rFonts w:eastAsia="Times New Roman"/>
          <w:i/>
          <w:iCs/>
          <w:color w:val="000000"/>
          <w:sz w:val="24"/>
          <w:szCs w:val="26"/>
        </w:rPr>
        <w:t>Sida acuta</w:t>
      </w:r>
      <w:r>
        <w:rPr>
          <w:rFonts w:eastAsia="Times New Roman"/>
          <w:color w:val="000000"/>
          <w:sz w:val="24"/>
          <w:szCs w:val="26"/>
        </w:rPr>
        <w:t xml:space="preserve"> suggests that it may be a useful source of minerals, particularly for individuals seeking to supplement their mineral intake through plant-based foods. </w:t>
      </w:r>
      <w:r>
        <w:rPr>
          <w:rFonts w:eastAsia="Times New Roman"/>
          <w:color w:val="000000"/>
          <w:sz w:val="24"/>
          <w:szCs w:val="26"/>
        </w:rPr>
        <w:t xml:space="preserve">(Singh </w:t>
      </w:r>
      <w:r>
        <w:rPr>
          <w:rFonts w:eastAsia="Times New Roman"/>
          <w:i/>
          <w:iCs/>
          <w:color w:val="000000"/>
          <w:sz w:val="24"/>
          <w:szCs w:val="26"/>
        </w:rPr>
        <w:t>et al</w:t>
      </w:r>
      <w:r>
        <w:rPr>
          <w:rFonts w:eastAsia="Times New Roman"/>
          <w:color w:val="000000"/>
          <w:sz w:val="24"/>
          <w:szCs w:val="26"/>
        </w:rPr>
        <w:t xml:space="preserve">., 2019; Oyetayo </w:t>
      </w:r>
      <w:r>
        <w:rPr>
          <w:rFonts w:eastAsia="Times New Roman"/>
          <w:i/>
          <w:iCs/>
          <w:color w:val="000000"/>
          <w:sz w:val="24"/>
          <w:szCs w:val="26"/>
        </w:rPr>
        <w:t>et al</w:t>
      </w:r>
      <w:r>
        <w:rPr>
          <w:rFonts w:eastAsia="Times New Roman"/>
          <w:color w:val="000000"/>
          <w:sz w:val="24"/>
          <w:szCs w:val="26"/>
        </w:rPr>
        <w:t>., 2018).</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2.7.4 Lipid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Pr>
          <w:rFonts w:eastAsia="Times New Roman"/>
          <w:i/>
          <w:iCs/>
          <w:color w:val="000000"/>
          <w:sz w:val="24"/>
          <w:szCs w:val="26"/>
        </w:rPr>
        <w:t>Sida acuta</w:t>
      </w:r>
      <w:r>
        <w:rPr>
          <w:rFonts w:eastAsia="Times New Roman"/>
          <w:color w:val="000000"/>
          <w:sz w:val="24"/>
          <w:szCs w:val="26"/>
        </w:rPr>
        <w:t xml:space="preserve"> indicates that while the plant does contain lipids, the levels are generally moderate. According to Oyeleke </w:t>
      </w:r>
      <w:r>
        <w:rPr>
          <w:rFonts w:eastAsia="Times New Roman"/>
          <w:i/>
          <w:iCs/>
          <w:color w:val="000000"/>
          <w:sz w:val="24"/>
          <w:szCs w:val="26"/>
        </w:rPr>
        <w:t>et al</w:t>
      </w:r>
      <w:r>
        <w:rPr>
          <w:rFonts w:eastAsia="Times New Roman"/>
          <w:color w:val="000000"/>
          <w:sz w:val="24"/>
          <w:szCs w:val="26"/>
        </w:rPr>
        <w:t xml:space="preserve">. (2021), the crude lipid content of </w:t>
      </w:r>
      <w:r>
        <w:rPr>
          <w:rFonts w:eastAsia="Times New Roman"/>
          <w:i/>
          <w:iCs/>
          <w:color w:val="000000"/>
          <w:sz w:val="24"/>
          <w:szCs w:val="26"/>
        </w:rPr>
        <w:t>Sida acuta</w:t>
      </w:r>
      <w:r>
        <w:rPr>
          <w:rFonts w:eastAsia="Times New Roman"/>
          <w:color w:val="000000"/>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pPr>
        <w:pStyle w:val="style0"/>
        <w:spacing w:after="0" w:lineRule="auto" w:line="480"/>
        <w:jc w:val="both"/>
        <w:rPr>
          <w:b/>
          <w:bCs/>
          <w:color w:val="000000"/>
          <w:sz w:val="24"/>
          <w:szCs w:val="26"/>
        </w:rPr>
      </w:pPr>
      <w:r>
        <w:rPr>
          <w:rFonts w:eastAsia="Times New Roman"/>
          <w:color w:val="000000"/>
          <w:sz w:val="24"/>
          <w:szCs w:val="26"/>
        </w:rPr>
        <w:tab/>
      </w:r>
      <w:r>
        <w:rPr>
          <w:color w:val="000000"/>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Pr>
          <w:i/>
          <w:iCs/>
          <w:color w:val="000000"/>
          <w:sz w:val="24"/>
          <w:szCs w:val="26"/>
        </w:rPr>
        <w:t>et al</w:t>
      </w:r>
      <w:r>
        <w:rPr>
          <w:color w:val="000000"/>
          <w:sz w:val="24"/>
          <w:szCs w:val="26"/>
        </w:rPr>
        <w:t>., 2011)</w:t>
      </w:r>
      <w:r>
        <w:rPr>
          <w:rFonts w:eastAsia="Times New Roman"/>
          <w:color w:val="000000"/>
          <w:sz w:val="24"/>
          <w:szCs w:val="26"/>
        </w:rPr>
        <w:t>.</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 xml:space="preserve">2.7.5 Crude fibre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Pr>
          <w:rFonts w:eastAsia="Times New Roman"/>
          <w:i/>
          <w:iCs/>
          <w:color w:val="000000"/>
          <w:sz w:val="24"/>
          <w:szCs w:val="26"/>
        </w:rPr>
        <w:t>Sida acuta</w:t>
      </w:r>
      <w:r>
        <w:rPr>
          <w:rFonts w:eastAsia="Times New Roman"/>
          <w:color w:val="000000"/>
          <w:sz w:val="24"/>
          <w:szCs w:val="26"/>
        </w:rPr>
        <w:t xml:space="preserve"> has been examined in several studies, revealing notable levels of dietary fibre. According to Akinmoladun </w:t>
      </w:r>
      <w:r>
        <w:rPr>
          <w:rFonts w:eastAsia="Times New Roman"/>
          <w:i/>
          <w:iCs/>
          <w:color w:val="000000"/>
          <w:sz w:val="24"/>
          <w:szCs w:val="26"/>
        </w:rPr>
        <w:t>et al</w:t>
      </w:r>
      <w:r>
        <w:rPr>
          <w:rFonts w:eastAsia="Times New Roman"/>
          <w:color w:val="000000"/>
          <w:sz w:val="24"/>
          <w:szCs w:val="26"/>
        </w:rPr>
        <w:t xml:space="preserve">. (2017), the crude fibre content in the leaves of </w:t>
      </w:r>
      <w:r>
        <w:rPr>
          <w:rFonts w:eastAsia="Times New Roman"/>
          <w:i/>
          <w:iCs/>
          <w:color w:val="000000"/>
          <w:sz w:val="24"/>
          <w:szCs w:val="26"/>
        </w:rPr>
        <w:t>Sida acuta</w:t>
      </w:r>
      <w:r>
        <w:rPr>
          <w:rFonts w:eastAsia="Times New Roman"/>
          <w:color w:val="000000"/>
          <w:sz w:val="24"/>
          <w:szCs w:val="26"/>
        </w:rPr>
        <w:t xml:space="preserve"> was found to be approximately 14.4% on a dry weight basis. This value indicates that </w:t>
      </w:r>
      <w:r>
        <w:rPr>
          <w:rFonts w:eastAsia="Times New Roman"/>
          <w:i/>
          <w:iCs/>
          <w:color w:val="000000"/>
          <w:sz w:val="24"/>
          <w:szCs w:val="26"/>
        </w:rPr>
        <w:t>Sida acuta</w:t>
      </w:r>
      <w:r>
        <w:rPr>
          <w:rFonts w:eastAsia="Times New Roman"/>
          <w:color w:val="000000"/>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Pr>
          <w:rFonts w:eastAsia="Times New Roman"/>
          <w:i/>
          <w:iCs/>
          <w:color w:val="000000"/>
          <w:sz w:val="24"/>
          <w:szCs w:val="26"/>
        </w:rPr>
        <w:t>Sida acuta</w:t>
      </w:r>
      <w:r>
        <w:rPr>
          <w:rFonts w:eastAsia="Times New Roman"/>
          <w:color w:val="000000"/>
          <w:sz w:val="24"/>
          <w:szCs w:val="26"/>
        </w:rPr>
        <w:t>'s role as part of a balanced diet.</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In a similar study, Oyeleke </w:t>
      </w:r>
      <w:r>
        <w:rPr>
          <w:rFonts w:eastAsia="Times New Roman"/>
          <w:i/>
          <w:iCs/>
          <w:color w:val="000000"/>
          <w:sz w:val="24"/>
          <w:szCs w:val="26"/>
        </w:rPr>
        <w:t>et al</w:t>
      </w:r>
      <w:r>
        <w:rPr>
          <w:rFonts w:eastAsia="Times New Roman"/>
          <w:color w:val="000000"/>
          <w:sz w:val="24"/>
          <w:szCs w:val="26"/>
        </w:rPr>
        <w:t xml:space="preserve">. (2021) reported that the crude fibre content of </w:t>
      </w:r>
      <w:r>
        <w:rPr>
          <w:rFonts w:eastAsia="Times New Roman"/>
          <w:i/>
          <w:iCs/>
          <w:color w:val="000000"/>
          <w:sz w:val="24"/>
          <w:szCs w:val="26"/>
        </w:rPr>
        <w:t>Sida acuta</w:t>
      </w:r>
      <w:r>
        <w:rPr>
          <w:rFonts w:eastAsia="Times New Roman"/>
          <w:color w:val="000000"/>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Pr>
          <w:rFonts w:eastAsia="Times New Roman"/>
          <w:i/>
          <w:iCs/>
          <w:color w:val="000000"/>
          <w:sz w:val="24"/>
          <w:szCs w:val="26"/>
        </w:rPr>
        <w:t>Sida acuta</w:t>
      </w:r>
      <w:r>
        <w:rPr>
          <w:rFonts w:eastAsia="Times New Roman"/>
          <w:color w:val="000000"/>
          <w:sz w:val="24"/>
          <w:szCs w:val="26"/>
        </w:rPr>
        <w:t xml:space="preserve"> are also thought to contribute to overall gut health by supporting the growth of beneficial gut bacteria (Oyeleke </w:t>
      </w:r>
      <w:r>
        <w:rPr>
          <w:rFonts w:eastAsia="Times New Roman"/>
          <w:i/>
          <w:iCs/>
          <w:color w:val="000000"/>
          <w:sz w:val="24"/>
          <w:szCs w:val="26"/>
        </w:rPr>
        <w:t>et al</w:t>
      </w:r>
      <w:r>
        <w:rPr>
          <w:rFonts w:eastAsia="Times New Roman"/>
          <w:color w:val="000000"/>
          <w:sz w:val="24"/>
          <w:szCs w:val="26"/>
        </w:rPr>
        <w:t>., 2021).</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2.8 Non enzymatic antioxidant </w:t>
      </w:r>
    </w:p>
    <w:p>
      <w:pPr>
        <w:pStyle w:val="style94"/>
        <w:spacing w:before="0" w:beforeAutospacing="false" w:after="0" w:afterAutospacing="false" w:lineRule="auto" w:line="480"/>
        <w:jc w:val="both"/>
        <w:rPr>
          <w:b/>
          <w:bCs/>
          <w:color w:val="000000"/>
          <w:szCs w:val="26"/>
        </w:rPr>
      </w:pPr>
      <w:r>
        <w:rPr>
          <w:b/>
          <w:bCs/>
          <w:color w:val="000000"/>
          <w:szCs w:val="26"/>
        </w:rPr>
        <w:t xml:space="preserve">2.8.1 Total phenolic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Pr>
          <w:rFonts w:eastAsia="Times New Roman"/>
          <w:i/>
          <w:iCs/>
          <w:color w:val="000000"/>
          <w:sz w:val="24"/>
          <w:szCs w:val="26"/>
        </w:rPr>
        <w:t>Sida acuta</w:t>
      </w:r>
      <w:r>
        <w:rPr>
          <w:rFonts w:eastAsia="Times New Roman"/>
          <w:color w:val="000000"/>
          <w:sz w:val="24"/>
          <w:szCs w:val="26"/>
        </w:rPr>
        <w:t xml:space="preserve"> have gained attention for their high TPC and associated health benefits (Ogunmoyole </w:t>
      </w:r>
      <w:r>
        <w:rPr>
          <w:rFonts w:eastAsia="Times New Roman"/>
          <w:i/>
          <w:iCs/>
          <w:color w:val="000000"/>
          <w:sz w:val="24"/>
          <w:szCs w:val="26"/>
        </w:rPr>
        <w:t>et al</w:t>
      </w:r>
      <w:r>
        <w:rPr>
          <w:rFonts w:eastAsia="Times New Roman"/>
          <w:color w:val="000000"/>
          <w:sz w:val="24"/>
          <w:szCs w:val="26"/>
        </w:rPr>
        <w:t>.,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 high Total Phenolic Content in </w:t>
      </w:r>
      <w:r>
        <w:rPr>
          <w:rFonts w:eastAsia="Times New Roman"/>
          <w:i/>
          <w:iCs/>
          <w:color w:val="000000"/>
          <w:sz w:val="24"/>
          <w:szCs w:val="26"/>
        </w:rPr>
        <w:t>Sida acuta</w:t>
      </w:r>
      <w:r>
        <w:rPr>
          <w:rFonts w:eastAsia="Times New Roman"/>
          <w:color w:val="000000"/>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Pr>
          <w:rFonts w:eastAsia="Times New Roman"/>
          <w:i/>
          <w:iCs/>
          <w:color w:val="000000"/>
          <w:sz w:val="24"/>
          <w:szCs w:val="26"/>
        </w:rPr>
        <w:t>et al</w:t>
      </w:r>
      <w:r>
        <w:rPr>
          <w:rFonts w:eastAsia="Times New Roman"/>
          <w:color w:val="000000"/>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Pr>
          <w:rFonts w:eastAsia="Times New Roman"/>
          <w:i/>
          <w:iCs/>
          <w:color w:val="000000"/>
          <w:sz w:val="24"/>
          <w:szCs w:val="26"/>
        </w:rPr>
        <w:t>Helicobacter pylori</w:t>
      </w:r>
      <w:r>
        <w:rPr>
          <w:rFonts w:eastAsia="Times New Roman"/>
          <w:color w:val="000000"/>
          <w:sz w:val="24"/>
          <w:szCs w:val="26"/>
        </w:rPr>
        <w:t xml:space="preserve"> infection, NSAID use, or ethanol-induced gastric irritation. The phenolic-rich extracts of </w:t>
      </w:r>
      <w:r>
        <w:rPr>
          <w:rFonts w:eastAsia="Times New Roman"/>
          <w:i/>
          <w:iCs/>
          <w:color w:val="000000"/>
          <w:sz w:val="24"/>
          <w:szCs w:val="26"/>
        </w:rPr>
        <w:t>Sida acuta</w:t>
      </w:r>
      <w:r>
        <w:rPr>
          <w:rFonts w:eastAsia="Times New Roman"/>
          <w:color w:val="000000"/>
          <w:sz w:val="24"/>
          <w:szCs w:val="26"/>
        </w:rPr>
        <w:t xml:space="preserve"> have been shown to mitigate such </w:t>
      </w:r>
      <w:r>
        <w:rPr>
          <w:rFonts w:eastAsia="Times New Roman"/>
          <w:color w:val="000000"/>
          <w:sz w:val="24"/>
          <w:szCs w:val="26"/>
        </w:rPr>
        <w:t xml:space="preserve">damage by reducing lipid peroxidation and enhancing mucosal protection (Akinmoladun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2.8.2 Total flavonoid content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Pr>
          <w:rFonts w:eastAsia="Times New Roman"/>
          <w:i/>
          <w:iCs/>
          <w:color w:val="000000"/>
          <w:sz w:val="24"/>
          <w:szCs w:val="26"/>
        </w:rPr>
        <w:t>Sida acuta</w:t>
      </w:r>
      <w:r>
        <w:rPr>
          <w:rFonts w:eastAsia="Times New Roman"/>
          <w:color w:val="000000"/>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Pr>
          <w:rFonts w:eastAsia="Times New Roman"/>
          <w:i/>
          <w:iCs/>
          <w:color w:val="000000"/>
          <w:sz w:val="24"/>
          <w:szCs w:val="26"/>
        </w:rPr>
        <w:t>et al</w:t>
      </w:r>
      <w:r>
        <w:rPr>
          <w:rFonts w:eastAsia="Times New Roman"/>
          <w:color w:val="000000"/>
          <w:sz w:val="24"/>
          <w:szCs w:val="26"/>
        </w:rPr>
        <w:t>.,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Studies on </w:t>
      </w:r>
      <w:r>
        <w:rPr>
          <w:rFonts w:eastAsia="Times New Roman"/>
          <w:i/>
          <w:iCs/>
          <w:color w:val="000000"/>
          <w:sz w:val="24"/>
          <w:szCs w:val="26"/>
        </w:rPr>
        <w:t>Sida acuta</w:t>
      </w:r>
      <w:r>
        <w:rPr>
          <w:rFonts w:eastAsia="Times New Roman"/>
          <w:color w:val="000000"/>
          <w:sz w:val="24"/>
          <w:szCs w:val="26"/>
        </w:rPr>
        <w:t xml:space="preserve"> have revealed that it contains </w:t>
      </w:r>
      <w:r>
        <w:rPr>
          <w:rFonts w:eastAsia="Times New Roman"/>
          <w:color w:val="000000"/>
          <w:sz w:val="24"/>
          <w:szCs w:val="26"/>
        </w:rPr>
        <w:t>a high</w:t>
      </w:r>
      <w:r>
        <w:rPr>
          <w:rFonts w:eastAsia="Times New Roman"/>
          <w:color w:val="000000"/>
          <w:sz w:val="24"/>
          <w:szCs w:val="26"/>
        </w:rPr>
        <w:t xml:space="preserve"> flavonoid content, particularly in its ethanolic and aqueous leaf extracts, which correlates with its notable antioxidant activity (Ogunmoyole </w:t>
      </w:r>
      <w:r>
        <w:rPr>
          <w:rFonts w:eastAsia="Times New Roman"/>
          <w:i/>
          <w:iCs/>
          <w:color w:val="000000"/>
          <w:sz w:val="24"/>
          <w:szCs w:val="26"/>
        </w:rPr>
        <w:t>et al</w:t>
      </w:r>
      <w:r>
        <w:rPr>
          <w:rFonts w:eastAsia="Times New Roman"/>
          <w:color w:val="000000"/>
          <w:sz w:val="24"/>
          <w:szCs w:val="26"/>
        </w:rPr>
        <w:t xml:space="preserve">., 2015). Flavonoids in </w:t>
      </w:r>
      <w:r>
        <w:rPr>
          <w:rFonts w:eastAsia="Times New Roman"/>
          <w:i/>
          <w:iCs/>
          <w:color w:val="000000"/>
          <w:sz w:val="24"/>
          <w:szCs w:val="26"/>
        </w:rPr>
        <w:t>Sida acuta</w:t>
      </w:r>
      <w:r>
        <w:rPr>
          <w:rFonts w:eastAsia="Times New Roman"/>
          <w:color w:val="000000"/>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Pr>
          <w:rFonts w:eastAsia="Times New Roman"/>
          <w:color w:val="000000"/>
          <w:sz w:val="24"/>
          <w:szCs w:val="26"/>
        </w:rPr>
        <w:t xml:space="preserve">which are essential for protecting the stomach lining from irritants such as ethanol, NSAIDs, or </w:t>
      </w:r>
      <w:r>
        <w:rPr>
          <w:rFonts w:eastAsia="Times New Roman"/>
          <w:i/>
          <w:iCs/>
          <w:color w:val="000000"/>
          <w:sz w:val="24"/>
          <w:szCs w:val="26"/>
        </w:rPr>
        <w:t>Helicobacter pylori</w:t>
      </w:r>
      <w:r>
        <w:rPr>
          <w:rFonts w:eastAsia="Times New Roman"/>
          <w:color w:val="000000"/>
          <w:sz w:val="24"/>
          <w:szCs w:val="26"/>
        </w:rPr>
        <w:t xml:space="preserve"> (Ezekwesili </w:t>
      </w:r>
      <w:r>
        <w:rPr>
          <w:rFonts w:eastAsia="Times New Roman"/>
          <w:i/>
          <w:iCs/>
          <w:color w:val="000000"/>
          <w:sz w:val="24"/>
          <w:szCs w:val="26"/>
        </w:rPr>
        <w:t>et al</w:t>
      </w:r>
      <w:r>
        <w:rPr>
          <w:rFonts w:eastAsia="Times New Roman"/>
          <w:color w:val="000000"/>
          <w:sz w:val="24"/>
          <w:szCs w:val="26"/>
        </w:rPr>
        <w:t>., 2014).</w:t>
      </w:r>
    </w:p>
    <w:p>
      <w:pPr>
        <w:pStyle w:val="style94"/>
        <w:spacing w:before="0" w:beforeAutospacing="false" w:after="0" w:afterAutospacing="false" w:lineRule="auto" w:line="480"/>
        <w:jc w:val="both"/>
        <w:rPr>
          <w:b/>
          <w:bCs/>
          <w:color w:val="000000"/>
          <w:szCs w:val="26"/>
        </w:rPr>
      </w:pPr>
      <w:r>
        <w:rPr>
          <w:b/>
          <w:bCs/>
          <w:color w:val="000000"/>
          <w:szCs w:val="26"/>
        </w:rPr>
        <w:t>2.8.3 Ferric reducing antioxidant power (FRAP)</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Ferric Reducing Antioxidant Power (FRAP) assay is a well-established analytical method used to evaluate the antioxidant potential of plant extracts. It measures the ability of a sample to reduce ferric ions (Fe³</w:t>
      </w:r>
      <w:r>
        <w:rPr>
          <w:rFonts w:ascii="Cambria Math" w:cs="Cambria Math" w:eastAsia="Times New Roman" w:hAnsi="Cambria Math"/>
          <w:color w:val="000000"/>
          <w:sz w:val="24"/>
          <w:szCs w:val="26"/>
        </w:rPr>
        <w:t>⁺</w:t>
      </w:r>
      <w:r>
        <w:rPr>
          <w:rFonts w:eastAsia="Times New Roman"/>
          <w:color w:val="000000"/>
          <w:sz w:val="24"/>
          <w:szCs w:val="26"/>
        </w:rPr>
        <w:t>) to ferrous ions (Fe²</w:t>
      </w:r>
      <w:r>
        <w:rPr>
          <w:rFonts w:ascii="Cambria Math" w:cs="Cambria Math" w:eastAsia="Times New Roman" w:hAnsi="Cambria Math"/>
          <w:color w:val="000000"/>
          <w:sz w:val="24"/>
          <w:szCs w:val="26"/>
        </w:rPr>
        <w:t>⁺</w:t>
      </w:r>
      <w:r>
        <w:rPr>
          <w:rFonts w:eastAsia="Times New Roman"/>
          <w:color w:val="000000"/>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Pr>
          <w:rFonts w:eastAsia="Times New Roman"/>
          <w:i/>
          <w:iCs/>
          <w:color w:val="000000"/>
          <w:sz w:val="24"/>
          <w:szCs w:val="26"/>
        </w:rPr>
        <w:t>Sida acuta</w:t>
      </w:r>
      <w:r>
        <w:rPr>
          <w:rFonts w:eastAsia="Times New Roman"/>
          <w:color w:val="000000"/>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Pr>
          <w:rFonts w:eastAsia="Times New Roman"/>
          <w:i/>
          <w:iCs/>
          <w:color w:val="000000"/>
          <w:sz w:val="24"/>
          <w:szCs w:val="26"/>
        </w:rPr>
        <w:t>et al</w:t>
      </w:r>
      <w:r>
        <w:rPr>
          <w:rFonts w:eastAsia="Times New Roman"/>
          <w:color w:val="000000"/>
          <w:sz w:val="24"/>
          <w:szCs w:val="26"/>
        </w:rPr>
        <w:t xml:space="preserve">., 2022). Oxidative stress plays a central role in ulcerogenesis, contributing to mucosal erosion through the generation of free radicals that damage cell membranes, proteins, and DNA. Substances with high FRAP values like </w:t>
      </w:r>
      <w:r>
        <w:rPr>
          <w:rFonts w:eastAsia="Times New Roman"/>
          <w:i/>
          <w:iCs/>
          <w:color w:val="000000"/>
          <w:sz w:val="24"/>
          <w:szCs w:val="26"/>
        </w:rPr>
        <w:t>Sida acuta</w:t>
      </w:r>
      <w:r>
        <w:rPr>
          <w:rFonts w:eastAsia="Times New Roman"/>
          <w:color w:val="000000"/>
          <w:sz w:val="24"/>
          <w:szCs w:val="26"/>
        </w:rPr>
        <w:t xml:space="preserve"> can interrupt this process by donating electrons to unstable radicals, thus halting their damaging cascade. Such antioxidant activity enhances gastric mucosal protection and supports healing of existing lesions (Mehta </w:t>
      </w:r>
      <w:r>
        <w:rPr>
          <w:rFonts w:eastAsia="Times New Roman"/>
          <w:i/>
          <w:iCs/>
          <w:color w:val="000000"/>
          <w:sz w:val="24"/>
          <w:szCs w:val="26"/>
        </w:rPr>
        <w:t>et al</w:t>
      </w:r>
      <w:r>
        <w:rPr>
          <w:rFonts w:eastAsia="Times New Roman"/>
          <w:color w:val="000000"/>
          <w:sz w:val="24"/>
          <w:szCs w:val="26"/>
        </w:rPr>
        <w:t xml:space="preserve">., 2021). Additionally, the FRAP assay reflects the total antioxidant effect of all compounds present in the extract. In </w:t>
      </w:r>
      <w:r>
        <w:rPr>
          <w:rFonts w:eastAsia="Times New Roman"/>
          <w:i/>
          <w:iCs/>
          <w:color w:val="000000"/>
          <w:sz w:val="24"/>
          <w:szCs w:val="26"/>
        </w:rPr>
        <w:t>Sida acuta</w:t>
      </w:r>
      <w:r>
        <w:rPr>
          <w:rFonts w:eastAsia="Times New Roman"/>
          <w:color w:val="000000"/>
          <w:sz w:val="24"/>
          <w:szCs w:val="26"/>
        </w:rPr>
        <w:t xml:space="preserve">, these include flavonoids, tannins, and saponins, which may act synergistically to neutralise free radicals and reduce </w:t>
      </w:r>
      <w:r>
        <w:rPr>
          <w:rFonts w:eastAsia="Times New Roman"/>
          <w:color w:val="000000"/>
          <w:sz w:val="24"/>
          <w:szCs w:val="26"/>
        </w:rPr>
        <w:t xml:space="preserve">inflammation. This synergistic action contributes to the plant’s broader therapeutic roles, including its gastroprotective and anti-inflammatory effects (Kumar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2.8.4 2</w:t>
      </w:r>
      <w:r>
        <w:rPr>
          <w:b/>
          <w:bCs/>
          <w:color w:val="000000"/>
          <w:szCs w:val="26"/>
        </w:rPr>
        <w:t>,2</w:t>
      </w:r>
      <w:r>
        <w:rPr>
          <w:b/>
          <w:bCs/>
          <w:color w:val="000000"/>
          <w:szCs w:val="26"/>
        </w:rPr>
        <w:t>-azino-bis C3 ethylbenzothiazoline-b-sulphonic acid (ABTS)</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ABTS [2</w:t>
      </w:r>
      <w:r>
        <w:rPr>
          <w:rFonts w:eastAsia="Times New Roman"/>
          <w:color w:val="000000"/>
          <w:sz w:val="24"/>
          <w:szCs w:val="26"/>
        </w:rPr>
        <w:t>,2</w:t>
      </w:r>
      <w:r>
        <w:rPr>
          <w:rFonts w:eastAsia="Times New Roman"/>
          <w:color w:val="000000"/>
          <w:sz w:val="24"/>
          <w:szCs w:val="26"/>
        </w:rPr>
        <w:t>′-azino-bis(3-ethylbenzothiazoline-6-sulphonic acid)] assay is a reliable method for determining the antioxidant capacity of natural compounds and plant extracts. It evaluates the ability of antioxidants to quench the ABTS</w:t>
      </w:r>
      <w:r>
        <w:rPr>
          <w:rFonts w:ascii="Cambria Math" w:cs="Cambria Math" w:eastAsia="Times New Roman" w:hAnsi="Cambria Math"/>
          <w:color w:val="000000"/>
          <w:sz w:val="24"/>
          <w:szCs w:val="26"/>
        </w:rPr>
        <w:t>⁺</w:t>
      </w:r>
      <w:r>
        <w:rPr>
          <w:rFonts w:eastAsia="Times New Roman"/>
          <w:color w:val="000000"/>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a plant traditionally used to treat inflammation and gastrointestinal discomfort, has been shown to possess strong ABTS radical scavenging activity, particularly in its methanolic and aqueous extracts (Adepoju </w:t>
      </w:r>
      <w:r>
        <w:rPr>
          <w:rFonts w:eastAsia="Times New Roman"/>
          <w:i/>
          <w:iCs/>
          <w:color w:val="000000"/>
          <w:sz w:val="24"/>
          <w:szCs w:val="26"/>
        </w:rPr>
        <w:t>et al</w:t>
      </w:r>
      <w:r>
        <w:rPr>
          <w:rFonts w:eastAsia="Times New Roman"/>
          <w:color w:val="000000"/>
          <w:sz w:val="24"/>
          <w:szCs w:val="26"/>
        </w:rPr>
        <w:t>., 2021). This activity is directly linked to the presence of flavonoids, tannins, and polyphenolic compounds, which are known to donate hydrogen atoms or electrons to stabilise free radicals and prevent cellular damage.</w:t>
      </w:r>
    </w:p>
    <w:p>
      <w:pPr>
        <w:pStyle w:val="style0"/>
        <w:spacing w:after="0" w:lineRule="auto" w:line="480"/>
        <w:ind w:firstLine="720"/>
        <w:jc w:val="both"/>
        <w:rPr>
          <w:rFonts w:eastAsia="Times New Roman"/>
          <w:b/>
          <w:bCs/>
          <w:color w:val="000000"/>
          <w:sz w:val="24"/>
          <w:szCs w:val="26"/>
        </w:rPr>
      </w:pPr>
      <w:r>
        <w:rPr>
          <w:rFonts w:eastAsia="Times New Roman"/>
          <w:color w:val="000000"/>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Pr>
          <w:rFonts w:eastAsia="Times New Roman"/>
          <w:i/>
          <w:iCs/>
          <w:color w:val="000000"/>
          <w:sz w:val="24"/>
          <w:szCs w:val="26"/>
        </w:rPr>
        <w:t>Helicobacter pylori</w:t>
      </w:r>
      <w:r>
        <w:rPr>
          <w:rFonts w:eastAsia="Times New Roman"/>
          <w:color w:val="000000"/>
          <w:sz w:val="24"/>
          <w:szCs w:val="26"/>
        </w:rPr>
        <w:t xml:space="preserve"> infection can lead to mucosal injury. The ability of </w:t>
      </w:r>
      <w:r>
        <w:rPr>
          <w:rFonts w:eastAsia="Times New Roman"/>
          <w:i/>
          <w:iCs/>
          <w:color w:val="000000"/>
          <w:sz w:val="24"/>
          <w:szCs w:val="26"/>
        </w:rPr>
        <w:t>Sida acuta</w:t>
      </w:r>
      <w:r>
        <w:rPr>
          <w:rFonts w:eastAsia="Times New Roman"/>
          <w:color w:val="000000"/>
          <w:sz w:val="24"/>
          <w:szCs w:val="26"/>
        </w:rPr>
        <w:t xml:space="preserve"> extracts to scavenge ABTS radicals suggests that the plant can protect gastric </w:t>
      </w:r>
      <w:r>
        <w:rPr>
          <w:rFonts w:eastAsia="Times New Roman"/>
          <w:color w:val="000000"/>
          <w:sz w:val="24"/>
          <w:szCs w:val="26"/>
        </w:rPr>
        <w:t xml:space="preserve">tissue by neutralising free radicals, thereby preventing or reducing ulcer formation (Nwanya </w:t>
      </w:r>
      <w:r>
        <w:rPr>
          <w:rFonts w:eastAsia="Times New Roman"/>
          <w:i/>
          <w:iCs/>
          <w:color w:val="000000"/>
          <w:sz w:val="24"/>
          <w:szCs w:val="26"/>
        </w:rPr>
        <w:t>et al</w:t>
      </w:r>
      <w:r>
        <w:rPr>
          <w:rFonts w:eastAsia="Times New Roman"/>
          <w:color w:val="000000"/>
          <w:sz w:val="24"/>
          <w:szCs w:val="26"/>
        </w:rPr>
        <w:t xml:space="preserve">., 2020). </w:t>
      </w:r>
    </w:p>
    <w:p>
      <w:pPr>
        <w:pStyle w:val="style94"/>
        <w:spacing w:before="0" w:beforeAutospacing="false" w:after="0" w:afterAutospacing="false" w:lineRule="auto" w:line="480"/>
        <w:jc w:val="both"/>
        <w:rPr>
          <w:b/>
          <w:bCs/>
          <w:color w:val="000000"/>
          <w:szCs w:val="26"/>
        </w:rPr>
      </w:pPr>
      <w:r>
        <w:rPr>
          <w:b/>
          <w:bCs/>
          <w:color w:val="000000"/>
          <w:szCs w:val="26"/>
        </w:rPr>
        <w:t>2.8.5 2</w:t>
      </w:r>
      <w:r>
        <w:rPr>
          <w:b/>
          <w:bCs/>
          <w:color w:val="000000"/>
          <w:szCs w:val="26"/>
        </w:rPr>
        <w:t>,2</w:t>
      </w:r>
      <w:r>
        <w:rPr>
          <w:b/>
          <w:bCs/>
          <w:color w:val="000000"/>
          <w:szCs w:val="26"/>
        </w:rPr>
        <w:t>-diphenyl-1-pycrylhydraxyl (DPPH)</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2</w:t>
      </w:r>
      <w:r>
        <w:rPr>
          <w:rFonts w:eastAsia="Times New Roman"/>
          <w:color w:val="000000"/>
          <w:sz w:val="24"/>
          <w:szCs w:val="26"/>
        </w:rPr>
        <w:t>,2</w:t>
      </w:r>
      <w:r>
        <w:rPr>
          <w:rFonts w:eastAsia="Times New Roman"/>
          <w:color w:val="000000"/>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Pr>
          <w:rFonts w:eastAsia="Times New Roman"/>
          <w:i/>
          <w:iCs/>
          <w:color w:val="000000"/>
          <w:sz w:val="24"/>
          <w:szCs w:val="26"/>
        </w:rPr>
        <w:t>et al</w:t>
      </w:r>
      <w:r>
        <w:rPr>
          <w:rFonts w:eastAsia="Times New Roman"/>
          <w:color w:val="000000"/>
          <w:sz w:val="24"/>
          <w:szCs w:val="26"/>
        </w:rPr>
        <w:t>., 2022).</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In the context of peptic ulcer disease, oxidative stress is one of the main culprits in mucosal injury, particularly when triggered by ethanol, NSAIDs, or </w:t>
      </w:r>
      <w:r>
        <w:rPr>
          <w:rFonts w:eastAsia="Times New Roman"/>
          <w:i/>
          <w:iCs/>
          <w:color w:val="000000"/>
          <w:sz w:val="24"/>
          <w:szCs w:val="26"/>
        </w:rPr>
        <w:t>Helicobacter pylori</w:t>
      </w:r>
      <w:r>
        <w:rPr>
          <w:rFonts w:eastAsia="Times New Roman"/>
          <w:color w:val="000000"/>
          <w:sz w:val="24"/>
          <w:szCs w:val="26"/>
        </w:rPr>
        <w:t xml:space="preserve">. Antioxidants that effectively quench radicals like DPPH can significantly mitigate gastric epithelial cell damage, promote tissue repair, and improve mucosal defense mechanisms. Extracts of </w:t>
      </w:r>
      <w:r>
        <w:rPr>
          <w:rFonts w:eastAsia="Times New Roman"/>
          <w:i/>
          <w:iCs/>
          <w:color w:val="000000"/>
          <w:sz w:val="24"/>
          <w:szCs w:val="26"/>
        </w:rPr>
        <w:t>Sida acuta</w:t>
      </w:r>
      <w:r>
        <w:rPr>
          <w:rFonts w:eastAsia="Times New Roman"/>
          <w:color w:val="000000"/>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Pr>
          <w:rFonts w:eastAsia="Times New Roman"/>
          <w:i/>
          <w:iCs/>
          <w:color w:val="000000"/>
          <w:sz w:val="24"/>
          <w:szCs w:val="26"/>
        </w:rPr>
        <w:t>et al</w:t>
      </w:r>
      <w:r>
        <w:rPr>
          <w:rFonts w:eastAsia="Times New Roman"/>
          <w:color w:val="000000"/>
          <w:sz w:val="24"/>
          <w:szCs w:val="26"/>
        </w:rPr>
        <w:t>., 2021).</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2.9 Organ studied </w:t>
      </w:r>
    </w:p>
    <w:p>
      <w:pPr>
        <w:pStyle w:val="style94"/>
        <w:spacing w:before="0" w:beforeAutospacing="false" w:after="0" w:afterAutospacing="false" w:lineRule="auto" w:line="480"/>
        <w:jc w:val="both"/>
        <w:rPr>
          <w:b/>
          <w:bCs/>
          <w:color w:val="000000"/>
          <w:szCs w:val="26"/>
        </w:rPr>
      </w:pPr>
      <w:r>
        <w:rPr>
          <w:b/>
          <w:bCs/>
          <w:color w:val="000000"/>
          <w:szCs w:val="26"/>
        </w:rPr>
        <w:t xml:space="preserve">2.9.1 Stomach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Pr>
          <w:rFonts w:eastAsia="Times New Roman"/>
          <w:i/>
          <w:iCs/>
          <w:color w:val="000000"/>
          <w:sz w:val="24"/>
          <w:szCs w:val="26"/>
        </w:rPr>
        <w:t>Sida acuta</w:t>
      </w:r>
      <w:r>
        <w:rPr>
          <w:rFonts w:eastAsia="Times New Roman"/>
          <w:color w:val="000000"/>
          <w:sz w:val="24"/>
          <w:szCs w:val="26"/>
        </w:rPr>
        <w:t xml:space="preserve">, are known to offer protection by neutralising free radicals and enhancing the gastric mucosal defense mechanisms. Several studies have shown that </w:t>
      </w:r>
      <w:r>
        <w:rPr>
          <w:rFonts w:eastAsia="Times New Roman"/>
          <w:i/>
          <w:iCs/>
          <w:color w:val="000000"/>
          <w:sz w:val="24"/>
          <w:szCs w:val="26"/>
        </w:rPr>
        <w:t>Sida acuta</w:t>
      </w:r>
      <w:r>
        <w:rPr>
          <w:rFonts w:eastAsia="Times New Roman"/>
          <w:color w:val="000000"/>
          <w:sz w:val="24"/>
          <w:szCs w:val="26"/>
        </w:rPr>
        <w:t xml:space="preserve"> extracts exhibit significant gastroprotective effects, primarily by scavenging free radicals and promoting the synthesis of prostaglandins, which increase mucus secretion and help maintain mucosal integrity (Ezekwesili </w:t>
      </w:r>
      <w:r>
        <w:rPr>
          <w:rFonts w:eastAsia="Times New Roman"/>
          <w:i/>
          <w:iCs/>
          <w:color w:val="000000"/>
          <w:sz w:val="24"/>
          <w:szCs w:val="26"/>
        </w:rPr>
        <w:t>et al</w:t>
      </w:r>
      <w:r>
        <w:rPr>
          <w:rFonts w:eastAsia="Times New Roman"/>
          <w:color w:val="000000"/>
          <w:sz w:val="24"/>
          <w:szCs w:val="26"/>
        </w:rPr>
        <w:t xml:space="preserve">., 2014). These effects are particularly important in combating the damage caused by excessive alcohol consumption, NSAIDs, and </w:t>
      </w:r>
      <w:r>
        <w:rPr>
          <w:rFonts w:eastAsia="Times New Roman"/>
          <w:i/>
          <w:iCs/>
          <w:color w:val="000000"/>
          <w:sz w:val="24"/>
          <w:szCs w:val="26"/>
        </w:rPr>
        <w:t>Helicobacter pylori</w:t>
      </w:r>
      <w:r>
        <w:rPr>
          <w:rFonts w:eastAsia="Times New Roman"/>
          <w:color w:val="000000"/>
          <w:sz w:val="24"/>
          <w:szCs w:val="26"/>
        </w:rPr>
        <w:t xml:space="preserve"> infection, all of which are associated with gastric ulcers. Furthermore, antioxidants from </w:t>
      </w:r>
      <w:r>
        <w:rPr>
          <w:rFonts w:eastAsia="Times New Roman"/>
          <w:i/>
          <w:iCs/>
          <w:color w:val="000000"/>
          <w:sz w:val="24"/>
          <w:szCs w:val="26"/>
        </w:rPr>
        <w:t>Sida acuta</w:t>
      </w:r>
      <w:r>
        <w:rPr>
          <w:rFonts w:eastAsia="Times New Roman"/>
          <w:color w:val="000000"/>
          <w:sz w:val="24"/>
          <w:szCs w:val="26"/>
        </w:rPr>
        <w:t xml:space="preserve"> have been found to reduce oxidative markers in the stomach, supporting the idea that oxidative stress is a central factor in ulcer pathogenesis (Akinmoladun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2.9.2 Liver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Pr>
          <w:rFonts w:eastAsia="Times New Roman"/>
          <w:color w:val="000000"/>
          <w:sz w:val="24"/>
          <w:szCs w:val="26"/>
        </w:rPr>
        <w:t xml:space="preserve">impacted due to systemic inflammation and oxidative damage caused by chronic ulcers. Studies have shown that the hepatoprotective effects of </w:t>
      </w:r>
      <w:r>
        <w:rPr>
          <w:rFonts w:eastAsia="Times New Roman"/>
          <w:i/>
          <w:iCs/>
          <w:color w:val="000000"/>
          <w:sz w:val="24"/>
          <w:szCs w:val="26"/>
        </w:rPr>
        <w:t>Sida acuta</w:t>
      </w:r>
      <w:r>
        <w:rPr>
          <w:rFonts w:eastAsia="Times New Roman"/>
          <w:color w:val="000000"/>
          <w:sz w:val="24"/>
          <w:szCs w:val="26"/>
        </w:rPr>
        <w:t xml:space="preserve"> can be attributed to its antioxidant properties, which help reduce liver damage induced by toxic substances or oxidative stress (Ogunmoyole </w:t>
      </w:r>
      <w:r>
        <w:rPr>
          <w:rFonts w:eastAsia="Times New Roman"/>
          <w:i/>
          <w:iCs/>
          <w:color w:val="000000"/>
          <w:sz w:val="24"/>
          <w:szCs w:val="26"/>
        </w:rPr>
        <w:t>et al</w:t>
      </w:r>
      <w:r>
        <w:rPr>
          <w:rFonts w:eastAsia="Times New Roman"/>
          <w:color w:val="000000"/>
          <w:sz w:val="24"/>
          <w:szCs w:val="26"/>
        </w:rPr>
        <w:t xml:space="preserve">., 2015). </w:t>
      </w:r>
    </w:p>
    <w:p>
      <w:pPr>
        <w:pStyle w:val="style94"/>
        <w:spacing w:before="0" w:beforeAutospacing="false" w:after="0" w:afterAutospacing="false" w:lineRule="auto" w:line="480"/>
        <w:jc w:val="both"/>
        <w:rPr>
          <w:b/>
          <w:bCs/>
          <w:color w:val="000000"/>
          <w:szCs w:val="26"/>
        </w:rPr>
      </w:pPr>
      <w:r>
        <w:rPr>
          <w:b/>
          <w:bCs/>
          <w:color w:val="000000"/>
          <w:szCs w:val="26"/>
        </w:rPr>
        <w:t xml:space="preserve">2.9.3 Duodenum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Pr>
          <w:rFonts w:eastAsia="Times New Roman"/>
          <w:i/>
          <w:iCs/>
          <w:color w:val="000000"/>
          <w:sz w:val="24"/>
          <w:szCs w:val="26"/>
        </w:rPr>
        <w:t>Sida acuta</w:t>
      </w:r>
      <w:r>
        <w:rPr>
          <w:rFonts w:eastAsia="Times New Roman"/>
          <w:color w:val="000000"/>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Pr>
          <w:rFonts w:eastAsia="Times New Roman"/>
          <w:i/>
          <w:iCs/>
          <w:color w:val="000000"/>
          <w:sz w:val="24"/>
          <w:szCs w:val="26"/>
        </w:rPr>
        <w:t>et al</w:t>
      </w:r>
      <w:r>
        <w:rPr>
          <w:rFonts w:eastAsia="Times New Roman"/>
          <w:color w:val="000000"/>
          <w:sz w:val="24"/>
          <w:szCs w:val="26"/>
        </w:rPr>
        <w:t xml:space="preserve">., 2021). </w:t>
      </w:r>
    </w:p>
    <w:p>
      <w:pPr>
        <w:pStyle w:val="style94"/>
        <w:spacing w:before="0" w:beforeAutospacing="false" w:after="0" w:afterAutospacing="false" w:lineRule="auto" w:line="480"/>
        <w:jc w:val="both"/>
        <w:rPr>
          <w:b/>
          <w:bCs/>
          <w:color w:val="000000"/>
          <w:szCs w:val="26"/>
        </w:rPr>
      </w:pPr>
      <w:r>
        <w:rPr>
          <w:b/>
          <w:bCs/>
          <w:color w:val="000000"/>
          <w:szCs w:val="26"/>
        </w:rPr>
        <w:t xml:space="preserve">2.10 Hematological indices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Pr>
          <w:rFonts w:eastAsia="Times New Roman"/>
          <w:color w:val="000000"/>
          <w:sz w:val="24"/>
          <w:szCs w:val="26"/>
        </w:rPr>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Pr>
          <w:rFonts w:eastAsia="Times New Roman"/>
          <w:i/>
          <w:iCs/>
          <w:color w:val="000000"/>
          <w:sz w:val="24"/>
          <w:szCs w:val="26"/>
        </w:rPr>
        <w:t>et al</w:t>
      </w:r>
      <w:r>
        <w:rPr>
          <w:rFonts w:eastAsia="Times New Roman"/>
          <w:color w:val="000000"/>
          <w:sz w:val="24"/>
          <w:szCs w:val="26"/>
        </w:rPr>
        <w:t>., 2018).</w:t>
      </w:r>
    </w:p>
    <w:p>
      <w:pPr>
        <w:pStyle w:val="style94"/>
        <w:spacing w:before="0" w:beforeAutospacing="false" w:after="0" w:afterAutospacing="false" w:lineRule="auto" w:line="480"/>
        <w:jc w:val="both"/>
        <w:rPr>
          <w:b/>
          <w:bCs/>
          <w:color w:val="000000"/>
          <w:szCs w:val="26"/>
        </w:rPr>
      </w:pPr>
      <w:r>
        <w:rPr>
          <w:b/>
          <w:bCs/>
          <w:color w:val="000000"/>
          <w:szCs w:val="26"/>
        </w:rPr>
        <w:t xml:space="preserve">2.10.1 Red blood cell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Pr>
          <w:rFonts w:eastAsia="Times New Roman"/>
          <w:i/>
          <w:iCs/>
          <w:color w:val="000000"/>
          <w:sz w:val="24"/>
          <w:szCs w:val="26"/>
        </w:rPr>
        <w:t>Helicobacter pylori</w:t>
      </w:r>
      <w:r>
        <w:rPr>
          <w:rFonts w:eastAsia="Times New Roman"/>
          <w:color w:val="000000"/>
          <w:sz w:val="24"/>
          <w:szCs w:val="26"/>
        </w:rPr>
        <w:t xml:space="preserve"> infection, as this bacterium not only contributes to ulcer formation but can also cause gastric </w:t>
      </w:r>
      <w:r>
        <w:rPr>
          <w:rFonts w:eastAsia="Times New Roman"/>
          <w:color w:val="000000"/>
          <w:sz w:val="24"/>
          <w:szCs w:val="26"/>
        </w:rPr>
        <w:t>bleeding,</w:t>
      </w:r>
      <w:r>
        <w:rPr>
          <w:rFonts w:eastAsia="Times New Roman"/>
          <w:color w:val="000000"/>
          <w:sz w:val="24"/>
          <w:szCs w:val="26"/>
        </w:rPr>
        <w:t xml:space="preserve"> further depleting the body’s RBC reserves (Zhao </w:t>
      </w:r>
      <w:r>
        <w:rPr>
          <w:rFonts w:eastAsia="Times New Roman"/>
          <w:i/>
          <w:iCs/>
          <w:color w:val="000000"/>
          <w:sz w:val="24"/>
          <w:szCs w:val="26"/>
        </w:rPr>
        <w:t>et al</w:t>
      </w:r>
      <w:r>
        <w:rPr>
          <w:rFonts w:eastAsia="Times New Roman"/>
          <w:color w:val="000000"/>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r>
        <w:rPr>
          <w:rFonts w:eastAsia="Times New Roman"/>
          <w:color w:val="000000"/>
          <w:sz w:val="24"/>
          <w:szCs w:val="26"/>
        </w:rPr>
        <w:t xml:space="preserve">(Siddiqui </w:t>
      </w:r>
      <w:r>
        <w:rPr>
          <w:rFonts w:eastAsia="Times New Roman"/>
          <w:i/>
          <w:iCs/>
          <w:color w:val="000000"/>
          <w:sz w:val="24"/>
          <w:szCs w:val="26"/>
        </w:rPr>
        <w:t>et al</w:t>
      </w:r>
      <w:r>
        <w:rPr>
          <w:rFonts w:eastAsia="Times New Roman"/>
          <w:color w:val="000000"/>
          <w:sz w:val="24"/>
          <w:szCs w:val="26"/>
        </w:rPr>
        <w:t>., 2017).</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pPr>
        <w:pStyle w:val="style94"/>
        <w:spacing w:before="0" w:beforeAutospacing="false" w:after="0" w:afterAutospacing="false" w:lineRule="auto" w:line="480"/>
        <w:jc w:val="both"/>
        <w:rPr>
          <w:b/>
          <w:bCs/>
          <w:color w:val="000000"/>
          <w:szCs w:val="26"/>
        </w:rPr>
      </w:pPr>
      <w:r>
        <w:rPr>
          <w:b/>
          <w:bCs/>
          <w:color w:val="000000"/>
          <w:szCs w:val="26"/>
        </w:rPr>
        <w:t xml:space="preserve">2.10.2 Hemoglobin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Pr>
          <w:rFonts w:eastAsia="Times New Roman"/>
          <w:color w:val="000000"/>
          <w:sz w:val="24"/>
          <w:szCs w:val="26"/>
        </w:rPr>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Pr>
          <w:rFonts w:eastAsia="Times New Roman"/>
          <w:i/>
          <w:iCs/>
          <w:color w:val="000000"/>
          <w:sz w:val="24"/>
          <w:szCs w:val="26"/>
        </w:rPr>
        <w:t>Helicobacter pylori</w:t>
      </w:r>
      <w:r>
        <w:rPr>
          <w:rFonts w:eastAsia="Times New Roman"/>
          <w:color w:val="000000"/>
          <w:sz w:val="24"/>
          <w:szCs w:val="26"/>
        </w:rPr>
        <w:t xml:space="preserve"> infection, the ulceration can lead to small but persistent blood loss over time. This chronic loss of blood reduces the body's supply of red blood cells, thereby lowering hemoglobin levels (Zhao </w:t>
      </w:r>
      <w:r>
        <w:rPr>
          <w:rFonts w:eastAsia="Times New Roman"/>
          <w:i/>
          <w:iCs/>
          <w:color w:val="000000"/>
          <w:sz w:val="24"/>
          <w:szCs w:val="26"/>
        </w:rPr>
        <w:t>et al</w:t>
      </w:r>
      <w:r>
        <w:rPr>
          <w:rFonts w:eastAsia="Times New Roman"/>
          <w:color w:val="000000"/>
          <w:sz w:val="24"/>
          <w:szCs w:val="26"/>
        </w:rPr>
        <w:t xml:space="preserve">., 2018).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pPr>
        <w:pStyle w:val="style94"/>
        <w:spacing w:before="0" w:beforeAutospacing="false" w:after="0" w:afterAutospacing="false" w:lineRule="auto" w:line="480"/>
        <w:jc w:val="both"/>
        <w:rPr>
          <w:b/>
          <w:bCs/>
          <w:color w:val="000000"/>
          <w:szCs w:val="26"/>
        </w:rPr>
      </w:pPr>
      <w:r>
        <w:rPr>
          <w:b/>
          <w:bCs/>
          <w:color w:val="000000"/>
          <w:szCs w:val="26"/>
        </w:rPr>
        <w:t xml:space="preserve">2.10.3 Hematocrit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Pr>
          <w:rFonts w:eastAsia="Times New Roman"/>
          <w:color w:val="000000"/>
          <w:sz w:val="24"/>
          <w:szCs w:val="26"/>
        </w:rPr>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pPr>
        <w:pStyle w:val="style94"/>
        <w:spacing w:before="0" w:beforeAutospacing="false" w:after="0" w:afterAutospacing="false" w:lineRule="auto" w:line="480"/>
        <w:jc w:val="both"/>
        <w:rPr>
          <w:b/>
          <w:bCs/>
          <w:color w:val="000000"/>
          <w:szCs w:val="26"/>
        </w:rPr>
      </w:pPr>
      <w:r>
        <w:rPr>
          <w:b/>
          <w:bCs/>
          <w:color w:val="000000"/>
          <w:szCs w:val="26"/>
        </w:rPr>
        <w:t xml:space="preserve">2.10.4 White blood cell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Pr>
          <w:rFonts w:eastAsia="Times New Roman"/>
          <w:i/>
          <w:iCs/>
          <w:color w:val="000000"/>
          <w:sz w:val="24"/>
          <w:szCs w:val="26"/>
        </w:rPr>
        <w:t>Helicobacter pylori</w:t>
      </w:r>
      <w:r>
        <w:rPr>
          <w:rFonts w:eastAsia="Times New Roman"/>
          <w:color w:val="000000"/>
          <w:sz w:val="24"/>
          <w:szCs w:val="26"/>
        </w:rPr>
        <w:t xml:space="preserve"> infection, the long-term use of nonsteroidal anti-inflammatory drugs (NSAIDs), or excessive alcohol consumption. </w:t>
      </w:r>
      <w:r>
        <w:rPr>
          <w:rFonts w:eastAsia="Times New Roman"/>
          <w:i/>
          <w:iCs/>
          <w:color w:val="000000"/>
          <w:sz w:val="24"/>
          <w:szCs w:val="26"/>
        </w:rPr>
        <w:t xml:space="preserve">H. </w:t>
      </w:r>
      <w:r>
        <w:rPr>
          <w:rFonts w:eastAsia="Times New Roman"/>
          <w:i/>
          <w:iCs/>
          <w:color w:val="000000"/>
          <w:sz w:val="24"/>
          <w:szCs w:val="26"/>
        </w:rPr>
        <w:t>pylori</w:t>
      </w:r>
      <w:r>
        <w:rPr>
          <w:rFonts w:eastAsia="Times New Roman"/>
          <w:color w:val="000000"/>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2.10.5 Platelet count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Pr>
          <w:rFonts w:eastAsia="Times New Roman"/>
          <w:i/>
          <w:iCs/>
          <w:color w:val="000000"/>
          <w:sz w:val="24"/>
          <w:szCs w:val="26"/>
        </w:rPr>
        <w:t>et al</w:t>
      </w:r>
      <w:r>
        <w:rPr>
          <w:rFonts w:eastAsia="Times New Roman"/>
          <w:color w:val="000000"/>
          <w:sz w:val="24"/>
          <w:szCs w:val="26"/>
        </w:rPr>
        <w:t xml:space="preserve">., 2018). </w:t>
      </w:r>
    </w:p>
    <w:p>
      <w:pPr>
        <w:pStyle w:val="style94"/>
        <w:spacing w:before="0" w:beforeAutospacing="false" w:after="0" w:afterAutospacing="false" w:lineRule="auto" w:line="480"/>
        <w:jc w:val="both"/>
        <w:rPr>
          <w:b/>
          <w:bCs/>
          <w:color w:val="000000"/>
          <w:szCs w:val="26"/>
        </w:rPr>
      </w:pPr>
      <w:r>
        <w:rPr>
          <w:b/>
          <w:bCs/>
          <w:color w:val="000000"/>
          <w:szCs w:val="26"/>
        </w:rPr>
        <w:t xml:space="preserve">2.11 Total protein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Total protein refers to the combined levels of all proteins found in blood plasma, which are vital for cellular structure, enzyme activity, and immune function. In the </w:t>
      </w:r>
      <w:r>
        <w:rPr>
          <w:rFonts w:eastAsia="Times New Roman"/>
          <w:color w:val="000000"/>
          <w:sz w:val="24"/>
          <w:szCs w:val="26"/>
        </w:rPr>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Pr>
          <w:rFonts w:eastAsia="Times New Roman"/>
          <w:i/>
          <w:iCs/>
          <w:color w:val="000000"/>
          <w:sz w:val="24"/>
          <w:szCs w:val="26"/>
        </w:rPr>
        <w:t>et al</w:t>
      </w:r>
      <w:r>
        <w:rPr>
          <w:rFonts w:eastAsia="Times New Roman"/>
          <w:color w:val="000000"/>
          <w:sz w:val="24"/>
          <w:szCs w:val="26"/>
        </w:rPr>
        <w:t xml:space="preserve">., 2020). The gastroprotective and antioxidant properties of plants like </w:t>
      </w:r>
      <w:r>
        <w:rPr>
          <w:rFonts w:eastAsia="Times New Roman"/>
          <w:i/>
          <w:iCs/>
          <w:color w:val="000000"/>
          <w:sz w:val="24"/>
          <w:szCs w:val="26"/>
        </w:rPr>
        <w:t>Sida acuta</w:t>
      </w:r>
      <w:r>
        <w:rPr>
          <w:rFonts w:eastAsia="Times New Roman"/>
          <w:color w:val="000000"/>
          <w:sz w:val="24"/>
          <w:szCs w:val="26"/>
        </w:rPr>
        <w:t xml:space="preserve"> can help stabilize protein levels by reducing liver damage. Studies have shown that </w:t>
      </w:r>
      <w:r>
        <w:rPr>
          <w:rFonts w:eastAsia="Times New Roman"/>
          <w:i/>
          <w:iCs/>
          <w:color w:val="000000"/>
          <w:sz w:val="24"/>
          <w:szCs w:val="26"/>
        </w:rPr>
        <w:t>Sida acuta</w:t>
      </w:r>
      <w:r>
        <w:rPr>
          <w:rFonts w:eastAsia="Times New Roman"/>
          <w:color w:val="000000"/>
          <w:sz w:val="24"/>
          <w:szCs w:val="26"/>
        </w:rPr>
        <w:t xml:space="preserve"> extracts may increase serum total protein levels in liver-damaged animal models, indicating its protective effect on liver function (Sharma </w:t>
      </w:r>
      <w:r>
        <w:rPr>
          <w:rFonts w:eastAsia="Times New Roman"/>
          <w:i/>
          <w:iCs/>
          <w:color w:val="000000"/>
          <w:sz w:val="24"/>
          <w:szCs w:val="26"/>
        </w:rPr>
        <w:t>et al</w:t>
      </w:r>
      <w:r>
        <w:rPr>
          <w:rFonts w:eastAsia="Times New Roman"/>
          <w:color w:val="000000"/>
          <w:sz w:val="24"/>
          <w:szCs w:val="26"/>
        </w:rPr>
        <w:t>., 2020).</w:t>
      </w:r>
    </w:p>
    <w:p>
      <w:pPr>
        <w:pStyle w:val="style94"/>
        <w:spacing w:before="0" w:beforeAutospacing="false" w:after="0" w:afterAutospacing="false" w:lineRule="auto" w:line="480"/>
        <w:jc w:val="both"/>
        <w:rPr>
          <w:b/>
          <w:bCs/>
          <w:color w:val="000000"/>
          <w:szCs w:val="26"/>
        </w:rPr>
      </w:pPr>
      <w:r>
        <w:rPr>
          <w:b/>
          <w:bCs/>
          <w:color w:val="000000"/>
          <w:szCs w:val="26"/>
        </w:rPr>
        <w:t xml:space="preserve">2.11.1 Liver function indices </w:t>
      </w:r>
    </w:p>
    <w:p>
      <w:pPr>
        <w:pStyle w:val="style0"/>
        <w:spacing w:after="0" w:lineRule="auto" w:line="480"/>
        <w:ind w:firstLine="360"/>
        <w:jc w:val="both"/>
        <w:rPr>
          <w:rFonts w:eastAsia="Times New Roman"/>
          <w:color w:val="000000"/>
          <w:sz w:val="24"/>
          <w:szCs w:val="26"/>
        </w:rPr>
      </w:pPr>
      <w:r>
        <w:rPr>
          <w:rFonts w:eastAsia="Times New Roman"/>
          <w:color w:val="000000"/>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Alanine aminotransferase (ALT): An enzyme primarily found in the liver. Elevated ALT levels often indicate liver cell damage.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Aspartate aminotransferase (AST): Another enzyme found in the liver, elevated levels suggest liver injury or muscle damage.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Alkaline phosphatase (ALP): An enzyme related to bile ducts and liver. Increased levels may point to cholestasis or liver disease.</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Total Bilirubin: The liver processes bilirubin, a breakdown product of red blood cells. Elevated bilirubin levels can indicate liver dysfunction or bile duct obstruction.</w:t>
      </w:r>
    </w:p>
    <w:p>
      <w:pPr>
        <w:pStyle w:val="style0"/>
        <w:numPr>
          <w:ilvl w:val="0"/>
          <w:numId w:val="11"/>
        </w:numPr>
        <w:spacing w:after="0" w:lineRule="auto" w:line="480"/>
        <w:jc w:val="both"/>
        <w:rPr>
          <w:rFonts w:eastAsia="Times New Roman"/>
          <w:color w:val="000000"/>
          <w:sz w:val="24"/>
          <w:szCs w:val="26"/>
        </w:rPr>
      </w:pPr>
      <w:r>
        <w:rPr>
          <w:rFonts w:eastAsia="Times New Roman"/>
          <w:color w:val="000000"/>
          <w:sz w:val="24"/>
          <w:szCs w:val="26"/>
        </w:rPr>
        <w:t>Albumin: A protein produced by the liver, often used as a marker of liver function. Low albumin levels may indicate chronic liver disease.</w:t>
      </w:r>
    </w:p>
    <w:p>
      <w:pPr>
        <w:pStyle w:val="style94"/>
        <w:spacing w:before="0" w:beforeAutospacing="false" w:after="0" w:afterAutospacing="false" w:lineRule="auto" w:line="480"/>
        <w:jc w:val="both"/>
        <w:rPr>
          <w:b/>
          <w:bCs/>
          <w:color w:val="000000"/>
          <w:szCs w:val="26"/>
        </w:rPr>
      </w:pPr>
      <w:r>
        <w:rPr>
          <w:b/>
          <w:bCs/>
          <w:color w:val="000000"/>
          <w:szCs w:val="26"/>
        </w:rPr>
        <w:t xml:space="preserve">2.11.2 Alanine amino transferase </w:t>
      </w:r>
    </w:p>
    <w:p>
      <w:pPr>
        <w:pStyle w:val="style94"/>
        <w:spacing w:before="0" w:beforeAutospacing="false" w:after="0" w:afterAutospacing="false" w:lineRule="auto" w:line="480"/>
        <w:ind w:firstLine="480"/>
        <w:jc w:val="both"/>
        <w:rPr>
          <w:color w:val="000000"/>
          <w:szCs w:val="26"/>
          <w:shd w:val="clear" w:color="auto" w:fill="ffffff"/>
        </w:rPr>
      </w:pPr>
      <w:r>
        <w:rPr>
          <w:color w:val="000000"/>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pPr>
        <w:pStyle w:val="style0"/>
        <w:shd w:val="clear" w:color="auto" w:fill="ffffff"/>
        <w:spacing w:after="0" w:lineRule="auto" w:line="480"/>
        <w:ind w:firstLine="480"/>
        <w:jc w:val="both"/>
        <w:rPr>
          <w:b/>
          <w:bCs/>
          <w:color w:val="000000"/>
          <w:sz w:val="24"/>
          <w:szCs w:val="26"/>
        </w:rPr>
      </w:pPr>
      <w:r>
        <w:rPr>
          <w:color w:val="000000"/>
          <w:sz w:val="24"/>
          <w:szCs w:val="26"/>
        </w:rPr>
        <w:t>Aspartate aminotransferase (AST, EC 2.6.1.1) and alanine aminotransferase (ALT, EC 2.6.1.2) are enzymes found mainly in the liver, but also found in red blood cells, heart cells, muscle tissue and other organs, such as the pancreas and kidneys (</w:t>
      </w:r>
      <w:r>
        <w:rPr>
          <w:color w:val="000000"/>
          <w:sz w:val="24"/>
          <w:szCs w:val="26"/>
          <w:shd w:val="clear" w:color="auto" w:fill="ffffff"/>
        </w:rPr>
        <w:t xml:space="preserve">Mayer </w:t>
      </w:r>
      <w:r>
        <w:rPr>
          <w:i/>
          <w:iCs/>
          <w:color w:val="000000"/>
          <w:sz w:val="24"/>
          <w:szCs w:val="26"/>
          <w:shd w:val="clear" w:color="auto" w:fill="ffffff"/>
        </w:rPr>
        <w:t>et al</w:t>
      </w:r>
      <w:r>
        <w:rPr>
          <w:color w:val="000000"/>
          <w:sz w:val="24"/>
          <w:szCs w:val="26"/>
          <w:shd w:val="clear" w:color="auto" w:fill="ffffff"/>
        </w:rPr>
        <w:t>., 2005)</w:t>
      </w:r>
      <w:r>
        <w:rPr>
          <w:color w:val="000000"/>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Pr>
          <w:color w:val="000000"/>
          <w:sz w:val="24"/>
          <w:szCs w:val="26"/>
          <w:shd w:val="clear" w:color="auto" w:fill="ffffff"/>
        </w:rPr>
        <w:t xml:space="preserve"> (Schumann </w:t>
      </w:r>
      <w:r>
        <w:rPr>
          <w:i/>
          <w:iCs/>
          <w:color w:val="000000"/>
          <w:sz w:val="24"/>
          <w:szCs w:val="26"/>
          <w:shd w:val="clear" w:color="auto" w:fill="ffffff"/>
        </w:rPr>
        <w:t>et al</w:t>
      </w:r>
      <w:r>
        <w:rPr>
          <w:color w:val="000000"/>
          <w:sz w:val="24"/>
          <w:szCs w:val="26"/>
          <w:shd w:val="clear" w:color="auto" w:fill="ffffff"/>
        </w:rPr>
        <w:t>., 2003)</w:t>
      </w:r>
      <w:r>
        <w:rPr>
          <w:color w:val="000000"/>
          <w:sz w:val="24"/>
          <w:szCs w:val="26"/>
        </w:rPr>
        <w:t>.</w:t>
      </w:r>
    </w:p>
    <w:p>
      <w:pPr>
        <w:pStyle w:val="style94"/>
        <w:spacing w:before="0" w:beforeAutospacing="false" w:after="0" w:afterAutospacing="false" w:lineRule="auto" w:line="480"/>
        <w:jc w:val="both"/>
        <w:rPr>
          <w:b/>
          <w:bCs/>
          <w:color w:val="000000"/>
          <w:szCs w:val="26"/>
        </w:rPr>
      </w:pPr>
      <w:r>
        <w:rPr>
          <w:b/>
          <w:bCs/>
          <w:color w:val="000000"/>
          <w:szCs w:val="26"/>
        </w:rPr>
        <w:t xml:space="preserve">2.11.3 Aspartate amino transferase </w:t>
      </w:r>
    </w:p>
    <w:p>
      <w:pPr>
        <w:pStyle w:val="style94"/>
        <w:spacing w:before="0" w:beforeAutospacing="false" w:after="0" w:afterAutospacing="false" w:lineRule="auto" w:line="480"/>
        <w:ind w:firstLine="720"/>
        <w:jc w:val="both"/>
        <w:rPr>
          <w:b/>
          <w:bCs/>
          <w:color w:val="000000"/>
          <w:szCs w:val="26"/>
        </w:rPr>
      </w:pPr>
      <w:r>
        <w:rPr>
          <w:color w:val="000000"/>
          <w:szCs w:val="26"/>
          <w:shd w:val="clear" w:color="auto" w:fill="ffffff"/>
        </w:rPr>
        <w:t xml:space="preserve">In humans, AST exists as two genetically and immunologically distinct isoenzymes: cytoplasmic AST (cAST or GOT1) and mitochondrial AST (mAST or </w:t>
      </w:r>
      <w:r>
        <w:rPr>
          <w:color w:val="000000"/>
          <w:szCs w:val="26"/>
          <w:shd w:val="clear" w:color="auto" w:fill="ffffff"/>
        </w:rPr>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r>
        <w:rPr>
          <w:color w:val="000000"/>
          <w:szCs w:val="26"/>
          <w:shd w:val="clear" w:color="auto" w:fill="ffffff"/>
        </w:rPr>
        <w:t>kD</w:t>
      </w:r>
      <w:r>
        <w:rPr>
          <w:color w:val="000000"/>
          <w:szCs w:val="26"/>
          <w:shd w:val="clear" w:color="auto" w:fill="ffffff"/>
        </w:rPr>
        <w:t>. Each dimer has an identical binding site for pyridoxal-5'-phosphate which is located in the dimer interface. Pyridoxal-5'-phosphate is stabilized by a number of surrounding amino acid residues (Ndrepepa, 2021).</w:t>
      </w:r>
    </w:p>
    <w:p>
      <w:pPr>
        <w:pStyle w:val="style94"/>
        <w:spacing w:before="0" w:beforeAutospacing="false" w:after="0" w:afterAutospacing="false" w:lineRule="auto" w:line="480"/>
        <w:jc w:val="both"/>
        <w:rPr>
          <w:b/>
          <w:bCs/>
          <w:color w:val="000000"/>
          <w:szCs w:val="26"/>
        </w:rPr>
      </w:pPr>
      <w:r>
        <w:rPr>
          <w:b/>
          <w:bCs/>
          <w:color w:val="000000"/>
          <w:szCs w:val="26"/>
        </w:rPr>
        <w:t xml:space="preserve">2.11.4 Alkaline phosphatase </w:t>
      </w:r>
    </w:p>
    <w:p>
      <w:pPr>
        <w:pStyle w:val="style94"/>
        <w:spacing w:before="0" w:beforeAutospacing="false" w:after="0" w:afterAutospacing="false" w:lineRule="auto" w:line="480"/>
        <w:ind w:firstLine="720"/>
        <w:jc w:val="both"/>
        <w:rPr>
          <w:color w:val="000000"/>
          <w:szCs w:val="26"/>
        </w:rPr>
      </w:pPr>
      <w:r>
        <w:rPr>
          <w:color w:val="000000"/>
          <w:szCs w:val="26"/>
        </w:rPr>
        <w:t xml:space="preserve">Alkaline phosphatases [ALP; orthophosphoric monoester phosphohydrolase (alkaline optimum) EC 3.1.3.1] are plasma membrane-bound glycoproteins (Tsai </w:t>
      </w:r>
      <w:r>
        <w:rPr>
          <w:i/>
          <w:iCs/>
          <w:color w:val="000000"/>
          <w:szCs w:val="26"/>
        </w:rPr>
        <w:t>et al</w:t>
      </w:r>
      <w:r>
        <w:rPr>
          <w:color w:val="000000"/>
          <w:szCs w:val="26"/>
        </w:rPr>
        <w:t xml:space="preserve">., 2000). These enzymes are widely distributed in nature, including prokaryotes and higher eukaryotes (Sadeghirishi </w:t>
      </w:r>
      <w:r>
        <w:rPr>
          <w:i/>
          <w:iCs/>
          <w:color w:val="000000"/>
          <w:szCs w:val="26"/>
        </w:rPr>
        <w:t>et al</w:t>
      </w:r>
      <w:r>
        <w:rPr>
          <w:color w:val="000000"/>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Pr>
          <w:i/>
          <w:iCs/>
          <w:color w:val="000000"/>
          <w:szCs w:val="26"/>
        </w:rPr>
        <w:t>et al</w:t>
      </w:r>
      <w:r>
        <w:rPr>
          <w:color w:val="000000"/>
          <w:szCs w:val="26"/>
        </w:rPr>
        <w:t xml:space="preserve">., 2001). Mammalian alkaline phosphatases (ALPs) are zinccontaining metalloenzymes encoded by a multigene family and function as dimeric molecules (Sharma </w:t>
      </w:r>
      <w:r>
        <w:rPr>
          <w:i/>
          <w:iCs/>
          <w:color w:val="000000"/>
          <w:szCs w:val="26"/>
        </w:rPr>
        <w:t>et al</w:t>
      </w:r>
      <w:r>
        <w:rPr>
          <w:color w:val="000000"/>
          <w:szCs w:val="26"/>
        </w:rPr>
        <w:t>., 2012).</w:t>
      </w:r>
    </w:p>
    <w:p>
      <w:pPr>
        <w:pStyle w:val="style94"/>
        <w:spacing w:before="0" w:beforeAutospacing="false" w:after="0" w:afterAutospacing="false" w:lineRule="auto" w:line="480"/>
        <w:ind w:firstLine="720"/>
        <w:jc w:val="both"/>
        <w:rPr>
          <w:color w:val="000000"/>
          <w:szCs w:val="26"/>
        </w:rPr>
      </w:pPr>
      <w:r>
        <w:rPr>
          <w:color w:val="000000"/>
          <w:szCs w:val="26"/>
        </w:rPr>
        <w:t xml:space="preserve">Alkaline phosphatase (ALP) is </w:t>
      </w:r>
      <w:r>
        <w:rPr>
          <w:color w:val="000000"/>
          <w:szCs w:val="26"/>
        </w:rPr>
        <w:t>an</w:t>
      </w:r>
      <w:r>
        <w:rPr>
          <w:color w:val="000000"/>
          <w:szCs w:val="26"/>
        </w:rPr>
        <w:t xml:space="preserve"> ubiquitous membrane-bound glycoprotein that catalyzes the hydrolysis of phosphate monoesters at basic pH values. Alkaline </w:t>
      </w:r>
      <w:r>
        <w:rPr>
          <w:color w:val="000000"/>
          <w:szCs w:val="26"/>
        </w:rPr>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Pr>
          <w:color w:val="000000"/>
          <w:szCs w:val="26"/>
          <w:shd w:val="clear" w:color="auto" w:fill="ffffff"/>
        </w:rPr>
        <w:t xml:space="preserve">Sharma </w:t>
      </w:r>
      <w:r>
        <w:rPr>
          <w:i/>
          <w:iCs/>
          <w:color w:val="000000"/>
          <w:szCs w:val="26"/>
          <w:shd w:val="clear" w:color="auto" w:fill="ffffff"/>
        </w:rPr>
        <w:t>et al</w:t>
      </w:r>
      <w:r>
        <w:rPr>
          <w:color w:val="000000"/>
          <w:szCs w:val="26"/>
          <w:shd w:val="clear" w:color="auto" w:fill="ffffff"/>
        </w:rPr>
        <w:t>., 2014</w:t>
      </w:r>
      <w:r>
        <w:rPr>
          <w:color w:val="000000"/>
          <w:szCs w:val="26"/>
        </w:rPr>
        <w:t>)</w:t>
      </w:r>
    </w:p>
    <w:p>
      <w:pPr>
        <w:pStyle w:val="style94"/>
        <w:spacing w:before="0" w:beforeAutospacing="false" w:after="0" w:afterAutospacing="false" w:lineRule="auto" w:line="480"/>
        <w:jc w:val="both"/>
        <w:rPr>
          <w:b/>
          <w:bCs/>
          <w:color w:val="000000"/>
          <w:szCs w:val="26"/>
        </w:rPr>
      </w:pPr>
      <w:r>
        <w:rPr>
          <w:b/>
          <w:bCs/>
          <w:color w:val="000000"/>
          <w:szCs w:val="26"/>
        </w:rPr>
        <w:t xml:space="preserve">2.11.5 Albumin </w:t>
      </w:r>
    </w:p>
    <w:p>
      <w:pPr>
        <w:pStyle w:val="style94"/>
        <w:spacing w:before="0" w:beforeAutospacing="false" w:after="0" w:afterAutospacing="false" w:lineRule="auto" w:line="480"/>
        <w:ind w:firstLine="720"/>
        <w:jc w:val="both"/>
        <w:rPr>
          <w:color w:val="000000"/>
          <w:szCs w:val="26"/>
        </w:rPr>
      </w:pPr>
      <w:r>
        <w:rPr>
          <w:color w:val="000000"/>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 xml:space="preserve">). Human ALB is composed of 585 amino acids. It shows affinity to bind many types of molecules and ions. Free ferrous and cupric ions are catalyst in the Fenton reaction, in which hydroxyl radicals are generated (Plantier </w:t>
      </w:r>
      <w:r>
        <w:rPr>
          <w:i/>
          <w:iCs/>
          <w:color w:val="000000"/>
          <w:szCs w:val="26"/>
        </w:rPr>
        <w:t>et al</w:t>
      </w:r>
      <w:r>
        <w:rPr>
          <w:color w:val="000000"/>
          <w:szCs w:val="26"/>
        </w:rPr>
        <w:t xml:space="preserve">., 2016). </w:t>
      </w:r>
    </w:p>
    <w:p>
      <w:pPr>
        <w:pStyle w:val="style94"/>
        <w:spacing w:before="0" w:beforeAutospacing="false" w:after="0" w:afterAutospacing="false" w:lineRule="auto" w:line="480"/>
        <w:ind w:firstLine="720"/>
        <w:jc w:val="both"/>
        <w:rPr>
          <w:color w:val="000000"/>
          <w:szCs w:val="26"/>
        </w:rPr>
      </w:pPr>
      <w:r>
        <w:rPr>
          <w:color w:val="000000"/>
          <w:szCs w:val="26"/>
        </w:rPr>
        <w:t xml:space="preserve">The antioxidant properties of albumin derive also from its indirect effect, associated with binding of bilirubin and unsaturated fatty acids, which prevents oxidation of these compounds (Roche </w:t>
      </w:r>
      <w:r>
        <w:rPr>
          <w:i/>
          <w:iCs/>
          <w:color w:val="000000"/>
          <w:szCs w:val="26"/>
        </w:rPr>
        <w:t>et al</w:t>
      </w:r>
      <w:r>
        <w:rPr>
          <w:color w:val="000000"/>
          <w:szCs w:val="26"/>
        </w:rPr>
        <w:t>., 2008). The antioxidative function of albumin results from its free radical-trapping capacities and various ligand-binding properties. Both functions are closely related to the ALB structure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2.11.6 Bilirubin </w:t>
      </w:r>
    </w:p>
    <w:p>
      <w:pPr>
        <w:pStyle w:val="style94"/>
        <w:spacing w:before="0" w:beforeAutospacing="false" w:after="0" w:afterAutospacing="false" w:lineRule="auto" w:line="480"/>
        <w:ind w:firstLine="720"/>
        <w:jc w:val="both"/>
        <w:rPr>
          <w:color w:val="000000"/>
          <w:szCs w:val="26"/>
        </w:rPr>
      </w:pPr>
      <w:r>
        <w:rPr>
          <w:color w:val="000000"/>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r>
        <w:rPr>
          <w:color w:val="000000"/>
          <w:szCs w:val="26"/>
        </w:rPr>
        <w:t>form,</w:t>
      </w:r>
      <w:r>
        <w:rPr>
          <w:color w:val="000000"/>
          <w:szCs w:val="26"/>
        </w:rPr>
        <w:t xml:space="preserve"> it is excreted in bile into the intestine. In some diseases of the liver, the excretion of bile is obstructed and the level of bilirubin in the blood increases (Bhutani </w:t>
      </w:r>
      <w:r>
        <w:rPr>
          <w:i/>
          <w:iCs/>
          <w:color w:val="000000"/>
          <w:szCs w:val="26"/>
        </w:rPr>
        <w:t>et al</w:t>
      </w:r>
      <w:r>
        <w:rPr>
          <w:color w:val="000000"/>
          <w:szCs w:val="26"/>
        </w:rPr>
        <w:t xml:space="preserve">., 2016), </w:t>
      </w:r>
    </w:p>
    <w:p>
      <w:pPr>
        <w:pStyle w:val="style94"/>
        <w:spacing w:before="0" w:beforeAutospacing="false" w:after="0" w:afterAutospacing="false" w:lineRule="auto" w:line="480"/>
        <w:jc w:val="both"/>
        <w:rPr>
          <w:b/>
          <w:bCs/>
          <w:color w:val="000000"/>
          <w:szCs w:val="26"/>
        </w:rPr>
      </w:pPr>
      <w:r>
        <w:rPr>
          <w:b/>
          <w:bCs/>
          <w:color w:val="000000"/>
          <w:szCs w:val="26"/>
        </w:rPr>
        <w:t>2.1</w:t>
      </w:r>
      <w:r>
        <w:rPr>
          <w:b/>
          <w:bCs/>
          <w:color w:val="000000"/>
          <w:szCs w:val="26"/>
        </w:rPr>
        <w:t>2</w:t>
      </w:r>
      <w:r>
        <w:rPr>
          <w:b/>
          <w:bCs/>
          <w:color w:val="000000"/>
          <w:szCs w:val="26"/>
        </w:rPr>
        <w:t xml:space="preserve"> Antioxidant and lipid peroxidation parameters </w:t>
      </w:r>
    </w:p>
    <w:p>
      <w:pPr>
        <w:pStyle w:val="style0"/>
        <w:autoSpaceDE w:val="false"/>
        <w:autoSpaceDN w:val="false"/>
        <w:adjustRightInd w:val="false"/>
        <w:spacing w:after="0" w:lineRule="auto" w:line="480"/>
        <w:ind w:firstLine="720"/>
        <w:jc w:val="both"/>
        <w:rPr>
          <w:color w:val="000000"/>
          <w:sz w:val="24"/>
          <w:szCs w:val="26"/>
        </w:rPr>
      </w:pPr>
      <w:r>
        <w:rPr>
          <w:color w:val="000000"/>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Pr>
          <w:i/>
          <w:iCs/>
          <w:color w:val="000000"/>
          <w:sz w:val="24"/>
          <w:szCs w:val="26"/>
        </w:rPr>
        <w:t>et al</w:t>
      </w:r>
      <w:r>
        <w:rPr>
          <w:color w:val="000000"/>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Pr>
          <w:color w:val="000000"/>
          <w:sz w:val="24"/>
          <w:szCs w:val="26"/>
        </w:rPr>
        <w:t>terpenoids from essential oils, which act by favoring the radical-chain termination without actually impairing propagation (Amorati and Valgimigli, 2018).</w:t>
      </w:r>
    </w:p>
    <w:p>
      <w:pPr>
        <w:pStyle w:val="style94"/>
        <w:spacing w:before="0" w:beforeAutospacing="false" w:after="0" w:afterAutospacing="false" w:lineRule="auto" w:line="480"/>
        <w:jc w:val="both"/>
        <w:rPr>
          <w:b/>
          <w:bCs/>
          <w:color w:val="000000"/>
          <w:szCs w:val="26"/>
        </w:rPr>
      </w:pPr>
      <w:r>
        <w:rPr>
          <w:b/>
          <w:bCs/>
          <w:color w:val="000000"/>
          <w:szCs w:val="26"/>
        </w:rPr>
        <w:t xml:space="preserve">2.12.1 Superoxide dismutase </w:t>
      </w:r>
    </w:p>
    <w:p>
      <w:pPr>
        <w:pStyle w:val="style94"/>
        <w:spacing w:before="0" w:beforeAutospacing="false" w:after="0" w:afterAutospacing="false" w:lineRule="auto" w:line="480"/>
        <w:ind w:firstLine="720"/>
        <w:jc w:val="both"/>
        <w:rPr>
          <w:color w:val="000000"/>
          <w:szCs w:val="26"/>
        </w:rPr>
      </w:pPr>
      <w:r>
        <w:rPr>
          <w:color w:val="000000"/>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Pr>
          <w:color w:val="000000"/>
          <w:szCs w:val="26"/>
          <w:shd w:val="clear" w:color="auto" w:fill="ffffff"/>
        </w:rPr>
        <w:t xml:space="preserve">Bafana </w:t>
      </w:r>
      <w:r>
        <w:rPr>
          <w:i/>
          <w:iCs/>
          <w:color w:val="000000"/>
          <w:szCs w:val="26"/>
          <w:shd w:val="clear" w:color="auto" w:fill="ffffff"/>
        </w:rPr>
        <w:t>et al</w:t>
      </w:r>
      <w:r>
        <w:rPr>
          <w:color w:val="000000"/>
          <w:szCs w:val="26"/>
          <w:shd w:val="clear" w:color="auto" w:fill="ffffff"/>
        </w:rPr>
        <w:t>., 2011)</w:t>
      </w:r>
    </w:p>
    <w:p>
      <w:pPr>
        <w:pStyle w:val="style94"/>
        <w:spacing w:before="0" w:beforeAutospacing="false" w:after="0" w:afterAutospacing="false" w:lineRule="auto" w:line="480"/>
        <w:ind w:firstLine="720"/>
        <w:jc w:val="both"/>
        <w:rPr>
          <w:color w:val="000000"/>
          <w:szCs w:val="26"/>
        </w:rPr>
      </w:pPr>
      <w:r>
        <w:rPr>
          <w:color w:val="000000"/>
          <w:szCs w:val="26"/>
        </w:rPr>
        <w:t>SOD is ubiquitous to all forms of life. Four different types of metal centers have been detected in SOD, dividing this family into Cu</w:t>
      </w:r>
      <w:r>
        <w:rPr>
          <w:color w:val="000000"/>
          <w:szCs w:val="26"/>
        </w:rPr>
        <w:t>,Zn</w:t>
      </w:r>
      <w:r>
        <w:rPr>
          <w:color w:val="000000"/>
          <w:szCs w:val="26"/>
        </w:rPr>
        <w:t>-, Fe-, Mn- and Ni-SODs. The evolution of SOD and other antioxidant enzymes was probably triggered by production of O2 by photosynthetic organisms about 2 billion years ago. Two major kinds of SOD appeared independently in prokaryotes at that time, Cu</w:t>
      </w:r>
      <w:r>
        <w:rPr>
          <w:color w:val="000000"/>
          <w:szCs w:val="26"/>
        </w:rPr>
        <w:t>,Zn</w:t>
      </w:r>
      <w:r>
        <w:rPr>
          <w:color w:val="000000"/>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Pr>
          <w:i/>
          <w:iCs/>
          <w:color w:val="000000"/>
          <w:szCs w:val="26"/>
        </w:rPr>
        <w:t>et al</w:t>
      </w:r>
      <w:r>
        <w:rPr>
          <w:color w:val="000000"/>
          <w:szCs w:val="26"/>
        </w:rPr>
        <w:t>., 2009).</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 xml:space="preserve">2.12.2 Catalase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Catalase is a vital antioxidant enzyme present in nearly all aerobic organisms, where it plays a key role in cellular defense against oxidative stress. Its primary function is to decompose hydrogen peroxide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a reactive oxygen species (ROS), into water and molecular oxygen, thus preventing the accumulation of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Catalase plays a protective role by limiting the availability of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Pr>
          <w:rFonts w:eastAsia="Times New Roman"/>
          <w:i/>
          <w:iCs/>
          <w:color w:val="000000"/>
          <w:sz w:val="24"/>
          <w:szCs w:val="26"/>
        </w:rPr>
        <w:t>et al</w:t>
      </w:r>
      <w:r>
        <w:rPr>
          <w:rFonts w:eastAsia="Times New Roman"/>
          <w:color w:val="000000"/>
          <w:sz w:val="24"/>
          <w:szCs w:val="26"/>
        </w:rPr>
        <w:t>., 2016).</w:t>
      </w:r>
    </w:p>
    <w:p>
      <w:pPr>
        <w:pStyle w:val="style94"/>
        <w:spacing w:before="0" w:beforeAutospacing="false" w:after="0" w:afterAutospacing="false" w:lineRule="auto" w:line="480"/>
        <w:jc w:val="both"/>
        <w:rPr>
          <w:b/>
          <w:bCs/>
          <w:color w:val="000000"/>
          <w:szCs w:val="26"/>
        </w:rPr>
      </w:pPr>
      <w:r>
        <w:rPr>
          <w:b/>
          <w:bCs/>
          <w:color w:val="000000"/>
          <w:szCs w:val="26"/>
        </w:rPr>
        <w:t xml:space="preserve">2.12.3 Glutathione transferase </w:t>
      </w:r>
    </w:p>
    <w:p>
      <w:pPr>
        <w:pStyle w:val="style94"/>
        <w:spacing w:before="0" w:beforeAutospacing="false" w:after="0" w:afterAutospacing="false" w:lineRule="auto" w:line="480"/>
        <w:ind w:firstLine="720"/>
        <w:jc w:val="both"/>
        <w:rPr>
          <w:color w:val="000000"/>
          <w:szCs w:val="26"/>
        </w:rPr>
      </w:pPr>
      <w:r>
        <w:rPr>
          <w:color w:val="000000"/>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Pr>
          <w:i/>
          <w:iCs/>
          <w:color w:val="000000"/>
          <w:szCs w:val="26"/>
        </w:rPr>
        <w:t>et al</w:t>
      </w:r>
      <w:r>
        <w:rPr>
          <w:color w:val="000000"/>
          <w:szCs w:val="26"/>
        </w:rPr>
        <w:t>.,</w:t>
      </w:r>
      <w:r>
        <w:rPr>
          <w:color w:val="000000"/>
          <w:szCs w:val="26"/>
        </w:rPr>
        <w:t xml:space="preserve"> </w:t>
      </w:r>
      <w:r>
        <w:rPr>
          <w:color w:val="000000"/>
          <w:szCs w:val="26"/>
        </w:rPr>
        <w:t xml:space="preserve">2009), but the most intense GSH synthesis occurs in hepatocytes (Lu, 2013). </w:t>
      </w:r>
      <w:r>
        <w:rPr>
          <w:color w:val="000000"/>
          <w:szCs w:val="26"/>
        </w:rPr>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Pr>
          <w:i/>
          <w:iCs/>
          <w:color w:val="000000"/>
          <w:szCs w:val="26"/>
        </w:rPr>
        <w:t>et al</w:t>
      </w:r>
      <w:r>
        <w:rPr>
          <w:color w:val="000000"/>
          <w:szCs w:val="26"/>
        </w:rPr>
        <w:t xml:space="preserve">., 2012).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p>
    <w:p>
      <w:pPr>
        <w:pStyle w:val="style94"/>
        <w:spacing w:before="0" w:beforeAutospacing="false" w:after="0" w:afterAutospacing="false" w:lineRule="auto" w:line="480"/>
        <w:jc w:val="both"/>
        <w:rPr>
          <w:b/>
          <w:bCs/>
          <w:color w:val="000000"/>
          <w:szCs w:val="26"/>
        </w:rPr>
      </w:pPr>
      <w:r>
        <w:rPr>
          <w:b/>
          <w:bCs/>
          <w:color w:val="000000"/>
          <w:szCs w:val="26"/>
        </w:rPr>
        <w:t>2.12.4 Glutathione peroxidase</w:t>
      </w:r>
    </w:p>
    <w:p>
      <w:pPr>
        <w:pStyle w:val="style0"/>
        <w:spacing w:after="0" w:lineRule="auto" w:line="480"/>
        <w:jc w:val="both"/>
        <w:rPr>
          <w:rFonts w:eastAsia="Times New Roman"/>
          <w:color w:val="000000"/>
          <w:sz w:val="24"/>
          <w:szCs w:val="26"/>
        </w:rPr>
      </w:pPr>
      <w:r>
        <w:rPr>
          <w:rFonts w:eastAsia="Times New Roman"/>
          <w:b/>
          <w:bCs/>
          <w:color w:val="000000"/>
          <w:sz w:val="24"/>
          <w:szCs w:val="26"/>
        </w:rPr>
        <w:t>Glutathione Peroxidase and Its Role in Antioxidant Defense</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Glutathione peroxidase (GPx) is a family of selenium-dependent antioxidant enzymes that play a critical role in protecting cells from oxidative damage. These enzymes catalyze the reduction of hydrogen peroxide (H</w:t>
      </w:r>
      <w:r>
        <w:rPr>
          <w:rFonts w:ascii="Cambria Math" w:cs="Cambria Math" w:eastAsia="Times New Roman" w:hAnsi="Cambria Math"/>
          <w:color w:val="000000"/>
          <w:sz w:val="24"/>
          <w:szCs w:val="26"/>
        </w:rPr>
        <w:t>₂</w:t>
      </w:r>
      <w:r>
        <w:rPr>
          <w:rFonts w:eastAsia="Times New Roman"/>
          <w:color w:val="000000"/>
          <w:sz w:val="24"/>
          <w:szCs w:val="26"/>
        </w:rPr>
        <w:t>O</w:t>
      </w:r>
      <w:r>
        <w:rPr>
          <w:rFonts w:ascii="Cambria Math" w:cs="Cambria Math" w:eastAsia="Times New Roman" w:hAnsi="Cambria Math"/>
          <w:color w:val="000000"/>
          <w:sz w:val="24"/>
          <w:szCs w:val="26"/>
        </w:rPr>
        <w:t>₂</w:t>
      </w:r>
      <w:r>
        <w:rPr>
          <w:rFonts w:eastAsia="Times New Roman"/>
          <w:color w:val="000000"/>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Pr>
          <w:rStyle w:val="style4103"/>
          <w:color w:val="000000"/>
          <w:sz w:val="24"/>
          <w:szCs w:val="26"/>
        </w:rPr>
        <w:t>2GSH</w:t>
      </w:r>
      <w:r>
        <w:rPr>
          <w:rStyle w:val="style4106"/>
          <w:color w:val="000000"/>
          <w:sz w:val="24"/>
          <w:szCs w:val="26"/>
        </w:rPr>
        <w:t>+</w:t>
      </w:r>
      <w:r>
        <w:rPr>
          <w:rStyle w:val="style4103"/>
          <w:color w:val="000000"/>
          <w:sz w:val="24"/>
          <w:szCs w:val="26"/>
        </w:rPr>
        <w:t>H</w:t>
      </w:r>
      <w:r>
        <w:rPr>
          <w:rStyle w:val="style4103"/>
          <w:color w:val="000000"/>
          <w:sz w:val="24"/>
          <w:szCs w:val="26"/>
          <w:vertAlign w:val="subscript"/>
        </w:rPr>
        <w:t>2</w:t>
      </w:r>
      <w:r>
        <w:rPr>
          <w:rStyle w:val="style4104"/>
          <w:color w:val="000000"/>
          <w:sz w:val="24"/>
          <w:szCs w:val="26"/>
        </w:rPr>
        <w:t>​</w:t>
      </w:r>
      <w:r>
        <w:rPr>
          <w:rStyle w:val="style4103"/>
          <w:color w:val="000000"/>
          <w:sz w:val="24"/>
          <w:szCs w:val="26"/>
        </w:rPr>
        <w:t>O</w:t>
      </w:r>
      <w:r>
        <w:rPr>
          <w:rStyle w:val="style4103"/>
          <w:color w:val="000000"/>
          <w:sz w:val="24"/>
          <w:szCs w:val="26"/>
          <w:vertAlign w:val="subscript"/>
        </w:rPr>
        <w:t>2</w:t>
      </w:r>
      <w:r>
        <w:rPr>
          <w:rStyle w:val="style4104"/>
          <w:color w:val="000000"/>
          <w:sz w:val="24"/>
          <w:szCs w:val="26"/>
        </w:rPr>
        <w:t>​</w:t>
      </w:r>
      <w:r>
        <w:rPr>
          <w:rStyle w:val="style4105"/>
          <w:color w:val="000000"/>
          <w:sz w:val="24"/>
          <w:szCs w:val="26"/>
        </w:rPr>
        <w:t>→</w:t>
      </w:r>
      <w:r>
        <w:rPr>
          <w:rStyle w:val="style4103"/>
          <w:color w:val="000000"/>
          <w:sz w:val="24"/>
          <w:szCs w:val="26"/>
        </w:rPr>
        <w:t>GSSG</w:t>
      </w:r>
      <w:r>
        <w:rPr>
          <w:rStyle w:val="style4106"/>
          <w:color w:val="000000"/>
          <w:sz w:val="24"/>
          <w:szCs w:val="26"/>
        </w:rPr>
        <w:t>+</w:t>
      </w:r>
      <w:r>
        <w:rPr>
          <w:rStyle w:val="style4103"/>
          <w:color w:val="000000"/>
          <w:sz w:val="24"/>
          <w:szCs w:val="26"/>
        </w:rPr>
        <w:t>2H</w:t>
      </w:r>
      <w:r>
        <w:rPr>
          <w:rStyle w:val="style4103"/>
          <w:color w:val="000000"/>
          <w:sz w:val="24"/>
          <w:szCs w:val="26"/>
          <w:vertAlign w:val="subscript"/>
        </w:rPr>
        <w:t>2</w:t>
      </w:r>
      <w:r>
        <w:rPr>
          <w:rStyle w:val="style4104"/>
          <w:color w:val="000000"/>
          <w:sz w:val="24"/>
          <w:szCs w:val="26"/>
        </w:rPr>
        <w:t>​</w:t>
      </w:r>
      <w:r>
        <w:rPr>
          <w:rStyle w:val="style4103"/>
          <w:color w:val="000000"/>
          <w:sz w:val="24"/>
          <w:szCs w:val="26"/>
        </w:rPr>
        <w:t>O</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pPr>
        <w:pStyle w:val="style94"/>
        <w:spacing w:before="0" w:beforeAutospacing="false" w:after="0" w:afterAutospacing="false" w:lineRule="auto" w:line="480"/>
        <w:jc w:val="both"/>
        <w:rPr>
          <w:b/>
          <w:bCs/>
          <w:color w:val="000000"/>
          <w:szCs w:val="26"/>
        </w:rPr>
      </w:pPr>
      <w:r>
        <w:rPr>
          <w:b/>
          <w:bCs/>
          <w:color w:val="000000"/>
          <w:szCs w:val="26"/>
        </w:rPr>
        <w:t xml:space="preserve">2.12.5 Glutathione reductase </w:t>
      </w:r>
    </w:p>
    <w:p>
      <w:pPr>
        <w:pStyle w:val="style0"/>
        <w:spacing w:after="0" w:lineRule="auto" w:line="480"/>
        <w:ind w:firstLine="720"/>
        <w:jc w:val="both"/>
        <w:rPr>
          <w:rFonts w:eastAsia="Times New Roman"/>
          <w:color w:val="000000"/>
          <w:sz w:val="24"/>
          <w:szCs w:val="26"/>
        </w:rPr>
      </w:pPr>
      <w:r>
        <w:rPr>
          <w:rFonts w:eastAsia="Times New Roman"/>
          <w:color w:val="000000"/>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Pr>
          <w:rFonts w:eastAsia="Times New Roman"/>
          <w:i/>
          <w:iCs/>
          <w:color w:val="000000"/>
          <w:sz w:val="24"/>
          <w:szCs w:val="26"/>
        </w:rPr>
        <w:t>et al</w:t>
      </w:r>
      <w:r>
        <w:rPr>
          <w:rFonts w:eastAsia="Times New Roman"/>
          <w:color w:val="000000"/>
          <w:sz w:val="24"/>
          <w:szCs w:val="26"/>
        </w:rPr>
        <w:t xml:space="preserve">., 2016). Under conditions of </w:t>
      </w:r>
      <w:r>
        <w:rPr>
          <w:rFonts w:eastAsia="Times New Roman"/>
          <w:color w:val="000000"/>
          <w:sz w:val="24"/>
          <w:szCs w:val="26"/>
        </w:rPr>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Pr>
          <w:rFonts w:eastAsia="Times New Roman"/>
          <w:color w:val="000000"/>
          <w:sz w:val="24"/>
          <w:szCs w:val="26"/>
        </w:rPr>
        <w:t>and Cidlowski, 2012).</w:t>
      </w:r>
    </w:p>
    <w:p>
      <w:pPr>
        <w:pStyle w:val="style94"/>
        <w:spacing w:before="0" w:beforeAutospacing="false" w:after="0" w:afterAutospacing="false" w:lineRule="auto" w:line="480"/>
        <w:jc w:val="both"/>
        <w:rPr>
          <w:b/>
          <w:bCs/>
          <w:color w:val="000000"/>
          <w:szCs w:val="26"/>
        </w:rPr>
      </w:pPr>
      <w:r>
        <w:rPr>
          <w:b/>
          <w:bCs/>
          <w:color w:val="000000"/>
          <w:szCs w:val="26"/>
        </w:rPr>
        <w:t xml:space="preserve">2.12.6 Reduced glutathione </w:t>
      </w:r>
    </w:p>
    <w:p>
      <w:pPr>
        <w:pStyle w:val="style94"/>
        <w:spacing w:before="0" w:beforeAutospacing="false" w:after="0" w:afterAutospacing="false" w:lineRule="auto" w:line="480"/>
        <w:ind w:firstLine="720"/>
        <w:jc w:val="both"/>
        <w:rPr>
          <w:color w:val="000000"/>
          <w:szCs w:val="26"/>
        </w:rPr>
      </w:pPr>
      <w:r>
        <w:rPr>
          <w:color w:val="000000"/>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Pr>
          <w:i/>
          <w:iCs/>
          <w:color w:val="000000"/>
          <w:szCs w:val="26"/>
        </w:rPr>
        <w:t>et al</w:t>
      </w:r>
      <w:r>
        <w:rPr>
          <w:color w:val="000000"/>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Pr>
          <w:i/>
          <w:iCs/>
          <w:color w:val="000000"/>
          <w:szCs w:val="26"/>
        </w:rPr>
        <w:t>et al</w:t>
      </w:r>
      <w:r>
        <w:rPr>
          <w:color w:val="000000"/>
          <w:szCs w:val="26"/>
        </w:rPr>
        <w:t xml:space="preserve">., 2007), is involved in the repair of protein molecules, nucleic acids and lipids damaged in peroxidation processes, and in the maintenance of sulphydryl groups of protein in the reduced state (Alli </w:t>
      </w:r>
      <w:r>
        <w:rPr>
          <w:i/>
          <w:iCs/>
          <w:color w:val="000000"/>
          <w:szCs w:val="26"/>
        </w:rPr>
        <w:t>et al</w:t>
      </w:r>
      <w:r>
        <w:rPr>
          <w:color w:val="000000"/>
          <w:szCs w:val="26"/>
        </w:rPr>
        <w:t>., 2014).</w:t>
      </w:r>
    </w:p>
    <w:p>
      <w:pPr>
        <w:pStyle w:val="style94"/>
        <w:spacing w:before="0" w:beforeAutospacing="false" w:after="0" w:afterAutospacing="false" w:lineRule="auto" w:line="480"/>
        <w:jc w:val="both"/>
        <w:rPr>
          <w:b/>
          <w:bCs/>
          <w:color w:val="000000"/>
          <w:szCs w:val="26"/>
        </w:rPr>
      </w:pPr>
      <w:r>
        <w:rPr>
          <w:b/>
          <w:bCs/>
          <w:color w:val="000000"/>
          <w:szCs w:val="26"/>
        </w:rPr>
        <w:t xml:space="preserve">2.12.7 Malondialdehyde </w:t>
      </w:r>
    </w:p>
    <w:p>
      <w:pPr>
        <w:pStyle w:val="style94"/>
        <w:spacing w:before="0" w:beforeAutospacing="false" w:after="0" w:afterAutospacing="false" w:lineRule="auto" w:line="480"/>
        <w:ind w:firstLine="720"/>
        <w:jc w:val="both"/>
        <w:rPr>
          <w:color w:val="000000"/>
          <w:szCs w:val="26"/>
        </w:rPr>
      </w:pPr>
      <w:r>
        <w:rPr>
          <w:rStyle w:val="style4107"/>
          <w:color w:val="000000"/>
          <w:sz w:val="24"/>
          <w:szCs w:val="26"/>
        </w:rPr>
        <w:t>Lipid peroxidation is one of known indices of oxidative stress and contributing factor in degenerative diseases,</w:t>
      </w:r>
      <w:r>
        <w:rPr>
          <w:rStyle w:val="style4108"/>
          <w:color w:val="000000"/>
          <w:sz w:val="24"/>
          <w:szCs w:val="26"/>
        </w:rPr>
        <w:t xml:space="preserve"> </w:t>
      </w:r>
      <w:r>
        <w:rPr>
          <w:rStyle w:val="style4107"/>
          <w:color w:val="000000"/>
          <w:sz w:val="24"/>
          <w:szCs w:val="26"/>
        </w:rPr>
        <w:t>cardiovascular disease, Parkinson’s disease, Alzheimer’s disease,</w:t>
      </w:r>
      <w:r>
        <w:rPr>
          <w:rStyle w:val="style4108"/>
          <w:color w:val="000000"/>
          <w:sz w:val="24"/>
          <w:szCs w:val="26"/>
        </w:rPr>
        <w:t xml:space="preserve">4 </w:t>
      </w:r>
      <w:r>
        <w:rPr>
          <w:rStyle w:val="style4107"/>
          <w:color w:val="000000"/>
          <w:sz w:val="24"/>
          <w:szCs w:val="26"/>
        </w:rPr>
        <w:t>and psychiatric disorders, including schizophrenia.</w:t>
      </w:r>
      <w:r>
        <w:rPr>
          <w:rStyle w:val="style4108"/>
          <w:color w:val="000000"/>
          <w:sz w:val="24"/>
          <w:szCs w:val="26"/>
        </w:rPr>
        <w:t xml:space="preserve"> </w:t>
      </w:r>
      <w:r>
        <w:rPr>
          <w:rStyle w:val="style4107"/>
          <w:color w:val="000000"/>
          <w:sz w:val="24"/>
          <w:szCs w:val="26"/>
        </w:rPr>
        <w:t xml:space="preserve">Assesment of primary lipid </w:t>
      </w:r>
      <w:r>
        <w:rPr>
          <w:rStyle w:val="style4107"/>
          <w:color w:val="000000"/>
          <w:sz w:val="24"/>
          <w:szCs w:val="26"/>
        </w:rPr>
        <w:t>peroxidation products (hydroperoxides) is usually unstable due to its reactive nature.</w:t>
      </w:r>
      <w:r>
        <w:rPr>
          <w:rStyle w:val="style4108"/>
          <w:color w:val="000000"/>
          <w:sz w:val="24"/>
          <w:szCs w:val="26"/>
        </w:rPr>
        <w:t xml:space="preserve">6 </w:t>
      </w:r>
      <w:r>
        <w:rPr>
          <w:rStyle w:val="style4107"/>
          <w:color w:val="000000"/>
          <w:sz w:val="24"/>
          <w:szCs w:val="26"/>
        </w:rPr>
        <w:t>Therefore,</w:t>
      </w:r>
      <w:r>
        <w:rPr>
          <w:rStyle w:val="style4107"/>
          <w:color w:val="000000"/>
          <w:sz w:val="24"/>
          <w:szCs w:val="26"/>
        </w:rPr>
        <w:t xml:space="preserve"> measurement of secondary oxidation products such as malondialdehyde (MDA) is commonly conducted to observe lipid peroxidation (</w:t>
      </w:r>
      <w:r>
        <w:rPr>
          <w:color w:val="000000"/>
          <w:szCs w:val="26"/>
          <w:shd w:val="clear" w:color="auto" w:fill="ffffff"/>
        </w:rPr>
        <w:t xml:space="preserve">Fauziah </w:t>
      </w:r>
      <w:r>
        <w:rPr>
          <w:i/>
          <w:iCs/>
          <w:color w:val="000000"/>
          <w:szCs w:val="26"/>
          <w:shd w:val="clear" w:color="auto" w:fill="ffffff"/>
        </w:rPr>
        <w:t>et al</w:t>
      </w:r>
      <w:r>
        <w:rPr>
          <w:color w:val="000000"/>
          <w:szCs w:val="26"/>
          <w:shd w:val="clear" w:color="auto" w:fill="ffffff"/>
        </w:rPr>
        <w:t>., 2018).</w:t>
      </w:r>
    </w:p>
    <w:p>
      <w:pPr>
        <w:pStyle w:val="style94"/>
        <w:spacing w:before="0" w:beforeAutospacing="false" w:after="0" w:afterAutospacing="false" w:lineRule="auto" w:line="480"/>
        <w:ind w:firstLine="720"/>
        <w:jc w:val="both"/>
        <w:rPr>
          <w:b/>
          <w:bCs/>
          <w:color w:val="000000"/>
          <w:szCs w:val="26"/>
        </w:rPr>
      </w:pPr>
      <w:r>
        <w:rPr>
          <w:color w:val="000000"/>
          <w:szCs w:val="26"/>
        </w:rPr>
        <w:t>Malondialdehyde (MDA) is a product of lipid peroxidation that appears to be produced in a relatively constant proportion of the breakdown of polyunsaturated fatty acids. The MDA count is a good indicator of lipid peroxidation especially in vitro (</w:t>
      </w:r>
      <w:r>
        <w:rPr>
          <w:color w:val="000000"/>
          <w:szCs w:val="26"/>
          <w:shd w:val="clear" w:color="auto" w:fill="ffffff"/>
        </w:rPr>
        <w:t xml:space="preserve">Yekti, </w:t>
      </w:r>
      <w:r>
        <w:rPr>
          <w:i/>
          <w:iCs/>
          <w:color w:val="000000"/>
          <w:szCs w:val="26"/>
          <w:shd w:val="clear" w:color="auto" w:fill="ffffff"/>
        </w:rPr>
        <w:t>et al</w:t>
      </w:r>
      <w:r>
        <w:rPr>
          <w:color w:val="000000"/>
          <w:szCs w:val="26"/>
          <w:shd w:val="clear" w:color="auto" w:fill="ffffff"/>
        </w:rPr>
        <w:t>., 2018</w:t>
      </w:r>
      <w:r>
        <w:rPr>
          <w:color w:val="000000"/>
          <w:szCs w:val="26"/>
        </w:rPr>
        <w:t xml:space="preserve">). The chemical analysis of MDA began by measuring a component called thiobarbituric acidreactive substances (TBARS) to estimate lipid peroxidation with spectrophotometry (Biri </w:t>
      </w:r>
      <w:r>
        <w:rPr>
          <w:i/>
          <w:iCs/>
          <w:color w:val="000000"/>
          <w:szCs w:val="26"/>
        </w:rPr>
        <w:t>et al</w:t>
      </w:r>
      <w:r>
        <w:rPr>
          <w:color w:val="000000"/>
          <w:szCs w:val="26"/>
        </w:rPr>
        <w:t>., 2006).</w:t>
      </w:r>
    </w:p>
    <w:p>
      <w:pPr>
        <w:pStyle w:val="style94"/>
        <w:spacing w:before="0" w:beforeAutospacing="false" w:after="0" w:afterAutospacing="false" w:lineRule="auto" w:line="480"/>
        <w:jc w:val="both"/>
        <w:rPr>
          <w:b/>
          <w:bCs/>
          <w:color w:val="000000"/>
          <w:szCs w:val="26"/>
        </w:rPr>
      </w:pPr>
      <w:r>
        <w:rPr>
          <w:b/>
          <w:bCs/>
          <w:color w:val="000000"/>
          <w:szCs w:val="26"/>
        </w:rPr>
        <w:t xml:space="preserve">2.12.8 Mycloperoxidase </w:t>
      </w:r>
    </w:p>
    <w:p>
      <w:pPr>
        <w:pStyle w:val="style0"/>
        <w:spacing w:after="0" w:lineRule="auto" w:line="480"/>
        <w:ind w:firstLine="720"/>
        <w:jc w:val="both"/>
        <w:rPr>
          <w:rFonts w:eastAsia="Times New Roman"/>
          <w:color w:val="000000"/>
          <w:sz w:val="22"/>
          <w:szCs w:val="26"/>
        </w:rPr>
      </w:pPr>
      <w:r>
        <w:rPr>
          <w:rFonts w:eastAsia="Times New Roman"/>
          <w:color w:val="000000"/>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Pr>
          <w:rFonts w:ascii="Cambria Math" w:cs="Cambria Math" w:eastAsia="Times New Roman" w:hAnsi="Cambria Math"/>
          <w:color w:val="000000"/>
          <w:sz w:val="22"/>
          <w:szCs w:val="26"/>
        </w:rPr>
        <w:t>₂</w:t>
      </w:r>
      <w:r>
        <w:rPr>
          <w:rFonts w:eastAsia="Times New Roman"/>
          <w:color w:val="000000"/>
          <w:sz w:val="22"/>
          <w:szCs w:val="26"/>
        </w:rPr>
        <w:t>O</w:t>
      </w:r>
      <w:r>
        <w:rPr>
          <w:rFonts w:ascii="Cambria Math" w:cs="Cambria Math" w:eastAsia="Times New Roman" w:hAnsi="Cambria Math"/>
          <w:color w:val="000000"/>
          <w:sz w:val="22"/>
          <w:szCs w:val="26"/>
        </w:rPr>
        <w:t>₂</w:t>
      </w:r>
      <w:r>
        <w:rPr>
          <w:rFonts w:eastAsia="Times New Roman"/>
          <w:color w:val="000000"/>
          <w:sz w:val="22"/>
          <w:szCs w:val="26"/>
        </w:rPr>
        <w:t>) and chloride ions (Cl</w:t>
      </w:r>
      <w:r>
        <w:rPr>
          <w:rFonts w:ascii="Cambria Math" w:cs="Cambria Math" w:eastAsia="Times New Roman" w:hAnsi="Cambria Math"/>
          <w:color w:val="000000"/>
          <w:sz w:val="22"/>
          <w:szCs w:val="26"/>
        </w:rPr>
        <w:t>⁻</w:t>
      </w:r>
      <w:r>
        <w:rPr>
          <w:rFonts w:eastAsia="Times New Roman"/>
          <w:color w:val="000000"/>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Pr>
          <w:rFonts w:eastAsia="Times New Roman"/>
          <w:i/>
          <w:iCs/>
          <w:color w:val="000000"/>
          <w:sz w:val="22"/>
          <w:szCs w:val="26"/>
        </w:rPr>
        <w:t>et al</w:t>
      </w:r>
      <w:r>
        <w:rPr>
          <w:rFonts w:eastAsia="Times New Roman"/>
          <w:color w:val="000000"/>
          <w:sz w:val="22"/>
          <w:szCs w:val="26"/>
        </w:rPr>
        <w:t>., 2016).</w:t>
      </w:r>
    </w:p>
    <w:p>
      <w:pPr>
        <w:pStyle w:val="style0"/>
        <w:spacing w:after="0" w:lineRule="auto" w:line="480"/>
        <w:ind w:firstLine="720"/>
        <w:jc w:val="both"/>
        <w:rPr>
          <w:rFonts w:eastAsia="Times New Roman"/>
          <w:color w:val="000000"/>
          <w:sz w:val="22"/>
          <w:szCs w:val="26"/>
        </w:rPr>
      </w:pPr>
    </w:p>
    <w:p>
      <w:pPr>
        <w:pStyle w:val="style0"/>
        <w:spacing w:after="0" w:lineRule="auto" w:line="480"/>
        <w:ind w:firstLine="720"/>
        <w:jc w:val="both"/>
        <w:rPr>
          <w:rFonts w:eastAsia="Times New Roman"/>
          <w:color w:val="000000"/>
          <w:sz w:val="22"/>
          <w:szCs w:val="26"/>
        </w:rPr>
      </w:pPr>
    </w:p>
    <w:p>
      <w:pPr>
        <w:pStyle w:val="style0"/>
        <w:spacing w:after="0" w:lineRule="auto" w:line="480"/>
        <w:jc w:val="both"/>
        <w:rPr>
          <w:rFonts w:eastAsia="Times New Roman"/>
          <w:color w:val="000000"/>
          <w:sz w:val="22"/>
          <w:szCs w:val="26"/>
        </w:rPr>
      </w:pPr>
    </w:p>
    <w:p>
      <w:pPr>
        <w:pStyle w:val="style0"/>
        <w:spacing w:after="0" w:lineRule="auto" w:line="480"/>
        <w:jc w:val="center"/>
        <w:rPr>
          <w:b/>
          <w:bCs/>
          <w:color w:val="000000"/>
          <w:sz w:val="24"/>
          <w:szCs w:val="26"/>
        </w:rPr>
      </w:pPr>
      <w:r>
        <w:rPr>
          <w:b/>
          <w:bCs/>
          <w:color w:val="000000"/>
          <w:sz w:val="24"/>
          <w:szCs w:val="26"/>
        </w:rPr>
        <w:t>CHAPTER THREE</w:t>
      </w:r>
    </w:p>
    <w:p>
      <w:pPr>
        <w:pStyle w:val="style0"/>
        <w:spacing w:after="0" w:lineRule="auto" w:line="480"/>
        <w:jc w:val="both"/>
        <w:rPr>
          <w:color w:val="000000"/>
          <w:sz w:val="24"/>
          <w:szCs w:val="26"/>
        </w:rPr>
      </w:pPr>
      <w:r>
        <w:rPr>
          <w:b/>
          <w:bCs/>
          <w:color w:val="000000"/>
          <w:sz w:val="24"/>
          <w:szCs w:val="26"/>
        </w:rPr>
        <w:t xml:space="preserve">3.0 </w:t>
      </w:r>
      <w:r>
        <w:rPr>
          <w:b/>
          <w:bCs/>
          <w:color w:val="000000"/>
          <w:sz w:val="24"/>
          <w:szCs w:val="26"/>
        </w:rPr>
        <w:t xml:space="preserve">                                </w:t>
      </w:r>
      <w:r>
        <w:rPr>
          <w:b/>
          <w:bCs/>
          <w:color w:val="000000"/>
          <w:sz w:val="24"/>
          <w:szCs w:val="26"/>
        </w:rPr>
        <w:t>MATERIALS AND METHODS</w:t>
      </w:r>
      <w:r>
        <w:rPr>
          <w:color w:val="000000"/>
          <w:sz w:val="24"/>
          <w:szCs w:val="26"/>
        </w:rPr>
        <w:t xml:space="preserve"> </w:t>
      </w:r>
    </w:p>
    <w:p>
      <w:pPr>
        <w:pStyle w:val="style0"/>
        <w:spacing w:after="0" w:lineRule="auto" w:line="480"/>
        <w:jc w:val="both"/>
        <w:rPr>
          <w:b/>
          <w:bCs/>
          <w:color w:val="000000"/>
          <w:sz w:val="24"/>
          <w:szCs w:val="26"/>
        </w:rPr>
      </w:pPr>
      <w:r>
        <w:rPr>
          <w:b/>
          <w:color w:val="000000"/>
          <w:sz w:val="24"/>
          <w:szCs w:val="26"/>
        </w:rPr>
        <w:t xml:space="preserve">3.1 </w:t>
      </w:r>
      <w:r>
        <w:rPr>
          <w:b/>
          <w:bCs/>
          <w:color w:val="000000"/>
          <w:sz w:val="24"/>
          <w:szCs w:val="26"/>
        </w:rPr>
        <w:t>Plant Material</w:t>
      </w:r>
      <w:r>
        <w:rPr>
          <w:b/>
          <w:bCs/>
          <w:color w:val="000000"/>
          <w:sz w:val="24"/>
          <w:szCs w:val="26"/>
        </w:rPr>
        <w:t>s</w:t>
      </w:r>
    </w:p>
    <w:p>
      <w:pPr>
        <w:pStyle w:val="style0"/>
        <w:spacing w:after="0" w:lineRule="auto" w:line="480"/>
        <w:jc w:val="both"/>
        <w:rPr>
          <w:iCs/>
          <w:color w:val="000000"/>
          <w:sz w:val="24"/>
          <w:szCs w:val="26"/>
        </w:rPr>
      </w:pPr>
      <w:r>
        <w:rPr>
          <w:b/>
          <w:bCs/>
          <w:color w:val="000000"/>
          <w:sz w:val="24"/>
          <w:szCs w:val="26"/>
        </w:rPr>
        <w:tab/>
      </w:r>
      <w:r>
        <w:rPr>
          <w:bCs/>
          <w:color w:val="000000"/>
          <w:sz w:val="24"/>
          <w:szCs w:val="26"/>
        </w:rPr>
        <w:t xml:space="preserve">Fresh </w:t>
      </w:r>
      <w:r>
        <w:rPr>
          <w:i/>
          <w:iCs/>
          <w:color w:val="000000"/>
          <w:sz w:val="24"/>
          <w:szCs w:val="26"/>
        </w:rPr>
        <w:t xml:space="preserve">Sida acuta </w:t>
      </w:r>
      <w:r>
        <w:rPr>
          <w:iCs/>
          <w:color w:val="000000"/>
          <w:sz w:val="24"/>
          <w:szCs w:val="26"/>
        </w:rPr>
        <w:t>is collected at Kwara State Polytechnic</w:t>
      </w:r>
      <w:r>
        <w:rPr>
          <w:iCs/>
          <w:color w:val="000000"/>
          <w:sz w:val="24"/>
          <w:szCs w:val="26"/>
        </w:rPr>
        <w:t xml:space="preserve"> main</w:t>
      </w:r>
      <w:r>
        <w:rPr>
          <w:iCs/>
          <w:color w:val="000000"/>
          <w:sz w:val="24"/>
          <w:szCs w:val="26"/>
        </w:rPr>
        <w:t xml:space="preserve"> campus around the lecture</w:t>
      </w:r>
      <w:r>
        <w:rPr>
          <w:iCs/>
          <w:color w:val="000000"/>
          <w:sz w:val="24"/>
          <w:szCs w:val="26"/>
        </w:rPr>
        <w:t xml:space="preserve"> rooms</w:t>
      </w:r>
      <w:r>
        <w:rPr>
          <w:iCs/>
          <w:color w:val="000000"/>
          <w:sz w:val="24"/>
          <w:szCs w:val="26"/>
        </w:rPr>
        <w:t xml:space="preserve"> that led to Akuo Village on 12</w:t>
      </w:r>
      <w:r>
        <w:rPr>
          <w:iCs/>
          <w:color w:val="000000"/>
          <w:sz w:val="24"/>
          <w:szCs w:val="26"/>
          <w:vertAlign w:val="superscript"/>
        </w:rPr>
        <w:t>th</w:t>
      </w:r>
      <w:r>
        <w:rPr>
          <w:iCs/>
          <w:color w:val="000000"/>
          <w:sz w:val="24"/>
          <w:szCs w:val="26"/>
        </w:rPr>
        <w:t xml:space="preserve"> of March 2025.</w:t>
      </w:r>
    </w:p>
    <w:p>
      <w:pPr>
        <w:pStyle w:val="style0"/>
        <w:spacing w:after="0" w:lineRule="auto" w:line="480"/>
        <w:jc w:val="both"/>
        <w:rPr>
          <w:b/>
          <w:bCs/>
          <w:color w:val="000000"/>
          <w:sz w:val="24"/>
          <w:szCs w:val="26"/>
        </w:rPr>
      </w:pPr>
      <w:r>
        <w:rPr>
          <w:b/>
          <w:bCs/>
          <w:color w:val="000000"/>
          <w:sz w:val="24"/>
          <w:szCs w:val="26"/>
        </w:rPr>
        <w:t xml:space="preserve">3.1.2 Animal Materials </w:t>
      </w:r>
    </w:p>
    <w:p>
      <w:pPr>
        <w:pStyle w:val="style0"/>
        <w:spacing w:after="0" w:lineRule="auto" w:line="480"/>
        <w:ind w:firstLine="720"/>
        <w:jc w:val="both"/>
        <w:rPr>
          <w:color w:val="000000"/>
          <w:sz w:val="24"/>
          <w:szCs w:val="26"/>
        </w:rPr>
      </w:pPr>
      <w:r>
        <w:rPr>
          <w:color w:val="000000"/>
          <w:sz w:val="24"/>
          <w:szCs w:val="26"/>
        </w:rPr>
        <w:t xml:space="preserve">52 Wistar </w:t>
      </w:r>
      <w:r>
        <w:rPr>
          <w:iCs/>
          <w:color w:val="000000"/>
          <w:sz w:val="24"/>
          <w:szCs w:val="26"/>
        </w:rPr>
        <w:t>Albino rats (</w:t>
      </w:r>
      <w:r>
        <w:rPr>
          <w:i/>
          <w:iCs/>
          <w:color w:val="000000"/>
          <w:sz w:val="24"/>
          <w:szCs w:val="26"/>
        </w:rPr>
        <w:t>Rattus norvegicus</w:t>
      </w:r>
      <w:r>
        <w:rPr>
          <w:iCs/>
          <w:color w:val="000000"/>
          <w:sz w:val="24"/>
          <w:szCs w:val="26"/>
        </w:rPr>
        <w:t xml:space="preserve">) obtained from the Animal Laboratory House, Kwara State Polytechnic, </w:t>
      </w:r>
      <w:r>
        <w:rPr>
          <w:iCs/>
          <w:color w:val="000000"/>
          <w:sz w:val="24"/>
          <w:szCs w:val="26"/>
        </w:rPr>
        <w:t>Ilorin</w:t>
      </w:r>
      <w:r>
        <w:rPr>
          <w:iCs/>
          <w:color w:val="000000"/>
          <w:sz w:val="24"/>
          <w:szCs w:val="26"/>
        </w:rPr>
        <w:t xml:space="preserve"> Kwara State, Nigeria.</w:t>
      </w:r>
      <w:r>
        <w:rPr>
          <w:color w:val="000000"/>
          <w:sz w:val="24"/>
          <w:szCs w:val="26"/>
        </w:rPr>
        <w:t xml:space="preserve"> </w:t>
      </w:r>
    </w:p>
    <w:p>
      <w:pPr>
        <w:pStyle w:val="style0"/>
        <w:spacing w:after="0" w:lineRule="auto" w:line="480"/>
        <w:jc w:val="both"/>
        <w:rPr>
          <w:b/>
          <w:bCs/>
          <w:color w:val="000000"/>
          <w:sz w:val="24"/>
          <w:szCs w:val="26"/>
        </w:rPr>
      </w:pPr>
      <w:r>
        <w:rPr>
          <w:b/>
          <w:bCs/>
          <w:color w:val="000000"/>
          <w:sz w:val="24"/>
          <w:szCs w:val="26"/>
        </w:rPr>
        <w:t>3.1.3 Chemicals and Reagents</w:t>
      </w:r>
      <w:r>
        <w:rPr>
          <w:b/>
          <w:bCs/>
          <w:color w:val="000000"/>
          <w:sz w:val="24"/>
          <w:szCs w:val="26"/>
        </w:rPr>
        <w:t xml:space="preserve">     </w:t>
      </w:r>
    </w:p>
    <w:p>
      <w:pPr>
        <w:pStyle w:val="style0"/>
        <w:spacing w:after="0" w:lineRule="auto" w:line="480"/>
        <w:jc w:val="both"/>
        <w:rPr>
          <w:bCs/>
          <w:color w:val="000000"/>
          <w:sz w:val="24"/>
          <w:szCs w:val="26"/>
        </w:rPr>
      </w:pPr>
      <w:r>
        <w:rPr>
          <w:b/>
          <w:bCs/>
          <w:color w:val="000000"/>
          <w:sz w:val="24"/>
          <w:szCs w:val="26"/>
        </w:rPr>
        <w:tab/>
      </w:r>
      <w:r>
        <w:rPr>
          <w:bCs/>
          <w:color w:val="000000"/>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pPr>
        <w:pStyle w:val="style0"/>
        <w:spacing w:after="0" w:lineRule="auto" w:line="480"/>
        <w:jc w:val="both"/>
        <w:rPr>
          <w:color w:val="000000"/>
          <w:sz w:val="24"/>
          <w:szCs w:val="26"/>
        </w:rPr>
      </w:pPr>
      <w:r>
        <w:rPr>
          <w:color w:val="000000"/>
          <w:sz w:val="24"/>
          <w:szCs w:val="26"/>
        </w:rPr>
        <w:t>DMSO</w:t>
      </w:r>
      <w:r>
        <w:rPr>
          <w:color w:val="000000"/>
          <w:sz w:val="24"/>
          <w:szCs w:val="26"/>
        </w:rPr>
        <w:t xml:space="preserve"> </w:t>
      </w:r>
      <w:r>
        <w:rPr>
          <w:color w:val="000000"/>
          <w:sz w:val="24"/>
          <w:szCs w:val="26"/>
        </w:rPr>
        <w:t>(Dimethyl sulfoxide</w:t>
      </w:r>
      <w:r>
        <w:rPr>
          <w:color w:val="000000"/>
          <w:sz w:val="24"/>
          <w:szCs w:val="26"/>
        </w:rPr>
        <w:t>)</w:t>
      </w:r>
      <w:r>
        <w:rPr>
          <w:color w:val="000000"/>
          <w:sz w:val="24"/>
          <w:szCs w:val="26"/>
        </w:rPr>
        <w:t xml:space="preserve"> by Thermo Fisher Scientific</w:t>
      </w:r>
      <w:r>
        <w:rPr>
          <w:color w:val="000000"/>
          <w:sz w:val="24"/>
          <w:szCs w:val="26"/>
        </w:rPr>
        <w:t>,</w:t>
      </w:r>
      <w:r>
        <w:rPr>
          <w:color w:val="000000"/>
          <w:sz w:val="24"/>
          <w:szCs w:val="26"/>
        </w:rPr>
        <w:t xml:space="preserve"> </w:t>
      </w:r>
      <w:r>
        <w:rPr>
          <w:color w:val="000000"/>
          <w:sz w:val="24"/>
          <w:szCs w:val="26"/>
        </w:rPr>
        <w:t xml:space="preserve">Indomethacin by </w:t>
      </w:r>
      <w:r>
        <w:rPr>
          <w:color w:val="000000"/>
          <w:sz w:val="24"/>
          <w:szCs w:val="26"/>
        </w:rPr>
        <w:t xml:space="preserve"> </w:t>
      </w:r>
      <w:r>
        <w:rPr>
          <w:color w:val="000000"/>
          <w:sz w:val="24"/>
          <w:szCs w:val="26"/>
        </w:rPr>
        <w:t xml:space="preserve">Thermo Fisher Scientific, </w:t>
      </w:r>
      <w:r>
        <w:rPr>
          <w:color w:val="000000"/>
          <w:sz w:val="24"/>
          <w:szCs w:val="26"/>
        </w:rPr>
        <w:t xml:space="preserve">Omeprazole  </w:t>
      </w:r>
      <w:r>
        <w:rPr>
          <w:color w:val="000000"/>
          <w:sz w:val="24"/>
          <w:szCs w:val="26"/>
        </w:rPr>
        <w:t xml:space="preserve">by Sigma-Aldrich, </w:t>
      </w:r>
      <w:r>
        <w:rPr>
          <w:rFonts w:eastAsia="Times New Roman"/>
          <w:color w:val="000000"/>
          <w:sz w:val="24"/>
          <w:szCs w:val="26"/>
        </w:rPr>
        <w:t>Acetate buffer (300 mM, pH 3.6)</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TPTZ solution (10 mM in 40 mM HCl)</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FeCl</w:t>
      </w:r>
      <w:r>
        <w:rPr>
          <w:rFonts w:ascii="Cambria Math" w:cs="Cambria Math" w:eastAsia="Times New Roman" w:hAnsi="Cambria Math"/>
          <w:color w:val="000000"/>
          <w:sz w:val="24"/>
          <w:szCs w:val="26"/>
        </w:rPr>
        <w:t>₃</w:t>
      </w:r>
      <w:r>
        <w:rPr>
          <w:rFonts w:eastAsia="Times New Roman"/>
          <w:color w:val="000000"/>
          <w:sz w:val="24"/>
          <w:szCs w:val="26"/>
        </w:rPr>
        <w:t>·6H</w:t>
      </w:r>
      <w:r>
        <w:rPr>
          <w:rFonts w:ascii="Cambria Math" w:cs="Cambria Math" w:eastAsia="Times New Roman" w:hAnsi="Cambria Math"/>
          <w:color w:val="000000"/>
          <w:sz w:val="24"/>
          <w:szCs w:val="26"/>
        </w:rPr>
        <w:t>₂</w:t>
      </w:r>
      <w:r>
        <w:rPr>
          <w:rFonts w:eastAsia="Times New Roman"/>
          <w:color w:val="000000"/>
          <w:sz w:val="24"/>
          <w:szCs w:val="26"/>
        </w:rPr>
        <w:t>O (20 mM)</w:t>
      </w:r>
      <w:r>
        <w:rPr>
          <w:rFonts w:eastAsia="Times New Roman"/>
          <w:color w:val="000000"/>
          <w:sz w:val="24"/>
          <w:szCs w:val="26"/>
        </w:rPr>
        <w:t xml:space="preserve">  by </w:t>
      </w:r>
      <w:r>
        <w:rPr>
          <w:color w:val="000000"/>
          <w:sz w:val="24"/>
          <w:szCs w:val="26"/>
        </w:rPr>
        <w:t>Sigma-Aldrich</w:t>
      </w:r>
      <w:r>
        <w:rPr>
          <w:color w:val="000000"/>
          <w:sz w:val="24"/>
          <w:szCs w:val="26"/>
        </w:rPr>
        <w:t xml:space="preserve">, </w:t>
      </w:r>
      <w:r>
        <w:rPr>
          <w:rFonts w:eastAsia="Times New Roman"/>
          <w:color w:val="000000"/>
          <w:sz w:val="24"/>
          <w:szCs w:val="26"/>
        </w:rPr>
        <w:t>FRAP reagent (prepared by mixing acetate buffer, TPTZ, and FeCl</w:t>
      </w:r>
      <w:r>
        <w:rPr>
          <w:rFonts w:ascii="Cambria Math" w:cs="Cambria Math" w:eastAsia="Times New Roman" w:hAnsi="Cambria Math"/>
          <w:color w:val="000000"/>
          <w:sz w:val="24"/>
          <w:szCs w:val="26"/>
        </w:rPr>
        <w:t>₃</w:t>
      </w:r>
      <w:r>
        <w:rPr>
          <w:rFonts w:eastAsia="Times New Roman"/>
          <w:color w:val="000000"/>
          <w:sz w:val="24"/>
          <w:szCs w:val="26"/>
        </w:rPr>
        <w:t xml:space="preserve"> in 10:1:1 ratio)</w:t>
      </w:r>
      <w:r>
        <w:rPr>
          <w:rFonts w:eastAsia="Times New Roman"/>
          <w:color w:val="000000"/>
          <w:sz w:val="24"/>
          <w:szCs w:val="26"/>
        </w:rPr>
        <w:t xml:space="preserve"> by </w:t>
      </w:r>
      <w:r>
        <w:rPr>
          <w:color w:val="000000"/>
          <w:sz w:val="24"/>
          <w:szCs w:val="26"/>
        </w:rPr>
        <w:t xml:space="preserve">Sigma-Aldrich, </w:t>
      </w:r>
      <w:r>
        <w:rPr>
          <w:rFonts w:eastAsia="Times New Roman"/>
          <w:color w:val="000000"/>
          <w:sz w:val="24"/>
          <w:szCs w:val="26"/>
        </w:rPr>
        <w:t>ABTS (7 mM)</w:t>
      </w:r>
      <w:r>
        <w:rPr>
          <w:rFonts w:eastAsia="Times New Roman"/>
          <w:color w:val="000000"/>
          <w:sz w:val="24"/>
          <w:szCs w:val="26"/>
        </w:rPr>
        <w:t xml:space="preserve"> by </w:t>
      </w:r>
      <w:r>
        <w:rPr>
          <w:color w:val="000000"/>
          <w:sz w:val="24"/>
          <w:szCs w:val="26"/>
        </w:rPr>
        <w:t xml:space="preserve">Sigma-Aldrich, </w:t>
      </w:r>
      <w:r>
        <w:rPr>
          <w:rFonts w:eastAsia="Times New Roman"/>
          <w:color w:val="000000"/>
          <w:sz w:val="24"/>
          <w:szCs w:val="26"/>
        </w:rPr>
        <w:t>Potassium persulfate (2.45 mM)</w:t>
      </w:r>
      <w:r>
        <w:rPr>
          <w:rFonts w:eastAsia="Times New Roman"/>
          <w:color w:val="000000"/>
          <w:sz w:val="24"/>
          <w:szCs w:val="26"/>
        </w:rPr>
        <w:t xml:space="preserve"> </w:t>
      </w:r>
      <w:r>
        <w:rPr>
          <w:rFonts w:eastAsia="Times New Roman"/>
          <w:color w:val="000000"/>
          <w:sz w:val="24"/>
          <w:szCs w:val="26"/>
        </w:rPr>
        <w:t xml:space="preserve">by </w:t>
      </w:r>
      <w:r>
        <w:rPr>
          <w:color w:val="000000"/>
          <w:sz w:val="24"/>
          <w:szCs w:val="26"/>
        </w:rPr>
        <w:t xml:space="preserve">Fisher Scientific, </w:t>
      </w:r>
      <w:r>
        <w:rPr>
          <w:rFonts w:eastAsia="Times New Roman"/>
          <w:color w:val="000000"/>
          <w:sz w:val="24"/>
          <w:szCs w:val="26"/>
        </w:rPr>
        <w:t>DPPH solution (0.1 mM in methanol)</w:t>
      </w:r>
      <w:r>
        <w:rPr>
          <w:rFonts w:eastAsia="Times New Roman"/>
          <w:color w:val="000000"/>
          <w:sz w:val="24"/>
          <w:szCs w:val="26"/>
        </w:rPr>
        <w:t xml:space="preserve"> by </w:t>
      </w:r>
      <w:r>
        <w:rPr>
          <w:color w:val="000000"/>
          <w:sz w:val="24"/>
          <w:szCs w:val="26"/>
        </w:rPr>
        <w:t>Ca</w:t>
      </w:r>
      <w:r>
        <w:rPr>
          <w:color w:val="000000"/>
          <w:sz w:val="24"/>
          <w:szCs w:val="26"/>
        </w:rPr>
        <w:t xml:space="preserve">yman Chemical, </w:t>
      </w:r>
      <w:r>
        <w:rPr>
          <w:rFonts w:eastAsia="Times New Roman"/>
          <w:color w:val="000000"/>
          <w:sz w:val="24"/>
          <w:szCs w:val="26"/>
        </w:rPr>
        <w:t>2% Aluminum chloride in methanol</w:t>
      </w:r>
      <w:r>
        <w:rPr>
          <w:rFonts w:eastAsia="Times New Roman"/>
          <w:color w:val="000000"/>
          <w:sz w:val="24"/>
          <w:szCs w:val="26"/>
        </w:rPr>
        <w:t xml:space="preserve"> </w:t>
      </w:r>
      <w:r>
        <w:rPr>
          <w:rFonts w:eastAsia="Times New Roman"/>
          <w:color w:val="000000"/>
          <w:sz w:val="24"/>
          <w:szCs w:val="26"/>
        </w:rPr>
        <w:t xml:space="preserve">by </w:t>
      </w:r>
      <w:r>
        <w:rPr>
          <w:color w:val="000000"/>
          <w:sz w:val="24"/>
          <w:szCs w:val="26"/>
        </w:rPr>
        <w:t xml:space="preserve">Cayman </w:t>
      </w:r>
      <w:r>
        <w:rPr>
          <w:color w:val="000000"/>
          <w:sz w:val="24"/>
          <w:szCs w:val="26"/>
        </w:rPr>
        <w:t xml:space="preserve">Chemical, </w:t>
      </w:r>
      <w:r>
        <w:rPr>
          <w:rFonts w:eastAsia="Times New Roman"/>
          <w:color w:val="000000"/>
          <w:sz w:val="24"/>
          <w:szCs w:val="26"/>
        </w:rPr>
        <w:t>Potassium acetate (optional)</w:t>
      </w:r>
      <w:r>
        <w:rPr>
          <w:rFonts w:eastAsia="Times New Roman"/>
          <w:color w:val="000000"/>
          <w:sz w:val="24"/>
          <w:szCs w:val="26"/>
        </w:rPr>
        <w:t xml:space="preserve"> by </w:t>
      </w:r>
      <w:r>
        <w:rPr>
          <w:color w:val="000000"/>
          <w:sz w:val="24"/>
          <w:szCs w:val="26"/>
        </w:rPr>
        <w:t xml:space="preserve">Fisher Scientific, </w:t>
      </w:r>
      <w:r>
        <w:rPr>
          <w:rFonts w:eastAsia="Times New Roman"/>
          <w:color w:val="000000"/>
          <w:sz w:val="24"/>
          <w:szCs w:val="26"/>
        </w:rPr>
        <w:t>Folin–Ciocalteu reagent (diluted 1:10)</w:t>
      </w:r>
      <w:r>
        <w:rPr>
          <w:rFonts w:eastAsia="Times New Roman"/>
          <w:color w:val="000000"/>
          <w:sz w:val="24"/>
          <w:szCs w:val="26"/>
        </w:rPr>
        <w:t xml:space="preserve"> by </w:t>
      </w:r>
      <w:r>
        <w:rPr>
          <w:color w:val="000000"/>
          <w:sz w:val="24"/>
          <w:szCs w:val="26"/>
        </w:rPr>
        <w:t xml:space="preserve">Thermo Fisher, </w:t>
      </w:r>
      <w:r>
        <w:rPr>
          <w:rFonts w:eastAsia="Times New Roman"/>
          <w:color w:val="000000"/>
          <w:sz w:val="24"/>
          <w:szCs w:val="26"/>
        </w:rPr>
        <w:t>Sodium carbonate (7.5%)</w:t>
      </w:r>
      <w:r>
        <w:rPr>
          <w:rFonts w:eastAsia="Times New Roman"/>
          <w:color w:val="000000"/>
          <w:sz w:val="24"/>
          <w:szCs w:val="26"/>
        </w:rPr>
        <w:t xml:space="preserve"> </w:t>
      </w:r>
      <w:r>
        <w:rPr>
          <w:rFonts w:eastAsia="Times New Roman"/>
          <w:color w:val="000000"/>
          <w:sz w:val="24"/>
          <w:szCs w:val="26"/>
        </w:rPr>
        <w:t>by</w:t>
      </w:r>
      <w:r>
        <w:rPr>
          <w:rFonts w:eastAsia="Times New Roman"/>
          <w:color w:val="000000"/>
          <w:sz w:val="24"/>
          <w:szCs w:val="26"/>
        </w:rPr>
        <w:t xml:space="preserve"> </w:t>
      </w:r>
      <w:r>
        <w:rPr>
          <w:color w:val="000000"/>
          <w:sz w:val="24"/>
          <w:szCs w:val="26"/>
        </w:rPr>
        <w:t>Thermo Fisher.</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 xml:space="preserve"> </w:t>
      </w:r>
      <w:r>
        <w:rPr>
          <w:b/>
          <w:bCs/>
          <w:color w:val="000000"/>
          <w:sz w:val="24"/>
          <w:szCs w:val="26"/>
        </w:rPr>
        <w:t xml:space="preserve">Methods </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 xml:space="preserve">.1 Preparation of Plant Extract </w:t>
      </w:r>
    </w:p>
    <w:p>
      <w:pPr>
        <w:pStyle w:val="style0"/>
        <w:spacing w:after="0" w:lineRule="auto" w:line="480"/>
        <w:ind w:firstLine="720"/>
        <w:jc w:val="both"/>
        <w:rPr>
          <w:color w:val="000000"/>
          <w:sz w:val="24"/>
          <w:szCs w:val="26"/>
        </w:rPr>
      </w:pPr>
      <w:r>
        <w:rPr>
          <w:color w:val="000000"/>
          <w:sz w:val="24"/>
          <w:szCs w:val="26"/>
        </w:rPr>
        <w:t xml:space="preserve">Fresh </w:t>
      </w:r>
      <w:r>
        <w:rPr>
          <w:i/>
          <w:color w:val="000000"/>
          <w:sz w:val="24"/>
          <w:szCs w:val="26"/>
        </w:rPr>
        <w:t>Sida Acuta</w:t>
      </w:r>
      <w:r>
        <w:rPr>
          <w:color w:val="000000"/>
          <w:sz w:val="24"/>
          <w:szCs w:val="26"/>
        </w:rPr>
        <w:t xml:space="preserve"> was collected and thoroughly </w:t>
      </w:r>
      <w:r>
        <w:rPr>
          <w:color w:val="000000"/>
          <w:sz w:val="24"/>
          <w:szCs w:val="26"/>
        </w:rPr>
        <w:t>washed,</w:t>
      </w:r>
      <w:r>
        <w:rPr>
          <w:color w:val="000000"/>
          <w:sz w:val="24"/>
          <w:szCs w:val="26"/>
        </w:rPr>
        <w:t xml:space="preserve"> the plant sample was dried at room low temperature for a week to avoid damage of active compounds present in </w:t>
      </w:r>
      <w:r>
        <w:rPr>
          <w:i/>
          <w:color w:val="000000"/>
          <w:sz w:val="24"/>
          <w:szCs w:val="26"/>
        </w:rPr>
        <w:t xml:space="preserve">Sida Acuta. </w:t>
      </w:r>
      <w:r>
        <w:rPr>
          <w:color w:val="000000"/>
          <w:sz w:val="24"/>
          <w:szCs w:val="26"/>
        </w:rPr>
        <w:t>500g of</w:t>
      </w:r>
      <w:r>
        <w:rPr>
          <w:color w:val="000000"/>
          <w:sz w:val="24"/>
          <w:szCs w:val="26"/>
        </w:rPr>
        <w:t xml:space="preserve"> dried </w:t>
      </w:r>
      <w:r>
        <w:rPr>
          <w:i/>
          <w:color w:val="000000"/>
          <w:sz w:val="24"/>
          <w:szCs w:val="26"/>
        </w:rPr>
        <w:t>Sida Acuta</w:t>
      </w:r>
      <w:r>
        <w:rPr>
          <w:color w:val="000000"/>
          <w:sz w:val="24"/>
          <w:szCs w:val="26"/>
        </w:rPr>
        <w:t xml:space="preserve"> </w:t>
      </w:r>
      <w:r>
        <w:rPr>
          <w:color w:val="000000"/>
          <w:sz w:val="24"/>
          <w:szCs w:val="26"/>
        </w:rPr>
        <w:t xml:space="preserve">are blended into a fine powder using blender. The powdered </w:t>
      </w:r>
      <w:r>
        <w:rPr>
          <w:i/>
          <w:color w:val="000000"/>
          <w:sz w:val="24"/>
          <w:szCs w:val="26"/>
        </w:rPr>
        <w:t>Sida Acuta</w:t>
      </w:r>
      <w:r>
        <w:rPr>
          <w:color w:val="000000"/>
          <w:sz w:val="24"/>
          <w:szCs w:val="26"/>
        </w:rPr>
        <w:t xml:space="preserve"> was weighed into a suitable bowl and dissolved with </w:t>
      </w:r>
      <w:r>
        <w:rPr>
          <w:color w:val="000000"/>
          <w:sz w:val="24"/>
          <w:szCs w:val="26"/>
        </w:rPr>
        <w:t xml:space="preserve">2.5mL of ethanol and the powdered </w:t>
      </w:r>
      <w:r>
        <w:rPr>
          <w:i/>
          <w:color w:val="000000"/>
          <w:sz w:val="24"/>
          <w:szCs w:val="26"/>
        </w:rPr>
        <w:t>Sida Acuta</w:t>
      </w:r>
      <w:r>
        <w:rPr>
          <w:color w:val="000000"/>
          <w:sz w:val="24"/>
          <w:szCs w:val="26"/>
        </w:rPr>
        <w:t xml:space="preserve"> was completely submerged in the ethanol. The mixture was macerate for a</w:t>
      </w:r>
      <w:r>
        <w:rPr>
          <w:color w:val="000000"/>
          <w:sz w:val="24"/>
          <w:szCs w:val="26"/>
        </w:rPr>
        <w:t xml:space="preserve"> specific duration of 72 hours and </w:t>
      </w:r>
      <w:r>
        <w:rPr>
          <w:color w:val="000000"/>
          <w:sz w:val="24"/>
          <w:szCs w:val="26"/>
        </w:rPr>
        <w:t>the mixture was filtered using Whatman filter paper to remove the plant material.</w:t>
      </w:r>
    </w:p>
    <w:p>
      <w:pPr>
        <w:pStyle w:val="style0"/>
        <w:spacing w:after="0" w:lineRule="auto" w:line="480"/>
        <w:jc w:val="both"/>
        <w:rPr>
          <w:color w:val="000000"/>
          <w:sz w:val="24"/>
          <w:szCs w:val="26"/>
        </w:rPr>
      </w:pPr>
      <w:r>
        <w:rPr>
          <w:color w:val="000000"/>
          <w:sz w:val="24"/>
          <w:szCs w:val="26"/>
        </w:rPr>
        <w:t xml:space="preserve">500g of blended stubborn grass was weighed into a bowl and dissolved with 2.5mL of ethanol. The mixture was left for 72 hours, </w:t>
      </w:r>
      <w:r>
        <w:rPr>
          <w:color w:val="000000"/>
          <w:sz w:val="24"/>
          <w:szCs w:val="26"/>
        </w:rPr>
        <w:t>then</w:t>
      </w:r>
      <w:r>
        <w:rPr>
          <w:color w:val="000000"/>
          <w:sz w:val="24"/>
          <w:szCs w:val="26"/>
        </w:rPr>
        <w:t xml:space="preserve"> the solution was filtered and left for concentration</w:t>
      </w:r>
    </w:p>
    <w:p>
      <w:pPr>
        <w:pStyle w:val="style0"/>
        <w:spacing w:after="0" w:lineRule="auto" w:line="480"/>
        <w:jc w:val="both"/>
        <w:rPr>
          <w:b/>
          <w:bCs/>
          <w:color w:val="000000"/>
          <w:sz w:val="24"/>
          <w:szCs w:val="26"/>
        </w:rPr>
      </w:pPr>
      <w:r>
        <w:rPr>
          <w:b/>
          <w:bCs/>
          <w:color w:val="000000"/>
          <w:sz w:val="24"/>
          <w:szCs w:val="26"/>
        </w:rPr>
        <w:t xml:space="preserve">3.2.2 Determination of the weight of the Albino </w:t>
      </w:r>
      <w:r>
        <w:rPr>
          <w:b/>
          <w:bCs/>
          <w:color w:val="000000"/>
          <w:sz w:val="24"/>
          <w:szCs w:val="26"/>
        </w:rPr>
        <w:t xml:space="preserve">Rats </w:t>
      </w:r>
      <w:r>
        <w:rPr>
          <w:color w:val="000000"/>
          <w:sz w:val="24"/>
          <w:szCs w:val="26"/>
        </w:rPr>
        <w:t>.</w:t>
      </w:r>
      <w:r>
        <w:rPr>
          <w:color w:val="000000"/>
          <w:sz w:val="24"/>
          <w:szCs w:val="26"/>
        </w:rPr>
        <w:t xml:space="preserve"> </w:t>
      </w:r>
    </w:p>
    <w:p>
      <w:pPr>
        <w:pStyle w:val="style94"/>
        <w:spacing w:lineRule="auto" w:line="480"/>
        <w:ind w:firstLine="720"/>
        <w:jc w:val="both"/>
        <w:rPr/>
      </w:pPr>
      <w:r>
        <w:t xml:space="preserve">We divided fifty-two Wistar albino rats into seven groups to investigate the effects of </w:t>
      </w:r>
      <w:r>
        <w:rPr>
          <w:rStyle w:val="style88"/>
        </w:rPr>
        <w:t>Sida Acuta</w:t>
      </w:r>
      <w:r>
        <w:t xml:space="preserve"> on indomethacin-induced ulcerogenic rats. The groups consisted of a normal control group that received no treatment, an indomethacin only group serving as the ulcer control, and five treatment groups administered indomethacin followed by </w:t>
      </w:r>
      <w:r>
        <w:rPr>
          <w:rStyle w:val="style88"/>
        </w:rPr>
        <w:t>Sida Acuta</w:t>
      </w:r>
      <w:r>
        <w:t xml:space="preserve"> extract at doses ranging from 100 to 800 milligrams per kilogram of body weight.</w:t>
      </w:r>
    </w:p>
    <w:p>
      <w:pPr>
        <w:pStyle w:val="style94"/>
        <w:spacing w:lineRule="auto" w:line="480"/>
        <w:ind w:firstLine="720"/>
        <w:jc w:val="both"/>
        <w:rPr/>
      </w:pPr>
      <w:r>
        <w:t xml:space="preserve">We ensured the groups had similar average weights at the start of the experiment to eliminate initial weight disparities as a confounding factor. </w:t>
      </w:r>
      <w:r>
        <w:t>we</w:t>
      </w:r>
      <w:r>
        <w:t xml:space="preserve"> recorded each rat’s weight weekly throughout the study to monitor changes over time and we</w:t>
      </w:r>
      <w:r>
        <w:t xml:space="preserve"> </w:t>
      </w:r>
      <w:r>
        <w:t>compared the weights of the different groups over time to analyze differences in</w:t>
      </w:r>
      <w:r>
        <w:t xml:space="preserve"> weight changes between groups. We</w:t>
      </w:r>
      <w:r>
        <w:t xml:space="preserve"> recorded the results and documented the average weight for each group at various time points to assess the impact of the treatments.</w:t>
      </w:r>
    </w:p>
    <w:p>
      <w:pPr>
        <w:pStyle w:val="style0"/>
        <w:spacing w:after="0" w:lineRule="auto" w:line="480"/>
        <w:jc w:val="both"/>
        <w:rPr>
          <w:b/>
          <w:bCs/>
          <w:color w:val="000000"/>
          <w:sz w:val="24"/>
          <w:szCs w:val="26"/>
        </w:rPr>
      </w:pPr>
      <w:r>
        <w:rPr>
          <w:b/>
          <w:bCs/>
          <w:color w:val="000000"/>
          <w:sz w:val="24"/>
          <w:szCs w:val="26"/>
        </w:rPr>
        <w:t>3.2</w:t>
      </w:r>
      <w:r>
        <w:rPr>
          <w:b/>
          <w:bCs/>
          <w:color w:val="000000"/>
          <w:sz w:val="24"/>
          <w:szCs w:val="26"/>
        </w:rPr>
        <w:t>.3</w:t>
      </w:r>
      <w:r>
        <w:rPr>
          <w:b/>
          <w:bCs/>
          <w:color w:val="000000"/>
          <w:sz w:val="24"/>
          <w:szCs w:val="26"/>
        </w:rPr>
        <w:t xml:space="preserve"> </w:t>
      </w:r>
      <w:r>
        <w:rPr>
          <w:b/>
          <w:bCs/>
          <w:color w:val="000000"/>
          <w:sz w:val="24"/>
          <w:szCs w:val="26"/>
        </w:rPr>
        <w:t xml:space="preserve">Determination of Phytochemicals </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.1 Determination of Sa</w:t>
      </w:r>
      <w:r>
        <w:rPr>
          <w:b/>
          <w:bCs/>
          <w:color w:val="000000"/>
          <w:sz w:val="24"/>
          <w:szCs w:val="26"/>
        </w:rPr>
        <w:t>ponins</w:t>
      </w:r>
      <w:r>
        <w:rPr>
          <w:b/>
          <w:bCs/>
          <w:color w:val="000000"/>
          <w:sz w:val="24"/>
          <w:szCs w:val="26"/>
        </w:rPr>
        <w:t xml:space="preserve"> </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 xml:space="preserve">Gravimetric Method </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 xml:space="preserve">One gram (1g) of dry extract was weighed and </w:t>
      </w:r>
      <w:r>
        <w:rPr>
          <w:rFonts w:eastAsia="Times New Roman"/>
          <w:color w:val="000000"/>
          <w:sz w:val="24"/>
          <w:szCs w:val="26"/>
        </w:rPr>
        <w:t>boil</w:t>
      </w:r>
      <w:r>
        <w:rPr>
          <w:rFonts w:eastAsia="Times New Roman"/>
          <w:color w:val="000000"/>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 xml:space="preserve">.2 Determination of Tannins </w:t>
      </w:r>
    </w:p>
    <w:p>
      <w:pPr>
        <w:pStyle w:val="style0"/>
        <w:spacing w:after="0" w:lineRule="auto" w:line="480"/>
        <w:ind w:firstLine="720"/>
        <w:jc w:val="both"/>
        <w:rPr>
          <w:bCs/>
          <w:color w:val="000000"/>
          <w:sz w:val="24"/>
          <w:szCs w:val="26"/>
        </w:rPr>
      </w:pPr>
      <w:r>
        <w:rPr>
          <w:bCs/>
          <w:color w:val="000000"/>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Pr>
          <w:bCs/>
          <w:color w:val="000000"/>
          <w:sz w:val="24"/>
          <w:szCs w:val="26"/>
        </w:rPr>
        <w:t>s method is Folin-Denis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.3 Determination of Flavonoids</w:t>
      </w:r>
    </w:p>
    <w:p>
      <w:pPr>
        <w:pStyle w:val="style0"/>
        <w:spacing w:after="0" w:lineRule="auto" w:line="480"/>
        <w:ind w:firstLine="720"/>
        <w:jc w:val="both"/>
        <w:rPr>
          <w:color w:val="000000"/>
          <w:sz w:val="24"/>
          <w:szCs w:val="26"/>
        </w:rPr>
      </w:pPr>
      <w:r>
        <w:rPr>
          <w:color w:val="000000"/>
          <w:sz w:val="24"/>
          <w:szCs w:val="26"/>
        </w:rPr>
        <w:t>The procedure stated that 1 mL of extract should be mixed with 1 mL of 2% AlCl</w:t>
      </w:r>
      <w:r>
        <w:rPr>
          <w:rFonts w:ascii="Cambria Math" w:cs="Cambria Math" w:hAnsi="Cambria Math"/>
          <w:color w:val="000000"/>
          <w:sz w:val="24"/>
          <w:szCs w:val="26"/>
        </w:rPr>
        <w:t>₃</w:t>
      </w:r>
      <w:r>
        <w:rPr>
          <w:color w:val="000000"/>
          <w:sz w:val="24"/>
          <w:szCs w:val="26"/>
        </w:rPr>
        <w:t xml:space="preserve"> in methanol, followed by incubation for 10 minutes at room temperature. Absorbance was then to be measured at 415 nm, using a quercetin standard curve for quantification. It was noted that this method is based</w:t>
      </w:r>
      <w:r>
        <w:rPr>
          <w:color w:val="000000"/>
          <w:sz w:val="24"/>
          <w:szCs w:val="26"/>
        </w:rPr>
        <w:t xml:space="preserve"> on the Folin-Ciocalteu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.4 Determination of Phenols</w:t>
      </w:r>
    </w:p>
    <w:p>
      <w:pPr>
        <w:pStyle w:val="style0"/>
        <w:spacing w:after="160" w:lineRule="auto" w:line="480"/>
        <w:ind w:firstLine="720"/>
        <w:jc w:val="both"/>
        <w:rPr>
          <w:color w:val="000000"/>
          <w:sz w:val="24"/>
        </w:rPr>
      </w:pPr>
      <w:r>
        <w:rPr>
          <w:color w:val="000000"/>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pPr>
        <w:pStyle w:val="style0"/>
        <w:spacing w:after="0" w:lineRule="auto" w:line="480"/>
        <w:jc w:val="both"/>
        <w:rPr>
          <w:b/>
          <w:bCs/>
          <w:color w:val="000000"/>
          <w:sz w:val="24"/>
          <w:szCs w:val="26"/>
        </w:rPr>
      </w:pPr>
      <w:r>
        <w:rPr>
          <w:b/>
          <w:bCs/>
          <w:color w:val="000000"/>
          <w:sz w:val="24"/>
          <w:szCs w:val="26"/>
        </w:rPr>
        <w:t>3.2.3</w:t>
      </w:r>
      <w:r>
        <w:rPr>
          <w:b/>
          <w:bCs/>
          <w:color w:val="000000"/>
          <w:sz w:val="24"/>
          <w:szCs w:val="26"/>
        </w:rPr>
        <w:t xml:space="preserve">.5 Determination of Glucosides </w:t>
      </w:r>
    </w:p>
    <w:p>
      <w:pPr>
        <w:pStyle w:val="style0"/>
        <w:spacing w:after="0" w:lineRule="auto" w:line="480"/>
        <w:ind w:firstLine="720"/>
        <w:jc w:val="both"/>
        <w:rPr>
          <w:color w:val="000000"/>
          <w:sz w:val="24"/>
          <w:szCs w:val="26"/>
        </w:rPr>
      </w:pPr>
      <w:r>
        <w:rPr>
          <w:color w:val="000000"/>
          <w:sz w:val="24"/>
          <w:szCs w:val="26"/>
        </w:rPr>
        <w:t>The procedure stated that 2 mL of glacial acetic acid containing a drop of FeCl</w:t>
      </w:r>
      <w:r>
        <w:rPr>
          <w:rFonts w:ascii="Cambria Math" w:cs="Cambria Math" w:hAnsi="Cambria Math"/>
          <w:color w:val="000000"/>
          <w:sz w:val="24"/>
          <w:szCs w:val="26"/>
        </w:rPr>
        <w:t>₃</w:t>
      </w:r>
      <w:r>
        <w:rPr>
          <w:color w:val="000000"/>
          <w:sz w:val="24"/>
          <w:szCs w:val="26"/>
        </w:rPr>
        <w:t xml:space="preserve"> was to be added to 1 mL of the extract. Then, 1 mL of concentrated H</w:t>
      </w:r>
      <w:r>
        <w:rPr>
          <w:rFonts w:ascii="Cambria Math" w:cs="Cambria Math" w:hAnsi="Cambria Math"/>
          <w:color w:val="000000"/>
          <w:sz w:val="24"/>
          <w:szCs w:val="26"/>
        </w:rPr>
        <w:t>₂</w:t>
      </w:r>
      <w:r>
        <w:rPr>
          <w:color w:val="000000"/>
          <w:sz w:val="24"/>
          <w:szCs w:val="26"/>
        </w:rPr>
        <w:t>SO</w:t>
      </w:r>
      <w:r>
        <w:rPr>
          <w:rFonts w:ascii="Cambria Math" w:cs="Cambria Math" w:hAnsi="Cambria Math"/>
          <w:color w:val="000000"/>
          <w:sz w:val="24"/>
          <w:szCs w:val="26"/>
        </w:rPr>
        <w:t>₄</w:t>
      </w:r>
      <w:r>
        <w:rPr>
          <w:color w:val="000000"/>
          <w:sz w:val="24"/>
          <w:szCs w:val="26"/>
        </w:rPr>
        <w:t xml:space="preserve"> was to be carefully added down the side of the test tube. It was noted that the formation of a brown ring at the interface indicated the presence of deoxysugars in cardiac glycosides.</w:t>
      </w:r>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 Proximate analysis </w:t>
      </w:r>
    </w:p>
    <w:p>
      <w:pPr>
        <w:pStyle w:val="style0"/>
        <w:spacing w:after="0" w:lineRule="auto" w:line="480"/>
        <w:jc w:val="both"/>
        <w:rPr>
          <w:color w:val="000000"/>
          <w:sz w:val="24"/>
          <w:szCs w:val="26"/>
        </w:rPr>
      </w:pPr>
      <w:r>
        <w:rPr>
          <w:color w:val="000000"/>
          <w:sz w:val="24"/>
          <w:szCs w:val="26"/>
        </w:rPr>
        <w:t>3</w:t>
      </w:r>
      <w:r>
        <w:rPr>
          <w:b/>
          <w:bCs/>
          <w:color w:val="000000"/>
          <w:sz w:val="24"/>
          <w:szCs w:val="26"/>
        </w:rPr>
        <w:t>.2.4</w:t>
      </w:r>
      <w:r>
        <w:rPr>
          <w:b/>
          <w:bCs/>
          <w:color w:val="000000"/>
          <w:sz w:val="24"/>
          <w:szCs w:val="26"/>
        </w:rPr>
        <w:t>.1 Determination of Moisture C</w:t>
      </w:r>
      <w:r>
        <w:rPr>
          <w:b/>
          <w:bCs/>
          <w:color w:val="000000"/>
          <w:sz w:val="24"/>
          <w:szCs w:val="26"/>
        </w:rPr>
        <w:t>ontent</w:t>
      </w:r>
      <w:r>
        <w:rPr>
          <w:color w:val="000000"/>
          <w:sz w:val="24"/>
          <w:szCs w:val="26"/>
        </w:rPr>
        <w:t xml:space="preserve"> </w:t>
      </w:r>
    </w:p>
    <w:p>
      <w:pPr>
        <w:pStyle w:val="style0"/>
        <w:spacing w:after="0" w:lineRule="auto" w:line="480"/>
        <w:jc w:val="both"/>
        <w:rPr>
          <w:color w:val="000000"/>
          <w:sz w:val="24"/>
          <w:szCs w:val="26"/>
        </w:rPr>
      </w:pPr>
      <w:r>
        <w:rPr>
          <w:color w:val="000000"/>
          <w:sz w:val="24"/>
          <w:szCs w:val="26"/>
        </w:rPr>
        <w:t>Moisture is determined by the loss in weight that occurs when a sample is dried to a constant weight in an oven.</w:t>
      </w:r>
    </w:p>
    <w:p>
      <w:pPr>
        <w:pStyle w:val="style0"/>
        <w:spacing w:after="0" w:lineRule="auto" w:line="480"/>
        <w:jc w:val="both"/>
        <w:rPr>
          <w:color w:val="000000"/>
          <w:sz w:val="24"/>
          <w:szCs w:val="26"/>
        </w:rPr>
      </w:pPr>
      <w:r>
        <w:rPr>
          <w:color w:val="000000"/>
          <w:sz w:val="24"/>
          <w:szCs w:val="26"/>
        </w:rPr>
        <w:t xml:space="preserve">About 2g of a </w:t>
      </w:r>
      <w:r>
        <w:rPr>
          <w:i/>
          <w:color w:val="000000"/>
          <w:sz w:val="24"/>
          <w:szCs w:val="26"/>
        </w:rPr>
        <w:t>Sida Acuta</w:t>
      </w:r>
      <w:r>
        <w:rPr>
          <w:color w:val="000000"/>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pPr>
        <w:pStyle w:val="style0"/>
        <w:spacing w:after="0" w:lineRule="auto" w:line="480"/>
        <w:jc w:val="both"/>
        <w:rPr>
          <w:rFonts w:eastAsia="宋体"/>
          <w:color w:val="000000"/>
          <w:sz w:val="24"/>
          <w:szCs w:val="26"/>
          <w:lang w:val="fr-FR"/>
        </w:rPr>
      </w:pPr>
      <w:r>
        <w:rPr>
          <w:rFonts w:eastAsia="宋体"/>
          <w:color w:val="000000"/>
          <w:sz w:val="24"/>
          <w:szCs w:val="26"/>
          <w:lang w:val="fr-FR"/>
        </w:rPr>
        <w:t xml:space="preserve">%Moisture = </w:t>
      </w:r>
      <m:oMath>
        <m:f>
          <m:fPr>
            <m:ctrlPr>
              <w:rPr>
                <w:rFonts w:ascii="Cambria Math" w:hAnsi="Cambria Math"/>
                <w:i/>
                <w:color w:val="000000"/>
                <w:sz w:val="24"/>
                <w:szCs w:val="26"/>
              </w:rPr>
            </m:ctrlPr>
          </m:fPr>
          <m:num>
            <m:r>
              <m:rPr>
                <m:sty m:val="p"/>
              </m:rPr>
              <w:rPr>
                <w:rFonts w:ascii="Cambria Math" w:hAnsi="Cambria Math"/>
                <w:color w:val="000000"/>
                <w:sz w:val="24"/>
                <w:szCs w:val="26"/>
                <w:lang w:val="fr-FR"/>
              </w:rPr>
              <m:t>Wt of sample + dish before drying- wt of sample+ dish after drying</m:t>
            </m:r>
          </m:num>
          <m:den>
            <m:r>
              <w:rPr>
                <w:rFonts w:ascii="Cambria Math" w:hAnsi="Cambria Math"/>
                <w:color w:val="000000"/>
                <w:sz w:val="24"/>
                <w:szCs w:val="26"/>
              </w:rPr>
              <m:t>Wt</m:t>
            </m:r>
            <m:r>
              <w:rPr>
                <w:rFonts w:ascii="Cambria Math" w:hAnsi="Cambria Math"/>
                <w:color w:val="000000"/>
                <w:sz w:val="24"/>
                <w:szCs w:val="26"/>
                <w:lang w:val="fr-FR"/>
              </w:rPr>
              <m:t xml:space="preserve"> </m:t>
            </m:r>
            <m:r>
              <w:rPr>
                <w:rFonts w:ascii="Cambria Math" w:hAnsi="Cambria Math"/>
                <w:color w:val="000000"/>
                <w:sz w:val="24"/>
                <w:szCs w:val="26"/>
              </w:rPr>
              <m:t>of</m:t>
            </m:r>
            <m:r>
              <w:rPr>
                <w:rFonts w:ascii="Cambria Math" w:hAnsi="Cambria Math"/>
                <w:color w:val="000000"/>
                <w:sz w:val="24"/>
                <w:szCs w:val="26"/>
                <w:lang w:val="fr-FR"/>
              </w:rPr>
              <m:t xml:space="preserve"> </m:t>
            </m:r>
            <m:r>
              <w:rPr>
                <w:rFonts w:ascii="Cambria Math" w:hAnsi="Cambria Math"/>
                <w:color w:val="000000"/>
                <w:sz w:val="24"/>
                <w:szCs w:val="26"/>
              </w:rPr>
              <m:t>sample</m:t>
            </m:r>
            <m:r>
              <w:rPr>
                <w:rFonts w:ascii="Cambria Math" w:hAnsi="Cambria Math"/>
                <w:color w:val="000000"/>
                <w:sz w:val="24"/>
                <w:szCs w:val="26"/>
                <w:lang w:val="fr-FR"/>
              </w:rPr>
              <m:t xml:space="preserve"> </m:t>
            </m:r>
            <m:r>
              <w:rPr>
                <w:rFonts w:ascii="Cambria Math" w:hAnsi="Cambria Math"/>
                <w:color w:val="000000"/>
                <w:sz w:val="24"/>
                <w:szCs w:val="26"/>
              </w:rPr>
              <m:t>taken</m:t>
            </m:r>
            <m:r>
              <w:rPr>
                <w:rFonts w:ascii="Cambria Math" w:hAnsi="Cambria Math"/>
                <w:color w:val="000000"/>
                <w:sz w:val="24"/>
                <w:szCs w:val="26"/>
                <w:lang w:val="fr-FR"/>
              </w:rPr>
              <m:t xml:space="preserve"> </m:t>
            </m:r>
          </m:den>
        </m:f>
      </m:oMath>
      <w:r>
        <w:rPr>
          <w:color w:val="000000"/>
          <w:sz w:val="24"/>
          <w:szCs w:val="26"/>
          <w:lang w:val="fr-FR"/>
        </w:rPr>
        <w:t>x100</w:t>
      </w:r>
    </w:p>
    <w:p>
      <w:pPr>
        <w:pStyle w:val="style0"/>
        <w:spacing w:after="0" w:lineRule="auto" w:line="480"/>
        <w:jc w:val="both"/>
        <w:rPr>
          <w:color w:val="000000"/>
          <w:sz w:val="24"/>
          <w:szCs w:val="26"/>
        </w:rPr>
      </w:pPr>
      <w:r>
        <w:rPr>
          <w:color w:val="000000"/>
          <w:sz w:val="24"/>
          <w:szCs w:val="26"/>
        </w:rPr>
        <w:t>Since the water content of feed varied widely, ingredients and feed are usually compared for their nutrient content on moisture free or dry matter (DM)</w:t>
      </w:r>
    </w:p>
    <w:p>
      <w:pPr>
        <w:pStyle w:val="style0"/>
        <w:spacing w:after="0" w:lineRule="auto" w:line="480"/>
        <w:jc w:val="both"/>
        <w:rPr>
          <w:color w:val="000000"/>
          <w:sz w:val="24"/>
          <w:szCs w:val="26"/>
        </w:rPr>
      </w:pPr>
      <w:r>
        <w:rPr>
          <w:color w:val="000000"/>
          <w:sz w:val="24"/>
          <w:szCs w:val="26"/>
        </w:rPr>
        <w:t>basis</w:t>
      </w:r>
      <w:r>
        <w:rPr>
          <w:color w:val="000000"/>
          <w:sz w:val="24"/>
          <w:szCs w:val="26"/>
        </w:rPr>
        <w:t xml:space="preserve">. </w:t>
      </w:r>
    </w:p>
    <w:p>
      <w:pPr>
        <w:pStyle w:val="style0"/>
        <w:spacing w:after="0" w:lineRule="auto" w:line="480"/>
        <w:jc w:val="both"/>
        <w:rPr>
          <w:color w:val="000000"/>
          <w:sz w:val="24"/>
          <w:szCs w:val="26"/>
        </w:rPr>
      </w:pPr>
      <w:r>
        <w:rPr>
          <w:color w:val="000000"/>
          <w:sz w:val="24"/>
          <w:szCs w:val="26"/>
        </w:rPr>
        <w:t>%DM=100 - %Moisture.</w:t>
      </w:r>
    </w:p>
    <w:p>
      <w:pPr>
        <w:pStyle w:val="style0"/>
        <w:spacing w:after="0" w:lineRule="auto" w:line="480"/>
        <w:jc w:val="both"/>
        <w:rPr>
          <w:color w:val="000000"/>
          <w:sz w:val="24"/>
          <w:szCs w:val="26"/>
        </w:rPr>
      </w:pPr>
      <w:r>
        <w:rPr>
          <w:b/>
          <w:bCs/>
          <w:color w:val="000000"/>
          <w:sz w:val="24"/>
          <w:szCs w:val="26"/>
        </w:rPr>
        <w:t>3.2.4</w:t>
      </w:r>
      <w:r>
        <w:rPr>
          <w:b/>
          <w:bCs/>
          <w:color w:val="000000"/>
          <w:sz w:val="24"/>
          <w:szCs w:val="26"/>
        </w:rPr>
        <w:t xml:space="preserve">.2 Determination of crude protein </w:t>
      </w:r>
    </w:p>
    <w:p>
      <w:pPr>
        <w:pStyle w:val="style0"/>
        <w:spacing w:after="0" w:lineRule="auto" w:line="480"/>
        <w:jc w:val="both"/>
        <w:rPr>
          <w:color w:val="000000"/>
          <w:sz w:val="24"/>
          <w:szCs w:val="26"/>
        </w:rPr>
      </w:pPr>
      <w:r>
        <w:rPr>
          <w:color w:val="000000"/>
          <w:sz w:val="24"/>
          <w:szCs w:val="26"/>
        </w:rPr>
        <w:t>Crude protein was</w:t>
      </w:r>
      <w:r>
        <w:rPr>
          <w:color w:val="000000"/>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pPr>
        <w:pStyle w:val="style0"/>
        <w:spacing w:after="0" w:lineRule="auto" w:line="480"/>
        <w:jc w:val="both"/>
        <w:rPr>
          <w:color w:val="000000"/>
          <w:sz w:val="24"/>
          <w:szCs w:val="26"/>
        </w:rPr>
      </w:pPr>
      <w:r>
        <w:rPr>
          <w:b/>
          <w:bCs/>
          <w:color w:val="000000"/>
          <w:sz w:val="24"/>
          <w:szCs w:val="26"/>
        </w:rPr>
        <w:t>Digestion:</w:t>
      </w:r>
      <w:r>
        <w:rPr>
          <w:color w:val="000000"/>
          <w:sz w:val="24"/>
          <w:szCs w:val="26"/>
        </w:rPr>
        <w:t xml:space="preserve"> About 2</w:t>
      </w:r>
      <w:r>
        <w:rPr>
          <w:color w:val="000000"/>
          <w:sz w:val="24"/>
          <w:szCs w:val="26"/>
        </w:rPr>
        <w:t xml:space="preserve"> </w:t>
      </w:r>
      <w:r>
        <w:rPr>
          <w:color w:val="000000"/>
          <w:sz w:val="24"/>
          <w:szCs w:val="26"/>
        </w:rPr>
        <w:t>g of the sample was weighed into kjeldahl flask and 25</w:t>
      </w:r>
      <w:r>
        <w:rPr>
          <w:color w:val="000000"/>
          <w:sz w:val="24"/>
          <w:szCs w:val="26"/>
        </w:rPr>
        <w:t xml:space="preserve"> </w:t>
      </w:r>
      <w:r>
        <w:rPr>
          <w:color w:val="000000"/>
          <w:sz w:val="24"/>
          <w:szCs w:val="26"/>
        </w:rPr>
        <w:t>ml of concentrated sulphuric acid, 0.5g of copper sulphate 5</w:t>
      </w:r>
      <w:r>
        <w:rPr>
          <w:color w:val="000000"/>
          <w:sz w:val="24"/>
          <w:szCs w:val="26"/>
        </w:rPr>
        <w:t xml:space="preserve"> </w:t>
      </w:r>
      <w:r>
        <w:rPr>
          <w:color w:val="000000"/>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Pr>
          <w:color w:val="000000"/>
          <w:sz w:val="24"/>
          <w:szCs w:val="26"/>
        </w:rPr>
        <w:t xml:space="preserve"> </w:t>
      </w:r>
      <w:r>
        <w:rPr>
          <w:color w:val="000000"/>
          <w:sz w:val="24"/>
          <w:szCs w:val="26"/>
        </w:rPr>
        <w:t>ml of distilled water was rapidly added. The digestion flask was rinsed 2-3</w:t>
      </w:r>
    </w:p>
    <w:p>
      <w:pPr>
        <w:pStyle w:val="style0"/>
        <w:spacing w:after="0" w:lineRule="auto" w:line="480"/>
        <w:jc w:val="both"/>
        <w:rPr>
          <w:color w:val="000000"/>
          <w:sz w:val="24"/>
          <w:szCs w:val="26"/>
        </w:rPr>
      </w:pPr>
      <w:r>
        <w:rPr>
          <w:color w:val="000000"/>
          <w:sz w:val="24"/>
          <w:szCs w:val="26"/>
        </w:rPr>
        <w:t>times</w:t>
      </w:r>
      <w:r>
        <w:rPr>
          <w:color w:val="000000"/>
          <w:sz w:val="24"/>
          <w:szCs w:val="26"/>
        </w:rPr>
        <w:t xml:space="preserve"> and the rinsing was added to the bulk. </w:t>
      </w:r>
    </w:p>
    <w:p>
      <w:pPr>
        <w:pStyle w:val="style0"/>
        <w:spacing w:after="0" w:lineRule="auto" w:line="480"/>
        <w:jc w:val="both"/>
        <w:rPr>
          <w:color w:val="000000"/>
          <w:sz w:val="24"/>
          <w:szCs w:val="26"/>
        </w:rPr>
      </w:pPr>
      <w:r>
        <w:rPr>
          <w:b/>
          <w:bCs/>
          <w:color w:val="000000"/>
          <w:sz w:val="24"/>
          <w:szCs w:val="26"/>
        </w:rPr>
        <w:t>Distillation:</w:t>
      </w:r>
      <w:r>
        <w:rPr>
          <w:color w:val="000000"/>
          <w:sz w:val="24"/>
          <w:szCs w:val="26"/>
        </w:rPr>
        <w:t xml:space="preserve"> "Markham distillation apparathus was used for distillation. The distillation apparatus was steamed up and about 10</w:t>
      </w:r>
      <w:r>
        <w:rPr>
          <w:color w:val="000000"/>
          <w:sz w:val="24"/>
          <w:szCs w:val="26"/>
        </w:rPr>
        <w:t xml:space="preserve"> </w:t>
      </w:r>
      <w:r>
        <w:rPr>
          <w:color w:val="000000"/>
          <w:sz w:val="24"/>
          <w:szCs w:val="26"/>
        </w:rPr>
        <w:t>ml of the digest was added</w:t>
      </w:r>
    </w:p>
    <w:p>
      <w:pPr>
        <w:pStyle w:val="style0"/>
        <w:spacing w:after="0" w:lineRule="auto" w:line="480"/>
        <w:jc w:val="both"/>
        <w:rPr>
          <w:color w:val="000000"/>
          <w:sz w:val="24"/>
          <w:szCs w:val="26"/>
        </w:rPr>
      </w:pPr>
      <w:r>
        <w:rPr>
          <w:color w:val="000000"/>
          <w:sz w:val="24"/>
          <w:szCs w:val="26"/>
        </w:rPr>
        <w:t>into</w:t>
      </w:r>
      <w:r>
        <w:rPr>
          <w:color w:val="000000"/>
          <w:sz w:val="24"/>
          <w:szCs w:val="26"/>
        </w:rPr>
        <w:t>, the apparatus via a f</w:t>
      </w:r>
      <w:r>
        <w:rPr>
          <w:color w:val="000000"/>
          <w:sz w:val="24"/>
          <w:szCs w:val="26"/>
        </w:rPr>
        <w:t>unnel and allowed to boil. 10</w:t>
      </w:r>
      <w:r>
        <w:rPr>
          <w:color w:val="000000"/>
          <w:sz w:val="24"/>
          <w:szCs w:val="26"/>
        </w:rPr>
        <w:t xml:space="preserve"> </w:t>
      </w:r>
      <w:r>
        <w:rPr>
          <w:color w:val="000000"/>
          <w:sz w:val="24"/>
          <w:szCs w:val="26"/>
        </w:rPr>
        <w:t>ml</w:t>
      </w:r>
      <w:r>
        <w:rPr>
          <w:color w:val="000000"/>
          <w:sz w:val="24"/>
          <w:szCs w:val="26"/>
        </w:rPr>
        <w:t xml:space="preserve"> of sodium hydroxide was added from the measuring cylinder so that ammonia was not lost. It</w:t>
      </w:r>
    </w:p>
    <w:p>
      <w:pPr>
        <w:pStyle w:val="style0"/>
        <w:spacing w:after="0" w:lineRule="auto" w:line="480"/>
        <w:jc w:val="both"/>
        <w:rPr>
          <w:color w:val="000000"/>
          <w:sz w:val="24"/>
          <w:szCs w:val="26"/>
        </w:rPr>
      </w:pPr>
      <w:r>
        <w:rPr>
          <w:color w:val="000000"/>
          <w:sz w:val="24"/>
          <w:szCs w:val="26"/>
        </w:rPr>
        <w:t>was</w:t>
      </w:r>
      <w:r>
        <w:rPr>
          <w:color w:val="000000"/>
          <w:sz w:val="24"/>
          <w:szCs w:val="26"/>
        </w:rPr>
        <w:t xml:space="preserve"> distilled into 50</w:t>
      </w:r>
      <w:r>
        <w:rPr>
          <w:color w:val="000000"/>
          <w:sz w:val="24"/>
          <w:szCs w:val="26"/>
        </w:rPr>
        <w:t xml:space="preserve"> </w:t>
      </w:r>
      <w:r>
        <w:rPr>
          <w:color w:val="000000"/>
          <w:sz w:val="24"/>
          <w:szCs w:val="26"/>
        </w:rPr>
        <w:t>ml of 2% boric acid containing screened methyl red indicator.</w:t>
      </w:r>
    </w:p>
    <w:p>
      <w:pPr>
        <w:pStyle w:val="style0"/>
        <w:spacing w:after="0" w:lineRule="auto" w:line="480"/>
        <w:jc w:val="both"/>
        <w:rPr>
          <w:color w:val="000000"/>
          <w:sz w:val="24"/>
          <w:szCs w:val="26"/>
        </w:rPr>
      </w:pPr>
      <w:r>
        <w:rPr>
          <w:b/>
          <w:bCs/>
          <w:color w:val="000000"/>
          <w:sz w:val="24"/>
          <w:szCs w:val="26"/>
        </w:rPr>
        <w:t>Titration:</w:t>
      </w:r>
      <w:r>
        <w:rPr>
          <w:color w:val="000000"/>
          <w:sz w:val="24"/>
          <w:szCs w:val="26"/>
        </w:rPr>
        <w:t xml:space="preserve"> the alkaline ammonium borate formed was titrated directly with O. IN HCI. The titre value which was the volume of acid used was recorded. The</w:t>
      </w:r>
    </w:p>
    <w:p>
      <w:pPr>
        <w:pStyle w:val="style0"/>
        <w:spacing w:after="0" w:lineRule="auto" w:line="480"/>
        <w:jc w:val="both"/>
        <w:rPr>
          <w:color w:val="000000"/>
          <w:sz w:val="24"/>
          <w:szCs w:val="26"/>
        </w:rPr>
      </w:pPr>
      <w:r>
        <w:rPr>
          <w:color w:val="000000"/>
          <w:sz w:val="24"/>
          <w:szCs w:val="26"/>
        </w:rPr>
        <w:t>volume</w:t>
      </w:r>
      <w:r>
        <w:rPr>
          <w:color w:val="000000"/>
          <w:sz w:val="24"/>
          <w:szCs w:val="26"/>
        </w:rPr>
        <w:t xml:space="preserve"> of acid used was fitted into the formula which became: </w:t>
      </w:r>
    </w:p>
    <w:p>
      <w:pPr>
        <w:pStyle w:val="style0"/>
        <w:spacing w:after="0" w:lineRule="auto" w:line="480"/>
        <w:jc w:val="both"/>
        <w:rPr>
          <w:rFonts w:eastAsia="宋体"/>
          <w:color w:val="000000"/>
          <w:sz w:val="24"/>
          <w:szCs w:val="26"/>
          <w:lang w:val="fr-FR"/>
        </w:rPr>
      </w:pPr>
      <w:r>
        <w:rPr>
          <w:color w:val="000000"/>
          <w:sz w:val="24"/>
          <w:szCs w:val="26"/>
          <w:lang w:val="fr-FR"/>
        </w:rPr>
        <w:t xml:space="preserve">%N = </w:t>
      </w:r>
      <m:oMath>
        <m:f>
          <m:fPr>
            <m:ctrlPr>
              <w:rPr>
                <w:rFonts w:ascii="Cambria Math" w:hAnsi="Cambria Math"/>
                <w:i/>
                <w:color w:val="000000"/>
                <w:sz w:val="24"/>
                <w:szCs w:val="26"/>
              </w:rPr>
            </m:ctrlPr>
          </m:fPr>
          <m:num>
            <m:r>
              <w:rPr>
                <w:rFonts w:ascii="Cambria Math" w:hAnsi="Cambria Math"/>
                <w:color w:val="000000"/>
                <w:sz w:val="24"/>
                <w:szCs w:val="26"/>
                <w:lang w:val="fr-FR"/>
              </w:rPr>
              <m:t xml:space="preserve">14× </m:t>
            </m:r>
            <m:r>
              <w:rPr>
                <w:rFonts w:ascii="Cambria Math" w:hAnsi="Cambria Math"/>
                <w:color w:val="000000"/>
                <w:sz w:val="24"/>
                <w:szCs w:val="26"/>
              </w:rPr>
              <m:t>VA</m:t>
            </m:r>
            <m:r>
              <w:rPr>
                <w:rFonts w:ascii="Cambria Math" w:hAnsi="Cambria Math"/>
                <w:color w:val="000000"/>
                <w:sz w:val="24"/>
                <w:szCs w:val="26"/>
                <w:lang w:val="fr-FR"/>
              </w:rPr>
              <m:t xml:space="preserve"> ×0.1 ×</m:t>
            </m:r>
            <m:r>
              <w:rPr>
                <w:rFonts w:ascii="Cambria Math" w:hAnsi="Cambria Math"/>
                <w:color w:val="000000"/>
                <w:sz w:val="24"/>
                <w:szCs w:val="26"/>
              </w:rPr>
              <m:t>w</m:t>
            </m:r>
            <m:r>
              <w:rPr>
                <w:rFonts w:ascii="Cambria Math" w:hAnsi="Cambria Math"/>
                <w:color w:val="000000"/>
                <w:sz w:val="24"/>
                <w:szCs w:val="26"/>
                <w:lang w:val="fr-FR"/>
              </w:rPr>
              <m:t xml:space="preserve"> ×100</m:t>
            </m:r>
          </m:num>
          <m:den>
            <m:r>
              <w:rPr>
                <w:rFonts w:ascii="Cambria Math" w:hAnsi="Cambria Math"/>
                <w:color w:val="000000"/>
                <w:sz w:val="24"/>
                <w:szCs w:val="26"/>
                <w:lang w:val="fr-FR"/>
              </w:rPr>
              <m:t>1000 ×100</m:t>
            </m:r>
          </m:den>
        </m:f>
      </m:oMath>
    </w:p>
    <w:p>
      <w:pPr>
        <w:pStyle w:val="style0"/>
        <w:spacing w:after="0" w:lineRule="auto" w:line="480"/>
        <w:jc w:val="both"/>
        <w:rPr>
          <w:color w:val="000000"/>
          <w:sz w:val="24"/>
          <w:szCs w:val="26"/>
          <w:lang w:val="fr-FR"/>
        </w:rPr>
      </w:pPr>
      <w:r>
        <w:rPr>
          <w:color w:val="000000"/>
          <w:sz w:val="24"/>
          <w:szCs w:val="26"/>
          <w:lang w:val="fr-FR"/>
        </w:rPr>
        <w:t>%crude protein = %N x 6.25</w:t>
      </w:r>
    </w:p>
    <w:p>
      <w:pPr>
        <w:pStyle w:val="style0"/>
        <w:spacing w:after="0" w:lineRule="auto" w:line="480"/>
        <w:jc w:val="both"/>
        <w:rPr>
          <w:b/>
          <w:bCs/>
          <w:color w:val="000000"/>
          <w:sz w:val="24"/>
          <w:szCs w:val="26"/>
        </w:rPr>
      </w:pPr>
      <w:r>
        <w:rPr>
          <w:b/>
          <w:bCs/>
          <w:color w:val="000000"/>
          <w:sz w:val="24"/>
          <w:szCs w:val="26"/>
        </w:rPr>
        <w:t>Where;</w:t>
      </w:r>
    </w:p>
    <w:p>
      <w:pPr>
        <w:pStyle w:val="style0"/>
        <w:spacing w:after="0" w:lineRule="auto" w:line="480"/>
        <w:jc w:val="both"/>
        <w:rPr>
          <w:color w:val="000000"/>
          <w:sz w:val="24"/>
          <w:szCs w:val="26"/>
        </w:rPr>
      </w:pPr>
      <w:r>
        <w:rPr>
          <w:color w:val="000000"/>
          <w:sz w:val="24"/>
          <w:szCs w:val="26"/>
        </w:rPr>
        <w:t xml:space="preserve">VA= volume of acid used, </w:t>
      </w:r>
    </w:p>
    <w:p>
      <w:pPr>
        <w:pStyle w:val="style0"/>
        <w:spacing w:after="0" w:lineRule="auto" w:line="480"/>
        <w:jc w:val="both"/>
        <w:rPr>
          <w:color w:val="000000"/>
          <w:sz w:val="24"/>
          <w:szCs w:val="26"/>
        </w:rPr>
      </w:pPr>
      <w:r>
        <w:rPr>
          <w:color w:val="000000"/>
          <w:sz w:val="24"/>
          <w:szCs w:val="26"/>
        </w:rPr>
        <w:t>w= weight of sample,</w:t>
      </w:r>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.3 Determination of crude ash</w:t>
      </w:r>
    </w:p>
    <w:p>
      <w:pPr>
        <w:pStyle w:val="style0"/>
        <w:spacing w:after="0" w:lineRule="auto" w:line="480"/>
        <w:jc w:val="both"/>
        <w:rPr>
          <w:color w:val="000000"/>
          <w:sz w:val="24"/>
          <w:szCs w:val="26"/>
        </w:rPr>
      </w:pPr>
      <w:r>
        <w:rPr>
          <w:color w:val="000000"/>
          <w:sz w:val="24"/>
          <w:szCs w:val="26"/>
        </w:rPr>
        <w:t>Determination of Ash content of the samples: Ash is the inorganic residue obtained by burning off the organic matter of feedstuff at 400-600°C in muffle furnace for 4</w:t>
      </w:r>
      <w:r>
        <w:rPr>
          <w:color w:val="000000"/>
          <w:sz w:val="24"/>
          <w:szCs w:val="26"/>
        </w:rPr>
        <w:t xml:space="preserve"> </w:t>
      </w:r>
      <w:r>
        <w:rPr>
          <w:color w:val="000000"/>
          <w:sz w:val="24"/>
          <w:szCs w:val="26"/>
        </w:rPr>
        <w:t>hours. 2</w:t>
      </w:r>
      <w:r>
        <w:rPr>
          <w:color w:val="000000"/>
          <w:sz w:val="24"/>
          <w:szCs w:val="26"/>
        </w:rPr>
        <w:t xml:space="preserve"> </w:t>
      </w:r>
      <w:r>
        <w:rPr>
          <w:color w:val="000000"/>
          <w:sz w:val="24"/>
          <w:szCs w:val="26"/>
        </w:rPr>
        <w:t>g of the sample was weighed into a pre-heated crucible. The crucible was placed into muffle furnace at 400-600°C for 4 hours or until whitish-grey ash was obtained. The crucible was then placed in the desiccator and weighed.</w:t>
      </w:r>
    </w:p>
    <w:p>
      <w:pPr>
        <w:pStyle w:val="style0"/>
        <w:spacing w:after="0" w:lineRule="auto" w:line="480"/>
        <w:jc w:val="both"/>
        <w:rPr>
          <w:rFonts w:eastAsia="宋体"/>
          <w:color w:val="000000"/>
          <w:sz w:val="24"/>
          <w:szCs w:val="26"/>
        </w:rPr>
      </w:pPr>
      <w:r>
        <w:rPr>
          <w:color w:val="000000"/>
          <w:sz w:val="24"/>
          <w:szCs w:val="26"/>
        </w:rPr>
        <w:t xml:space="preserve">%ASH = </w:t>
      </w:r>
      <m:oMath>
        <m:f>
          <m:fPr>
            <m:ctrlPr>
              <w:rPr>
                <w:rFonts w:ascii="Cambria Math" w:hAnsi="Cambria Math"/>
                <w:i/>
                <w:color w:val="000000"/>
                <w:sz w:val="24"/>
                <w:szCs w:val="26"/>
              </w:rPr>
            </m:ctrlPr>
          </m:fPr>
          <m:num>
            <m:r>
              <w:rPr>
                <w:rFonts w:ascii="Cambria Math" w:hAnsi="Cambria Math"/>
                <w:color w:val="000000"/>
                <w:sz w:val="24"/>
                <w:szCs w:val="26"/>
              </w:rPr>
              <m:t xml:space="preserve">wt. of crucible+ash-wt. of crucible </m:t>
            </m:r>
          </m:num>
          <m:den>
            <m:r>
              <w:rPr>
                <w:rFonts w:ascii="Cambria Math" w:hAnsi="Cambria Math"/>
                <w:color w:val="000000"/>
                <w:sz w:val="24"/>
                <w:szCs w:val="26"/>
              </w:rPr>
              <m:t xml:space="preserve">wt of sample </m:t>
            </m:r>
          </m:den>
        </m:f>
        <m:r>
          <w:rPr>
            <w:rFonts w:ascii="Cambria Math" w:hAnsi="Cambria Math"/>
            <w:color w:val="000000"/>
            <w:sz w:val="24"/>
            <w:szCs w:val="26"/>
          </w:rPr>
          <m:t>×100</m:t>
        </m:r>
      </m:oMath>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.4 Determination of lipid </w:t>
      </w:r>
    </w:p>
    <w:p>
      <w:pPr>
        <w:pStyle w:val="style0"/>
        <w:spacing w:after="0" w:lineRule="auto" w:line="480"/>
        <w:jc w:val="both"/>
        <w:rPr>
          <w:color w:val="000000"/>
          <w:sz w:val="24"/>
          <w:szCs w:val="26"/>
        </w:rPr>
      </w:pPr>
      <w:r>
        <w:rPr>
          <w:color w:val="000000"/>
          <w:sz w:val="24"/>
          <w:szCs w:val="26"/>
        </w:rPr>
        <w:t xml:space="preserve">Determination of Fat content: The ether extract of a </w:t>
      </w:r>
      <w:r>
        <w:rPr>
          <w:i/>
          <w:color w:val="000000"/>
          <w:sz w:val="24"/>
          <w:szCs w:val="26"/>
        </w:rPr>
        <w:t>Sida Acuta</w:t>
      </w:r>
      <w:r>
        <w:rPr>
          <w:color w:val="000000"/>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Pr>
          <w:color w:val="000000"/>
          <w:sz w:val="24"/>
          <w:szCs w:val="26"/>
        </w:rPr>
        <w:t xml:space="preserve"> ml flask. A</w:t>
      </w:r>
      <w:r>
        <w:rPr>
          <w:color w:val="000000"/>
          <w:sz w:val="24"/>
          <w:szCs w:val="26"/>
        </w:rPr>
        <w:t>bout 150</w:t>
      </w:r>
      <w:r>
        <w:rPr>
          <w:color w:val="000000"/>
          <w:sz w:val="24"/>
          <w:szCs w:val="26"/>
        </w:rPr>
        <w:t xml:space="preserve"> </w:t>
      </w:r>
      <w:r>
        <w:rPr>
          <w:color w:val="000000"/>
          <w:sz w:val="24"/>
          <w:szCs w:val="26"/>
        </w:rPr>
        <w:t>ml of an anhydrous diethyl ether (petroleum ether) of boiling point of 40°-60°C was placed in the flask. 2-5</w:t>
      </w:r>
      <w:r>
        <w:rPr>
          <w:color w:val="000000"/>
          <w:sz w:val="24"/>
          <w:szCs w:val="26"/>
        </w:rPr>
        <w:t xml:space="preserve"> </w:t>
      </w:r>
      <w:r>
        <w:rPr>
          <w:color w:val="000000"/>
          <w:sz w:val="24"/>
          <w:szCs w:val="26"/>
        </w:rPr>
        <w:t>g of the sample was</w:t>
      </w:r>
    </w:p>
    <w:p>
      <w:pPr>
        <w:pStyle w:val="style0"/>
        <w:spacing w:after="0" w:lineRule="auto" w:line="480"/>
        <w:jc w:val="both"/>
        <w:rPr>
          <w:color w:val="000000"/>
          <w:sz w:val="24"/>
          <w:szCs w:val="26"/>
        </w:rPr>
      </w:pPr>
      <w:r>
        <w:rPr>
          <w:color w:val="000000"/>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Pr>
          <w:color w:val="000000"/>
          <w:sz w:val="24"/>
          <w:szCs w:val="26"/>
        </w:rPr>
        <w:t xml:space="preserve"> </w:t>
      </w:r>
      <w:r>
        <w:rPr>
          <w:color w:val="000000"/>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pPr>
        <w:pStyle w:val="style0"/>
        <w:spacing w:after="0" w:lineRule="auto" w:line="480"/>
        <w:jc w:val="both"/>
        <w:rPr>
          <w:rFonts w:eastAsia="宋体"/>
          <w:color w:val="000000"/>
          <w:sz w:val="24"/>
          <w:szCs w:val="26"/>
        </w:rPr>
      </w:pPr>
      <w:r>
        <w:rPr>
          <w:rFonts w:eastAsia="宋体"/>
          <w:color w:val="000000"/>
          <w:sz w:val="24"/>
          <w:szCs w:val="26"/>
        </w:rPr>
        <w:t xml:space="preserve">% ether extract </w:t>
      </w:r>
      <m:oMath>
        <m:f>
          <m:fPr>
            <m:ctrlPr>
              <w:rPr>
                <w:rFonts w:ascii="Cambria Math" w:hAnsi="Cambria Math"/>
                <w:i/>
                <w:color w:val="000000"/>
                <w:sz w:val="24"/>
                <w:szCs w:val="26"/>
              </w:rPr>
            </m:ctrlPr>
          </m:fPr>
          <m:num>
            <m:r>
              <m:rPr>
                <m:sty m:val="p"/>
              </m:rPr>
              <w:rPr>
                <w:rFonts w:ascii="Cambria Math" w:hAnsi="Cambria Math"/>
                <w:color w:val="000000"/>
                <w:sz w:val="24"/>
                <w:szCs w:val="26"/>
              </w:rPr>
              <m:t>weight of flask + extract-tare weight of flask</m:t>
            </m:r>
          </m:num>
          <m:den>
            <m:r>
              <w:rPr>
                <w:rFonts w:ascii="Cambria Math" w:hAnsi="Cambria Math"/>
                <w:color w:val="000000"/>
                <w:sz w:val="24"/>
                <w:szCs w:val="26"/>
              </w:rPr>
              <m:t>Wt of sample</m:t>
            </m:r>
          </m:den>
        </m:f>
        <m:r>
          <m:rPr>
            <m:sty m:val="p"/>
          </m:rPr>
          <w:rPr>
            <w:rFonts w:ascii="Cambria Math" w:hAnsi="Cambria Math"/>
            <w:color w:val="000000"/>
            <w:sz w:val="24"/>
            <w:szCs w:val="26"/>
          </w:rPr>
          <m:t xml:space="preserve">x100 </m:t>
        </m:r>
      </m:oMath>
    </w:p>
    <w:p>
      <w:pPr>
        <w:pStyle w:val="style0"/>
        <w:spacing w:after="0" w:lineRule="auto" w:line="480"/>
        <w:jc w:val="both"/>
        <w:rPr>
          <w:b/>
          <w:bCs/>
          <w:color w:val="000000"/>
          <w:sz w:val="24"/>
          <w:szCs w:val="26"/>
        </w:rPr>
      </w:pPr>
      <w:r>
        <w:rPr>
          <w:b/>
          <w:bCs/>
          <w:color w:val="000000"/>
          <w:sz w:val="24"/>
          <w:szCs w:val="26"/>
        </w:rPr>
        <w:t>3.2.4</w:t>
      </w:r>
      <w:r>
        <w:rPr>
          <w:b/>
          <w:bCs/>
          <w:color w:val="000000"/>
          <w:sz w:val="24"/>
          <w:szCs w:val="26"/>
        </w:rPr>
        <w:t xml:space="preserve">.5 Determination of Fibre </w:t>
      </w:r>
    </w:p>
    <w:p>
      <w:pPr>
        <w:pStyle w:val="style0"/>
        <w:spacing w:after="0" w:lineRule="auto" w:line="480"/>
        <w:jc w:val="both"/>
        <w:rPr>
          <w:color w:val="000000"/>
          <w:sz w:val="24"/>
          <w:szCs w:val="26"/>
        </w:rPr>
      </w:pPr>
      <w:r>
        <w:rPr>
          <w:color w:val="000000"/>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Pr>
          <w:color w:val="000000"/>
          <w:sz w:val="24"/>
          <w:szCs w:val="26"/>
        </w:rPr>
        <w:t>The fat-free material was then transferred into a flask/beaker and 200</w:t>
      </w:r>
      <w:r>
        <w:rPr>
          <w:color w:val="000000"/>
          <w:sz w:val="24"/>
          <w:szCs w:val="26"/>
        </w:rPr>
        <w:t xml:space="preserve"> </w:t>
      </w:r>
      <w:r>
        <w:rPr>
          <w:color w:val="000000"/>
          <w:sz w:val="24"/>
          <w:szCs w:val="26"/>
        </w:rPr>
        <w:t>ml of pre-heated 1.25% H</w:t>
      </w:r>
      <w:r>
        <w:rPr>
          <w:color w:val="000000"/>
          <w:sz w:val="24"/>
          <w:szCs w:val="26"/>
          <w:vertAlign w:val="subscript"/>
        </w:rPr>
        <w:t>2</w:t>
      </w:r>
      <w:r>
        <w:rPr>
          <w:color w:val="000000"/>
          <w:sz w:val="24"/>
          <w:szCs w:val="26"/>
        </w:rPr>
        <w:t>SO</w:t>
      </w:r>
      <w:r>
        <w:rPr>
          <w:color w:val="000000"/>
          <w:sz w:val="24"/>
          <w:szCs w:val="26"/>
          <w:vertAlign w:val="subscript"/>
        </w:rPr>
        <w:t>4</w:t>
      </w:r>
      <w:r>
        <w:rPr>
          <w:color w:val="000000"/>
          <w:sz w:val="24"/>
          <w:szCs w:val="26"/>
        </w:rPr>
        <w:t xml:space="preserve"> was added and the solution was gently boiled for about 30</w:t>
      </w:r>
      <w:r>
        <w:rPr>
          <w:color w:val="000000"/>
          <w:sz w:val="24"/>
          <w:szCs w:val="26"/>
        </w:rPr>
        <w:t xml:space="preserve"> minutes</w:t>
      </w:r>
      <w:r>
        <w:rPr>
          <w:color w:val="000000"/>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Pr>
          <w:color w:val="000000"/>
          <w:sz w:val="24"/>
          <w:szCs w:val="26"/>
        </w:rPr>
        <w:t xml:space="preserve"> ml of pre-heated 1.25% NaSO</w:t>
      </w:r>
      <w:r>
        <w:rPr>
          <w:color w:val="000000"/>
          <w:sz w:val="24"/>
          <w:szCs w:val="26"/>
        </w:rPr>
        <w:t xml:space="preserve"> was added and boiled for another 30 minutes.</w:t>
      </w:r>
    </w:p>
    <w:p>
      <w:pPr>
        <w:pStyle w:val="style0"/>
        <w:spacing w:after="0" w:lineRule="auto" w:line="480"/>
        <w:jc w:val="both"/>
        <w:rPr>
          <w:color w:val="000000"/>
          <w:sz w:val="24"/>
          <w:szCs w:val="26"/>
        </w:rPr>
      </w:pPr>
      <w:r>
        <w:rPr>
          <w:color w:val="000000"/>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 xml:space="preserve"> Mineral Analysis </w:t>
      </w:r>
    </w:p>
    <w:p>
      <w:pPr>
        <w:pStyle w:val="style0"/>
        <w:spacing w:after="0" w:lineRule="auto" w:line="480"/>
        <w:jc w:val="both"/>
        <w:rPr>
          <w:b/>
          <w:bCs/>
          <w:color w:val="000000"/>
          <w:sz w:val="24"/>
          <w:szCs w:val="26"/>
        </w:rPr>
      </w:pPr>
      <w:r>
        <w:rPr>
          <w:b/>
          <w:bCs/>
          <w:color w:val="000000"/>
          <w:sz w:val="24"/>
          <w:szCs w:val="26"/>
        </w:rPr>
        <w:t>3.2.5.2</w:t>
      </w:r>
      <w:r>
        <w:rPr>
          <w:b/>
          <w:bCs/>
          <w:color w:val="000000"/>
          <w:sz w:val="24"/>
          <w:szCs w:val="26"/>
        </w:rPr>
        <w:t xml:space="preserve"> Determination of</w:t>
      </w:r>
      <w:r>
        <w:rPr>
          <w:b/>
          <w:bCs/>
          <w:color w:val="000000"/>
          <w:sz w:val="24"/>
          <w:szCs w:val="26"/>
        </w:rPr>
        <w:t xml:space="preserve"> Sodium </w:t>
      </w:r>
      <w:r>
        <w:rPr>
          <w:b/>
          <w:bCs/>
          <w:color w:val="000000"/>
          <w:sz w:val="24"/>
          <w:szCs w:val="26"/>
        </w:rPr>
        <w:t xml:space="preserve">Content </w:t>
      </w:r>
    </w:p>
    <w:p>
      <w:pPr>
        <w:pStyle w:val="style0"/>
        <w:spacing w:after="0" w:lineRule="auto" w:line="480"/>
        <w:jc w:val="both"/>
        <w:rPr>
          <w:rFonts w:eastAsia="Calibri"/>
          <w:color w:val="000000"/>
          <w:sz w:val="24"/>
          <w:szCs w:val="26"/>
        </w:rPr>
      </w:pPr>
      <w:r>
        <w:rPr>
          <w:rFonts w:eastAsia="Calibri"/>
          <w:color w:val="000000"/>
          <w:sz w:val="24"/>
          <w:szCs w:val="26"/>
        </w:rPr>
        <w:t>The Procedure described by Tietz (1983) was used to assay for</w:t>
      </w:r>
      <w:r>
        <w:rPr>
          <w:rFonts w:eastAsia="Calibri"/>
          <w:color w:val="000000"/>
          <w:sz w:val="24"/>
          <w:szCs w:val="26"/>
        </w:rPr>
        <w:t xml:space="preserve"> </w:t>
      </w:r>
      <w:r>
        <w:rPr>
          <w:bCs/>
          <w:color w:val="000000"/>
          <w:sz w:val="24"/>
          <w:szCs w:val="26"/>
        </w:rPr>
        <w:t>presence</w:t>
      </w:r>
      <w:r>
        <w:rPr>
          <w:rFonts w:eastAsia="Calibri"/>
          <w:color w:val="000000"/>
          <w:sz w:val="24"/>
          <w:szCs w:val="26"/>
        </w:rPr>
        <w:t xml:space="preserve"> </w:t>
      </w:r>
      <w:r>
        <w:rPr>
          <w:rFonts w:eastAsia="Calibri"/>
          <w:color w:val="000000"/>
          <w:sz w:val="24"/>
          <w:szCs w:val="26"/>
        </w:rPr>
        <w:t xml:space="preserve">of </w:t>
      </w:r>
      <w:r>
        <w:rPr>
          <w:rFonts w:eastAsia="Calibri"/>
          <w:color w:val="000000"/>
          <w:sz w:val="24"/>
          <w:szCs w:val="26"/>
        </w:rPr>
        <w:t>sodium.</w:t>
      </w:r>
    </w:p>
    <w:p>
      <w:pPr>
        <w:pStyle w:val="style0"/>
        <w:spacing w:after="0" w:lineRule="auto" w:line="480"/>
        <w:jc w:val="both"/>
        <w:rPr>
          <w:rFonts w:eastAsia="Calibri"/>
          <w:b/>
          <w:bCs/>
          <w:color w:val="000000"/>
          <w:sz w:val="24"/>
          <w:szCs w:val="26"/>
        </w:rPr>
      </w:pPr>
      <w:r>
        <w:rPr>
          <w:rFonts w:eastAsia="Calibri"/>
          <w:b/>
          <w:bCs/>
          <w:color w:val="000000"/>
          <w:sz w:val="24"/>
          <w:szCs w:val="26"/>
        </w:rPr>
        <w:t>Procedure:</w:t>
      </w:r>
    </w:p>
    <w:p>
      <w:pPr>
        <w:pStyle w:val="style0"/>
        <w:spacing w:after="0" w:lineRule="auto" w:line="480"/>
        <w:jc w:val="both"/>
        <w:rPr>
          <w:rFonts w:eastAsia="Calibri"/>
          <w:color w:val="000000"/>
          <w:sz w:val="24"/>
          <w:szCs w:val="26"/>
        </w:rPr>
      </w:pPr>
      <w:r>
        <w:rPr>
          <w:rFonts w:eastAsia="Calibri"/>
          <w:color w:val="000000"/>
          <w:sz w:val="24"/>
          <w:szCs w:val="26"/>
        </w:rPr>
        <w:t>S</w:t>
      </w:r>
      <w:r>
        <w:rPr>
          <w:rFonts w:eastAsia="Calibri"/>
          <w:color w:val="000000"/>
          <w:sz w:val="24"/>
          <w:szCs w:val="26"/>
        </w:rPr>
        <w:t>odium reagent</w:t>
      </w:r>
      <w:r>
        <w:rPr>
          <w:rFonts w:eastAsia="Calibri"/>
          <w:color w:val="000000"/>
          <w:sz w:val="24"/>
          <w:szCs w:val="26"/>
        </w:rPr>
        <w:t xml:space="preserve"> (1000µl)</w:t>
      </w:r>
      <w:r>
        <w:rPr>
          <w:rFonts w:eastAsia="Calibri"/>
          <w:color w:val="000000"/>
          <w:sz w:val="24"/>
          <w:szCs w:val="26"/>
        </w:rPr>
        <w:t xml:space="preserve"> was added to 10µl of the sample and standard in a test tube. The solution was incubated at 37ᶿC for five (5) minutes. The absorbance value was read at 630</w:t>
      </w:r>
      <w:r>
        <w:rPr>
          <w:rFonts w:eastAsia="Calibri"/>
          <w:color w:val="000000"/>
          <w:sz w:val="24"/>
          <w:szCs w:val="26"/>
        </w:rPr>
        <w:t xml:space="preserve"> </w:t>
      </w:r>
      <w:r>
        <w:rPr>
          <w:rFonts w:eastAsia="Calibri"/>
          <w:color w:val="000000"/>
          <w:sz w:val="24"/>
          <w:szCs w:val="26"/>
        </w:rPr>
        <w:t>nm.</w:t>
      </w:r>
    </w:p>
    <w:p>
      <w:pPr>
        <w:pStyle w:val="style0"/>
        <w:spacing w:before="100" w:beforeAutospacing="true" w:after="0" w:lineRule="auto" w:line="480"/>
        <w:jc w:val="both"/>
        <w:rPr>
          <w:rFonts w:eastAsia="Calibri"/>
          <w:b/>
          <w:color w:val="000000"/>
          <w:sz w:val="24"/>
          <w:szCs w:val="26"/>
        </w:rPr>
      </w:pPr>
      <w:r>
        <w:rPr>
          <w:rFonts w:eastAsia="Calibri"/>
          <w:b/>
          <w:color w:val="000000"/>
          <w:sz w:val="24"/>
          <w:szCs w:val="26"/>
        </w:rPr>
        <w:t>Calculation:</w:t>
      </w:r>
    </w:p>
    <w:p>
      <w:pPr>
        <w:pStyle w:val="style0"/>
        <w:spacing w:after="0" w:lineRule="auto" w:line="480"/>
        <w:jc w:val="both"/>
        <w:rPr>
          <w:rFonts w:eastAsia="Calibri"/>
          <w:b/>
          <w:color w:val="000000"/>
          <w:sz w:val="24"/>
          <w:szCs w:val="26"/>
          <w:u w:val="single"/>
        </w:rPr>
      </w:pPr>
      <w:r>
        <w:rPr>
          <w:rFonts w:eastAsia="Calibri"/>
          <w:color w:val="000000"/>
          <w:sz w:val="24"/>
          <w:szCs w:val="26"/>
        </w:rPr>
        <w:t xml:space="preserve">Sodium ion concentration (mmol/L) = </w:t>
      </w:r>
      <w:r>
        <w:rPr>
          <w:rFonts w:eastAsia="Calibri"/>
          <w:b/>
          <w:color w:val="000000"/>
          <w:sz w:val="24"/>
          <w:szCs w:val="26"/>
          <w:u w:val="single"/>
        </w:rPr>
        <w:t>A</w:t>
      </w:r>
      <w:r>
        <w:rPr>
          <w:rFonts w:eastAsia="Calibri"/>
          <w:b/>
          <w:color w:val="000000"/>
          <w:sz w:val="24"/>
          <w:szCs w:val="26"/>
          <w:u w:val="single"/>
          <w:vertAlign w:val="subscript"/>
        </w:rPr>
        <w:t>sample</w:t>
      </w:r>
      <w:r>
        <w:rPr>
          <w:rFonts w:eastAsia="Calibri"/>
          <w:b/>
          <w:color w:val="000000"/>
          <w:sz w:val="24"/>
          <w:szCs w:val="26"/>
          <w:u w:val="single"/>
        </w:rPr>
        <w:t xml:space="preserve"> × Concentration of standard</w:t>
      </w:r>
    </w:p>
    <w:p>
      <w:pPr>
        <w:pStyle w:val="style0"/>
        <w:spacing w:after="0" w:lineRule="auto" w:line="480"/>
        <w:ind w:left="4320" w:firstLine="720"/>
        <w:jc w:val="both"/>
        <w:rPr>
          <w:rFonts w:eastAsia="Calibri"/>
          <w:b/>
          <w:color w:val="000000"/>
          <w:sz w:val="24"/>
          <w:szCs w:val="26"/>
          <w:vertAlign w:val="subscript"/>
        </w:rPr>
      </w:pPr>
      <w:r>
        <w:rPr>
          <w:rFonts w:eastAsia="Calibri"/>
          <w:b/>
          <w:color w:val="000000"/>
          <w:sz w:val="24"/>
          <w:szCs w:val="26"/>
        </w:rPr>
        <w:t>A</w:t>
      </w:r>
      <w:r>
        <w:rPr>
          <w:rFonts w:eastAsia="Calibri"/>
          <w:b/>
          <w:color w:val="000000"/>
          <w:sz w:val="24"/>
          <w:szCs w:val="26"/>
          <w:vertAlign w:val="subscript"/>
        </w:rPr>
        <w:t>standard</w:t>
      </w:r>
    </w:p>
    <w:p>
      <w:pPr>
        <w:pStyle w:val="style0"/>
        <w:spacing w:after="0" w:lineRule="auto" w:line="480"/>
        <w:jc w:val="both"/>
        <w:rPr>
          <w:rFonts w:eastAsia="Calibri"/>
          <w:color w:val="000000"/>
          <w:sz w:val="24"/>
          <w:szCs w:val="26"/>
        </w:rPr>
      </w:pPr>
      <w:r>
        <w:rPr>
          <w:rFonts w:eastAsia="Calibri"/>
          <w:color w:val="000000"/>
          <w:sz w:val="24"/>
          <w:szCs w:val="26"/>
        </w:rPr>
        <w:t>Note; Sodium reagent contains Tris buffer, proclin 300 and Chromogen.</w:t>
      </w:r>
    </w:p>
    <w:p>
      <w:pPr>
        <w:pStyle w:val="style0"/>
        <w:spacing w:after="0" w:lineRule="auto" w:line="480"/>
        <w:jc w:val="both"/>
        <w:rPr>
          <w:b/>
          <w:color w:val="000000"/>
          <w:sz w:val="24"/>
          <w:szCs w:val="26"/>
        </w:rPr>
      </w:pPr>
      <w:r>
        <w:rPr>
          <w:b/>
          <w:color w:val="000000"/>
          <w:sz w:val="24"/>
          <w:szCs w:val="26"/>
        </w:rPr>
        <w:t>3.2.5</w:t>
      </w:r>
      <w:r>
        <w:rPr>
          <w:b/>
          <w:color w:val="000000"/>
          <w:sz w:val="24"/>
          <w:szCs w:val="26"/>
        </w:rPr>
        <w:t xml:space="preserve">.3 </w:t>
      </w:r>
      <w:r>
        <w:rPr>
          <w:b/>
          <w:bCs/>
          <w:color w:val="000000"/>
          <w:sz w:val="24"/>
          <w:szCs w:val="26"/>
        </w:rPr>
        <w:t xml:space="preserve">Determination of </w:t>
      </w:r>
      <w:r>
        <w:rPr>
          <w:b/>
          <w:color w:val="000000"/>
          <w:sz w:val="24"/>
          <w:szCs w:val="26"/>
        </w:rPr>
        <w:t xml:space="preserve">Potassium </w:t>
      </w:r>
      <w:r>
        <w:rPr>
          <w:b/>
          <w:bCs/>
          <w:color w:val="000000"/>
          <w:sz w:val="24"/>
          <w:szCs w:val="26"/>
        </w:rPr>
        <w:t>Content</w:t>
      </w:r>
      <w:r>
        <w:rPr>
          <w:b/>
          <w:color w:val="000000"/>
          <w:sz w:val="24"/>
          <w:szCs w:val="26"/>
        </w:rPr>
        <w:t xml:space="preserve"> </w:t>
      </w:r>
    </w:p>
    <w:p>
      <w:pPr>
        <w:pStyle w:val="style0"/>
        <w:spacing w:after="0" w:lineRule="auto" w:line="480"/>
        <w:jc w:val="both"/>
        <w:rPr>
          <w:rFonts w:eastAsia="Calibri"/>
          <w:color w:val="000000"/>
          <w:sz w:val="24"/>
          <w:szCs w:val="26"/>
        </w:rPr>
      </w:pPr>
      <w:r>
        <w:rPr>
          <w:rFonts w:eastAsia="Calibri"/>
          <w:color w:val="000000"/>
          <w:sz w:val="24"/>
          <w:szCs w:val="26"/>
        </w:rPr>
        <w:t>The method described by Tietz, (</w:t>
      </w:r>
      <w:r>
        <w:rPr>
          <w:rFonts w:eastAsia="Calibri"/>
          <w:color w:val="000000"/>
          <w:sz w:val="24"/>
          <w:szCs w:val="26"/>
        </w:rPr>
        <w:t xml:space="preserve">1995) was used to assay for the </w:t>
      </w:r>
      <w:r>
        <w:rPr>
          <w:color w:val="000000"/>
          <w:sz w:val="24"/>
          <w:szCs w:val="26"/>
        </w:rPr>
        <w:t>Potassium</w:t>
      </w:r>
      <w:r>
        <w:rPr>
          <w:b/>
          <w:color w:val="000000"/>
          <w:sz w:val="24"/>
          <w:szCs w:val="26"/>
        </w:rPr>
        <w:t xml:space="preserve"> </w:t>
      </w:r>
      <w:r>
        <w:rPr>
          <w:bCs/>
          <w:color w:val="000000"/>
          <w:sz w:val="24"/>
          <w:szCs w:val="26"/>
        </w:rPr>
        <w:t>Content</w:t>
      </w:r>
      <w:r>
        <w:rPr>
          <w:rFonts w:eastAsia="Calibri"/>
          <w:color w:val="000000"/>
          <w:sz w:val="24"/>
          <w:szCs w:val="26"/>
        </w:rPr>
        <w:t>.</w:t>
      </w:r>
    </w:p>
    <w:p>
      <w:pPr>
        <w:pStyle w:val="style0"/>
        <w:spacing w:after="0" w:lineRule="auto" w:line="480"/>
        <w:jc w:val="both"/>
        <w:rPr>
          <w:rFonts w:eastAsia="Calibri"/>
          <w:b/>
          <w:color w:val="000000"/>
          <w:sz w:val="24"/>
          <w:szCs w:val="26"/>
        </w:rPr>
      </w:pPr>
      <w:r>
        <w:rPr>
          <w:rFonts w:eastAsia="Calibri"/>
          <w:b/>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 xml:space="preserve">Sodium tetraphenylboron reacts with potassium in an alkaline medium to produce a turbid suspension of potassium tetraphenylboron. Thus, the turbidity produced is directly proportional to the concentration of </w:t>
      </w:r>
      <w:r>
        <w:rPr>
          <w:rFonts w:eastAsia="Calibri"/>
          <w:color w:val="000000"/>
          <w:sz w:val="24"/>
          <w:szCs w:val="26"/>
        </w:rPr>
        <w:t xml:space="preserve">potassium in the serum tested. </w:t>
      </w:r>
    </w:p>
    <w:p>
      <w:pPr>
        <w:pStyle w:val="style0"/>
        <w:spacing w:after="0" w:lineRule="auto" w:line="480"/>
        <w:jc w:val="both"/>
        <w:rPr>
          <w:rFonts w:eastAsia="Calibri"/>
          <w:b/>
          <w:color w:val="000000"/>
          <w:sz w:val="24"/>
          <w:szCs w:val="26"/>
        </w:rPr>
      </w:pPr>
      <w:r>
        <w:rPr>
          <w:rFonts w:eastAsia="Calibri"/>
          <w:b/>
          <w:color w:val="000000"/>
          <w:sz w:val="24"/>
          <w:szCs w:val="26"/>
        </w:rPr>
        <w:t>Procedure:</w:t>
      </w:r>
    </w:p>
    <w:p>
      <w:pPr>
        <w:pStyle w:val="style0"/>
        <w:spacing w:before="240" w:after="0" w:lineRule="auto" w:line="480"/>
        <w:jc w:val="both"/>
        <w:rPr>
          <w:rFonts w:eastAsia="Calibri"/>
          <w:color w:val="000000"/>
          <w:sz w:val="24"/>
          <w:szCs w:val="26"/>
        </w:rPr>
      </w:pPr>
      <w:r>
        <w:rPr>
          <w:rFonts w:eastAsia="Calibri"/>
          <w:color w:val="000000"/>
          <w:sz w:val="24"/>
          <w:szCs w:val="26"/>
        </w:rPr>
        <w:t>Sodium</w:t>
      </w:r>
      <w:r>
        <w:rPr>
          <w:rFonts w:eastAsia="Calibri"/>
          <w:color w:val="000000"/>
          <w:sz w:val="24"/>
          <w:szCs w:val="26"/>
        </w:rPr>
        <w:t xml:space="preserve"> tetraphenylboron</w:t>
      </w:r>
      <w:r>
        <w:rPr>
          <w:rFonts w:eastAsia="Calibri"/>
          <w:color w:val="000000"/>
          <w:sz w:val="24"/>
          <w:szCs w:val="26"/>
        </w:rPr>
        <w:t xml:space="preserve"> (1.0 ml)</w:t>
      </w:r>
      <w:r>
        <w:rPr>
          <w:rFonts w:eastAsia="Calibri"/>
          <w:color w:val="000000"/>
          <w:sz w:val="24"/>
          <w:szCs w:val="26"/>
        </w:rPr>
        <w:t xml:space="preserve"> reagent was added to 10µ</w:t>
      </w:r>
      <w:r>
        <w:rPr>
          <w:rFonts w:eastAsia="Calibri"/>
          <w:color w:val="000000"/>
          <w:sz w:val="24"/>
          <w:szCs w:val="26"/>
        </w:rPr>
        <w:t>l</w:t>
      </w:r>
      <w:r>
        <w:rPr>
          <w:rFonts w:eastAsia="Calibri"/>
          <w:color w:val="000000"/>
          <w:sz w:val="24"/>
          <w:szCs w:val="26"/>
        </w:rPr>
        <w:t xml:space="preserve"> of sample and standard in a test tube. The mixture was then incubated for five (5) minutes at 37ᶿC. The absorbance value was taken at 578</w:t>
      </w:r>
      <w:r>
        <w:rPr>
          <w:rFonts w:eastAsia="Calibri"/>
          <w:color w:val="000000"/>
          <w:sz w:val="24"/>
          <w:szCs w:val="26"/>
        </w:rPr>
        <w:t xml:space="preserve"> </w:t>
      </w:r>
      <w:r>
        <w:rPr>
          <w:rFonts w:eastAsia="Calibri"/>
          <w:color w:val="000000"/>
          <w:sz w:val="24"/>
          <w:szCs w:val="26"/>
        </w:rPr>
        <w:t>nm.</w:t>
      </w:r>
    </w:p>
    <w:p>
      <w:pPr>
        <w:pStyle w:val="style0"/>
        <w:spacing w:after="0" w:lineRule="auto" w:line="480"/>
        <w:jc w:val="both"/>
        <w:rPr>
          <w:rFonts w:eastAsia="Calibri"/>
          <w:color w:val="000000"/>
          <w:sz w:val="24"/>
          <w:szCs w:val="26"/>
        </w:rPr>
      </w:pPr>
      <w:r>
        <w:rPr>
          <w:rFonts w:eastAsia="Calibri"/>
          <w:color w:val="000000"/>
          <w:sz w:val="24"/>
          <w:szCs w:val="26"/>
        </w:rPr>
        <w:t>NB</w:t>
      </w:r>
      <w:r>
        <w:rPr>
          <w:rFonts w:eastAsia="Calibri"/>
          <w:color w:val="000000"/>
          <w:sz w:val="24"/>
          <w:szCs w:val="26"/>
        </w:rPr>
        <w:t>;Tetraphenylboron</w:t>
      </w:r>
      <w:r>
        <w:rPr>
          <w:rFonts w:eastAsia="Calibri"/>
          <w:color w:val="000000"/>
          <w:sz w:val="24"/>
          <w:szCs w:val="26"/>
        </w:rPr>
        <w:t xml:space="preserve"> reagent contains 0.6</w:t>
      </w:r>
      <w:r>
        <w:rPr>
          <w:rFonts w:eastAsia="Calibri"/>
          <w:color w:val="000000"/>
          <w:sz w:val="24"/>
          <w:szCs w:val="26"/>
        </w:rPr>
        <w:t xml:space="preserve"> </w:t>
      </w:r>
      <w:r>
        <w:rPr>
          <w:rFonts w:eastAsia="Calibri"/>
          <w:color w:val="000000"/>
          <w:sz w:val="24"/>
          <w:szCs w:val="26"/>
        </w:rPr>
        <w:t>mol/L NaOH and 250</w:t>
      </w:r>
      <w:r>
        <w:rPr>
          <w:rFonts w:eastAsia="Calibri"/>
          <w:color w:val="000000"/>
          <w:sz w:val="24"/>
          <w:szCs w:val="26"/>
        </w:rPr>
        <w:t xml:space="preserve"> </w:t>
      </w:r>
      <w:r>
        <w:rPr>
          <w:rFonts w:eastAsia="Calibri"/>
          <w:color w:val="000000"/>
          <w:sz w:val="24"/>
          <w:szCs w:val="26"/>
        </w:rPr>
        <w:t>mmol/L sodium tetraphenylboron.</w:t>
      </w:r>
    </w:p>
    <w:p>
      <w:pPr>
        <w:pStyle w:val="style0"/>
        <w:spacing w:after="0" w:lineRule="auto" w:line="480"/>
        <w:jc w:val="both"/>
        <w:rPr>
          <w:rFonts w:eastAsia="Calibri"/>
          <w:b/>
          <w:bCs/>
          <w:color w:val="000000"/>
          <w:sz w:val="24"/>
          <w:szCs w:val="26"/>
        </w:rPr>
      </w:pPr>
      <w:r>
        <w:rPr>
          <w:rFonts w:eastAsia="Calibri"/>
          <w:b/>
          <w:bCs/>
          <w:color w:val="000000"/>
          <w:sz w:val="24"/>
          <w:szCs w:val="26"/>
        </w:rPr>
        <w:t>Calculation:</w:t>
      </w:r>
    </w:p>
    <w:p>
      <w:pPr>
        <w:pStyle w:val="style0"/>
        <w:spacing w:after="0" w:lineRule="auto" w:line="480"/>
        <w:jc w:val="both"/>
        <w:rPr>
          <w:rFonts w:eastAsia="Calibri"/>
          <w:b/>
          <w:color w:val="000000"/>
          <w:sz w:val="24"/>
          <w:szCs w:val="26"/>
        </w:rPr>
      </w:pPr>
      <w:r>
        <w:rPr>
          <w:rFonts w:eastAsia="Calibri"/>
          <w:color w:val="000000"/>
          <w:sz w:val="24"/>
          <w:szCs w:val="26"/>
        </w:rPr>
        <w:t xml:space="preserve">Potassium ion concentration (mmol/L) = </w:t>
      </w:r>
      <w:r>
        <w:rPr>
          <w:rFonts w:eastAsia="Calibri"/>
          <w:b/>
          <w:color w:val="000000"/>
          <w:sz w:val="24"/>
          <w:szCs w:val="26"/>
          <w:u w:val="single"/>
        </w:rPr>
        <w:t>A</w:t>
      </w:r>
      <w:r>
        <w:rPr>
          <w:rFonts w:eastAsia="Calibri"/>
          <w:b/>
          <w:color w:val="000000"/>
          <w:sz w:val="24"/>
          <w:szCs w:val="26"/>
          <w:u w:val="single"/>
          <w:vertAlign w:val="subscript"/>
        </w:rPr>
        <w:t>sample</w:t>
      </w:r>
      <w:r>
        <w:rPr>
          <w:rFonts w:eastAsia="Calibri"/>
          <w:b/>
          <w:color w:val="000000"/>
          <w:sz w:val="24"/>
          <w:szCs w:val="26"/>
          <w:u w:val="single"/>
        </w:rPr>
        <w:t xml:space="preserve"> × Concentration of standard</w:t>
      </w:r>
    </w:p>
    <w:p>
      <w:pPr>
        <w:pStyle w:val="style0"/>
        <w:spacing w:after="0" w:lineRule="auto" w:line="480"/>
        <w:ind w:left="4320" w:firstLine="720"/>
        <w:jc w:val="both"/>
        <w:rPr>
          <w:rFonts w:eastAsia="Calibri"/>
          <w:b/>
          <w:color w:val="000000"/>
          <w:sz w:val="24"/>
          <w:szCs w:val="26"/>
        </w:rPr>
      </w:pPr>
      <w:r>
        <w:rPr>
          <w:rFonts w:eastAsia="Calibri"/>
          <w:b/>
          <w:color w:val="000000"/>
          <w:sz w:val="24"/>
          <w:szCs w:val="26"/>
        </w:rPr>
        <w:t>A</w:t>
      </w:r>
      <w:r>
        <w:rPr>
          <w:rFonts w:eastAsia="Calibri"/>
          <w:b/>
          <w:color w:val="000000"/>
          <w:sz w:val="24"/>
          <w:szCs w:val="26"/>
          <w:vertAlign w:val="subscript"/>
        </w:rPr>
        <w:t>standard</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.3 Determination of</w:t>
      </w:r>
      <w:r>
        <w:rPr>
          <w:b/>
          <w:bCs/>
          <w:color w:val="000000"/>
          <w:sz w:val="24"/>
          <w:szCs w:val="26"/>
        </w:rPr>
        <w:t xml:space="preserve"> Phosphorus </w:t>
      </w:r>
      <w:r>
        <w:rPr>
          <w:b/>
          <w:bCs/>
          <w:color w:val="000000"/>
          <w:sz w:val="24"/>
          <w:szCs w:val="26"/>
        </w:rPr>
        <w:t>Content</w:t>
      </w:r>
    </w:p>
    <w:p>
      <w:pPr>
        <w:pStyle w:val="style0"/>
        <w:spacing w:lineRule="auto" w:line="480"/>
        <w:ind w:firstLine="360"/>
        <w:jc w:val="both"/>
        <w:rPr>
          <w:sz w:val="24"/>
          <w:szCs w:val="26"/>
        </w:rPr>
      </w:pPr>
      <w:r>
        <w:rPr>
          <w:sz w:val="24"/>
          <w:szCs w:val="26"/>
        </w:rPr>
        <w:t xml:space="preserve">The powder </w:t>
      </w:r>
      <w:r>
        <w:rPr>
          <w:i/>
          <w:sz w:val="24"/>
          <w:szCs w:val="26"/>
        </w:rPr>
        <w:t>sida acuta</w:t>
      </w:r>
      <w:r>
        <w:rPr>
          <w:sz w:val="24"/>
          <w:szCs w:val="26"/>
        </w:rPr>
        <w:t xml:space="preserve"> is mix with solution </w:t>
      </w:r>
      <w:r>
        <w:rPr>
          <w:rStyle w:val="style87"/>
          <w:b w:val="false"/>
          <w:sz w:val="24"/>
          <w:szCs w:val="26"/>
        </w:rPr>
        <w:t>hydrogen peroxide (H</w:t>
      </w:r>
      <w:r>
        <w:rPr>
          <w:rStyle w:val="style87"/>
          <w:rFonts w:ascii="Cambria Math" w:cs="Cambria Math" w:hAnsi="Cambria Math"/>
          <w:b w:val="false"/>
          <w:sz w:val="24"/>
          <w:szCs w:val="26"/>
        </w:rPr>
        <w:t>₂</w:t>
      </w:r>
      <w:r>
        <w:rPr>
          <w:rStyle w:val="style87"/>
          <w:b w:val="false"/>
          <w:sz w:val="24"/>
          <w:szCs w:val="26"/>
        </w:rPr>
        <w:t>O</w:t>
      </w:r>
      <w:r>
        <w:rPr>
          <w:rStyle w:val="style87"/>
          <w:rFonts w:ascii="Cambria Math" w:cs="Cambria Math" w:hAnsi="Cambria Math"/>
          <w:b w:val="false"/>
          <w:sz w:val="24"/>
          <w:szCs w:val="26"/>
        </w:rPr>
        <w:t>₂</w:t>
      </w:r>
      <w:r>
        <w:rPr>
          <w:rStyle w:val="style87"/>
          <w:b w:val="false"/>
          <w:sz w:val="24"/>
          <w:szCs w:val="26"/>
        </w:rPr>
        <w:t>)</w:t>
      </w:r>
      <w:r>
        <w:rPr>
          <w:sz w:val="24"/>
          <w:szCs w:val="26"/>
        </w:rPr>
        <w:t xml:space="preserve"> </w:t>
      </w:r>
      <w:r>
        <w:rPr>
          <w:sz w:val="24"/>
          <w:szCs w:val="26"/>
        </w:rPr>
        <w:t>The</w:t>
      </w:r>
      <w:r>
        <w:rPr>
          <w:sz w:val="24"/>
          <w:szCs w:val="26"/>
        </w:rPr>
        <w:t xml:space="preserve"> phosphorus concentration is determined by comparing the absorbance with a </w:t>
      </w:r>
      <w:r>
        <w:rPr>
          <w:rStyle w:val="style87"/>
          <w:b w:val="false"/>
          <w:sz w:val="24"/>
          <w:szCs w:val="26"/>
        </w:rPr>
        <w:t>standard calibration curve</w:t>
      </w:r>
      <w:r>
        <w:rPr>
          <w:sz w:val="24"/>
          <w:szCs w:val="26"/>
        </w:rPr>
        <w:t xml:space="preserve"> prepared using known concentrations of </w:t>
      </w:r>
      <w:r>
        <w:rPr>
          <w:rStyle w:val="style87"/>
          <w:b w:val="false"/>
          <w:sz w:val="24"/>
          <w:szCs w:val="26"/>
        </w:rPr>
        <w:t>KH</w:t>
      </w:r>
      <w:r>
        <w:rPr>
          <w:rStyle w:val="style87"/>
          <w:rFonts w:ascii="Cambria Math" w:cs="Cambria Math" w:hAnsi="Cambria Math"/>
          <w:b w:val="false"/>
          <w:sz w:val="24"/>
          <w:szCs w:val="26"/>
        </w:rPr>
        <w:t>₂</w:t>
      </w:r>
      <w:r>
        <w:rPr>
          <w:rStyle w:val="style87"/>
          <w:b w:val="false"/>
          <w:sz w:val="24"/>
          <w:szCs w:val="26"/>
        </w:rPr>
        <w:t>PO</w:t>
      </w:r>
      <w:r>
        <w:rPr>
          <w:rStyle w:val="style87"/>
          <w:rFonts w:ascii="Cambria Math" w:cs="Cambria Math" w:hAnsi="Cambria Math"/>
          <w:b w:val="false"/>
          <w:sz w:val="24"/>
          <w:szCs w:val="26"/>
        </w:rPr>
        <w:t>₄.</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.4 Determination of I</w:t>
      </w:r>
      <w:r>
        <w:rPr>
          <w:b/>
          <w:bCs/>
          <w:color w:val="000000"/>
          <w:sz w:val="24"/>
          <w:szCs w:val="26"/>
        </w:rPr>
        <w:t xml:space="preserve">ron </w:t>
      </w:r>
      <w:r>
        <w:rPr>
          <w:b/>
          <w:bCs/>
          <w:color w:val="000000"/>
          <w:sz w:val="24"/>
          <w:szCs w:val="26"/>
        </w:rPr>
        <w:t>Content</w:t>
      </w:r>
    </w:p>
    <w:p>
      <w:pPr>
        <w:pStyle w:val="style0"/>
        <w:spacing w:after="0" w:lineRule="auto" w:line="480"/>
        <w:jc w:val="both"/>
        <w:rPr>
          <w:rFonts w:eastAsia="Calibri"/>
          <w:bCs/>
          <w:color w:val="000000"/>
          <w:sz w:val="24"/>
          <w:szCs w:val="26"/>
        </w:rPr>
      </w:pPr>
      <w:r>
        <w:rPr>
          <w:rFonts w:eastAsia="Calibri"/>
          <w:bCs/>
          <w:color w:val="000000"/>
          <w:sz w:val="24"/>
          <w:szCs w:val="26"/>
        </w:rPr>
        <w:t>Iron (Fe)</w:t>
      </w:r>
    </w:p>
    <w:p>
      <w:pPr>
        <w:pStyle w:val="style0"/>
        <w:spacing w:after="0" w:lineRule="auto" w:line="480"/>
        <w:jc w:val="both"/>
        <w:rPr>
          <w:rFonts w:eastAsia="Calibri"/>
          <w:color w:val="000000"/>
          <w:sz w:val="24"/>
          <w:szCs w:val="26"/>
        </w:rPr>
      </w:pPr>
      <w:r>
        <w:rPr>
          <w:rFonts w:eastAsia="Calibri"/>
          <w:color w:val="000000"/>
          <w:sz w:val="24"/>
          <w:szCs w:val="26"/>
        </w:rPr>
        <w:t xml:space="preserve">The method described by Tietz, (1995) was used to assay for </w:t>
      </w:r>
      <w:r>
        <w:rPr>
          <w:bCs/>
          <w:color w:val="000000"/>
          <w:sz w:val="24"/>
          <w:szCs w:val="26"/>
        </w:rPr>
        <w:t>iron Content</w:t>
      </w:r>
      <w:r>
        <w:rPr>
          <w:rFonts w:eastAsia="Calibri"/>
          <w:color w:val="000000"/>
          <w:sz w:val="24"/>
          <w:szCs w:val="26"/>
        </w:rPr>
        <w:t>.</w:t>
      </w:r>
    </w:p>
    <w:p>
      <w:pPr>
        <w:pStyle w:val="style0"/>
        <w:spacing w:after="0" w:lineRule="auto" w:line="480"/>
        <w:jc w:val="both"/>
        <w:rPr>
          <w:rFonts w:eastAsia="Calibri"/>
          <w:b/>
          <w:color w:val="000000"/>
          <w:sz w:val="24"/>
          <w:szCs w:val="26"/>
        </w:rPr>
      </w:pPr>
      <w:r>
        <w:rPr>
          <w:rFonts w:eastAsia="Calibri"/>
          <w:b/>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pPr>
        <w:pStyle w:val="style0"/>
        <w:spacing w:after="0" w:lineRule="auto" w:line="480"/>
        <w:jc w:val="both"/>
        <w:rPr>
          <w:rFonts w:eastAsia="Calibri"/>
          <w:color w:val="000000"/>
          <w:sz w:val="24"/>
          <w:szCs w:val="26"/>
        </w:rPr>
      </w:pPr>
      <w:r>
        <w:rPr>
          <w:rFonts w:eastAsia="Calibri"/>
          <w:b/>
          <w:color w:val="000000"/>
          <w:sz w:val="24"/>
          <w:szCs w:val="26"/>
        </w:rPr>
        <w:t>Proceedure</w:t>
      </w:r>
    </w:p>
    <w:p>
      <w:pPr>
        <w:pStyle w:val="style0"/>
        <w:spacing w:after="0" w:lineRule="auto" w:line="480"/>
        <w:jc w:val="both"/>
        <w:rPr>
          <w:rFonts w:eastAsia="Calibri"/>
          <w:color w:val="000000"/>
          <w:sz w:val="24"/>
          <w:szCs w:val="26"/>
        </w:rPr>
      </w:pPr>
      <w:r>
        <w:rPr>
          <w:rFonts w:eastAsia="Calibri"/>
          <w:color w:val="000000"/>
          <w:sz w:val="24"/>
          <w:szCs w:val="26"/>
        </w:rPr>
        <w:t>S</w:t>
      </w:r>
      <w:r>
        <w:rPr>
          <w:rFonts w:eastAsia="Calibri"/>
          <w:color w:val="000000"/>
          <w:sz w:val="24"/>
          <w:szCs w:val="26"/>
        </w:rPr>
        <w:t>ample and standard</w:t>
      </w:r>
      <w:r>
        <w:rPr>
          <w:rFonts w:eastAsia="Calibri"/>
          <w:color w:val="000000"/>
          <w:sz w:val="24"/>
          <w:szCs w:val="26"/>
        </w:rPr>
        <w:t xml:space="preserve"> (0.5ml)</w:t>
      </w:r>
      <w:r>
        <w:rPr>
          <w:rFonts w:eastAsia="Calibri"/>
          <w:color w:val="000000"/>
          <w:sz w:val="24"/>
          <w:szCs w:val="26"/>
        </w:rPr>
        <w:t xml:space="preserve"> was dispensed into a test tube, 2</w:t>
      </w:r>
      <w:r>
        <w:rPr>
          <w:rFonts w:eastAsia="Calibri"/>
          <w:color w:val="000000"/>
          <w:sz w:val="24"/>
          <w:szCs w:val="26"/>
        </w:rPr>
        <w:t xml:space="preserve"> </w:t>
      </w:r>
      <w:r>
        <w:rPr>
          <w:rFonts w:eastAsia="Calibri"/>
          <w:color w:val="000000"/>
          <w:sz w:val="24"/>
          <w:szCs w:val="26"/>
        </w:rPr>
        <w:t>ml buffer, 0.1</w:t>
      </w:r>
      <w:r>
        <w:rPr>
          <w:rFonts w:eastAsia="Calibri"/>
          <w:color w:val="000000"/>
          <w:sz w:val="24"/>
          <w:szCs w:val="26"/>
        </w:rPr>
        <w:t xml:space="preserve"> </w:t>
      </w:r>
      <w:r>
        <w:rPr>
          <w:rFonts w:eastAsia="Calibri"/>
          <w:color w:val="000000"/>
          <w:sz w:val="24"/>
          <w:szCs w:val="26"/>
        </w:rPr>
        <w:t>ml of reductant and 0.5</w:t>
      </w:r>
      <w:r>
        <w:rPr>
          <w:rFonts w:eastAsia="Calibri"/>
          <w:color w:val="000000"/>
          <w:sz w:val="24"/>
          <w:szCs w:val="26"/>
        </w:rPr>
        <w:t xml:space="preserve"> </w:t>
      </w:r>
      <w:r>
        <w:rPr>
          <w:rFonts w:eastAsia="Calibri"/>
          <w:color w:val="000000"/>
          <w:sz w:val="24"/>
          <w:szCs w:val="26"/>
        </w:rPr>
        <w:t>ml of iron-free water was subsequently added to it. The initial absorbance was immediately taken after which the 0.1</w:t>
      </w:r>
      <w:r>
        <w:rPr>
          <w:rFonts w:eastAsia="Calibri"/>
          <w:color w:val="000000"/>
          <w:sz w:val="24"/>
          <w:szCs w:val="26"/>
        </w:rPr>
        <w:t xml:space="preserve"> </w:t>
      </w:r>
      <w:r>
        <w:rPr>
          <w:rFonts w:eastAsia="Calibri"/>
          <w:color w:val="000000"/>
          <w:sz w:val="24"/>
          <w:szCs w:val="26"/>
        </w:rPr>
        <w:t>ml of chromogen was added to the mixture. The mixture was then incubated for 5</w:t>
      </w:r>
      <w:r>
        <w:rPr>
          <w:rFonts w:eastAsia="Calibri"/>
          <w:color w:val="000000"/>
          <w:sz w:val="24"/>
          <w:szCs w:val="26"/>
        </w:rPr>
        <w:t xml:space="preserve"> </w:t>
      </w:r>
      <w:r>
        <w:rPr>
          <w:rFonts w:eastAsia="Calibri"/>
          <w:color w:val="000000"/>
          <w:sz w:val="24"/>
          <w:szCs w:val="26"/>
        </w:rPr>
        <w:t>minutes at 37ᶿC after which the final absorbance value was taken. The absorbance values were read at 590</w:t>
      </w:r>
      <w:r>
        <w:rPr>
          <w:rFonts w:eastAsia="Calibri"/>
          <w:color w:val="000000"/>
          <w:sz w:val="24"/>
          <w:szCs w:val="26"/>
        </w:rPr>
        <w:t xml:space="preserve"> </w:t>
      </w:r>
      <w:r>
        <w:rPr>
          <w:rFonts w:eastAsia="Calibri"/>
          <w:color w:val="000000"/>
          <w:sz w:val="24"/>
          <w:szCs w:val="26"/>
        </w:rPr>
        <w:t>nm.</w:t>
      </w:r>
    </w:p>
    <w:p>
      <w:pPr>
        <w:pStyle w:val="style0"/>
        <w:spacing w:after="0" w:lineRule="auto" w:line="480"/>
        <w:jc w:val="both"/>
        <w:rPr>
          <w:rFonts w:eastAsia="Calibri"/>
          <w:b/>
          <w:color w:val="000000"/>
          <w:sz w:val="24"/>
          <w:szCs w:val="26"/>
        </w:rPr>
      </w:pPr>
      <w:r>
        <w:rPr>
          <w:rFonts w:eastAsia="Calibri"/>
          <w:b/>
          <w:color w:val="000000"/>
          <w:sz w:val="24"/>
          <w:szCs w:val="26"/>
        </w:rPr>
        <w:t>Calculation</w:t>
      </w:r>
    </w:p>
    <w:p>
      <w:pPr>
        <w:pStyle w:val="style0"/>
        <w:spacing w:after="0" w:lineRule="auto" w:line="480"/>
        <w:jc w:val="both"/>
        <w:rPr>
          <w:rFonts w:eastAsia="Calibri"/>
          <w:color w:val="000000"/>
          <w:sz w:val="24"/>
          <w:szCs w:val="26"/>
        </w:rPr>
      </w:pPr>
      <w:r>
        <w:rPr>
          <w:rFonts w:eastAsia="Calibri"/>
          <w:color w:val="000000"/>
          <w:sz w:val="24"/>
          <w:szCs w:val="26"/>
        </w:rPr>
        <w:t>Fe=</w:t>
      </w:r>
      <w:r>
        <w:rPr>
          <w:rFonts w:eastAsia="Calibri"/>
          <w:color w:val="000000"/>
          <w:sz w:val="24"/>
          <w:szCs w:val="26"/>
          <w:u w:val="single"/>
        </w:rPr>
        <w:t xml:space="preserve">Abs </w:t>
      </w:r>
      <w:r>
        <w:rPr>
          <w:rFonts w:eastAsia="Calibri"/>
          <w:color w:val="000000"/>
          <w:sz w:val="24"/>
          <w:szCs w:val="26"/>
          <w:u w:val="single"/>
        </w:rPr>
        <w:t>Sample</w:t>
      </w:r>
      <w:r>
        <w:rPr>
          <w:rFonts w:eastAsia="Calibri"/>
          <w:color w:val="000000"/>
          <w:sz w:val="24"/>
          <w:szCs w:val="26"/>
        </w:rPr>
        <w:t xml:space="preserve">  ×</w:t>
      </w:r>
      <w:r>
        <w:rPr>
          <w:rFonts w:eastAsia="Calibri"/>
          <w:color w:val="000000"/>
          <w:sz w:val="24"/>
          <w:szCs w:val="26"/>
        </w:rPr>
        <w:t xml:space="preserve"> Concentration Cal/std</w:t>
      </w:r>
    </w:p>
    <w:p>
      <w:pPr>
        <w:pStyle w:val="style0"/>
        <w:spacing w:after="0" w:lineRule="auto" w:line="480"/>
        <w:jc w:val="both"/>
        <w:rPr>
          <w:rFonts w:eastAsia="Calibri"/>
          <w:color w:val="000000"/>
          <w:sz w:val="24"/>
          <w:szCs w:val="26"/>
        </w:rPr>
      </w:pPr>
      <w:r>
        <w:rPr>
          <w:rFonts w:eastAsia="Calibri"/>
          <w:color w:val="000000"/>
          <w:sz w:val="24"/>
          <w:szCs w:val="26"/>
        </w:rPr>
        <w:t xml:space="preserve">       Abs Standard</w:t>
      </w:r>
    </w:p>
    <w:p>
      <w:pPr>
        <w:pStyle w:val="style0"/>
        <w:spacing w:after="0" w:lineRule="auto" w:line="480"/>
        <w:jc w:val="both"/>
        <w:rPr>
          <w:b/>
          <w:bCs/>
          <w:color w:val="000000"/>
          <w:sz w:val="24"/>
          <w:szCs w:val="26"/>
        </w:rPr>
      </w:pPr>
      <w:r>
        <w:rPr>
          <w:b/>
          <w:bCs/>
          <w:color w:val="000000"/>
          <w:sz w:val="24"/>
          <w:szCs w:val="26"/>
        </w:rPr>
        <w:t>3.2.5</w:t>
      </w:r>
      <w:r>
        <w:rPr>
          <w:b/>
          <w:bCs/>
          <w:color w:val="000000"/>
          <w:sz w:val="24"/>
          <w:szCs w:val="26"/>
        </w:rPr>
        <w:t>.5 Determination of</w:t>
      </w:r>
      <w:r>
        <w:rPr>
          <w:b/>
          <w:bCs/>
          <w:color w:val="000000"/>
          <w:sz w:val="24"/>
          <w:szCs w:val="26"/>
        </w:rPr>
        <w:t xml:space="preserve"> C</w:t>
      </w:r>
      <w:r>
        <w:rPr>
          <w:b/>
          <w:bCs/>
          <w:color w:val="000000"/>
          <w:sz w:val="24"/>
          <w:szCs w:val="26"/>
        </w:rPr>
        <w:t xml:space="preserve">opper </w:t>
      </w:r>
      <w:r>
        <w:rPr>
          <w:b/>
          <w:bCs/>
          <w:color w:val="000000"/>
          <w:sz w:val="24"/>
          <w:szCs w:val="26"/>
        </w:rPr>
        <w:t>Contents</w:t>
      </w:r>
    </w:p>
    <w:p>
      <w:pPr>
        <w:pStyle w:val="style0"/>
        <w:spacing w:after="0" w:lineRule="auto" w:line="480"/>
        <w:jc w:val="both"/>
        <w:rPr>
          <w:rFonts w:eastAsia="Calibri"/>
          <w:bCs/>
          <w:color w:val="000000"/>
          <w:sz w:val="24"/>
          <w:szCs w:val="26"/>
        </w:rPr>
      </w:pPr>
      <w:r>
        <w:rPr>
          <w:rFonts w:eastAsia="Calibri"/>
          <w:bCs/>
          <w:color w:val="000000"/>
          <w:sz w:val="24"/>
          <w:szCs w:val="26"/>
        </w:rPr>
        <w:t>Copper (Cu)</w:t>
      </w:r>
    </w:p>
    <w:p>
      <w:pPr>
        <w:pStyle w:val="style0"/>
        <w:spacing w:after="0" w:lineRule="auto" w:line="480"/>
        <w:jc w:val="both"/>
        <w:rPr>
          <w:rFonts w:eastAsia="Calibri"/>
          <w:color w:val="000000"/>
          <w:sz w:val="24"/>
          <w:szCs w:val="26"/>
        </w:rPr>
      </w:pPr>
      <w:r>
        <w:rPr>
          <w:rFonts w:eastAsia="Calibri"/>
          <w:color w:val="000000"/>
          <w:sz w:val="24"/>
          <w:szCs w:val="26"/>
        </w:rPr>
        <w:t xml:space="preserve">The method described by Kasper </w:t>
      </w:r>
      <w:r>
        <w:rPr>
          <w:rFonts w:eastAsia="Calibri"/>
          <w:i/>
          <w:color w:val="000000"/>
          <w:sz w:val="24"/>
          <w:szCs w:val="26"/>
        </w:rPr>
        <w:t>et al,</w:t>
      </w:r>
      <w:r>
        <w:rPr>
          <w:rFonts w:eastAsia="Calibri"/>
          <w:color w:val="000000"/>
          <w:sz w:val="24"/>
          <w:szCs w:val="26"/>
        </w:rPr>
        <w:t xml:space="preserve"> (20</w:t>
      </w:r>
      <w:r>
        <w:rPr>
          <w:rFonts w:eastAsia="Calibri"/>
          <w:color w:val="000000"/>
          <w:sz w:val="24"/>
          <w:szCs w:val="26"/>
        </w:rPr>
        <w:t xml:space="preserve">12) was used to </w:t>
      </w:r>
      <w:r>
        <w:rPr>
          <w:rFonts w:eastAsia="Calibri"/>
          <w:color w:val="000000"/>
          <w:sz w:val="24"/>
          <w:szCs w:val="26"/>
        </w:rPr>
        <w:t>assayed</w:t>
      </w:r>
      <w:r>
        <w:rPr>
          <w:rFonts w:eastAsia="Calibri"/>
          <w:color w:val="000000"/>
          <w:sz w:val="24"/>
          <w:szCs w:val="26"/>
        </w:rPr>
        <w:t xml:space="preserve"> for the presence of Copper.</w:t>
      </w:r>
    </w:p>
    <w:p>
      <w:pPr>
        <w:pStyle w:val="style0"/>
        <w:spacing w:after="0" w:lineRule="auto" w:line="480"/>
        <w:jc w:val="both"/>
        <w:rPr>
          <w:rFonts w:eastAsia="Calibri"/>
          <w:b/>
          <w:bCs/>
          <w:color w:val="000000"/>
          <w:sz w:val="24"/>
          <w:szCs w:val="26"/>
        </w:rPr>
      </w:pPr>
      <w:r>
        <w:rPr>
          <w:rFonts w:eastAsia="Calibri"/>
          <w:b/>
          <w:bCs/>
          <w:color w:val="000000"/>
          <w:sz w:val="24"/>
          <w:szCs w:val="26"/>
        </w:rPr>
        <w:t>Principle</w:t>
      </w:r>
    </w:p>
    <w:p>
      <w:pPr>
        <w:pStyle w:val="style0"/>
        <w:spacing w:after="0" w:lineRule="auto" w:line="480"/>
        <w:jc w:val="both"/>
        <w:rPr>
          <w:rFonts w:eastAsia="Calibri"/>
          <w:color w:val="000000"/>
          <w:sz w:val="24"/>
          <w:szCs w:val="26"/>
        </w:rPr>
      </w:pPr>
      <w:r>
        <w:rPr>
          <w:rFonts w:eastAsia="Calibri"/>
          <w:color w:val="000000"/>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Pr>
          <w:rFonts w:eastAsia="Calibri"/>
          <w:color w:val="000000"/>
          <w:sz w:val="24"/>
          <w:szCs w:val="26"/>
        </w:rPr>
        <w:t xml:space="preserve"> </w:t>
      </w:r>
      <w:r>
        <w:rPr>
          <w:rFonts w:eastAsia="Calibri"/>
          <w:color w:val="000000"/>
          <w:sz w:val="24"/>
          <w:szCs w:val="26"/>
        </w:rPr>
        <w:t>nm, is directly proportional to the amount of copper present in the sample.</w:t>
      </w:r>
    </w:p>
    <w:p>
      <w:pPr>
        <w:pStyle w:val="style0"/>
        <w:spacing w:after="0" w:lineRule="auto" w:line="480"/>
        <w:jc w:val="both"/>
        <w:rPr>
          <w:rFonts w:eastAsia="Calibri"/>
          <w:b/>
          <w:bCs/>
          <w:color w:val="000000"/>
          <w:sz w:val="24"/>
          <w:szCs w:val="26"/>
        </w:rPr>
      </w:pPr>
      <w:r>
        <w:rPr>
          <w:rFonts w:eastAsia="Calibri"/>
          <w:b/>
          <w:bCs/>
          <w:color w:val="000000"/>
          <w:sz w:val="24"/>
          <w:szCs w:val="26"/>
        </w:rPr>
        <w:t xml:space="preserve">Procedure </w:t>
      </w:r>
    </w:p>
    <w:p>
      <w:pPr>
        <w:pStyle w:val="style0"/>
        <w:spacing w:after="0" w:lineRule="auto" w:line="480"/>
        <w:jc w:val="both"/>
        <w:rPr>
          <w:rFonts w:eastAsia="Calibri"/>
          <w:color w:val="000000"/>
          <w:sz w:val="24"/>
          <w:szCs w:val="26"/>
        </w:rPr>
      </w:pPr>
      <w:r>
        <w:rPr>
          <w:rFonts w:eastAsia="Calibri"/>
          <w:color w:val="000000"/>
          <w:sz w:val="24"/>
          <w:szCs w:val="26"/>
        </w:rPr>
        <w:t>W</w:t>
      </w:r>
      <w:r>
        <w:rPr>
          <w:rFonts w:eastAsia="Calibri"/>
          <w:color w:val="000000"/>
          <w:sz w:val="24"/>
          <w:szCs w:val="26"/>
        </w:rPr>
        <w:t>orking reagent</w:t>
      </w:r>
      <w:r>
        <w:rPr>
          <w:rFonts w:eastAsia="Calibri"/>
          <w:color w:val="000000"/>
          <w:sz w:val="24"/>
          <w:szCs w:val="26"/>
        </w:rPr>
        <w:t xml:space="preserve"> (1000µl)</w:t>
      </w:r>
      <w:r>
        <w:rPr>
          <w:rFonts w:eastAsia="Calibri"/>
          <w:color w:val="000000"/>
          <w:sz w:val="24"/>
          <w:szCs w:val="26"/>
        </w:rPr>
        <w:t xml:space="preserve"> was added to 50µl of the sample and standard in a cuvette. The mixture was incubated for 5minutes at 37ᶿC. The absorbance value was immediately taken after the incubation at 570nm.</w:t>
      </w:r>
    </w:p>
    <w:p>
      <w:pPr>
        <w:pStyle w:val="style0"/>
        <w:spacing w:after="0" w:lineRule="auto" w:line="480"/>
        <w:jc w:val="both"/>
        <w:rPr>
          <w:rFonts w:eastAsia="Calibri"/>
          <w:color w:val="000000"/>
          <w:sz w:val="24"/>
          <w:szCs w:val="26"/>
        </w:rPr>
      </w:pPr>
      <w:r>
        <w:rPr>
          <w:rFonts w:eastAsia="Calibri"/>
          <w:color w:val="000000"/>
          <w:sz w:val="24"/>
          <w:szCs w:val="26"/>
        </w:rPr>
        <w:t>Calculation</w:t>
      </w:r>
    </w:p>
    <w:p>
      <w:pPr>
        <w:pStyle w:val="style0"/>
        <w:spacing w:after="0" w:lineRule="auto" w:line="480"/>
        <w:jc w:val="both"/>
        <w:rPr>
          <w:rFonts w:eastAsia="Calibri"/>
          <w:color w:val="000000"/>
          <w:sz w:val="24"/>
          <w:szCs w:val="26"/>
        </w:rPr>
      </w:pPr>
      <w:r>
        <w:rPr>
          <w:rFonts w:eastAsia="Calibri"/>
          <w:color w:val="000000"/>
          <w:sz w:val="24"/>
          <w:szCs w:val="26"/>
        </w:rPr>
        <w:t>Cu=</w:t>
      </w:r>
      <w:r>
        <w:rPr>
          <w:rFonts w:eastAsia="Calibri"/>
          <w:color w:val="000000"/>
          <w:sz w:val="24"/>
          <w:szCs w:val="26"/>
          <w:u w:val="single"/>
        </w:rPr>
        <w:t xml:space="preserve">Abs </w:t>
      </w:r>
      <w:r>
        <w:rPr>
          <w:rFonts w:eastAsia="Calibri"/>
          <w:color w:val="000000"/>
          <w:sz w:val="24"/>
          <w:szCs w:val="26"/>
          <w:u w:val="single"/>
        </w:rPr>
        <w:t>Sample</w:t>
      </w:r>
      <w:r>
        <w:rPr>
          <w:rFonts w:eastAsia="Calibri"/>
          <w:color w:val="000000"/>
          <w:sz w:val="24"/>
          <w:szCs w:val="26"/>
        </w:rPr>
        <w:t xml:space="preserve">  ×</w:t>
      </w:r>
      <w:r>
        <w:rPr>
          <w:rFonts w:eastAsia="Calibri"/>
          <w:color w:val="000000"/>
          <w:sz w:val="24"/>
          <w:szCs w:val="26"/>
        </w:rPr>
        <w:t xml:space="preserve"> Concentration Cal/std</w:t>
      </w:r>
    </w:p>
    <w:p>
      <w:pPr>
        <w:pStyle w:val="style0"/>
        <w:spacing w:after="0" w:lineRule="auto" w:line="480"/>
        <w:jc w:val="both"/>
        <w:rPr>
          <w:rFonts w:eastAsia="Calibri"/>
          <w:color w:val="000000"/>
          <w:sz w:val="24"/>
          <w:szCs w:val="26"/>
        </w:rPr>
      </w:pPr>
      <w:r>
        <w:rPr>
          <w:rFonts w:eastAsia="Calibri"/>
          <w:color w:val="000000"/>
          <w:sz w:val="24"/>
          <w:szCs w:val="26"/>
        </w:rPr>
        <w:t xml:space="preserve">       Abs Standard</w:t>
      </w:r>
    </w:p>
    <w:p>
      <w:pPr>
        <w:pStyle w:val="style0"/>
        <w:spacing w:after="0" w:lineRule="auto" w:line="480"/>
        <w:jc w:val="both"/>
        <w:rPr>
          <w:rFonts w:eastAsia="Calibri"/>
          <w:color w:val="000000"/>
          <w:sz w:val="24"/>
          <w:szCs w:val="26"/>
        </w:rPr>
      </w:pPr>
      <w:r>
        <w:rPr>
          <w:rFonts w:eastAsia="Calibri"/>
          <w:color w:val="000000"/>
          <w:sz w:val="24"/>
          <w:szCs w:val="26"/>
        </w:rPr>
        <w:t>Conversion factor: Copper [µg/dl] ×0.1573=Copper [µm</w:t>
      </w:r>
      <w:r>
        <w:rPr>
          <w:rFonts w:eastAsia="Calibri"/>
          <w:color w:val="000000"/>
          <w:sz w:val="24"/>
          <w:szCs w:val="26"/>
        </w:rPr>
        <w:t>ol/l]</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 </w:t>
      </w:r>
      <w:r>
        <w:rPr>
          <w:b/>
          <w:bCs/>
          <w:color w:val="000000"/>
          <w:sz w:val="24"/>
          <w:szCs w:val="26"/>
        </w:rPr>
        <w:t>Determination of A</w:t>
      </w:r>
      <w:r>
        <w:rPr>
          <w:b/>
          <w:bCs/>
          <w:color w:val="000000"/>
          <w:sz w:val="24"/>
          <w:szCs w:val="26"/>
        </w:rPr>
        <w:t xml:space="preserve">ntioxidant properties </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.1 Determination of </w:t>
      </w:r>
      <w:r>
        <w:rPr>
          <w:b/>
          <w:sz w:val="26"/>
        </w:rPr>
        <w:t>Ferric Reducing Antioxidant Power</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This method evaluates the antioxidant effect of a substance in reducing Fe³</w:t>
      </w:r>
      <w:r>
        <w:rPr>
          <w:rFonts w:ascii="Cambria Math" w:cs="Cambria Math" w:eastAsia="Times New Roman" w:hAnsi="Cambria Math"/>
          <w:color w:val="000000"/>
          <w:sz w:val="24"/>
          <w:szCs w:val="26"/>
        </w:rPr>
        <w:t>⁺</w:t>
      </w:r>
      <w:r>
        <w:rPr>
          <w:rFonts w:eastAsia="Times New Roman"/>
          <w:color w:val="000000"/>
          <w:sz w:val="24"/>
          <w:szCs w:val="26"/>
        </w:rPr>
        <w:t xml:space="preserve"> to Fe²</w:t>
      </w:r>
      <w:r>
        <w:rPr>
          <w:rFonts w:ascii="Cambria Math" w:cs="Cambria Math" w:eastAsia="Times New Roman" w:hAnsi="Cambria Math"/>
          <w:color w:val="000000"/>
          <w:sz w:val="24"/>
          <w:szCs w:val="26"/>
        </w:rPr>
        <w:t>⁺</w:t>
      </w:r>
      <w:r>
        <w:rPr>
          <w:rFonts w:eastAsia="Times New Roman"/>
          <w:color w:val="000000"/>
          <w:sz w:val="24"/>
          <w:szCs w:val="26"/>
        </w:rPr>
        <w:t xml:space="preserve"> in the presence of TPTZ (2</w:t>
      </w:r>
      <w:r>
        <w:rPr>
          <w:rFonts w:eastAsia="Times New Roman"/>
          <w:color w:val="000000"/>
          <w:sz w:val="24"/>
          <w:szCs w:val="26"/>
        </w:rPr>
        <w:t>,4,6</w:t>
      </w:r>
      <w:r>
        <w:rPr>
          <w:rFonts w:eastAsia="Times New Roman"/>
          <w:color w:val="000000"/>
          <w:sz w:val="24"/>
          <w:szCs w:val="26"/>
        </w:rPr>
        <w:t>-tripyridyl-s-triazine), forming a blu</w:t>
      </w:r>
      <w:r>
        <w:rPr>
          <w:rFonts w:eastAsia="Times New Roman"/>
          <w:color w:val="000000"/>
          <w:sz w:val="24"/>
          <w:szCs w:val="26"/>
        </w:rPr>
        <w:t>e complex measurable at 593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Pr>
          <w:rFonts w:ascii="Cambria Math" w:cs="Cambria Math" w:hAnsi="Cambria Math"/>
          <w:color w:val="000000"/>
          <w:sz w:val="24"/>
          <w:szCs w:val="26"/>
        </w:rPr>
        <w:t>₄</w:t>
      </w:r>
      <w:r>
        <w:rPr>
          <w:color w:val="000000"/>
          <w:sz w:val="24"/>
          <w:szCs w:val="26"/>
        </w:rPr>
        <w:t xml:space="preserve"> was used as a standard for calibration, and the results were expressed as µmol Fe²</w:t>
      </w:r>
      <w:r>
        <w:rPr>
          <w:rFonts w:ascii="Cambria Math" w:cs="Cambria Math" w:hAnsi="Cambria Math"/>
          <w:color w:val="000000"/>
          <w:sz w:val="24"/>
          <w:szCs w:val="26"/>
        </w:rPr>
        <w:t>⁺</w:t>
      </w:r>
      <w:r>
        <w:rPr>
          <w:color w:val="000000"/>
          <w:sz w:val="24"/>
          <w:szCs w:val="26"/>
        </w:rPr>
        <w:t xml:space="preserve"> equivalents.</w:t>
      </w:r>
    </w:p>
    <w:p>
      <w:pPr>
        <w:pStyle w:val="style0"/>
        <w:spacing w:after="0" w:lineRule="auto" w:line="480"/>
        <w:jc w:val="both"/>
        <w:rPr>
          <w:b/>
          <w:bCs/>
          <w:color w:val="000000"/>
          <w:sz w:val="22"/>
          <w:szCs w:val="26"/>
        </w:rPr>
      </w:pPr>
      <w:r>
        <w:rPr>
          <w:b/>
          <w:bCs/>
          <w:color w:val="000000"/>
          <w:sz w:val="24"/>
          <w:szCs w:val="26"/>
        </w:rPr>
        <w:t>3.2.6</w:t>
      </w:r>
      <w:r>
        <w:rPr>
          <w:b/>
          <w:bCs/>
          <w:color w:val="000000"/>
          <w:sz w:val="24"/>
          <w:szCs w:val="26"/>
        </w:rPr>
        <w:t xml:space="preserve">.2 </w:t>
      </w:r>
      <w:r>
        <w:rPr>
          <w:b/>
          <w:bCs/>
          <w:color w:val="000000"/>
          <w:sz w:val="22"/>
          <w:szCs w:val="26"/>
        </w:rPr>
        <w:t xml:space="preserve">Determination of </w:t>
      </w:r>
      <w:r>
        <w:rPr>
          <w:b/>
          <w:sz w:val="24"/>
        </w:rPr>
        <w:t>2</w:t>
      </w:r>
      <w:r>
        <w:rPr>
          <w:b/>
          <w:sz w:val="24"/>
        </w:rPr>
        <w:t>,2'</w:t>
      </w:r>
      <w:r>
        <w:rPr>
          <w:b/>
          <w:sz w:val="24"/>
        </w:rPr>
        <w:t>-Azino-bis(3-ethylbenzothiazoline-6-sulfonic acid)</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ABTS is oxidized to its radical cation (ABTS</w:t>
      </w:r>
      <w:r>
        <w:rPr>
          <w:rFonts w:ascii="Cambria Math" w:cs="Cambria Math" w:eastAsia="Times New Roman" w:hAnsi="Cambria Math"/>
          <w:color w:val="000000"/>
          <w:sz w:val="24"/>
          <w:szCs w:val="26"/>
        </w:rPr>
        <w:t>⁺</w:t>
      </w:r>
      <w:r>
        <w:rPr>
          <w:rFonts w:eastAsia="Times New Roman"/>
          <w:color w:val="000000"/>
          <w:sz w:val="24"/>
          <w:szCs w:val="26"/>
        </w:rPr>
        <w:t>•), which is blue-green and absorbs at 734 nm. Antioxidants reduce the ABTS</w:t>
      </w:r>
      <w:r>
        <w:rPr>
          <w:rFonts w:ascii="Cambria Math" w:cs="Cambria Math" w:eastAsia="Times New Roman" w:hAnsi="Cambria Math"/>
          <w:color w:val="000000"/>
          <w:sz w:val="24"/>
          <w:szCs w:val="26"/>
        </w:rPr>
        <w:t>⁺</w:t>
      </w:r>
      <w:r>
        <w:rPr>
          <w:rFonts w:eastAsia="Times New Roman"/>
          <w:color w:val="000000"/>
          <w:sz w:val="24"/>
          <w:szCs w:val="26"/>
        </w:rPr>
        <w:t>•, leading to decolorization.</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jc w:val="both"/>
        <w:rPr>
          <w:color w:val="000000"/>
          <w:sz w:val="24"/>
          <w:szCs w:val="26"/>
        </w:rPr>
      </w:pPr>
      <w:r>
        <w:rPr>
          <w:color w:val="000000"/>
          <w:sz w:val="24"/>
          <w:szCs w:val="26"/>
        </w:rPr>
        <w:t>The method stated that ABTS</w:t>
      </w:r>
      <w:r>
        <w:rPr>
          <w:rFonts w:ascii="Cambria Math" w:cs="Cambria Math" w:hAnsi="Cambria Math"/>
          <w:color w:val="000000"/>
          <w:sz w:val="24"/>
          <w:szCs w:val="26"/>
        </w:rPr>
        <w:t>⁺</w:t>
      </w:r>
      <w:r>
        <w:rPr>
          <w:color w:val="000000"/>
          <w:sz w:val="24"/>
          <w:szCs w:val="26"/>
        </w:rPr>
        <w:t xml:space="preserve"> was prepared by mixing ABTS with potassium persulfate and incubating the mixture in the dark for 12 to 16 hours. The resulting ABTS</w:t>
      </w:r>
      <w:r>
        <w:rPr>
          <w:rFonts w:ascii="Cambria Math" w:cs="Cambria Math" w:hAnsi="Cambria Math"/>
          <w:color w:val="000000"/>
          <w:sz w:val="24"/>
          <w:szCs w:val="26"/>
        </w:rPr>
        <w:t>⁺</w:t>
      </w:r>
      <w:r>
        <w:rPr>
          <w:color w:val="000000"/>
          <w:sz w:val="24"/>
          <w:szCs w:val="26"/>
        </w:rPr>
        <w:t xml:space="preserve"> solution was then diluted with ethanol to an absorbance of approximately 0.700 at 734 nm. Afterward, 100 µL of the extract was added to 3.9 mL of the diluted ABTS</w:t>
      </w:r>
      <w:r>
        <w:rPr>
          <w:rFonts w:ascii="Cambria Math" w:cs="Cambria Math" w:hAnsi="Cambria Math"/>
          <w:color w:val="000000"/>
          <w:sz w:val="24"/>
          <w:szCs w:val="26"/>
        </w:rPr>
        <w:t>⁺</w:t>
      </w:r>
      <w:r>
        <w:rPr>
          <w:color w:val="000000"/>
          <w:sz w:val="24"/>
          <w:szCs w:val="26"/>
        </w:rPr>
        <w:t xml:space="preserve"> solution. </w:t>
      </w:r>
      <w:r>
        <w:rPr>
          <w:color w:val="000000"/>
          <w:sz w:val="24"/>
          <w:szCs w:val="26"/>
        </w:rPr>
        <w:t>Absorbance was measured at 734 nm after 6 minutes. It was noted that the results were compared with a Trolox standard and expressed as µmol Trolox equivalents.</w:t>
      </w:r>
    </w:p>
    <w:p>
      <w:pPr>
        <w:pStyle w:val="style0"/>
        <w:spacing w:after="0" w:lineRule="auto" w:line="480"/>
        <w:jc w:val="both"/>
        <w:rPr>
          <w:b/>
          <w:bCs/>
          <w:color w:val="000000"/>
          <w:sz w:val="24"/>
          <w:szCs w:val="26"/>
        </w:rPr>
      </w:pP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.3 Determination of </w:t>
      </w:r>
      <w:r>
        <w:rPr>
          <w:b/>
          <w:sz w:val="26"/>
        </w:rPr>
        <w:t>2</w:t>
      </w:r>
      <w:r>
        <w:rPr>
          <w:b/>
          <w:sz w:val="26"/>
        </w:rPr>
        <w:t>,2</w:t>
      </w:r>
      <w:r>
        <w:rPr>
          <w:b/>
          <w:sz w:val="26"/>
        </w:rPr>
        <w:t>-Diphenyl-1-picrylhydrazyl</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DPPH is a stable free radical that changes color (deep violet to yellow) upon reduction by an antioxidant.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before="100" w:beforeAutospacing="true" w:after="0" w:lineRule="auto" w:line="480"/>
        <w:ind w:firstLine="720"/>
        <w:jc w:val="both"/>
        <w:rPr>
          <w:color w:val="000000"/>
          <w:sz w:val="24"/>
          <w:szCs w:val="26"/>
        </w:rPr>
      </w:pPr>
      <w:r>
        <w:rPr>
          <w:color w:val="000000"/>
          <w:sz w:val="24"/>
          <w:szCs w:val="26"/>
        </w:rPr>
        <w:t>The procedure stated that 1 mL of DPPH solution was to be mixed with 1 mL of the extract and incubated in the dark for 30 minutes at room temperature. Absorbance was then measured at 517 nm.</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Calculate percentage inhibition using:</w:t>
      </w:r>
    </w:p>
    <w:p>
      <w:pPr>
        <w:pStyle w:val="style0"/>
        <w:spacing w:before="100" w:beforeAutospacing="true" w:after="0" w:lineRule="auto" w:line="480"/>
        <w:ind w:left="1080"/>
        <w:jc w:val="both"/>
        <w:rPr>
          <w:rFonts w:eastAsia="Times New Roman"/>
          <w:color w:val="000000"/>
          <w:sz w:val="24"/>
          <w:szCs w:val="26"/>
        </w:rPr>
      </w:pPr>
      <w:r>
        <w:rPr>
          <w:noProof/>
          <w:color w:val="000000"/>
          <w:sz w:val="24"/>
          <w:szCs w:val="26"/>
        </w:rPr>
        <w:drawing>
          <wp:inline distL="0" distT="0" distB="0" distR="0">
            <wp:extent cx="2724530" cy="590632"/>
            <wp:effectExtent l="0" t="0" r="0" b="0"/>
            <wp:docPr id="104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23" cstate="print"/>
                    <a:srcRect l="0" t="0" r="0" b="0"/>
                    <a:stretch/>
                  </pic:blipFill>
                  <pic:spPr>
                    <a:xfrm rot="0">
                      <a:off x="0" y="0"/>
                      <a:ext cx="2724530" cy="590632"/>
                    </a:xfrm>
                    <a:prstGeom prst="rect"/>
                  </pic:spPr>
                </pic:pic>
              </a:graphicData>
            </a:graphic>
          </wp:inline>
        </w:drawing>
      </w:r>
      <w:r>
        <w:rPr>
          <w:rFonts w:eastAsia="Times New Roman"/>
          <w:color w:val="000000"/>
          <w:sz w:val="24"/>
          <w:szCs w:val="26"/>
        </w:rPr>
        <w:t>.</w:t>
      </w:r>
    </w:p>
    <w:p>
      <w:pPr>
        <w:pStyle w:val="style0"/>
        <w:spacing w:before="100" w:beforeAutospacing="true" w:after="0" w:lineRule="auto" w:line="480"/>
        <w:ind w:left="1080"/>
        <w:jc w:val="both"/>
        <w:rPr>
          <w:rFonts w:eastAsia="Times New Roman"/>
          <w:color w:val="000000"/>
          <w:sz w:val="24"/>
          <w:szCs w:val="26"/>
        </w:rPr>
      </w:pPr>
      <w:r>
        <w:rPr>
          <w:color w:val="000000"/>
          <w:sz w:val="24"/>
          <w:szCs w:val="26"/>
        </w:rPr>
        <w:t>where</w:t>
      </w:r>
      <w:r>
        <w:rPr>
          <w:color w:val="000000"/>
          <w:sz w:val="24"/>
          <w:szCs w:val="26"/>
        </w:rPr>
        <w:t xml:space="preserve"> </w:t>
      </w:r>
      <w:r>
        <w:rPr>
          <w:rStyle w:val="style4097"/>
          <w:color w:val="000000"/>
          <w:sz w:val="24"/>
          <w:szCs w:val="26"/>
        </w:rPr>
        <w:t>A</w:t>
      </w:r>
      <w:r>
        <w:rPr>
          <w:rStyle w:val="style4097"/>
          <w:color w:val="000000"/>
          <w:sz w:val="24"/>
          <w:szCs w:val="26"/>
          <w:vertAlign w:val="subscript"/>
        </w:rPr>
        <w:t>0</w:t>
      </w:r>
      <w:r>
        <w:rPr>
          <w:color w:val="000000"/>
          <w:sz w:val="24"/>
          <w:szCs w:val="26"/>
        </w:rPr>
        <w:t xml:space="preserve">= control absorbance, </w:t>
      </w:r>
      <w:r>
        <w:rPr>
          <w:rStyle w:val="style4097"/>
          <w:color w:val="000000"/>
          <w:sz w:val="24"/>
          <w:szCs w:val="26"/>
        </w:rPr>
        <w:t>A</w:t>
      </w:r>
      <w:r>
        <w:rPr>
          <w:rStyle w:val="style4097"/>
          <w:color w:val="000000"/>
          <w:sz w:val="24"/>
          <w:szCs w:val="26"/>
          <w:vertAlign w:val="subscript"/>
        </w:rPr>
        <w:t>1</w:t>
      </w:r>
      <w:r>
        <w:rPr>
          <w:color w:val="000000"/>
          <w:sz w:val="24"/>
          <w:szCs w:val="26"/>
        </w:rPr>
        <w:t>= sample absorbance.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Express results as IC</w:t>
      </w:r>
      <w:r>
        <w:rPr>
          <w:rFonts w:ascii="Cambria Math" w:cs="Cambria Math" w:eastAsia="Times New Roman" w:hAnsi="Cambria Math"/>
          <w:color w:val="000000"/>
          <w:sz w:val="24"/>
          <w:szCs w:val="26"/>
        </w:rPr>
        <w:t>₅₀</w:t>
      </w:r>
      <w:r>
        <w:rPr>
          <w:rFonts w:eastAsia="Times New Roman"/>
          <w:color w:val="000000"/>
          <w:sz w:val="24"/>
          <w:szCs w:val="26"/>
        </w:rPr>
        <w:t xml:space="preserve"> or µmol Trolox equivalents.</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.4 Determination of </w:t>
      </w:r>
      <w:r>
        <w:rPr>
          <w:b/>
          <w:sz w:val="26"/>
        </w:rPr>
        <w:t>Total Flavonoid Content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Flavonoids react with aluminum chloride to form a yellow complex, measurable at 415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The procedure indicated that 0.5 mL of the extract was to be mixed with 0.5 mL of 2% AlCl</w:t>
      </w:r>
      <w:r>
        <w:rPr>
          <w:rFonts w:ascii="Cambria Math" w:cs="Cambria Math" w:hAnsi="Cambria Math"/>
          <w:color w:val="000000"/>
          <w:sz w:val="24"/>
          <w:szCs w:val="26"/>
        </w:rPr>
        <w:t>₃</w:t>
      </w:r>
      <w:r>
        <w:rPr>
          <w:color w:val="000000"/>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pPr>
        <w:pStyle w:val="style0"/>
        <w:spacing w:after="0" w:lineRule="auto" w:line="480"/>
        <w:jc w:val="both"/>
        <w:rPr>
          <w:b/>
          <w:bCs/>
          <w:color w:val="000000"/>
          <w:sz w:val="24"/>
          <w:szCs w:val="26"/>
        </w:rPr>
      </w:pPr>
      <w:r>
        <w:rPr>
          <w:b/>
          <w:bCs/>
          <w:color w:val="000000"/>
          <w:sz w:val="24"/>
          <w:szCs w:val="26"/>
        </w:rPr>
        <w:t>3.2.6</w:t>
      </w:r>
      <w:r>
        <w:rPr>
          <w:b/>
          <w:bCs/>
          <w:color w:val="000000"/>
          <w:sz w:val="24"/>
          <w:szCs w:val="26"/>
        </w:rPr>
        <w:t xml:space="preserve">.5 Determination of </w:t>
      </w:r>
      <w:r>
        <w:rPr>
          <w:b/>
          <w:sz w:val="26"/>
        </w:rPr>
        <w:t>Total Phenolic Content</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Principle:</w:t>
      </w:r>
    </w:p>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The Folin–Ciocalteu reagent reacts with phenolics to produce a blu</w:t>
      </w:r>
      <w:r>
        <w:rPr>
          <w:rFonts w:eastAsia="Times New Roman"/>
          <w:color w:val="000000"/>
          <w:sz w:val="24"/>
          <w:szCs w:val="26"/>
        </w:rPr>
        <w:t>e complex detectable at 765 nm.</w:t>
      </w:r>
    </w:p>
    <w:p>
      <w:pPr>
        <w:pStyle w:val="style0"/>
        <w:spacing w:before="100" w:beforeAutospacing="true" w:after="0" w:lineRule="auto" w:line="480"/>
        <w:jc w:val="both"/>
        <w:outlineLvl w:val="3"/>
        <w:rPr>
          <w:rFonts w:eastAsia="Times New Roman"/>
          <w:b/>
          <w:bCs/>
          <w:color w:val="000000"/>
          <w:sz w:val="24"/>
          <w:szCs w:val="26"/>
        </w:rPr>
      </w:pPr>
      <w:r>
        <w:rPr>
          <w:rFonts w:eastAsia="Times New Roman"/>
          <w:b/>
          <w:bCs/>
          <w:color w:val="000000"/>
          <w:sz w:val="24"/>
          <w:szCs w:val="26"/>
        </w:rPr>
        <w:t>Procedure:</w:t>
      </w:r>
    </w:p>
    <w:p>
      <w:pPr>
        <w:pStyle w:val="style0"/>
        <w:spacing w:after="0" w:lineRule="auto" w:line="480"/>
        <w:ind w:firstLine="720"/>
        <w:jc w:val="both"/>
        <w:rPr>
          <w:color w:val="000000"/>
          <w:sz w:val="24"/>
          <w:szCs w:val="26"/>
        </w:rPr>
      </w:pPr>
      <w:r>
        <w:rPr>
          <w:color w:val="000000"/>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Pr>
          <w:color w:val="000000"/>
          <w:sz w:val="24"/>
          <w:szCs w:val="26"/>
        </w:rPr>
        <w:t>standard, and the results were expressed as mg gallic acid equivalents (GAE) per gram of extract.</w:t>
      </w:r>
    </w:p>
    <w:p>
      <w:pPr>
        <w:pStyle w:val="style0"/>
        <w:spacing w:after="0" w:lineRule="auto" w:line="480"/>
        <w:jc w:val="both"/>
        <w:rPr>
          <w:b/>
          <w:bCs/>
          <w:color w:val="000000"/>
          <w:sz w:val="24"/>
          <w:szCs w:val="26"/>
        </w:rPr>
      </w:pPr>
      <w:r>
        <w:rPr>
          <w:b/>
          <w:bCs/>
          <w:color w:val="000000"/>
          <w:sz w:val="24"/>
          <w:szCs w:val="26"/>
        </w:rPr>
        <w:t xml:space="preserve">3.3 Experimental design </w:t>
      </w:r>
    </w:p>
    <w:p>
      <w:pPr>
        <w:pStyle w:val="style0"/>
        <w:spacing w:after="0" w:lineRule="auto" w:line="480"/>
        <w:ind w:firstLine="720"/>
        <w:jc w:val="both"/>
        <w:rPr>
          <w:iCs/>
          <w:color w:val="000000"/>
          <w:sz w:val="24"/>
          <w:szCs w:val="26"/>
        </w:rPr>
      </w:pPr>
      <w:r>
        <w:rPr>
          <w:iCs/>
          <w:color w:val="000000"/>
          <w:sz w:val="24"/>
          <w:szCs w:val="26"/>
        </w:rPr>
        <w:t>The study included 52 white</w:t>
      </w:r>
      <w:r>
        <w:rPr>
          <w:iCs/>
          <w:color w:val="000000"/>
          <w:sz w:val="24"/>
          <w:szCs w:val="26"/>
        </w:rPr>
        <w:t xml:space="preserve"> Albino</w:t>
      </w:r>
      <w:r>
        <w:rPr>
          <w:iCs/>
          <w:color w:val="000000"/>
          <w:sz w:val="24"/>
          <w:szCs w:val="26"/>
        </w:rPr>
        <w:t xml:space="preserve"> rats (</w:t>
      </w:r>
      <w:r>
        <w:rPr>
          <w:i/>
          <w:iCs/>
          <w:color w:val="000000"/>
          <w:sz w:val="24"/>
          <w:szCs w:val="26"/>
        </w:rPr>
        <w:t>Rattus norvegicus</w:t>
      </w:r>
      <w:r>
        <w:rPr>
          <w:iCs/>
          <w:color w:val="000000"/>
          <w:sz w:val="24"/>
          <w:szCs w:val="26"/>
        </w:rPr>
        <w:t>) of the Wistar breed, clinically healthy, female</w:t>
      </w:r>
      <w:r>
        <w:rPr>
          <w:iCs/>
          <w:color w:val="000000"/>
          <w:sz w:val="24"/>
          <w:szCs w:val="26"/>
        </w:rPr>
        <w:t>s, weighed an average of 169</w:t>
      </w:r>
      <w:r>
        <w:rPr>
          <w:iCs/>
          <w:color w:val="000000"/>
          <w:sz w:val="24"/>
          <w:szCs w:val="26"/>
        </w:rPr>
        <w:t xml:space="preserve"> g obtained from the Animal House, Kwara State Polytechnic, Ilorin Kwara State, Nigeria. On the first day of the study, the subjects were randomly assigned to 7 homogeneous groups, 8 individuals each.</w:t>
      </w:r>
    </w:p>
    <w:p>
      <w:pPr>
        <w:pStyle w:val="style0"/>
        <w:spacing w:after="0" w:lineRule="auto" w:line="480"/>
        <w:jc w:val="both"/>
        <w:rPr>
          <w:iCs/>
          <w:color w:val="000000"/>
          <w:sz w:val="24"/>
          <w:szCs w:val="26"/>
        </w:rPr>
      </w:pPr>
      <w:r>
        <w:rPr>
          <w:iCs/>
          <w:color w:val="000000"/>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Pr>
          <w:iCs/>
          <w:color w:val="000000"/>
          <w:sz w:val="24"/>
          <w:szCs w:val="26"/>
        </w:rPr>
        <w:t xml:space="preserve"> the purpose of the experiment.</w:t>
      </w:r>
    </w:p>
    <w:p>
      <w:pPr>
        <w:pStyle w:val="style0"/>
        <w:spacing w:after="0" w:lineRule="auto" w:line="480"/>
        <w:rPr>
          <w:color w:val="000000"/>
          <w:sz w:val="24"/>
          <w:szCs w:val="26"/>
        </w:rPr>
      </w:pPr>
      <w:r>
        <w:rPr>
          <w:b/>
          <w:color w:val="000000"/>
          <w:sz w:val="24"/>
          <w:szCs w:val="26"/>
        </w:rPr>
        <w:t>Table 4: Group of experimental animals according to treatment method</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trPr>
          <w:trHeight w:val="642" w:hRule="atLeast"/>
        </w:trPr>
        <w:tc>
          <w:tcPr>
            <w:tcW w:w="2356" w:type="dxa"/>
            <w:tcBorders>
              <w:top w:val="single" w:sz="4" w:space="0" w:color="auto"/>
              <w:bottom w:val="single" w:sz="4" w:space="0" w:color="auto"/>
            </w:tcBorders>
            <w:hideMark/>
          </w:tcPr>
          <w:p>
            <w:pPr>
              <w:pStyle w:val="style0"/>
              <w:spacing w:lineRule="auto" w:line="480"/>
              <w:rPr>
                <w:b/>
                <w:bCs/>
                <w:color w:val="000000"/>
                <w:sz w:val="24"/>
                <w:szCs w:val="26"/>
              </w:rPr>
            </w:pPr>
            <w:r>
              <w:rPr>
                <w:b/>
                <w:bCs/>
                <w:color w:val="000000"/>
                <w:sz w:val="24"/>
                <w:szCs w:val="26"/>
              </w:rPr>
              <w:t>Group</w:t>
            </w:r>
          </w:p>
        </w:tc>
        <w:tc>
          <w:tcPr>
            <w:tcW w:w="3584" w:type="dxa"/>
            <w:tcBorders>
              <w:top w:val="single" w:sz="4" w:space="0" w:color="auto"/>
              <w:bottom w:val="single" w:sz="4" w:space="0" w:color="auto"/>
            </w:tcBorders>
          </w:tcPr>
          <w:p>
            <w:pPr>
              <w:pStyle w:val="style0"/>
              <w:spacing w:lineRule="auto" w:line="480"/>
              <w:rPr>
                <w:b/>
                <w:bCs/>
                <w:color w:val="000000"/>
                <w:sz w:val="24"/>
                <w:szCs w:val="26"/>
              </w:rPr>
            </w:pPr>
            <w:r>
              <w:rPr>
                <w:b/>
                <w:bCs/>
                <w:color w:val="000000"/>
                <w:sz w:val="24"/>
                <w:szCs w:val="26"/>
              </w:rPr>
              <w:t>Treatment</w:t>
            </w:r>
          </w:p>
        </w:tc>
      </w:tr>
      <w:tr>
        <w:tblPrEx/>
        <w:trPr>
          <w:trHeight w:val="626" w:hRule="atLeast"/>
        </w:trPr>
        <w:tc>
          <w:tcPr>
            <w:tcW w:w="2356" w:type="dxa"/>
            <w:tcBorders>
              <w:top w:val="single" w:sz="4" w:space="0" w:color="auto"/>
            </w:tcBorders>
            <w:hideMark/>
          </w:tcPr>
          <w:p>
            <w:pPr>
              <w:pStyle w:val="style0"/>
              <w:spacing w:lineRule="auto" w:line="480"/>
              <w:rPr>
                <w:color w:val="000000"/>
                <w:sz w:val="24"/>
                <w:szCs w:val="26"/>
              </w:rPr>
            </w:pPr>
            <w:r>
              <w:rPr>
                <w:color w:val="000000"/>
                <w:sz w:val="24"/>
                <w:szCs w:val="26"/>
              </w:rPr>
              <w:t>Group 1</w:t>
            </w:r>
          </w:p>
        </w:tc>
        <w:tc>
          <w:tcPr>
            <w:tcW w:w="3584" w:type="dxa"/>
            <w:tcBorders>
              <w:top w:val="single" w:sz="4" w:space="0" w:color="auto"/>
            </w:tcBorders>
          </w:tcPr>
          <w:p>
            <w:pPr>
              <w:pStyle w:val="style0"/>
              <w:spacing w:lineRule="auto" w:line="480"/>
              <w:rPr>
                <w:color w:val="000000"/>
                <w:sz w:val="24"/>
                <w:szCs w:val="26"/>
              </w:rPr>
            </w:pPr>
            <w:r>
              <w:rPr>
                <w:color w:val="000000"/>
                <w:sz w:val="24"/>
                <w:szCs w:val="26"/>
              </w:rPr>
              <w:t>Control vector group</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2</w:t>
            </w:r>
          </w:p>
        </w:tc>
        <w:tc>
          <w:tcPr>
            <w:tcW w:w="3584" w:type="dxa"/>
            <w:tcBorders/>
          </w:tcPr>
          <w:p>
            <w:pPr>
              <w:pStyle w:val="style0"/>
              <w:spacing w:lineRule="auto" w:line="480"/>
              <w:rPr>
                <w:color w:val="000000"/>
                <w:sz w:val="24"/>
                <w:szCs w:val="26"/>
              </w:rPr>
            </w:pPr>
            <w:r>
              <w:rPr>
                <w:color w:val="000000"/>
                <w:sz w:val="24"/>
                <w:szCs w:val="26"/>
              </w:rPr>
              <w:t>Untreated group</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3</w:t>
            </w:r>
          </w:p>
        </w:tc>
        <w:tc>
          <w:tcPr>
            <w:tcW w:w="3584" w:type="dxa"/>
            <w:tcBorders/>
          </w:tcPr>
          <w:p>
            <w:pPr>
              <w:pStyle w:val="style0"/>
              <w:spacing w:lineRule="auto" w:line="480"/>
              <w:rPr>
                <w:color w:val="000000"/>
                <w:sz w:val="24"/>
                <w:szCs w:val="26"/>
              </w:rPr>
            </w:pPr>
            <w:r>
              <w:rPr>
                <w:color w:val="000000"/>
                <w:sz w:val="24"/>
                <w:szCs w:val="26"/>
              </w:rPr>
              <w:t>Treated with standard drug</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4</w:t>
            </w:r>
          </w:p>
        </w:tc>
        <w:tc>
          <w:tcPr>
            <w:tcW w:w="3584" w:type="dxa"/>
            <w:tcBorders/>
          </w:tcPr>
          <w:p>
            <w:pPr>
              <w:pStyle w:val="style0"/>
              <w:spacing w:lineRule="auto" w:line="480"/>
              <w:rPr>
                <w:color w:val="000000"/>
                <w:sz w:val="24"/>
                <w:szCs w:val="26"/>
              </w:rPr>
            </w:pPr>
            <w:r>
              <w:rPr>
                <w:iCs/>
                <w:color w:val="000000"/>
                <w:sz w:val="24"/>
                <w:szCs w:val="26"/>
              </w:rPr>
              <w:t>100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5</w:t>
            </w:r>
          </w:p>
        </w:tc>
        <w:tc>
          <w:tcPr>
            <w:tcW w:w="3584" w:type="dxa"/>
            <w:tcBorders/>
          </w:tcPr>
          <w:p>
            <w:pPr>
              <w:pStyle w:val="style0"/>
              <w:spacing w:lineRule="auto" w:line="480"/>
              <w:rPr>
                <w:color w:val="000000"/>
                <w:sz w:val="24"/>
                <w:szCs w:val="26"/>
              </w:rPr>
            </w:pPr>
            <w:r>
              <w:rPr>
                <w:iCs/>
                <w:color w:val="000000"/>
                <w:sz w:val="24"/>
                <w:szCs w:val="26"/>
              </w:rPr>
              <w:t>200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6</w:t>
            </w:r>
          </w:p>
        </w:tc>
        <w:tc>
          <w:tcPr>
            <w:tcW w:w="3584" w:type="dxa"/>
            <w:tcBorders/>
          </w:tcPr>
          <w:p>
            <w:pPr>
              <w:pStyle w:val="style0"/>
              <w:spacing w:lineRule="auto" w:line="480"/>
              <w:rPr>
                <w:color w:val="000000"/>
                <w:sz w:val="24"/>
                <w:szCs w:val="26"/>
              </w:rPr>
            </w:pPr>
            <w:r>
              <w:rPr>
                <w:iCs/>
                <w:color w:val="000000"/>
                <w:sz w:val="24"/>
                <w:szCs w:val="26"/>
              </w:rPr>
              <w:t>400 mg / kg</w:t>
            </w:r>
            <w:r>
              <w:rPr>
                <w:iCs/>
                <w:color w:val="000000"/>
                <w:sz w:val="24"/>
                <w:szCs w:val="26"/>
              </w:rPr>
              <w:t xml:space="preserve"> of the extract</w:t>
            </w:r>
          </w:p>
        </w:tc>
      </w:tr>
      <w:tr>
        <w:tblPrEx/>
        <w:trPr>
          <w:trHeight w:val="642" w:hRule="atLeast"/>
        </w:trPr>
        <w:tc>
          <w:tcPr>
            <w:tcW w:w="2356" w:type="dxa"/>
            <w:tcBorders/>
            <w:hideMark/>
          </w:tcPr>
          <w:p>
            <w:pPr>
              <w:pStyle w:val="style0"/>
              <w:spacing w:lineRule="auto" w:line="480"/>
              <w:rPr>
                <w:color w:val="000000"/>
                <w:sz w:val="24"/>
                <w:szCs w:val="26"/>
              </w:rPr>
            </w:pPr>
            <w:r>
              <w:rPr>
                <w:color w:val="000000"/>
                <w:sz w:val="24"/>
                <w:szCs w:val="26"/>
              </w:rPr>
              <w:t>Group 7</w:t>
            </w:r>
          </w:p>
        </w:tc>
        <w:tc>
          <w:tcPr>
            <w:tcW w:w="3584" w:type="dxa"/>
            <w:tcBorders/>
          </w:tcPr>
          <w:p>
            <w:pPr>
              <w:pStyle w:val="style0"/>
              <w:spacing w:lineRule="auto" w:line="480"/>
              <w:rPr>
                <w:color w:val="000000"/>
                <w:sz w:val="24"/>
                <w:szCs w:val="26"/>
              </w:rPr>
            </w:pPr>
            <w:r>
              <w:rPr>
                <w:iCs/>
                <w:color w:val="000000"/>
                <w:sz w:val="24"/>
                <w:szCs w:val="26"/>
              </w:rPr>
              <w:t>800 mg / kg</w:t>
            </w:r>
            <w:r>
              <w:rPr>
                <w:iCs/>
                <w:color w:val="000000"/>
                <w:sz w:val="24"/>
                <w:szCs w:val="26"/>
              </w:rPr>
              <w:t xml:space="preserve"> of the extract</w:t>
            </w:r>
          </w:p>
        </w:tc>
      </w:tr>
    </w:tbl>
    <w:p>
      <w:pPr>
        <w:pStyle w:val="style0"/>
        <w:spacing w:before="100" w:beforeAutospacing="true" w:after="0" w:lineRule="auto" w:line="480"/>
        <w:jc w:val="both"/>
        <w:rPr>
          <w:rFonts w:eastAsia="Times New Roman"/>
          <w:b/>
          <w:color w:val="000000"/>
          <w:sz w:val="24"/>
          <w:szCs w:val="26"/>
        </w:rPr>
      </w:pPr>
      <w:r>
        <w:rPr>
          <w:rFonts w:eastAsia="Times New Roman"/>
          <w:b/>
          <w:color w:val="000000"/>
          <w:sz w:val="24"/>
          <w:szCs w:val="26"/>
        </w:rPr>
        <w:t xml:space="preserve">3.4 Determination of Ulcerated </w:t>
      </w:r>
      <w:r>
        <w:rPr>
          <w:rFonts w:eastAsia="Times New Roman"/>
          <w:b/>
          <w:color w:val="000000"/>
          <w:sz w:val="24"/>
          <w:szCs w:val="26"/>
        </w:rPr>
        <w:t>Albino Rats</w:t>
      </w:r>
    </w:p>
    <w:p>
      <w:pPr>
        <w:pStyle w:val="style0"/>
        <w:spacing w:before="100" w:beforeAutospacing="true" w:after="100" w:afterAutospacing="true" w:lineRule="auto" w:line="480"/>
        <w:ind w:firstLine="720"/>
        <w:jc w:val="both"/>
        <w:rPr>
          <w:rFonts w:eastAsia="Times New Roman"/>
          <w:sz w:val="24"/>
          <w:szCs w:val="24"/>
        </w:rPr>
      </w:pPr>
      <w:r>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1: Normal control, no ulcer, no treatment.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2: Ulcer control, we gave them ulcers but didn’t treat them.</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3: Ulcer</w:t>
      </w:r>
      <w:r>
        <w:rPr>
          <w:rFonts w:eastAsia="Times New Roman"/>
          <w:sz w:val="24"/>
          <w:szCs w:val="24"/>
        </w:rPr>
        <w:t>,  treatment</w:t>
      </w:r>
      <w:r>
        <w:rPr>
          <w:rFonts w:eastAsia="Times New Roman"/>
          <w:sz w:val="24"/>
          <w:szCs w:val="24"/>
        </w:rPr>
        <w:t xml:space="preserve"> with a standard anti-ulcer drug (Omeprazole).</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4: Ulcer, treated with 100 mg/kg of the plant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5: Ulcer, treated with 200 mg/kg of the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Group 6: Ulcer, treated with 400 mg/kg of the extract.</w:t>
      </w:r>
    </w:p>
    <w:p>
      <w:pPr>
        <w:pStyle w:val="style0"/>
        <w:spacing w:before="100" w:beforeAutospacing="true" w:after="100" w:afterAutospacing="true" w:lineRule="auto" w:line="480"/>
        <w:jc w:val="both"/>
        <w:rPr>
          <w:rFonts w:eastAsia="Times New Roman"/>
          <w:sz w:val="24"/>
          <w:szCs w:val="24"/>
        </w:rPr>
      </w:pPr>
      <w:r>
        <w:rPr>
          <w:rFonts w:eastAsia="Times New Roman"/>
          <w:sz w:val="24"/>
          <w:szCs w:val="24"/>
        </w:rPr>
        <w:t xml:space="preserve">Group 7: Ulcer, treated with 800 mg/kg of the extract. </w:t>
      </w:r>
    </w:p>
    <w:p>
      <w:pPr>
        <w:pStyle w:val="style0"/>
        <w:spacing w:lineRule="auto" w:line="480"/>
        <w:ind w:firstLine="720"/>
        <w:jc w:val="both"/>
        <w:rPr>
          <w:rFonts w:eastAsia="Times New Roman"/>
          <w:sz w:val="24"/>
          <w:szCs w:val="24"/>
        </w:rPr>
      </w:pPr>
      <w:r>
        <w:rPr>
          <w:rFonts w:eastAsia="Times New Roman"/>
          <w:sz w:val="24"/>
          <w:szCs w:val="24"/>
        </w:rPr>
        <w:t xml:space="preserve">Preparing the Indomethacin Solution: We measured out the indomethacin, </w:t>
      </w:r>
      <w:r>
        <w:rPr>
          <w:rFonts w:eastAsia="Times New Roman"/>
          <w:sz w:val="24"/>
          <w:szCs w:val="24"/>
        </w:rPr>
        <w:t>then</w:t>
      </w:r>
      <w:r>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r>
        <w:rPr>
          <w:rFonts w:eastAsia="Times New Roman"/>
          <w:sz w:val="24"/>
          <w:szCs w:val="24"/>
        </w:rPr>
        <w:t>Then</w:t>
      </w:r>
      <w:r>
        <w:rPr>
          <w:rFonts w:eastAsia="Times New Roman"/>
          <w:sz w:val="24"/>
          <w:szCs w:val="24"/>
        </w:rPr>
        <w:t xml:space="preserve"> we opened their stomachs along the greater curvature, rinsed everything with saline, and checked for ulcers.</w:t>
      </w:r>
    </w:p>
    <w:p>
      <w:pPr>
        <w:pStyle w:val="style0"/>
        <w:spacing w:lineRule="auto" w:line="480"/>
        <w:jc w:val="both"/>
        <w:rPr>
          <w:b/>
          <w:sz w:val="24"/>
          <w:szCs w:val="26"/>
        </w:rPr>
      </w:pPr>
      <w:r>
        <w:rPr>
          <w:b/>
          <w:sz w:val="24"/>
          <w:szCs w:val="26"/>
        </w:rPr>
        <w:t xml:space="preserve">3.5 Hematological of Albino Rats </w:t>
      </w:r>
    </w:p>
    <w:p>
      <w:pPr>
        <w:pStyle w:val="style94"/>
        <w:spacing w:lineRule="auto" w:line="360"/>
        <w:ind w:firstLine="720"/>
        <w:jc w:val="both"/>
        <w:rPr/>
      </w:pPr>
      <w:r>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pPr>
        <w:pStyle w:val="style94"/>
        <w:spacing w:lineRule="auto" w:line="360"/>
        <w:ind w:firstLine="720"/>
        <w:jc w:val="both"/>
        <w:rPr/>
      </w:pPr>
      <w:r>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pPr>
        <w:pStyle w:val="style0"/>
        <w:spacing w:before="100" w:beforeAutospacing="true" w:after="0" w:lineRule="auto" w:line="480"/>
        <w:rPr>
          <w:rFonts w:eastAsia="Times New Roman"/>
          <w:b/>
          <w:bCs/>
          <w:color w:val="000000"/>
          <w:sz w:val="24"/>
          <w:szCs w:val="26"/>
        </w:rPr>
      </w:pPr>
    </w:p>
    <w:p>
      <w:pPr>
        <w:pStyle w:val="style0"/>
        <w:spacing w:before="100" w:beforeAutospacing="true" w:after="0" w:lineRule="auto" w:line="480"/>
        <w:jc w:val="center"/>
        <w:rPr>
          <w:rFonts w:eastAsia="Times New Roman"/>
          <w:b/>
          <w:bCs/>
          <w:color w:val="000000"/>
          <w:sz w:val="24"/>
          <w:szCs w:val="26"/>
        </w:rPr>
      </w:pPr>
      <w:r>
        <w:rPr>
          <w:rFonts w:eastAsia="Times New Roman"/>
          <w:b/>
          <w:bCs/>
          <w:color w:val="000000"/>
          <w:sz w:val="24"/>
          <w:szCs w:val="26"/>
        </w:rPr>
        <w:t>CHAPTER FOUR</w:t>
      </w:r>
    </w:p>
    <w:p>
      <w:pPr>
        <w:pStyle w:val="style0"/>
        <w:spacing w:before="100" w:beforeAutospacing="true" w:after="0" w:lineRule="auto" w:line="480"/>
        <w:rPr>
          <w:rFonts w:eastAsia="Times New Roman"/>
          <w:b/>
          <w:bCs/>
          <w:color w:val="000000"/>
          <w:sz w:val="24"/>
          <w:szCs w:val="26"/>
        </w:rPr>
      </w:pPr>
      <w:r>
        <w:rPr>
          <w:rFonts w:eastAsia="Times New Roman"/>
          <w:b/>
          <w:bCs/>
          <w:color w:val="000000"/>
          <w:sz w:val="24"/>
          <w:szCs w:val="26"/>
        </w:rPr>
        <w:t>4.0     RESULTS</w:t>
      </w:r>
    </w:p>
    <w:p>
      <w:pPr>
        <w:pStyle w:val="style4098"/>
        <w:tabs>
          <w:tab w:val="left" w:leader="none" w:pos="8100"/>
        </w:tabs>
        <w:spacing w:lineRule="auto" w:line="480"/>
        <w:jc w:val="both"/>
        <w:rPr>
          <w:color w:val="000000"/>
          <w:szCs w:val="26"/>
        </w:rPr>
      </w:pPr>
      <w:r>
        <w:rPr>
          <w:b/>
          <w:bCs/>
          <w:color w:val="000000"/>
          <w:szCs w:val="26"/>
        </w:rPr>
        <w:t xml:space="preserve">4.1 Body Weight Gain in Experimental Animals </w:t>
      </w:r>
    </w:p>
    <w:p>
      <w:pPr>
        <w:pStyle w:val="style0"/>
        <w:spacing w:before="100" w:beforeAutospacing="true" w:after="0" w:lineRule="auto" w:line="480"/>
        <w:ind w:firstLine="720"/>
        <w:jc w:val="both"/>
        <w:rPr>
          <w:rFonts w:eastAsia="Times New Roman"/>
          <w:b/>
          <w:bCs/>
          <w:color w:val="000000"/>
          <w:sz w:val="24"/>
          <w:szCs w:val="26"/>
        </w:rPr>
      </w:pPr>
      <w:r>
        <w:rPr>
          <w:color w:val="000000"/>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pPr>
        <w:pStyle w:val="style0"/>
        <w:spacing w:before="100" w:beforeAutospacing="true" w:after="0" w:lineRule="auto" w:line="360"/>
        <w:rPr>
          <w:rFonts w:eastAsia="Times New Roman"/>
          <w:b/>
          <w:bCs/>
          <w:color w:val="000000"/>
          <w:sz w:val="22"/>
          <w:szCs w:val="24"/>
        </w:rPr>
      </w:pPr>
      <w:r>
        <w:rPr>
          <w:b/>
          <w:bCs/>
          <w:color w:val="000000"/>
          <w:sz w:val="22"/>
          <w:szCs w:val="24"/>
        </w:rPr>
        <w:t>Table 4.1: Weight gain by the experimental animals during the treatment (14 days)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trPr>
          <w:trHeight w:val="597" w:hRule="atLeast"/>
        </w:trPr>
        <w:tc>
          <w:tcPr>
            <w:tcW w:w="2218"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Group</w:t>
            </w:r>
          </w:p>
        </w:tc>
        <w:tc>
          <w:tcPr>
            <w:tcW w:w="2502"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Initial Average Weight</w:t>
            </w:r>
          </w:p>
        </w:tc>
        <w:tc>
          <w:tcPr>
            <w:tcW w:w="2324" w:type="dxa"/>
            <w:tcBorders>
              <w:top w:val="single" w:sz="4" w:space="0" w:color="auto"/>
              <w:bottom w:val="single" w:sz="4" w:space="0" w:color="auto"/>
            </w:tcBorders>
            <w:hideMark/>
          </w:tcPr>
          <w:p>
            <w:pPr>
              <w:pStyle w:val="style0"/>
              <w:spacing w:lineRule="auto" w:line="360"/>
              <w:rPr>
                <w:b/>
                <w:bCs/>
                <w:color w:val="000000"/>
                <w:sz w:val="22"/>
                <w:szCs w:val="24"/>
              </w:rPr>
            </w:pPr>
            <w:r>
              <w:rPr>
                <w:b/>
                <w:bCs/>
                <w:color w:val="000000"/>
                <w:sz w:val="22"/>
                <w:szCs w:val="24"/>
              </w:rPr>
              <w:t>Final Average Weight</w:t>
            </w:r>
          </w:p>
        </w:tc>
      </w:tr>
      <w:tr>
        <w:tblPrEx/>
        <w:trPr>
          <w:trHeight w:val="582" w:hRule="atLeast"/>
        </w:trPr>
        <w:tc>
          <w:tcPr>
            <w:tcW w:w="2218" w:type="dxa"/>
            <w:tcBorders>
              <w:top w:val="single" w:sz="4" w:space="0" w:color="auto"/>
            </w:tcBorders>
            <w:hideMark/>
          </w:tcPr>
          <w:p>
            <w:pPr>
              <w:pStyle w:val="style0"/>
              <w:spacing w:lineRule="auto" w:line="360"/>
              <w:rPr>
                <w:color w:val="000000"/>
                <w:sz w:val="22"/>
                <w:szCs w:val="24"/>
              </w:rPr>
            </w:pPr>
            <w:r>
              <w:rPr>
                <w:color w:val="000000"/>
                <w:sz w:val="22"/>
                <w:szCs w:val="24"/>
              </w:rPr>
              <w:t>Group 1</w:t>
            </w:r>
          </w:p>
        </w:tc>
        <w:tc>
          <w:tcPr>
            <w:tcW w:w="2502" w:type="dxa"/>
            <w:tcBorders>
              <w:top w:val="single" w:sz="4" w:space="0" w:color="auto"/>
            </w:tcBorders>
            <w:hideMark/>
          </w:tcPr>
          <w:p>
            <w:pPr>
              <w:pStyle w:val="style0"/>
              <w:spacing w:lineRule="auto" w:line="360"/>
              <w:rPr>
                <w:color w:val="000000"/>
                <w:sz w:val="22"/>
                <w:szCs w:val="24"/>
              </w:rPr>
            </w:pPr>
            <w:r>
              <w:rPr>
                <w:color w:val="000000"/>
                <w:sz w:val="22"/>
                <w:szCs w:val="24"/>
              </w:rPr>
              <w:t>131.25</w:t>
            </w:r>
          </w:p>
        </w:tc>
        <w:tc>
          <w:tcPr>
            <w:tcW w:w="2324" w:type="dxa"/>
            <w:tcBorders>
              <w:top w:val="single" w:sz="4" w:space="0" w:color="auto"/>
            </w:tcBorders>
            <w:hideMark/>
          </w:tcPr>
          <w:p>
            <w:pPr>
              <w:pStyle w:val="style0"/>
              <w:spacing w:lineRule="auto" w:line="360"/>
              <w:rPr>
                <w:color w:val="000000"/>
                <w:sz w:val="22"/>
                <w:szCs w:val="24"/>
              </w:rPr>
            </w:pPr>
            <w:r>
              <w:rPr>
                <w:color w:val="000000"/>
                <w:sz w:val="22"/>
                <w:szCs w:val="24"/>
              </w:rPr>
              <w:t>153</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2</w:t>
            </w:r>
          </w:p>
        </w:tc>
        <w:tc>
          <w:tcPr>
            <w:tcW w:w="2502" w:type="dxa"/>
            <w:tcBorders/>
            <w:hideMark/>
          </w:tcPr>
          <w:p>
            <w:pPr>
              <w:pStyle w:val="style0"/>
              <w:spacing w:lineRule="auto" w:line="360"/>
              <w:rPr>
                <w:color w:val="000000"/>
                <w:sz w:val="22"/>
                <w:szCs w:val="24"/>
              </w:rPr>
            </w:pPr>
            <w:r>
              <w:rPr>
                <w:color w:val="000000"/>
                <w:sz w:val="22"/>
                <w:szCs w:val="24"/>
              </w:rPr>
              <w:t>105.38</w:t>
            </w:r>
          </w:p>
        </w:tc>
        <w:tc>
          <w:tcPr>
            <w:tcW w:w="2324" w:type="dxa"/>
            <w:tcBorders/>
            <w:hideMark/>
          </w:tcPr>
          <w:p>
            <w:pPr>
              <w:pStyle w:val="style0"/>
              <w:spacing w:lineRule="auto" w:line="360"/>
              <w:rPr>
                <w:color w:val="000000"/>
                <w:sz w:val="22"/>
                <w:szCs w:val="24"/>
              </w:rPr>
            </w:pPr>
            <w:r>
              <w:rPr>
                <w:color w:val="000000"/>
                <w:sz w:val="22"/>
                <w:szCs w:val="24"/>
              </w:rPr>
              <w:t>120.5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3</w:t>
            </w:r>
          </w:p>
        </w:tc>
        <w:tc>
          <w:tcPr>
            <w:tcW w:w="2502" w:type="dxa"/>
            <w:tcBorders/>
            <w:hideMark/>
          </w:tcPr>
          <w:p>
            <w:pPr>
              <w:pStyle w:val="style0"/>
              <w:spacing w:lineRule="auto" w:line="360"/>
              <w:rPr>
                <w:color w:val="000000"/>
                <w:sz w:val="22"/>
                <w:szCs w:val="24"/>
              </w:rPr>
            </w:pPr>
            <w:r>
              <w:rPr>
                <w:color w:val="000000"/>
                <w:sz w:val="22"/>
                <w:szCs w:val="24"/>
              </w:rPr>
              <w:t>115.63</w:t>
            </w:r>
          </w:p>
        </w:tc>
        <w:tc>
          <w:tcPr>
            <w:tcW w:w="2324" w:type="dxa"/>
            <w:tcBorders/>
            <w:hideMark/>
          </w:tcPr>
          <w:p>
            <w:pPr>
              <w:pStyle w:val="style0"/>
              <w:spacing w:lineRule="auto" w:line="360"/>
              <w:rPr>
                <w:color w:val="000000"/>
                <w:sz w:val="22"/>
                <w:szCs w:val="24"/>
              </w:rPr>
            </w:pPr>
            <w:r>
              <w:rPr>
                <w:color w:val="000000"/>
                <w:sz w:val="22"/>
                <w:szCs w:val="24"/>
              </w:rPr>
              <w:t>114.5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4</w:t>
            </w:r>
          </w:p>
        </w:tc>
        <w:tc>
          <w:tcPr>
            <w:tcW w:w="2502" w:type="dxa"/>
            <w:tcBorders/>
            <w:hideMark/>
          </w:tcPr>
          <w:p>
            <w:pPr>
              <w:pStyle w:val="style0"/>
              <w:spacing w:lineRule="auto" w:line="360"/>
              <w:rPr>
                <w:color w:val="000000"/>
                <w:sz w:val="22"/>
                <w:szCs w:val="24"/>
              </w:rPr>
            </w:pPr>
            <w:r>
              <w:rPr>
                <w:color w:val="000000"/>
                <w:sz w:val="22"/>
                <w:szCs w:val="24"/>
              </w:rPr>
              <w:t>110.63</w:t>
            </w:r>
          </w:p>
        </w:tc>
        <w:tc>
          <w:tcPr>
            <w:tcW w:w="2324" w:type="dxa"/>
            <w:tcBorders/>
            <w:hideMark/>
          </w:tcPr>
          <w:p>
            <w:pPr>
              <w:pStyle w:val="style0"/>
              <w:spacing w:lineRule="auto" w:line="360"/>
              <w:rPr>
                <w:color w:val="000000"/>
                <w:sz w:val="22"/>
                <w:szCs w:val="24"/>
              </w:rPr>
            </w:pPr>
            <w:r>
              <w:rPr>
                <w:color w:val="000000"/>
                <w:sz w:val="22"/>
                <w:szCs w:val="24"/>
              </w:rPr>
              <w:t>124</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5</w:t>
            </w:r>
          </w:p>
        </w:tc>
        <w:tc>
          <w:tcPr>
            <w:tcW w:w="2502" w:type="dxa"/>
            <w:tcBorders/>
          </w:tcPr>
          <w:p>
            <w:pPr>
              <w:pStyle w:val="style0"/>
              <w:spacing w:lineRule="auto" w:line="360"/>
              <w:rPr>
                <w:color w:val="000000"/>
                <w:sz w:val="22"/>
                <w:szCs w:val="24"/>
              </w:rPr>
            </w:pP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
            </w:r>
            <w:r>
              <w:rPr>
                <w:color w:val="000000"/>
                <w:sz w:val="22"/>
                <w:szCs w:val="24"/>
              </w:rPr>
              <w:t>_____</w:t>
            </w:r>
          </w:p>
        </w:tc>
        <w:tc>
          <w:tcPr>
            <w:tcW w:w="2324" w:type="dxa"/>
            <w:tcBorders/>
            <w:hideMark/>
          </w:tcPr>
          <w:p>
            <w:pPr>
              <w:pStyle w:val="style0"/>
              <w:spacing w:lineRule="auto" w:line="360"/>
              <w:rPr>
                <w:color w:val="000000"/>
                <w:sz w:val="22"/>
                <w:szCs w:val="24"/>
              </w:rPr>
            </w:pPr>
            <w:r>
              <w:rPr>
                <w:color w:val="000000"/>
                <w:sz w:val="22"/>
                <w:szCs w:val="24"/>
              </w:rPr>
              <w:t>128.38</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6</w:t>
            </w:r>
          </w:p>
        </w:tc>
        <w:tc>
          <w:tcPr>
            <w:tcW w:w="2502" w:type="dxa"/>
            <w:tcBorders/>
            <w:hideMark/>
          </w:tcPr>
          <w:p>
            <w:pPr>
              <w:pStyle w:val="style0"/>
              <w:spacing w:lineRule="auto" w:line="360"/>
              <w:rPr>
                <w:color w:val="000000"/>
                <w:sz w:val="22"/>
                <w:szCs w:val="24"/>
              </w:rPr>
            </w:pPr>
            <w:r>
              <w:rPr>
                <w:color w:val="000000"/>
                <w:sz w:val="22"/>
                <w:szCs w:val="24"/>
              </w:rPr>
              <w:t>121.5</w:t>
            </w:r>
          </w:p>
        </w:tc>
        <w:tc>
          <w:tcPr>
            <w:tcW w:w="2324" w:type="dxa"/>
            <w:tcBorders/>
            <w:hideMark/>
          </w:tcPr>
          <w:p>
            <w:pPr>
              <w:pStyle w:val="style0"/>
              <w:spacing w:lineRule="auto" w:line="360"/>
              <w:rPr>
                <w:color w:val="000000"/>
                <w:sz w:val="22"/>
                <w:szCs w:val="24"/>
              </w:rPr>
            </w:pPr>
            <w:r>
              <w:rPr>
                <w:color w:val="000000"/>
                <w:sz w:val="22"/>
                <w:szCs w:val="24"/>
              </w:rPr>
              <w:t>136.75</w:t>
            </w:r>
          </w:p>
        </w:tc>
      </w:tr>
      <w:tr>
        <w:tblPrEx/>
        <w:trPr>
          <w:trHeight w:val="597" w:hRule="atLeast"/>
        </w:trPr>
        <w:tc>
          <w:tcPr>
            <w:tcW w:w="2218" w:type="dxa"/>
            <w:tcBorders/>
            <w:hideMark/>
          </w:tcPr>
          <w:p>
            <w:pPr>
              <w:pStyle w:val="style0"/>
              <w:spacing w:lineRule="auto" w:line="360"/>
              <w:rPr>
                <w:color w:val="000000"/>
                <w:sz w:val="22"/>
                <w:szCs w:val="24"/>
              </w:rPr>
            </w:pPr>
            <w:r>
              <w:rPr>
                <w:color w:val="000000"/>
                <w:sz w:val="22"/>
                <w:szCs w:val="24"/>
              </w:rPr>
              <w:t>Group 7</w:t>
            </w:r>
          </w:p>
        </w:tc>
        <w:tc>
          <w:tcPr>
            <w:tcW w:w="2502" w:type="dxa"/>
            <w:tcBorders/>
            <w:hideMark/>
          </w:tcPr>
          <w:p>
            <w:pPr>
              <w:pStyle w:val="style0"/>
              <w:spacing w:lineRule="auto" w:line="360"/>
              <w:rPr>
                <w:color w:val="000000"/>
                <w:sz w:val="22"/>
                <w:szCs w:val="24"/>
              </w:rPr>
            </w:pPr>
            <w:r>
              <w:rPr>
                <w:color w:val="000000"/>
                <w:sz w:val="22"/>
                <w:szCs w:val="24"/>
              </w:rPr>
              <w:t>144.63</w:t>
            </w:r>
          </w:p>
        </w:tc>
        <w:tc>
          <w:tcPr>
            <w:tcW w:w="2324" w:type="dxa"/>
            <w:tcBorders/>
            <w:hideMark/>
          </w:tcPr>
          <w:p>
            <w:pPr>
              <w:pStyle w:val="style0"/>
              <w:spacing w:lineRule="auto" w:line="360"/>
              <w:rPr>
                <w:color w:val="000000"/>
                <w:sz w:val="22"/>
                <w:szCs w:val="24"/>
              </w:rPr>
            </w:pPr>
            <w:r>
              <w:rPr>
                <w:color w:val="000000"/>
                <w:sz w:val="22"/>
                <w:szCs w:val="24"/>
              </w:rPr>
              <w:t>143.5</w:t>
            </w:r>
          </w:p>
        </w:tc>
      </w:tr>
    </w:tbl>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 xml:space="preserve">4.2: Phytochemical Present in the Sample </w:t>
      </w:r>
    </w:p>
    <w:p>
      <w:pPr>
        <w:pStyle w:val="style0"/>
        <w:spacing w:before="100" w:beforeAutospacing="true" w:after="0" w:lineRule="auto" w:line="480"/>
        <w:ind w:firstLine="720"/>
        <w:jc w:val="both"/>
        <w:rPr>
          <w:color w:val="000000"/>
          <w:sz w:val="24"/>
          <w:szCs w:val="26"/>
        </w:rPr>
      </w:pPr>
      <w:r>
        <w:rPr>
          <w:rStyle w:val="style87"/>
          <w:b w:val="false"/>
          <w:bCs w:val="false"/>
          <w:color w:val="000000"/>
          <w:sz w:val="24"/>
          <w:szCs w:val="26"/>
        </w:rPr>
        <w:t>Table 4.2</w:t>
      </w:r>
      <w:r>
        <w:rPr>
          <w:color w:val="000000"/>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r>
        <w:rPr>
          <w:color w:val="000000"/>
          <w:sz w:val="24"/>
          <w:szCs w:val="26"/>
        </w:rPr>
        <w:t>,.</w:t>
      </w:r>
      <w:r>
        <w:rPr>
          <w:color w:val="000000"/>
          <w:sz w:val="24"/>
          <w:szCs w:val="26"/>
        </w:rPr>
        <w:t xml:space="preserve"> </w:t>
      </w:r>
    </w:p>
    <w:p>
      <w:pPr>
        <w:pStyle w:val="style0"/>
        <w:spacing w:before="100" w:beforeAutospacing="true" w:after="0" w:lineRule="auto" w:line="480"/>
        <w:jc w:val="both"/>
        <w:rPr>
          <w:b/>
          <w:color w:val="000000"/>
          <w:sz w:val="24"/>
          <w:szCs w:val="26"/>
        </w:rPr>
      </w:pPr>
      <w:r>
        <w:rPr>
          <w:b/>
          <w:color w:val="000000"/>
          <w:sz w:val="24"/>
          <w:szCs w:val="26"/>
        </w:rPr>
        <w:t xml:space="preserve">Table </w:t>
      </w:r>
      <w:r>
        <w:rPr>
          <w:b/>
          <w:color w:val="000000"/>
          <w:sz w:val="24"/>
          <w:szCs w:val="26"/>
        </w:rPr>
        <w:t xml:space="preserve">4.2:  Phytochemical present in </w:t>
      </w:r>
      <w:r>
        <w:rPr>
          <w:b/>
          <w:i/>
          <w:color w:val="000000"/>
          <w:sz w:val="24"/>
          <w:szCs w:val="26"/>
        </w:rPr>
        <w:t>Sida Acuta</w:t>
      </w:r>
    </w:p>
    <w:p>
      <w:pPr>
        <w:pStyle w:val="style0"/>
        <w:pBdr>
          <w:top w:val="single" w:sz="4" w:space="1" w:color="auto"/>
          <w:bottom w:val="single" w:sz="4" w:space="1" w:color="auto"/>
        </w:pBdr>
        <w:spacing w:before="100" w:beforeAutospacing="true" w:after="0" w:lineRule="auto" w:line="480"/>
        <w:rPr>
          <w:rFonts w:eastAsia="Times New Roman"/>
          <w:b/>
          <w:bCs/>
          <w:color w:val="000000"/>
          <w:sz w:val="24"/>
          <w:szCs w:val="26"/>
        </w:rPr>
      </w:pPr>
      <w:r>
        <w:rPr>
          <w:rFonts w:eastAsia="Times New Roman"/>
          <w:b/>
          <w:bCs/>
          <w:color w:val="000000"/>
          <w:sz w:val="24"/>
          <w:szCs w:val="26"/>
        </w:rPr>
        <w:t xml:space="preserve">Sample Code      Saponin       Tannins       Flavonoid        Phenol      Glycosides </w:t>
      </w:r>
    </w:p>
    <w:p>
      <w:pPr>
        <w:pStyle w:val="style0"/>
        <w:pBdr>
          <w:bottom w:val="single" w:sz="4" w:space="1" w:color="auto"/>
        </w:pBdr>
        <w:spacing w:before="100" w:beforeAutospacing="true" w:after="0" w:lineRule="auto" w:line="480"/>
        <w:rPr>
          <w:rFonts w:eastAsia="Times New Roman"/>
          <w:b/>
          <w:bCs/>
          <w:color w:val="000000"/>
          <w:sz w:val="24"/>
          <w:szCs w:val="26"/>
        </w:rPr>
      </w:pPr>
      <w:r>
        <w:rPr>
          <w:rFonts w:eastAsia="Times New Roman"/>
          <w:b/>
          <w:bCs/>
          <w:color w:val="000000"/>
          <w:sz w:val="24"/>
          <w:szCs w:val="26"/>
        </w:rPr>
        <w:t>A</w:t>
      </w:r>
      <w:r>
        <w:rPr>
          <w:rFonts w:eastAsia="Times New Roman"/>
          <w:b/>
          <w:bCs/>
          <w:color w:val="000000"/>
          <w:sz w:val="24"/>
          <w:szCs w:val="26"/>
          <w:vertAlign w:val="subscript"/>
        </w:rPr>
        <w:t xml:space="preserve">1 </w:t>
      </w:r>
      <w:r>
        <w:rPr>
          <w:rFonts w:eastAsia="Times New Roman"/>
          <w:b/>
          <w:bCs/>
          <w:color w:val="000000"/>
          <w:sz w:val="24"/>
          <w:szCs w:val="26"/>
        </w:rPr>
        <w:t xml:space="preserve">    </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color w:val="000000"/>
          <w:sz w:val="26"/>
        </w:rPr>
        <w:t xml:space="preserve">+   </w:t>
      </w:r>
      <w:r>
        <w:rPr>
          <w:color w:val="000000"/>
          <w:sz w:val="26"/>
        </w:rPr>
        <w:tab/>
      </w:r>
      <w:r>
        <w:rPr>
          <w:color w:val="000000"/>
          <w:sz w:val="26"/>
        </w:rPr>
        <w:tab/>
      </w:r>
      <w:r>
        <w:rPr>
          <w:color w:val="000000"/>
          <w:sz w:val="26"/>
        </w:rPr>
        <w:t>+</w:t>
      </w:r>
      <w:r>
        <w:rPr>
          <w:color w:val="000000"/>
          <w:sz w:val="26"/>
        </w:rPr>
        <w:tab/>
      </w:r>
      <w:r>
        <w:rPr>
          <w:color w:val="000000"/>
          <w:sz w:val="26"/>
        </w:rPr>
        <w:tab/>
      </w:r>
      <w:r>
        <w:rPr>
          <w:color w:val="000000"/>
          <w:sz w:val="26"/>
        </w:rPr>
        <w:t>+</w:t>
      </w:r>
      <w:r>
        <w:rPr>
          <w:color w:val="000000"/>
          <w:sz w:val="26"/>
        </w:rPr>
        <w:tab/>
      </w:r>
      <w:r>
        <w:rPr>
          <w:color w:val="000000"/>
          <w:sz w:val="26"/>
        </w:rPr>
        <w:tab/>
      </w:r>
      <w:r>
        <w:rPr>
          <w:color w:val="000000"/>
          <w:sz w:val="26"/>
        </w:rPr>
        <w:t xml:space="preserve"> +</w:t>
      </w:r>
      <w:r>
        <w:rPr>
          <w:color w:val="000000"/>
          <w:sz w:val="26"/>
        </w:rPr>
        <w:tab/>
      </w:r>
      <w:r>
        <w:rPr>
          <w:color w:val="000000"/>
          <w:sz w:val="26"/>
        </w:rPr>
        <w:tab/>
      </w:r>
      <w:r>
        <w:rPr>
          <w:color w:val="000000"/>
          <w:sz w:val="26"/>
        </w:rPr>
        <w:t>+</w:t>
      </w:r>
    </w:p>
    <w:p>
      <w:pPr>
        <w:pStyle w:val="style0"/>
        <w:spacing w:before="100" w:beforeAutospacing="true" w:after="0" w:lineRule="auto" w:line="480"/>
        <w:jc w:val="both"/>
        <w:rPr>
          <w:rFonts w:eastAsia="Times New Roman"/>
          <w:b/>
          <w:color w:val="000000"/>
          <w:sz w:val="24"/>
          <w:szCs w:val="26"/>
          <w:lang w:eastAsia="en-GB"/>
        </w:rPr>
      </w:pPr>
      <w:r>
        <w:rPr>
          <w:rFonts w:eastAsia="Times New Roman"/>
          <w:b/>
          <w:color w:val="000000"/>
          <w:sz w:val="24"/>
          <w:szCs w:val="26"/>
          <w:lang w:eastAsia="en-GB"/>
        </w:rPr>
        <w:t xml:space="preserve"> </w:t>
      </w:r>
      <w:r>
        <w:rPr>
          <w:b/>
          <w:color w:val="000000"/>
          <w:sz w:val="24"/>
          <w:szCs w:val="26"/>
        </w:rPr>
        <w:t xml:space="preserve">+ </w:t>
      </w:r>
      <w:r>
        <w:rPr>
          <w:rFonts w:eastAsia="Times New Roman"/>
          <w:b/>
          <w:color w:val="000000"/>
          <w:sz w:val="24"/>
          <w:szCs w:val="26"/>
          <w:lang w:eastAsia="en-GB"/>
        </w:rPr>
        <w:t>= Present, - = Absent.</w:t>
      </w: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r>
        <w:rPr>
          <w:rFonts w:eastAsia="Times New Roman"/>
          <w:b/>
          <w:bCs/>
          <w:color w:val="000000"/>
          <w:sz w:val="24"/>
          <w:szCs w:val="26"/>
        </w:rPr>
        <w:t xml:space="preserve">Total Tannin Result Using </w:t>
      </w:r>
      <w:r>
        <w:rPr>
          <w:rFonts w:eastAsia="Times New Roman"/>
          <w:b/>
          <w:bCs/>
          <w:color w:val="000000"/>
          <w:sz w:val="24"/>
          <w:szCs w:val="26"/>
        </w:rPr>
        <w:t>Uv</w:t>
      </w:r>
      <w:r>
        <w:rPr>
          <w:rFonts w:eastAsia="Times New Roman"/>
          <w:b/>
          <w:bCs/>
          <w:color w:val="000000"/>
          <w:sz w:val="24"/>
          <w:szCs w:val="26"/>
        </w:rPr>
        <w:t xml:space="preserve"> Spectrophotometer</w:t>
      </w:r>
    </w:p>
    <w:p>
      <w:pPr>
        <w:pStyle w:val="style94"/>
        <w:spacing w:lineRule="auto" w:line="480"/>
        <w:jc w:val="both"/>
        <w:rPr>
          <w:color w:val="000000"/>
          <w:szCs w:val="26"/>
        </w:rPr>
      </w:pPr>
      <w:r>
        <w:rPr>
          <w:noProof/>
          <w:color w:val="000000"/>
          <w:sz w:val="22"/>
        </w:rPr>
      </w:r>
      <w:r>
        <w:rPr>
          <w:noProof/>
          <w:color w:val="000000"/>
          <w:sz w:val="22"/>
        </w:rPr>
      </w:r>
      <w:r>
        <w:rPr>
          <w:noProof/>
          <w:color w:val="000000"/>
          <w:sz w:val="22"/>
        </w:rPr>
      </w:r>
      <w:r>
        <w:rPr>
          <w:noProof/>
          <w:color w:val="000000"/>
          <w:sz w:val="22"/>
        </w:rPr>
        <w:drawing>
          <wp:inline distL="114300" distT="0" distB="0" distR="114300">
            <wp:extent cx="5314950" cy="3476625"/>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color w:val="000000"/>
          <w:sz w:val="22"/>
        </w:rPr>
      </w:r>
    </w:p>
    <w:p>
      <w:pPr>
        <w:pStyle w:val="style94"/>
        <w:pBdr>
          <w:top w:val="single" w:sz="4" w:space="1" w:color="auto"/>
          <w:bottom w:val="single" w:sz="4" w:space="1" w:color="auto"/>
        </w:pBdr>
        <w:spacing w:lineRule="auto" w:line="480"/>
        <w:jc w:val="both"/>
        <w:rPr>
          <w:color w:val="000000"/>
          <w:szCs w:val="26"/>
        </w:rPr>
      </w:pPr>
      <w:r>
        <w:rPr>
          <w:b/>
          <w:bCs/>
          <w:color w:val="000000"/>
          <w:szCs w:val="26"/>
        </w:rPr>
        <w:t>Conc(</w:t>
      </w:r>
      <w:r>
        <w:rPr>
          <w:b/>
          <w:bCs/>
          <w:color w:val="000000"/>
          <w:szCs w:val="26"/>
        </w:rPr>
        <w:t>ppm)</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rFonts w:ascii="Calibri" w:cs="Calibri" w:hAnsi="Calibri"/>
          <w:b/>
          <w:bCs/>
          <w:color w:val="000000"/>
          <w:sz w:val="22"/>
        </w:rPr>
        <w:t>ABS(nm)</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1</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2</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3</w:t>
      </w:r>
    </w:p>
    <w:p>
      <w:pPr>
        <w:pStyle w:val="style0"/>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4</w:t>
      </w:r>
    </w:p>
    <w:p>
      <w:pPr>
        <w:pStyle w:val="style0"/>
        <w:pBdr>
          <w:bottom w:val="single" w:sz="4" w:space="1" w:color="auto"/>
        </w:pBdr>
        <w:rPr>
          <w:rFonts w:eastAsia="Times New Roman"/>
          <w:b/>
          <w:bCs/>
          <w:color w:val="000000"/>
          <w:sz w:val="24"/>
          <w:szCs w:val="26"/>
        </w:rPr>
      </w:pPr>
      <w:r>
        <w:rPr>
          <w:rFonts w:eastAsia="Times New Roman"/>
          <w:b/>
          <w:bCs/>
          <w:color w:val="000000"/>
          <w:sz w:val="24"/>
          <w:szCs w:val="26"/>
        </w:rPr>
        <w:t>Sample</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ascii="Calibri" w:cs="Calibri" w:eastAsia="Times New Roman" w:hAnsi="Calibri"/>
          <w:b/>
          <w:bCs/>
          <w:color w:val="000000"/>
          <w:sz w:val="26"/>
        </w:rPr>
        <w:t>ABS</w:t>
      </w:r>
    </w:p>
    <w:p>
      <w:pPr>
        <w:pStyle w:val="style0"/>
        <w:pBdr>
          <w:bottom w:val="single" w:sz="4" w:space="1" w:color="auto"/>
        </w:pBdr>
        <w:rPr>
          <w:rFonts w:ascii="Calibri" w:cs="Calibri" w:eastAsia="Times New Roman" w:hAnsi="Calibri"/>
          <w:color w:val="000000"/>
          <w:sz w:val="26"/>
        </w:rPr>
      </w:pPr>
      <w:r>
        <w:rPr>
          <w:rFonts w:eastAsia="Times New Roman"/>
          <w:color w:val="000000"/>
          <w:sz w:val="24"/>
          <w:szCs w:val="26"/>
        </w:rPr>
        <w:t>EX TAIL LIVER</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ascii="Calibri" w:cs="Calibri" w:eastAsia="Times New Roman" w:hAnsi="Calibri"/>
          <w:color w:val="000000"/>
          <w:sz w:val="26"/>
        </w:rPr>
        <w:t>0.9116, 0.9113, 0.9113</w:t>
      </w:r>
    </w:p>
    <w:p>
      <w:pPr>
        <w:pStyle w:val="style0"/>
        <w:pBdr>
          <w:bottom w:val="single" w:sz="4" w:space="1" w:color="auto"/>
        </w:pBdr>
        <w:rPr>
          <w:rFonts w:ascii="Calibri" w:cs="Calibri" w:eastAsia="Times New Roman" w:hAnsi="Calibri"/>
          <w:color w:val="000000"/>
          <w:sz w:val="26"/>
        </w:rPr>
      </w:pPr>
      <w:r>
        <w:rPr>
          <w:rFonts w:ascii="Calibri" w:cs="Calibri" w:eastAsia="Times New Roman" w:hAnsi="Calibri"/>
          <w:color w:val="000000"/>
          <w:sz w:val="26"/>
        </w:rPr>
        <w:t>Group 1</w:t>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ab/>
      </w:r>
      <w:r>
        <w:rPr>
          <w:rFonts w:ascii="Calibri" w:cs="Calibri" w:eastAsia="Times New Roman" w:hAnsi="Calibri"/>
          <w:color w:val="000000"/>
          <w:sz w:val="26"/>
        </w:rPr>
        <w:t>1.3847, 1.3845, 1.3843</w:t>
      </w:r>
    </w:p>
    <w:p>
      <w:pPr>
        <w:pStyle w:val="style0"/>
        <w:spacing w:before="100" w:beforeAutospacing="true" w:after="0" w:lineRule="auto" w:line="480"/>
        <w:jc w:val="both"/>
        <w:rPr>
          <w:color w:val="000000"/>
          <w:sz w:val="24"/>
          <w:szCs w:val="26"/>
        </w:rPr>
      </w:pPr>
      <w:r>
        <w:rPr>
          <w:rFonts w:eastAsia="Times New Roman"/>
          <w:b/>
          <w:bCs/>
          <w:color w:val="000000"/>
          <w:sz w:val="24"/>
          <w:szCs w:val="26"/>
        </w:rPr>
        <w:t xml:space="preserve">4.3. Proximate </w:t>
      </w:r>
      <w:r>
        <w:rPr>
          <w:rFonts w:eastAsia="Times New Roman"/>
          <w:b/>
          <w:bCs/>
          <w:color w:val="000000"/>
          <w:sz w:val="24"/>
          <w:szCs w:val="26"/>
        </w:rPr>
        <w:t>Composition</w:t>
      </w:r>
      <w:r>
        <w:rPr>
          <w:rFonts w:eastAsia="Times New Roman"/>
          <w:b/>
          <w:bCs/>
          <w:color w:val="000000"/>
          <w:sz w:val="24"/>
          <w:szCs w:val="26"/>
        </w:rPr>
        <w:t xml:space="preserve"> of </w:t>
      </w:r>
      <w:r>
        <w:rPr>
          <w:rFonts w:eastAsia="Times New Roman"/>
          <w:b/>
          <w:bCs/>
          <w:i/>
          <w:color w:val="000000"/>
          <w:sz w:val="24"/>
          <w:szCs w:val="26"/>
        </w:rPr>
        <w:t>Sida Acuta</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r>
        <w:rPr>
          <w:rFonts w:eastAsia="Times New Roman"/>
          <w:color w:val="000000"/>
          <w:sz w:val="24"/>
          <w:szCs w:val="26"/>
        </w:rPr>
        <w:t>high,</w:t>
      </w:r>
      <w:r>
        <w:rPr>
          <w:rFonts w:eastAsia="Times New Roman"/>
          <w:color w:val="000000"/>
          <w:sz w:val="24"/>
          <w:szCs w:val="26"/>
        </w:rPr>
        <w:t xml:space="preserve"> This suggests that both samples can serve as go</w:t>
      </w:r>
      <w:r>
        <w:rPr>
          <w:rFonts w:eastAsia="Times New Roman"/>
          <w:color w:val="000000"/>
          <w:sz w:val="24"/>
          <w:szCs w:val="26"/>
        </w:rPr>
        <w:t>od sources of protein. However</w:t>
      </w:r>
      <w:r>
        <w:rPr>
          <w:rFonts w:eastAsia="Times New Roman"/>
          <w:color w:val="000000"/>
          <w:sz w:val="24"/>
          <w:szCs w:val="26"/>
        </w:rPr>
        <w:t>, which may make it more suitable for applications where protein content is a critical factor, such as in animal feeds or human diets requiring higher nitrogen intake.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Crude Lipid Content: The lipid content, which is important for providing energy and</w:t>
      </w:r>
      <w:r>
        <w:rPr>
          <w:rFonts w:eastAsia="Times New Roman"/>
          <w:color w:val="000000"/>
          <w:sz w:val="24"/>
          <w:szCs w:val="26"/>
        </w:rPr>
        <w:t xml:space="preserve"> essential fatty acids, was 7.14</w:t>
      </w:r>
      <w:r>
        <w:rPr>
          <w:rFonts w:eastAsia="Times New Roman"/>
          <w:color w:val="000000"/>
          <w:sz w:val="24"/>
          <w:szCs w:val="26"/>
        </w:rPr>
        <w:t xml:space="preserve">%. </w:t>
      </w:r>
      <w:r>
        <w:rPr>
          <w:rFonts w:eastAsia="Times New Roman"/>
          <w:color w:val="000000"/>
          <w:sz w:val="24"/>
          <w:szCs w:val="26"/>
        </w:rPr>
        <w:t xml:space="preserve">The </w:t>
      </w:r>
      <w:r>
        <w:rPr>
          <w:rFonts w:eastAsia="Times New Roman"/>
          <w:color w:val="000000"/>
          <w:sz w:val="24"/>
          <w:szCs w:val="26"/>
        </w:rPr>
        <w:t>higher energy density due</w:t>
      </w:r>
      <w:r>
        <w:rPr>
          <w:rFonts w:eastAsia="Times New Roman"/>
          <w:color w:val="000000"/>
          <w:sz w:val="24"/>
          <w:szCs w:val="26"/>
        </w:rPr>
        <w:t xml:space="preserve"> to its higher fat content.</w:t>
      </w:r>
      <w:r>
        <w:rPr>
          <w:rFonts w:eastAsia="Times New Roman"/>
          <w:color w:val="000000"/>
          <w:sz w:val="24"/>
          <w:szCs w:val="26"/>
        </w:rPr>
        <w:t xml:space="preserve"> </w:t>
      </w:r>
      <w:r>
        <w:rPr>
          <w:rFonts w:eastAsia="Times New Roman"/>
          <w:color w:val="000000"/>
          <w:sz w:val="24"/>
          <w:szCs w:val="26"/>
        </w:rPr>
        <w:t>Sample</w:t>
      </w:r>
      <w:r>
        <w:rPr>
          <w:rFonts w:eastAsia="Times New Roman"/>
          <w:color w:val="000000"/>
          <w:sz w:val="24"/>
          <w:szCs w:val="26"/>
        </w:rPr>
        <w:t xml:space="preserve"> have</w:t>
      </w:r>
      <w:r>
        <w:rPr>
          <w:rFonts w:eastAsia="Times New Roman"/>
          <w:color w:val="000000"/>
          <w:sz w:val="24"/>
          <w:szCs w:val="26"/>
        </w:rPr>
        <w:t xml:space="preserve"> relatively low lipid contents, suggesting that they are not overly rich in fats, which could be desirable depending on the intended use.</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Moisture Content: Moisture content in both samples is low, which is ideal for preserving the quality and shelf life of the samples. </w:t>
      </w:r>
      <w:r>
        <w:rPr>
          <w:rFonts w:eastAsia="Times New Roman"/>
          <w:color w:val="000000"/>
          <w:sz w:val="24"/>
          <w:szCs w:val="26"/>
        </w:rPr>
        <w:t>t</w:t>
      </w:r>
      <w:r>
        <w:rPr>
          <w:rFonts w:eastAsia="Times New Roman"/>
          <w:color w:val="000000"/>
          <w:sz w:val="24"/>
          <w:szCs w:val="26"/>
        </w:rPr>
        <w:t>he</w:t>
      </w:r>
      <w:r>
        <w:rPr>
          <w:rFonts w:eastAsia="Times New Roman"/>
          <w:color w:val="000000"/>
          <w:sz w:val="24"/>
          <w:szCs w:val="26"/>
        </w:rPr>
        <w:t xml:space="preserve"> higher moisture content in </w:t>
      </w:r>
      <w:r>
        <w:rPr>
          <w:rFonts w:eastAsia="Times New Roman"/>
          <w:i/>
          <w:color w:val="000000"/>
          <w:sz w:val="24"/>
          <w:szCs w:val="26"/>
        </w:rPr>
        <w:t>Sida acuta</w:t>
      </w:r>
      <w:r>
        <w:rPr>
          <w:rFonts w:eastAsia="Times New Roman"/>
          <w:color w:val="000000"/>
          <w:sz w:val="24"/>
          <w:szCs w:val="26"/>
        </w:rPr>
        <w:t xml:space="preserve"> may slightly reduce its shelf life, although both values are within a similar range that would not significantly impact preservation.</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Total Ash Content: </w:t>
      </w:r>
      <w:r>
        <w:rPr>
          <w:rFonts w:eastAsia="Times New Roman"/>
          <w:color w:val="000000"/>
          <w:sz w:val="24"/>
          <w:szCs w:val="26"/>
        </w:rPr>
        <w:t>of sample</w:t>
      </w:r>
      <w:r>
        <w:rPr>
          <w:rFonts w:eastAsia="Times New Roman"/>
          <w:color w:val="000000"/>
          <w:sz w:val="24"/>
          <w:szCs w:val="26"/>
        </w:rPr>
        <w:t xml:space="preserve"> show similar </w:t>
      </w:r>
      <w:r>
        <w:rPr>
          <w:rFonts w:eastAsia="Times New Roman"/>
          <w:color w:val="000000"/>
          <w:sz w:val="24"/>
          <w:szCs w:val="26"/>
        </w:rPr>
        <w:t xml:space="preserve">moderate </w:t>
      </w:r>
      <w:r>
        <w:rPr>
          <w:rFonts w:eastAsia="Times New Roman"/>
          <w:color w:val="000000"/>
          <w:sz w:val="24"/>
          <w:szCs w:val="26"/>
        </w:rPr>
        <w:t xml:space="preserve">ash contents, </w:t>
      </w:r>
      <w:r>
        <w:rPr>
          <w:rFonts w:eastAsia="Times New Roman"/>
          <w:color w:val="000000"/>
          <w:sz w:val="24"/>
          <w:szCs w:val="26"/>
        </w:rPr>
        <w:t>This</w:t>
      </w:r>
      <w:r>
        <w:rPr>
          <w:rFonts w:eastAsia="Times New Roman"/>
          <w:color w:val="000000"/>
          <w:sz w:val="24"/>
          <w:szCs w:val="26"/>
        </w:rPr>
        <w:t xml:space="preserve"> indicates that t</w:t>
      </w:r>
      <w:r>
        <w:rPr>
          <w:rFonts w:eastAsia="Times New Roman"/>
          <w:color w:val="000000"/>
          <w:sz w:val="24"/>
          <w:szCs w:val="26"/>
        </w:rPr>
        <w:t>he inorganic mineral content in the sample</w:t>
      </w:r>
      <w:r>
        <w:rPr>
          <w:rFonts w:eastAsia="Times New Roman"/>
          <w:color w:val="000000"/>
          <w:sz w:val="24"/>
          <w:szCs w:val="26"/>
        </w:rPr>
        <w:t xml:space="preserve">. </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Crude Fibre Content: Crude fibre, which plays a crucial role in digestion and overall gastrointestinal health, was found to be significantly higher, which contained 27.52%</w:t>
      </w:r>
      <w:r>
        <w:rPr>
          <w:rFonts w:eastAsia="Times New Roman"/>
          <w:color w:val="000000"/>
          <w:sz w:val="24"/>
          <w:szCs w:val="26"/>
        </w:rPr>
        <w:t xml:space="preserve">. The higher fibre content in </w:t>
      </w:r>
      <w:r>
        <w:rPr>
          <w:rFonts w:eastAsia="Times New Roman"/>
          <w:i/>
          <w:color w:val="000000"/>
          <w:sz w:val="24"/>
          <w:szCs w:val="26"/>
        </w:rPr>
        <w:t>Sida acuta</w:t>
      </w:r>
      <w:r>
        <w:rPr>
          <w:rFonts w:eastAsia="Times New Roman"/>
          <w:color w:val="000000"/>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Carbohydrate Content: Both samples contain substantial amounts of carbohydrates, which are the primary energy source for bot</w:t>
      </w:r>
      <w:r>
        <w:rPr>
          <w:rFonts w:eastAsia="Times New Roman"/>
          <w:color w:val="000000"/>
          <w:sz w:val="24"/>
          <w:szCs w:val="26"/>
        </w:rPr>
        <w:t xml:space="preserve">h human and animal nutrition. </w:t>
      </w:r>
      <w:r>
        <w:rPr>
          <w:rFonts w:eastAsia="Times New Roman"/>
          <w:i/>
          <w:color w:val="000000"/>
          <w:sz w:val="24"/>
          <w:szCs w:val="26"/>
        </w:rPr>
        <w:t>Sida acuta</w:t>
      </w:r>
      <w:r>
        <w:rPr>
          <w:rFonts w:eastAsia="Times New Roman"/>
          <w:color w:val="000000"/>
          <w:sz w:val="24"/>
          <w:szCs w:val="26"/>
        </w:rPr>
        <w:t xml:space="preserve"> contains 30.68% carbohydrates, </w:t>
      </w:r>
      <w:r>
        <w:rPr>
          <w:rFonts w:eastAsia="Times New Roman"/>
          <w:color w:val="000000"/>
          <w:sz w:val="24"/>
          <w:szCs w:val="26"/>
        </w:rPr>
        <w:t>This</w:t>
      </w:r>
      <w:r>
        <w:rPr>
          <w:rFonts w:eastAsia="Times New Roman"/>
          <w:color w:val="000000"/>
          <w:sz w:val="24"/>
          <w:szCs w:val="26"/>
        </w:rPr>
        <w:t xml:space="preserve"> </w:t>
      </w:r>
      <w:r>
        <w:rPr>
          <w:rFonts w:eastAsia="Times New Roman"/>
          <w:color w:val="000000"/>
          <w:sz w:val="24"/>
          <w:szCs w:val="26"/>
        </w:rPr>
        <w:t xml:space="preserve">that </w:t>
      </w:r>
      <w:r>
        <w:rPr>
          <w:rFonts w:eastAsia="Times New Roman"/>
          <w:i/>
          <w:color w:val="000000"/>
          <w:sz w:val="24"/>
          <w:szCs w:val="26"/>
        </w:rPr>
        <w:t>Sida acuta</w:t>
      </w:r>
      <w:r>
        <w:rPr>
          <w:rFonts w:eastAsia="Times New Roman"/>
          <w:color w:val="000000"/>
          <w:sz w:val="24"/>
          <w:szCs w:val="26"/>
        </w:rPr>
        <w:t xml:space="preserve"> might prov</w:t>
      </w:r>
      <w:r>
        <w:rPr>
          <w:rFonts w:eastAsia="Times New Roman"/>
          <w:color w:val="000000"/>
          <w:sz w:val="24"/>
          <w:szCs w:val="26"/>
        </w:rPr>
        <w:t>ide slightly more energy</w:t>
      </w:r>
      <w:r>
        <w:rPr>
          <w:rFonts w:eastAsia="Times New Roman"/>
          <w:color w:val="000000"/>
          <w:sz w:val="24"/>
          <w:szCs w:val="26"/>
        </w:rPr>
        <w:t>, making it a more efficient energy source.</w:t>
      </w:r>
    </w:p>
    <w:p>
      <w:pPr>
        <w:pStyle w:val="style0"/>
        <w:spacing w:before="100" w:beforeAutospacing="true" w:after="0" w:lineRule="auto" w:line="480"/>
        <w:jc w:val="both"/>
        <w:rPr>
          <w:rFonts w:eastAsia="Times New Roman"/>
          <w:b/>
          <w:bCs/>
          <w:color w:val="000000"/>
          <w:sz w:val="24"/>
          <w:szCs w:val="26"/>
        </w:rPr>
      </w:pPr>
    </w:p>
    <w:p>
      <w:pPr>
        <w:pStyle w:val="style0"/>
        <w:spacing w:before="100" w:beforeAutospacing="true" w:after="0" w:lineRule="auto" w:line="480"/>
        <w:jc w:val="both"/>
        <w:rPr>
          <w:rFonts w:eastAsia="Times New Roman"/>
          <w:b/>
          <w:bCs/>
          <w:color w:val="000000"/>
          <w:sz w:val="24"/>
          <w:szCs w:val="26"/>
        </w:rPr>
      </w:pPr>
    </w:p>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Table 4.3: Proximate Composition</w:t>
      </w:r>
      <w:r>
        <w:rPr>
          <w:rFonts w:eastAsia="Times New Roman"/>
          <w:b/>
          <w:bCs/>
          <w:color w:val="000000"/>
          <w:sz w:val="24"/>
          <w:szCs w:val="26"/>
        </w:rPr>
        <w:t xml:space="preserve"> of </w:t>
      </w:r>
      <w:r>
        <w:rPr>
          <w:rFonts w:eastAsia="Times New Roman"/>
          <w:b/>
          <w:bCs/>
          <w:i/>
          <w:iCs/>
          <w:color w:val="000000"/>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48"/>
        <w:gridCol w:w="990"/>
        <w:gridCol w:w="1345"/>
        <w:gridCol w:w="1149"/>
        <w:gridCol w:w="1633"/>
        <w:gridCol w:w="1036"/>
        <w:gridCol w:w="1158"/>
        <w:gridCol w:w="1689"/>
      </w:tblGrid>
      <w:tr>
        <w:trPr>
          <w:trHeight w:val="1354" w:hRule="atLeast"/>
          <w:tblHeader/>
          <w:tblCellSpacing w:w="15" w:type="dxa"/>
        </w:trPr>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S/N</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Sample</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Protein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Lipid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Moisture Content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Total Ash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Crude Fibre (%)</w:t>
            </w:r>
          </w:p>
        </w:tc>
        <w:tc>
          <w:tcPr>
            <w:tcW w:w="0" w:type="auto"/>
            <w:tcBorders>
              <w:top w:val="nil"/>
              <w:bottom w:val="single" w:sz="4" w:space="0" w:color="auto"/>
            </w:tcBorders>
            <w:vAlign w:val="center"/>
            <w:hideMark/>
          </w:tcPr>
          <w:p>
            <w:pPr>
              <w:pStyle w:val="style0"/>
              <w:spacing w:after="0" w:lineRule="auto" w:line="480"/>
              <w:jc w:val="center"/>
              <w:rPr>
                <w:rFonts w:eastAsia="Times New Roman"/>
                <w:b/>
                <w:bCs/>
                <w:color w:val="000000"/>
                <w:sz w:val="24"/>
                <w:szCs w:val="26"/>
              </w:rPr>
            </w:pPr>
            <w:r>
              <w:rPr>
                <w:rFonts w:eastAsia="Times New Roman"/>
                <w:b/>
                <w:bCs/>
                <w:color w:val="000000"/>
                <w:sz w:val="24"/>
                <w:szCs w:val="26"/>
              </w:rPr>
              <w:t>Carbohydrate (%)</w:t>
            </w:r>
          </w:p>
        </w:tc>
      </w:tr>
      <w:tr>
        <w:tblPrEx/>
        <w:trPr>
          <w:trHeight w:val="647" w:hRule="atLeast"/>
          <w:tblCellSpacing w:w="15" w:type="dxa"/>
        </w:trPr>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w:t>
            </w:r>
          </w:p>
        </w:tc>
        <w:tc>
          <w:tcPr>
            <w:tcW w:w="0" w:type="auto"/>
            <w:tcBorders/>
            <w:vAlign w:val="center"/>
            <w:hideMark/>
          </w:tcPr>
          <w:p>
            <w:pPr>
              <w:pStyle w:val="style0"/>
              <w:spacing w:after="0" w:lineRule="auto" w:line="480"/>
              <w:jc w:val="center"/>
              <w:rPr>
                <w:rFonts w:eastAsia="Times New Roman"/>
                <w:i/>
                <w:color w:val="000000"/>
                <w:sz w:val="24"/>
                <w:szCs w:val="26"/>
              </w:rPr>
            </w:pPr>
            <w:r>
              <w:rPr>
                <w:rFonts w:eastAsia="Times New Roman"/>
                <w:i/>
                <w:color w:val="000000"/>
                <w:sz w:val="24"/>
                <w:szCs w:val="26"/>
              </w:rPr>
              <w:t>Sida acuta</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13.57</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7.14</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8.24</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11.42</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28.37</w:t>
            </w:r>
          </w:p>
        </w:tc>
        <w:tc>
          <w:tcPr>
            <w:tcW w:w="0" w:type="auto"/>
            <w:tcBorders/>
            <w:vAlign w:val="center"/>
            <w:hideMark/>
          </w:tcPr>
          <w:p>
            <w:pPr>
              <w:pStyle w:val="style0"/>
              <w:spacing w:after="0" w:lineRule="auto" w:line="480"/>
              <w:jc w:val="center"/>
              <w:rPr>
                <w:rFonts w:eastAsia="Times New Roman"/>
                <w:color w:val="000000"/>
                <w:sz w:val="24"/>
                <w:szCs w:val="26"/>
              </w:rPr>
            </w:pPr>
            <w:r>
              <w:rPr>
                <w:rFonts w:eastAsia="Times New Roman"/>
                <w:color w:val="000000"/>
                <w:sz w:val="24"/>
                <w:szCs w:val="26"/>
              </w:rPr>
              <w:t>31.16</w:t>
            </w:r>
          </w:p>
        </w:tc>
      </w:tr>
      <w:tr>
        <w:tblPrEx/>
        <w:trPr>
          <w:trHeight w:val="677" w:hRule="atLeast"/>
          <w:tblCellSpacing w:w="15" w:type="dxa"/>
        </w:trPr>
        <w:tc>
          <w:tcPr>
            <w:tcW w:w="0" w:type="auto"/>
            <w:tcBorders/>
            <w:vAlign w:val="center"/>
            <w:hideMark/>
          </w:tcPr>
          <w:p>
            <w:pPr>
              <w:pStyle w:val="style0"/>
              <w:spacing w:after="0" w:lineRule="auto" w:line="480"/>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c>
          <w:tcPr>
            <w:tcW w:w="0" w:type="auto"/>
            <w:tcBorders/>
            <w:vAlign w:val="center"/>
            <w:hideMark/>
          </w:tcPr>
          <w:p>
            <w:pPr>
              <w:pStyle w:val="style0"/>
              <w:spacing w:after="0" w:lineRule="auto" w:line="480"/>
              <w:jc w:val="center"/>
              <w:rPr>
                <w:rFonts w:eastAsia="Times New Roman"/>
                <w:color w:val="000000"/>
                <w:sz w:val="24"/>
                <w:szCs w:val="26"/>
              </w:rPr>
            </w:pPr>
          </w:p>
        </w:tc>
      </w:tr>
    </w:tbl>
    <w:p>
      <w:pPr>
        <w:pStyle w:val="style0"/>
        <w:spacing w:after="160" w:lineRule="auto" w:line="259"/>
        <w:rPr>
          <w:rFonts w:eastAsia="Times New Roman"/>
          <w:b/>
          <w:bCs/>
          <w:color w:val="000000"/>
          <w:sz w:val="24"/>
          <w:szCs w:val="26"/>
        </w:rPr>
      </w:pPr>
    </w:p>
    <w:p>
      <w:pPr>
        <w:pStyle w:val="style0"/>
        <w:spacing w:after="160" w:lineRule="auto" w:line="259"/>
        <w:rPr>
          <w:rFonts w:eastAsia="Times New Roman"/>
          <w:b/>
          <w:bCs/>
          <w:color w:val="000000"/>
          <w:sz w:val="24"/>
          <w:szCs w:val="26"/>
        </w:rPr>
      </w:pPr>
      <w:r>
        <w:rPr>
          <w:rFonts w:eastAsia="Times New Roman"/>
          <w:b/>
          <w:bCs/>
          <w:color w:val="000000"/>
          <w:sz w:val="24"/>
          <w:szCs w:val="26"/>
        </w:rPr>
        <w:t xml:space="preserve">4.4. Mineral Composition of </w:t>
      </w:r>
      <w:r>
        <w:rPr>
          <w:rFonts w:eastAsia="Times New Roman"/>
          <w:b/>
          <w:bCs/>
          <w:i/>
          <w:iCs/>
          <w:color w:val="000000"/>
          <w:sz w:val="24"/>
          <w:szCs w:val="26"/>
        </w:rPr>
        <w:t>Sida acuta</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mineral composition analysis of </w:t>
      </w:r>
      <w:r>
        <w:rPr>
          <w:rFonts w:eastAsia="Times New Roman"/>
          <w:i/>
          <w:iCs/>
          <w:color w:val="000000"/>
          <w:sz w:val="24"/>
          <w:szCs w:val="26"/>
        </w:rPr>
        <w:t>Sida acuta</w:t>
      </w:r>
      <w:r>
        <w:rPr>
          <w:rFonts w:eastAsia="Times New Roman"/>
          <w:color w:val="000000"/>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Pr>
          <w:rFonts w:eastAsia="Times New Roman"/>
          <w:i/>
          <w:iCs/>
          <w:color w:val="000000"/>
          <w:sz w:val="24"/>
          <w:szCs w:val="26"/>
        </w:rPr>
        <w:t>Sida acuta</w:t>
      </w:r>
      <w:r>
        <w:rPr>
          <w:rFonts w:eastAsia="Times New Roman"/>
          <w:color w:val="000000"/>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The sodium (Na) content was relatively low at 2.962 mg/100g. </w:t>
      </w:r>
      <w:r>
        <w:rPr>
          <w:rFonts w:eastAsia="Times New Roman"/>
          <w:color w:val="000000"/>
          <w:sz w:val="24"/>
          <w:szCs w:val="26"/>
        </w:rPr>
        <w:t xml:space="preserve">This low sodium level is noteworthy because diets high in sodium are associated with hypertension and cardiovascular diseases; thus, the consumption of </w:t>
      </w:r>
      <w:r>
        <w:rPr>
          <w:rFonts w:eastAsia="Times New Roman"/>
          <w:i/>
          <w:iCs/>
          <w:color w:val="000000"/>
          <w:sz w:val="24"/>
          <w:szCs w:val="26"/>
        </w:rPr>
        <w:t>Sida acuta</w:t>
      </w:r>
      <w:r>
        <w:rPr>
          <w:rFonts w:eastAsia="Times New Roman"/>
          <w:color w:val="000000"/>
          <w:sz w:val="24"/>
          <w:szCs w:val="26"/>
        </w:rPr>
        <w:t xml:space="preserve"> may not pose such risks.</w:t>
      </w:r>
      <w:r>
        <w:rPr>
          <w:rFonts w:eastAsia="Times New Roman"/>
          <w:color w:val="000000"/>
          <w:sz w:val="24"/>
          <w:szCs w:val="26"/>
        </w:rPr>
        <w:t xml:space="preserve"> Conversely, the potassium (K) level was relatively high at 5.833 mg/100g. Potassium is known for its role in maintaining electrolyte balance, nerve transmission, and regulating </w:t>
      </w:r>
      <w:r>
        <w:rPr>
          <w:rFonts w:eastAsia="Times New Roman"/>
          <w:color w:val="000000"/>
          <w:sz w:val="24"/>
          <w:szCs w:val="26"/>
        </w:rPr>
        <w:t xml:space="preserve">blood pressure. The high potassium-to-sodium ratio observed in </w:t>
      </w:r>
      <w:r>
        <w:rPr>
          <w:rFonts w:eastAsia="Times New Roman"/>
          <w:i/>
          <w:iCs/>
          <w:color w:val="000000"/>
          <w:sz w:val="24"/>
          <w:szCs w:val="26"/>
        </w:rPr>
        <w:t>Sida acuta</w:t>
      </w:r>
      <w:r>
        <w:rPr>
          <w:rFonts w:eastAsia="Times New Roman"/>
          <w:color w:val="000000"/>
          <w:sz w:val="24"/>
          <w:szCs w:val="26"/>
        </w:rPr>
        <w:t xml:space="preserve"> further highlights its potential cardiovascular benefits.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Pr>
          <w:rFonts w:eastAsia="Times New Roman"/>
          <w:color w:val="000000"/>
          <w:sz w:val="24"/>
          <w:szCs w:val="26"/>
        </w:rPr>
        <w:t>r function and nerve signaling.</w:t>
      </w:r>
    </w:p>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 xml:space="preserve">Table 4.4: Mineral Composition of </w:t>
      </w:r>
      <w:r>
        <w:rPr>
          <w:rFonts w:eastAsia="Times New Roman"/>
          <w:b/>
          <w:bCs/>
          <w:i/>
          <w:iCs/>
          <w:color w:val="000000"/>
          <w:sz w:val="24"/>
          <w:szCs w:val="26"/>
        </w:rPr>
        <w:t>Sida acuta</w:t>
      </w:r>
    </w:p>
    <w:tbl>
      <w:tblPr>
        <w:tblStyle w:val="style154"/>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trPr>
          <w:trHeight w:val="857" w:hRule="atLeast"/>
        </w:trPr>
        <w:tc>
          <w:tcPr>
            <w:tcW w:w="781"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S/N</w:t>
            </w:r>
          </w:p>
        </w:tc>
        <w:tc>
          <w:tcPr>
            <w:tcW w:w="1266"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Sample Name</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Fe</w:t>
            </w:r>
          </w:p>
        </w:tc>
        <w:tc>
          <w:tcPr>
            <w:tcW w:w="995"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Cu</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Zn</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Na</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K</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Mg</w:t>
            </w:r>
          </w:p>
        </w:tc>
        <w:tc>
          <w:tcPr>
            <w:tcW w:w="860"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Mn</w:t>
            </w:r>
          </w:p>
        </w:tc>
        <w:tc>
          <w:tcPr>
            <w:tcW w:w="957" w:type="dxa"/>
            <w:tcBorders>
              <w:top w:val="single" w:sz="4" w:space="0" w:color="auto"/>
              <w:bottom w:val="single" w:sz="4" w:space="0" w:color="auto"/>
            </w:tcBorders>
          </w:tcPr>
          <w:p>
            <w:pPr>
              <w:pStyle w:val="style0"/>
              <w:spacing w:before="100" w:beforeAutospacing="true" w:lineRule="auto" w:line="480"/>
              <w:jc w:val="both"/>
              <w:rPr>
                <w:rFonts w:eastAsia="Times New Roman"/>
                <w:b/>
                <w:bCs/>
                <w:color w:val="000000"/>
                <w:sz w:val="24"/>
                <w:szCs w:val="26"/>
              </w:rPr>
            </w:pPr>
            <w:r>
              <w:rPr>
                <w:rFonts w:eastAsia="Times New Roman"/>
                <w:b/>
                <w:bCs/>
                <w:color w:val="000000"/>
                <w:sz w:val="24"/>
                <w:szCs w:val="26"/>
              </w:rPr>
              <w:t>Ca</w:t>
            </w:r>
          </w:p>
        </w:tc>
      </w:tr>
      <w:tr>
        <w:tblPrEx/>
        <w:trPr>
          <w:trHeight w:val="908" w:hRule="atLeast"/>
        </w:trPr>
        <w:tc>
          <w:tcPr>
            <w:tcW w:w="781" w:type="dxa"/>
            <w:tcBorders>
              <w:top w:val="single" w:sz="4" w:space="0" w:color="auto"/>
            </w:tcBorders>
          </w:tcPr>
          <w:p>
            <w:pPr>
              <w:pStyle w:val="style0"/>
              <w:spacing w:before="100" w:beforeAutospacing="true" w:lineRule="auto" w:line="480"/>
              <w:jc w:val="both"/>
              <w:rPr>
                <w:rFonts w:eastAsia="Times New Roman"/>
                <w:color w:val="000000"/>
                <w:sz w:val="24"/>
                <w:szCs w:val="26"/>
              </w:rPr>
            </w:pPr>
            <w:r>
              <w:rPr>
                <w:rFonts w:eastAsia="Times New Roman"/>
                <w:color w:val="000000"/>
                <w:sz w:val="24"/>
                <w:szCs w:val="26"/>
              </w:rPr>
              <w:t>1</w:t>
            </w:r>
          </w:p>
        </w:tc>
        <w:tc>
          <w:tcPr>
            <w:tcW w:w="1266" w:type="dxa"/>
            <w:tcBorders>
              <w:top w:val="single" w:sz="4" w:space="0" w:color="auto"/>
            </w:tcBorders>
          </w:tcPr>
          <w:p>
            <w:pPr>
              <w:pStyle w:val="style0"/>
              <w:spacing w:before="100" w:beforeAutospacing="true" w:lineRule="auto" w:line="480"/>
              <w:jc w:val="both"/>
              <w:rPr>
                <w:rFonts w:eastAsia="Times New Roman"/>
                <w:i/>
                <w:color w:val="000000"/>
                <w:sz w:val="24"/>
                <w:szCs w:val="26"/>
              </w:rPr>
            </w:pPr>
            <w:r>
              <w:rPr>
                <w:rFonts w:eastAsia="Times New Roman"/>
                <w:i/>
                <w:color w:val="000000"/>
                <w:sz w:val="24"/>
                <w:szCs w:val="26"/>
              </w:rPr>
              <w:t>Sida acuta</w:t>
            </w: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2.023</w:t>
            </w:r>
          </w:p>
          <w:p>
            <w:pPr>
              <w:pStyle w:val="style0"/>
              <w:spacing w:lineRule="auto" w:line="480"/>
              <w:jc w:val="both"/>
              <w:rPr>
                <w:rFonts w:ascii="Calibri" w:cs="Calibri" w:hAnsi="Calibri"/>
                <w:color w:val="000000"/>
                <w:sz w:val="24"/>
                <w:szCs w:val="26"/>
              </w:rPr>
            </w:pPr>
          </w:p>
        </w:tc>
        <w:tc>
          <w:tcPr>
            <w:tcW w:w="995"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1.0948</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0.570</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2.962</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5.833</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5.376</w:t>
            </w:r>
          </w:p>
          <w:p>
            <w:pPr>
              <w:pStyle w:val="style0"/>
              <w:spacing w:lineRule="auto" w:line="480"/>
              <w:jc w:val="both"/>
              <w:rPr>
                <w:rFonts w:ascii="Calibri" w:cs="Calibri" w:hAnsi="Calibri"/>
                <w:color w:val="000000"/>
                <w:sz w:val="24"/>
                <w:szCs w:val="26"/>
              </w:rPr>
            </w:pPr>
          </w:p>
        </w:tc>
        <w:tc>
          <w:tcPr>
            <w:tcW w:w="860"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0.476</w:t>
            </w:r>
          </w:p>
          <w:p>
            <w:pPr>
              <w:pStyle w:val="style0"/>
              <w:spacing w:lineRule="auto" w:line="480"/>
              <w:jc w:val="both"/>
              <w:rPr>
                <w:rFonts w:ascii="Calibri" w:cs="Calibri" w:hAnsi="Calibri"/>
                <w:color w:val="000000"/>
                <w:sz w:val="24"/>
                <w:szCs w:val="26"/>
              </w:rPr>
            </w:pPr>
          </w:p>
        </w:tc>
        <w:tc>
          <w:tcPr>
            <w:tcW w:w="957" w:type="dxa"/>
            <w:tcBorders>
              <w:top w:val="single" w:sz="4" w:space="0" w:color="auto"/>
            </w:tcBorders>
          </w:tcPr>
          <w:p>
            <w:pPr>
              <w:pStyle w:val="style0"/>
              <w:spacing w:lineRule="auto" w:line="480"/>
              <w:jc w:val="both"/>
              <w:rPr>
                <w:rFonts w:ascii="Calibri" w:cs="Calibri" w:hAnsi="Calibri"/>
                <w:color w:val="000000"/>
                <w:sz w:val="24"/>
                <w:szCs w:val="26"/>
              </w:rPr>
            </w:pPr>
            <w:r>
              <w:rPr>
                <w:rFonts w:ascii="Calibri" w:cs="Calibri" w:hAnsi="Calibri"/>
                <w:color w:val="000000"/>
                <w:sz w:val="24"/>
                <w:szCs w:val="26"/>
              </w:rPr>
              <w:t>4.031</w:t>
            </w:r>
          </w:p>
        </w:tc>
      </w:tr>
    </w:tbl>
    <w:p>
      <w:pPr>
        <w:pStyle w:val="style0"/>
        <w:spacing w:before="100" w:beforeAutospacing="true" w:after="0" w:lineRule="auto" w:line="480"/>
        <w:jc w:val="both"/>
        <w:rPr>
          <w:rFonts w:eastAsia="Times New Roman"/>
          <w:color w:val="000000"/>
          <w:sz w:val="24"/>
          <w:szCs w:val="26"/>
        </w:rPr>
      </w:pPr>
      <w:r>
        <w:rPr>
          <w:rFonts w:eastAsia="Times New Roman"/>
          <w:color w:val="000000"/>
          <w:sz w:val="24"/>
          <w:szCs w:val="26"/>
        </w:rPr>
        <w:t>Key: iron (Fe), copper (Cu), zinc (Zn), sodium (Na), potassium (K), and Magnesium (Mg).</w:t>
      </w:r>
    </w:p>
    <w:p>
      <w:pPr>
        <w:pStyle w:val="style0"/>
        <w:spacing w:before="100" w:beforeAutospacing="true" w:after="0" w:lineRule="auto" w:line="480"/>
        <w:jc w:val="both"/>
        <w:rPr>
          <w:rFonts w:eastAsia="Times New Roman"/>
          <w:color w:val="000000"/>
          <w:sz w:val="24"/>
          <w:szCs w:val="26"/>
        </w:rPr>
      </w:pPr>
    </w:p>
    <w:p>
      <w:pPr>
        <w:pStyle w:val="style0"/>
        <w:spacing w:before="100" w:beforeAutospacing="true" w:after="0" w:lineRule="auto" w:line="480"/>
        <w:jc w:val="both"/>
        <w:rPr>
          <w:rFonts w:eastAsia="Times New Roman"/>
          <w:color w:val="000000"/>
          <w:sz w:val="24"/>
          <w:szCs w:val="26"/>
        </w:rPr>
      </w:pPr>
    </w:p>
    <w:p>
      <w:pPr>
        <w:pStyle w:val="style0"/>
        <w:spacing w:before="100" w:beforeAutospacing="true" w:after="0" w:lineRule="auto" w:line="480"/>
        <w:jc w:val="both"/>
        <w:rPr>
          <w:rFonts w:eastAsia="Times New Roman"/>
          <w:color w:val="000000"/>
          <w:sz w:val="24"/>
          <w:szCs w:val="26"/>
        </w:rPr>
      </w:pPr>
    </w:p>
    <w:p>
      <w:pPr>
        <w:pStyle w:val="style0"/>
        <w:spacing w:lineRule="auto" w:line="480"/>
        <w:rPr>
          <w:rFonts w:eastAsia="Times New Roman"/>
          <w:color w:val="000000"/>
          <w:sz w:val="24"/>
          <w:szCs w:val="26"/>
        </w:rPr>
      </w:pPr>
    </w:p>
    <w:p>
      <w:pPr>
        <w:pStyle w:val="style0"/>
        <w:spacing w:lineRule="auto" w:line="480"/>
        <w:rPr>
          <w:sz w:val="22"/>
          <w:szCs w:val="24"/>
        </w:rPr>
      </w:pPr>
      <w:r>
        <w:rPr>
          <w:b/>
          <w:sz w:val="22"/>
          <w:szCs w:val="24"/>
        </w:rPr>
        <w:t xml:space="preserve">Table </w:t>
      </w:r>
      <w:r>
        <w:rPr>
          <w:b/>
          <w:sz w:val="22"/>
          <w:szCs w:val="24"/>
        </w:rPr>
        <w:t>4.5</w:t>
      </w:r>
      <w:r>
        <w:rPr>
          <w:b/>
          <w:sz w:val="22"/>
          <w:szCs w:val="24"/>
        </w:rPr>
        <w:t>:</w:t>
      </w:r>
      <w:r>
        <w:rPr>
          <w:sz w:val="22"/>
          <w:szCs w:val="24"/>
        </w:rPr>
        <w:t xml:space="preserve"> </w:t>
      </w:r>
      <w:r>
        <w:rPr>
          <w:b/>
          <w:sz w:val="22"/>
          <w:szCs w:val="24"/>
        </w:rPr>
        <w:t>Antioxidants and Liver Function Index</w:t>
      </w:r>
    </w:p>
    <w:tbl>
      <w:tblPr>
        <w:tblStyle w:val="style154"/>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trPr/>
        <w:tc>
          <w:tcPr>
            <w:tcW w:w="810" w:type="dxa"/>
            <w:tcBorders>
              <w:top w:val="single" w:sz="4" w:space="0" w:color="auto"/>
              <w:bottom w:val="single" w:sz="4" w:space="0" w:color="auto"/>
            </w:tcBorders>
          </w:tcPr>
          <w:p>
            <w:pPr>
              <w:pStyle w:val="style0"/>
              <w:spacing w:lineRule="auto" w:line="480"/>
              <w:rPr>
                <w:b/>
                <w:sz w:val="22"/>
                <w:szCs w:val="24"/>
              </w:rPr>
            </w:pPr>
            <w:r>
              <w:rPr>
                <w:b/>
                <w:sz w:val="22"/>
                <w:szCs w:val="24"/>
              </w:rPr>
              <w:t>S/N</w:t>
            </w:r>
          </w:p>
        </w:tc>
        <w:tc>
          <w:tcPr>
            <w:tcW w:w="1170" w:type="dxa"/>
            <w:tcBorders>
              <w:top w:val="single" w:sz="4" w:space="0" w:color="auto"/>
              <w:bottom w:val="single" w:sz="4" w:space="0" w:color="auto"/>
            </w:tcBorders>
          </w:tcPr>
          <w:p>
            <w:pPr>
              <w:pStyle w:val="style0"/>
              <w:spacing w:lineRule="auto" w:line="480"/>
              <w:rPr>
                <w:b/>
                <w:sz w:val="22"/>
                <w:szCs w:val="24"/>
              </w:rPr>
            </w:pPr>
            <w:r>
              <w:rPr>
                <w:b/>
                <w:sz w:val="22"/>
                <w:szCs w:val="24"/>
              </w:rPr>
              <w:t>Title</w:t>
            </w:r>
          </w:p>
        </w:tc>
        <w:tc>
          <w:tcPr>
            <w:tcW w:w="1316" w:type="dxa"/>
            <w:tcBorders>
              <w:top w:val="single" w:sz="4" w:space="0" w:color="auto"/>
              <w:bottom w:val="single" w:sz="4" w:space="0" w:color="auto"/>
            </w:tcBorders>
          </w:tcPr>
          <w:p>
            <w:pPr>
              <w:pStyle w:val="style0"/>
              <w:spacing w:lineRule="auto" w:line="480"/>
              <w:rPr>
                <w:b/>
                <w:sz w:val="22"/>
                <w:szCs w:val="24"/>
              </w:rPr>
            </w:pPr>
            <w:r>
              <w:rPr>
                <w:b/>
                <w:sz w:val="22"/>
                <w:szCs w:val="24"/>
              </w:rPr>
              <w:t>Control</w:t>
            </w:r>
          </w:p>
        </w:tc>
        <w:tc>
          <w:tcPr>
            <w:tcW w:w="1236" w:type="dxa"/>
            <w:tcBorders>
              <w:top w:val="single" w:sz="4" w:space="0" w:color="auto"/>
              <w:bottom w:val="single" w:sz="4" w:space="0" w:color="auto"/>
            </w:tcBorders>
          </w:tcPr>
          <w:p>
            <w:pPr>
              <w:pStyle w:val="style0"/>
              <w:spacing w:lineRule="auto" w:line="480"/>
              <w:rPr>
                <w:b/>
                <w:sz w:val="22"/>
                <w:szCs w:val="24"/>
              </w:rPr>
            </w:pPr>
            <w:r>
              <w:rPr>
                <w:b/>
                <w:sz w:val="20"/>
                <w:szCs w:val="24"/>
              </w:rPr>
              <w:t>Untreated</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Standard Drug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100mg/kg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200mg/kg</w:t>
            </w:r>
          </w:p>
        </w:tc>
        <w:tc>
          <w:tcPr>
            <w:tcW w:w="1236" w:type="dxa"/>
            <w:tcBorders>
              <w:top w:val="single" w:sz="4" w:space="0" w:color="auto"/>
              <w:bottom w:val="single" w:sz="4" w:space="0" w:color="auto"/>
            </w:tcBorders>
          </w:tcPr>
          <w:p>
            <w:pPr>
              <w:pStyle w:val="style0"/>
              <w:spacing w:lineRule="auto" w:line="480"/>
              <w:rPr>
                <w:b/>
                <w:sz w:val="22"/>
                <w:szCs w:val="24"/>
              </w:rPr>
            </w:pPr>
            <w:r>
              <w:rPr>
                <w:b/>
                <w:sz w:val="22"/>
                <w:szCs w:val="24"/>
              </w:rPr>
              <w:t>400mg/kg</w:t>
            </w:r>
          </w:p>
        </w:tc>
        <w:tc>
          <w:tcPr>
            <w:tcW w:w="1414" w:type="dxa"/>
            <w:tcBorders>
              <w:top w:val="single" w:sz="4" w:space="0" w:color="auto"/>
              <w:bottom w:val="single" w:sz="4" w:space="0" w:color="auto"/>
            </w:tcBorders>
          </w:tcPr>
          <w:p>
            <w:pPr>
              <w:pStyle w:val="style0"/>
              <w:spacing w:lineRule="auto" w:line="480"/>
              <w:rPr>
                <w:b/>
                <w:sz w:val="22"/>
                <w:szCs w:val="24"/>
              </w:rPr>
            </w:pPr>
            <w:r>
              <w:rPr>
                <w:b/>
                <w:sz w:val="22"/>
                <w:szCs w:val="24"/>
              </w:rPr>
              <w:t>800mg/kg</w:t>
            </w:r>
          </w:p>
        </w:tc>
      </w:tr>
      <w:tr>
        <w:tblPrEx/>
        <w:trPr/>
        <w:tc>
          <w:tcPr>
            <w:tcW w:w="810" w:type="dxa"/>
            <w:tcBorders>
              <w:top w:val="single" w:sz="4" w:space="0" w:color="auto"/>
            </w:tcBorders>
          </w:tcPr>
          <w:p>
            <w:pPr>
              <w:pStyle w:val="style179"/>
              <w:numPr>
                <w:ilvl w:val="0"/>
                <w:numId w:val="13"/>
              </w:numPr>
              <w:spacing w:lineRule="auto" w:line="480"/>
              <w:rPr>
                <w:sz w:val="22"/>
                <w:szCs w:val="24"/>
              </w:rPr>
            </w:pPr>
          </w:p>
        </w:tc>
        <w:tc>
          <w:tcPr>
            <w:tcW w:w="1170" w:type="dxa"/>
            <w:tcBorders>
              <w:top w:val="single" w:sz="4" w:space="0" w:color="auto"/>
            </w:tcBorders>
          </w:tcPr>
          <w:p>
            <w:pPr>
              <w:pStyle w:val="style0"/>
              <w:spacing w:lineRule="auto" w:line="480"/>
              <w:rPr>
                <w:sz w:val="22"/>
                <w:szCs w:val="24"/>
              </w:rPr>
            </w:pPr>
            <w:r>
              <w:rPr>
                <w:sz w:val="22"/>
                <w:szCs w:val="24"/>
              </w:rPr>
              <w:t>SOD ST</w:t>
            </w:r>
          </w:p>
        </w:tc>
        <w:tc>
          <w:tcPr>
            <w:tcW w:w="1316" w:type="dxa"/>
            <w:tcBorders>
              <w:top w:val="single" w:sz="4" w:space="0" w:color="auto"/>
            </w:tcBorders>
          </w:tcPr>
          <w:p>
            <w:pPr>
              <w:pStyle w:val="style0"/>
              <w:spacing w:lineRule="auto" w:line="480"/>
              <w:rPr>
                <w:sz w:val="22"/>
                <w:szCs w:val="24"/>
              </w:rPr>
            </w:pPr>
            <w:r>
              <w:rPr>
                <w:sz w:val="22"/>
                <w:szCs w:val="24"/>
              </w:rPr>
              <w:t>6.149</w:t>
            </w:r>
          </w:p>
        </w:tc>
        <w:tc>
          <w:tcPr>
            <w:tcW w:w="1236" w:type="dxa"/>
            <w:tcBorders>
              <w:top w:val="single" w:sz="4" w:space="0" w:color="auto"/>
            </w:tcBorders>
          </w:tcPr>
          <w:p>
            <w:pPr>
              <w:pStyle w:val="style0"/>
              <w:spacing w:lineRule="auto" w:line="480"/>
              <w:rPr>
                <w:sz w:val="22"/>
                <w:szCs w:val="24"/>
              </w:rPr>
            </w:pPr>
            <w:r>
              <w:rPr>
                <w:sz w:val="22"/>
                <w:szCs w:val="24"/>
              </w:rPr>
              <w:t>6.010</w:t>
            </w:r>
          </w:p>
        </w:tc>
        <w:tc>
          <w:tcPr>
            <w:tcW w:w="1236" w:type="dxa"/>
            <w:tcBorders>
              <w:top w:val="single" w:sz="4" w:space="0" w:color="auto"/>
            </w:tcBorders>
          </w:tcPr>
          <w:p>
            <w:pPr>
              <w:pStyle w:val="style0"/>
              <w:spacing w:lineRule="auto" w:line="480"/>
              <w:rPr>
                <w:sz w:val="22"/>
                <w:szCs w:val="24"/>
              </w:rPr>
            </w:pPr>
            <w:r>
              <w:rPr>
                <w:sz w:val="22"/>
                <w:szCs w:val="24"/>
              </w:rPr>
              <w:t>6.529</w:t>
            </w:r>
          </w:p>
        </w:tc>
        <w:tc>
          <w:tcPr>
            <w:tcW w:w="1236" w:type="dxa"/>
            <w:tcBorders>
              <w:top w:val="single" w:sz="4" w:space="0" w:color="auto"/>
            </w:tcBorders>
          </w:tcPr>
          <w:p>
            <w:pPr>
              <w:pStyle w:val="style0"/>
              <w:spacing w:lineRule="auto" w:line="480"/>
              <w:rPr>
                <w:sz w:val="22"/>
                <w:szCs w:val="24"/>
              </w:rPr>
            </w:pPr>
            <w:r>
              <w:rPr>
                <w:sz w:val="22"/>
                <w:szCs w:val="24"/>
              </w:rPr>
              <w:t>5.676</w:t>
            </w:r>
          </w:p>
        </w:tc>
        <w:tc>
          <w:tcPr>
            <w:tcW w:w="1236" w:type="dxa"/>
            <w:tcBorders>
              <w:top w:val="single" w:sz="4" w:space="0" w:color="auto"/>
            </w:tcBorders>
          </w:tcPr>
          <w:p>
            <w:pPr>
              <w:pStyle w:val="style0"/>
              <w:spacing w:lineRule="auto" w:line="480"/>
              <w:rPr>
                <w:sz w:val="22"/>
                <w:szCs w:val="24"/>
              </w:rPr>
            </w:pPr>
            <w:r>
              <w:rPr>
                <w:sz w:val="22"/>
                <w:szCs w:val="24"/>
              </w:rPr>
              <w:t>5.764</w:t>
            </w:r>
          </w:p>
        </w:tc>
        <w:tc>
          <w:tcPr>
            <w:tcW w:w="1236" w:type="dxa"/>
            <w:tcBorders>
              <w:top w:val="single" w:sz="4" w:space="0" w:color="auto"/>
            </w:tcBorders>
          </w:tcPr>
          <w:p>
            <w:pPr>
              <w:pStyle w:val="style0"/>
              <w:spacing w:lineRule="auto" w:line="480"/>
              <w:rPr>
                <w:sz w:val="22"/>
                <w:szCs w:val="24"/>
              </w:rPr>
            </w:pPr>
            <w:r>
              <w:rPr>
                <w:sz w:val="22"/>
                <w:szCs w:val="24"/>
              </w:rPr>
              <w:t>6.342</w:t>
            </w:r>
          </w:p>
        </w:tc>
        <w:tc>
          <w:tcPr>
            <w:tcW w:w="1414" w:type="dxa"/>
            <w:tcBorders>
              <w:top w:val="single" w:sz="4" w:space="0" w:color="auto"/>
            </w:tcBorders>
          </w:tcPr>
          <w:p>
            <w:pPr>
              <w:pStyle w:val="style0"/>
              <w:spacing w:lineRule="auto" w:line="480"/>
              <w:rPr>
                <w:sz w:val="22"/>
                <w:szCs w:val="24"/>
              </w:rPr>
            </w:pPr>
            <w:r>
              <w:rPr>
                <w:sz w:val="22"/>
                <w:szCs w:val="24"/>
              </w:rPr>
              <w:t>4.187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SOD L</w:t>
            </w:r>
          </w:p>
        </w:tc>
        <w:tc>
          <w:tcPr>
            <w:tcW w:w="1316" w:type="dxa"/>
            <w:tcBorders/>
          </w:tcPr>
          <w:p>
            <w:pPr>
              <w:pStyle w:val="style0"/>
              <w:spacing w:lineRule="auto" w:line="480"/>
              <w:rPr>
                <w:sz w:val="22"/>
                <w:szCs w:val="24"/>
              </w:rPr>
            </w:pPr>
            <w:r>
              <w:rPr>
                <w:sz w:val="22"/>
                <w:szCs w:val="24"/>
              </w:rPr>
              <w:t>7.596</w:t>
            </w:r>
          </w:p>
        </w:tc>
        <w:tc>
          <w:tcPr>
            <w:tcW w:w="1236" w:type="dxa"/>
            <w:tcBorders/>
          </w:tcPr>
          <w:p>
            <w:pPr>
              <w:pStyle w:val="style0"/>
              <w:spacing w:lineRule="auto" w:line="480"/>
              <w:rPr>
                <w:sz w:val="22"/>
                <w:szCs w:val="24"/>
              </w:rPr>
            </w:pPr>
            <w:r>
              <w:rPr>
                <w:sz w:val="22"/>
                <w:szCs w:val="24"/>
              </w:rPr>
              <w:t>7.469</w:t>
            </w:r>
          </w:p>
        </w:tc>
        <w:tc>
          <w:tcPr>
            <w:tcW w:w="1236" w:type="dxa"/>
            <w:tcBorders/>
          </w:tcPr>
          <w:p>
            <w:pPr>
              <w:pStyle w:val="style0"/>
              <w:spacing w:lineRule="auto" w:line="480"/>
              <w:rPr>
                <w:sz w:val="22"/>
                <w:szCs w:val="24"/>
              </w:rPr>
            </w:pPr>
            <w:r>
              <w:rPr>
                <w:sz w:val="22"/>
                <w:szCs w:val="24"/>
              </w:rPr>
              <w:t>5.789</w:t>
            </w:r>
          </w:p>
        </w:tc>
        <w:tc>
          <w:tcPr>
            <w:tcW w:w="1236" w:type="dxa"/>
            <w:tcBorders/>
          </w:tcPr>
          <w:p>
            <w:pPr>
              <w:pStyle w:val="style0"/>
              <w:spacing w:lineRule="auto" w:line="480"/>
              <w:rPr>
                <w:sz w:val="22"/>
                <w:szCs w:val="24"/>
              </w:rPr>
            </w:pPr>
            <w:r>
              <w:rPr>
                <w:sz w:val="22"/>
                <w:szCs w:val="24"/>
              </w:rPr>
              <w:t>6.841</w:t>
            </w:r>
          </w:p>
        </w:tc>
        <w:tc>
          <w:tcPr>
            <w:tcW w:w="1236" w:type="dxa"/>
            <w:tcBorders/>
          </w:tcPr>
          <w:p>
            <w:pPr>
              <w:pStyle w:val="style0"/>
              <w:spacing w:lineRule="auto" w:line="480"/>
              <w:rPr>
                <w:sz w:val="22"/>
                <w:szCs w:val="24"/>
              </w:rPr>
            </w:pPr>
            <w:r>
              <w:rPr>
                <w:sz w:val="22"/>
                <w:szCs w:val="24"/>
              </w:rPr>
              <w:t>6.844</w:t>
            </w:r>
          </w:p>
        </w:tc>
        <w:tc>
          <w:tcPr>
            <w:tcW w:w="1236" w:type="dxa"/>
            <w:tcBorders/>
          </w:tcPr>
          <w:p>
            <w:pPr>
              <w:pStyle w:val="style0"/>
              <w:spacing w:lineRule="auto" w:line="480"/>
              <w:rPr>
                <w:sz w:val="22"/>
                <w:szCs w:val="24"/>
              </w:rPr>
            </w:pPr>
            <w:r>
              <w:rPr>
                <w:sz w:val="22"/>
                <w:szCs w:val="24"/>
              </w:rPr>
              <w:t>6.928</w:t>
            </w:r>
          </w:p>
        </w:tc>
        <w:tc>
          <w:tcPr>
            <w:tcW w:w="1414" w:type="dxa"/>
            <w:tcBorders/>
          </w:tcPr>
          <w:p>
            <w:pPr>
              <w:pStyle w:val="style0"/>
              <w:spacing w:lineRule="auto" w:line="480"/>
              <w:rPr>
                <w:sz w:val="22"/>
                <w:szCs w:val="24"/>
              </w:rPr>
            </w:pPr>
            <w:r>
              <w:rPr>
                <w:sz w:val="22"/>
                <w:szCs w:val="24"/>
              </w:rPr>
              <w:t>6.399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GST ST</w:t>
            </w:r>
          </w:p>
        </w:tc>
        <w:tc>
          <w:tcPr>
            <w:tcW w:w="1316" w:type="dxa"/>
            <w:tcBorders/>
          </w:tcPr>
          <w:p>
            <w:pPr>
              <w:pStyle w:val="style0"/>
              <w:spacing w:lineRule="auto" w:line="480"/>
              <w:rPr>
                <w:sz w:val="22"/>
                <w:szCs w:val="24"/>
              </w:rPr>
            </w:pPr>
            <w:r>
              <w:rPr>
                <w:sz w:val="22"/>
                <w:szCs w:val="24"/>
              </w:rPr>
              <w:t>0.145</w:t>
            </w:r>
          </w:p>
        </w:tc>
        <w:tc>
          <w:tcPr>
            <w:tcW w:w="1236" w:type="dxa"/>
            <w:tcBorders/>
          </w:tcPr>
          <w:p>
            <w:pPr>
              <w:pStyle w:val="style0"/>
              <w:spacing w:lineRule="auto" w:line="480"/>
              <w:rPr>
                <w:sz w:val="22"/>
                <w:szCs w:val="24"/>
              </w:rPr>
            </w:pPr>
            <w:r>
              <w:rPr>
                <w:sz w:val="22"/>
                <w:szCs w:val="24"/>
              </w:rPr>
              <w:t>1.101</w:t>
            </w:r>
          </w:p>
        </w:tc>
        <w:tc>
          <w:tcPr>
            <w:tcW w:w="1236" w:type="dxa"/>
            <w:tcBorders/>
          </w:tcPr>
          <w:p>
            <w:pPr>
              <w:pStyle w:val="style0"/>
              <w:spacing w:lineRule="auto" w:line="480"/>
              <w:rPr>
                <w:sz w:val="22"/>
                <w:szCs w:val="24"/>
              </w:rPr>
            </w:pPr>
            <w:r>
              <w:rPr>
                <w:sz w:val="22"/>
                <w:szCs w:val="24"/>
              </w:rPr>
              <w:t>1.429</w:t>
            </w:r>
          </w:p>
        </w:tc>
        <w:tc>
          <w:tcPr>
            <w:tcW w:w="1236" w:type="dxa"/>
            <w:tcBorders/>
          </w:tcPr>
          <w:p>
            <w:pPr>
              <w:pStyle w:val="style0"/>
              <w:spacing w:lineRule="auto" w:line="480"/>
              <w:rPr>
                <w:sz w:val="22"/>
                <w:szCs w:val="24"/>
              </w:rPr>
            </w:pPr>
            <w:r>
              <w:rPr>
                <w:sz w:val="22"/>
                <w:szCs w:val="24"/>
              </w:rPr>
              <w:t>1.318</w:t>
            </w:r>
          </w:p>
        </w:tc>
        <w:tc>
          <w:tcPr>
            <w:tcW w:w="1236" w:type="dxa"/>
            <w:tcBorders/>
          </w:tcPr>
          <w:p>
            <w:pPr>
              <w:pStyle w:val="style0"/>
              <w:spacing w:lineRule="auto" w:line="480"/>
              <w:rPr>
                <w:sz w:val="22"/>
                <w:szCs w:val="24"/>
              </w:rPr>
            </w:pPr>
            <w:r>
              <w:rPr>
                <w:sz w:val="22"/>
                <w:szCs w:val="24"/>
              </w:rPr>
              <w:t>1.764</w:t>
            </w:r>
          </w:p>
        </w:tc>
        <w:tc>
          <w:tcPr>
            <w:tcW w:w="1236" w:type="dxa"/>
            <w:tcBorders/>
          </w:tcPr>
          <w:p>
            <w:pPr>
              <w:pStyle w:val="style0"/>
              <w:spacing w:lineRule="auto" w:line="480"/>
              <w:rPr>
                <w:sz w:val="22"/>
                <w:szCs w:val="24"/>
              </w:rPr>
            </w:pPr>
            <w:r>
              <w:rPr>
                <w:sz w:val="22"/>
                <w:szCs w:val="24"/>
              </w:rPr>
              <w:t>0.953</w:t>
            </w:r>
          </w:p>
        </w:tc>
        <w:tc>
          <w:tcPr>
            <w:tcW w:w="1414" w:type="dxa"/>
            <w:tcBorders/>
          </w:tcPr>
          <w:p>
            <w:pPr>
              <w:pStyle w:val="style0"/>
              <w:spacing w:lineRule="auto" w:line="480"/>
              <w:rPr>
                <w:sz w:val="22"/>
                <w:szCs w:val="24"/>
              </w:rPr>
            </w:pPr>
            <w:r>
              <w:rPr>
                <w:sz w:val="22"/>
                <w:szCs w:val="24"/>
              </w:rPr>
              <w:t>1.129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GST L</w:t>
            </w:r>
          </w:p>
        </w:tc>
        <w:tc>
          <w:tcPr>
            <w:tcW w:w="1316" w:type="dxa"/>
            <w:tcBorders/>
          </w:tcPr>
          <w:p>
            <w:pPr>
              <w:pStyle w:val="style0"/>
              <w:spacing w:lineRule="auto" w:line="480"/>
              <w:rPr>
                <w:sz w:val="22"/>
                <w:szCs w:val="24"/>
              </w:rPr>
            </w:pPr>
            <w:r>
              <w:rPr>
                <w:sz w:val="22"/>
                <w:szCs w:val="24"/>
              </w:rPr>
              <w:t>3.111</w:t>
            </w:r>
          </w:p>
        </w:tc>
        <w:tc>
          <w:tcPr>
            <w:tcW w:w="1236" w:type="dxa"/>
            <w:tcBorders/>
          </w:tcPr>
          <w:p>
            <w:pPr>
              <w:pStyle w:val="style0"/>
              <w:spacing w:lineRule="auto" w:line="480"/>
              <w:rPr>
                <w:sz w:val="22"/>
                <w:szCs w:val="24"/>
              </w:rPr>
            </w:pPr>
            <w:r>
              <w:rPr>
                <w:sz w:val="22"/>
                <w:szCs w:val="24"/>
              </w:rPr>
              <w:t>1.044</w:t>
            </w:r>
          </w:p>
        </w:tc>
        <w:tc>
          <w:tcPr>
            <w:tcW w:w="1236" w:type="dxa"/>
            <w:tcBorders/>
          </w:tcPr>
          <w:p>
            <w:pPr>
              <w:pStyle w:val="style0"/>
              <w:spacing w:lineRule="auto" w:line="480"/>
              <w:rPr>
                <w:sz w:val="22"/>
                <w:szCs w:val="24"/>
              </w:rPr>
            </w:pPr>
            <w:r>
              <w:rPr>
                <w:sz w:val="22"/>
                <w:szCs w:val="24"/>
              </w:rPr>
              <w:t>4.491</w:t>
            </w:r>
          </w:p>
        </w:tc>
        <w:tc>
          <w:tcPr>
            <w:tcW w:w="1236" w:type="dxa"/>
            <w:tcBorders/>
          </w:tcPr>
          <w:p>
            <w:pPr>
              <w:pStyle w:val="style0"/>
              <w:spacing w:lineRule="auto" w:line="480"/>
              <w:rPr>
                <w:sz w:val="22"/>
                <w:szCs w:val="24"/>
              </w:rPr>
            </w:pPr>
            <w:r>
              <w:rPr>
                <w:sz w:val="22"/>
                <w:szCs w:val="24"/>
              </w:rPr>
              <w:t>2.750</w:t>
            </w:r>
          </w:p>
        </w:tc>
        <w:tc>
          <w:tcPr>
            <w:tcW w:w="1236" w:type="dxa"/>
            <w:tcBorders/>
          </w:tcPr>
          <w:p>
            <w:pPr>
              <w:pStyle w:val="style0"/>
              <w:spacing w:lineRule="auto" w:line="480"/>
              <w:rPr>
                <w:sz w:val="22"/>
                <w:szCs w:val="24"/>
              </w:rPr>
            </w:pPr>
            <w:r>
              <w:rPr>
                <w:sz w:val="22"/>
                <w:szCs w:val="24"/>
              </w:rPr>
              <w:t>1.271</w:t>
            </w:r>
          </w:p>
        </w:tc>
        <w:tc>
          <w:tcPr>
            <w:tcW w:w="1236" w:type="dxa"/>
            <w:tcBorders/>
          </w:tcPr>
          <w:p>
            <w:pPr>
              <w:pStyle w:val="style0"/>
              <w:spacing w:lineRule="auto" w:line="480"/>
              <w:rPr>
                <w:sz w:val="22"/>
                <w:szCs w:val="24"/>
              </w:rPr>
            </w:pPr>
            <w:r>
              <w:rPr>
                <w:sz w:val="22"/>
                <w:szCs w:val="24"/>
              </w:rPr>
              <w:t>1.256</w:t>
            </w:r>
          </w:p>
        </w:tc>
        <w:tc>
          <w:tcPr>
            <w:tcW w:w="1414" w:type="dxa"/>
            <w:tcBorders/>
          </w:tcPr>
          <w:p>
            <w:pPr>
              <w:pStyle w:val="style0"/>
              <w:spacing w:lineRule="auto" w:line="480"/>
              <w:rPr>
                <w:sz w:val="22"/>
                <w:szCs w:val="24"/>
              </w:rPr>
            </w:pPr>
            <w:r>
              <w:rPr>
                <w:sz w:val="22"/>
                <w:szCs w:val="24"/>
              </w:rPr>
              <w:t>2.545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CATALASE ST</w:t>
            </w:r>
          </w:p>
        </w:tc>
        <w:tc>
          <w:tcPr>
            <w:tcW w:w="1316" w:type="dxa"/>
            <w:tcBorders/>
          </w:tcPr>
          <w:p>
            <w:pPr>
              <w:pStyle w:val="style0"/>
              <w:spacing w:lineRule="auto" w:line="480"/>
              <w:rPr>
                <w:sz w:val="22"/>
                <w:szCs w:val="24"/>
              </w:rPr>
            </w:pPr>
            <w:r>
              <w:rPr>
                <w:sz w:val="22"/>
                <w:szCs w:val="24"/>
              </w:rPr>
              <w:t>21.954</w:t>
            </w:r>
          </w:p>
        </w:tc>
        <w:tc>
          <w:tcPr>
            <w:tcW w:w="1236" w:type="dxa"/>
            <w:tcBorders/>
          </w:tcPr>
          <w:p>
            <w:pPr>
              <w:pStyle w:val="style0"/>
              <w:spacing w:lineRule="auto" w:line="480"/>
              <w:rPr>
                <w:sz w:val="22"/>
                <w:szCs w:val="24"/>
              </w:rPr>
            </w:pPr>
            <w:r>
              <w:rPr>
                <w:sz w:val="22"/>
                <w:szCs w:val="24"/>
              </w:rPr>
              <w:t>25.573</w:t>
            </w:r>
          </w:p>
        </w:tc>
        <w:tc>
          <w:tcPr>
            <w:tcW w:w="1236" w:type="dxa"/>
            <w:tcBorders/>
          </w:tcPr>
          <w:p>
            <w:pPr>
              <w:pStyle w:val="style0"/>
              <w:spacing w:lineRule="auto" w:line="480"/>
              <w:rPr>
                <w:sz w:val="22"/>
                <w:szCs w:val="24"/>
              </w:rPr>
            </w:pPr>
            <w:r>
              <w:rPr>
                <w:sz w:val="22"/>
                <w:szCs w:val="24"/>
              </w:rPr>
              <w:t>28.745</w:t>
            </w:r>
          </w:p>
        </w:tc>
        <w:tc>
          <w:tcPr>
            <w:tcW w:w="1236" w:type="dxa"/>
            <w:tcBorders/>
          </w:tcPr>
          <w:p>
            <w:pPr>
              <w:pStyle w:val="style0"/>
              <w:spacing w:lineRule="auto" w:line="480"/>
              <w:rPr>
                <w:sz w:val="22"/>
                <w:szCs w:val="24"/>
              </w:rPr>
            </w:pPr>
            <w:r>
              <w:rPr>
                <w:sz w:val="22"/>
                <w:szCs w:val="24"/>
              </w:rPr>
              <w:t>23.065</w:t>
            </w:r>
          </w:p>
        </w:tc>
        <w:tc>
          <w:tcPr>
            <w:tcW w:w="1236" w:type="dxa"/>
            <w:tcBorders/>
          </w:tcPr>
          <w:p>
            <w:pPr>
              <w:pStyle w:val="style0"/>
              <w:spacing w:lineRule="auto" w:line="480"/>
              <w:rPr>
                <w:sz w:val="22"/>
                <w:szCs w:val="24"/>
              </w:rPr>
            </w:pPr>
            <w:r>
              <w:rPr>
                <w:sz w:val="22"/>
                <w:szCs w:val="24"/>
              </w:rPr>
              <w:t>23.852</w:t>
            </w:r>
          </w:p>
        </w:tc>
        <w:tc>
          <w:tcPr>
            <w:tcW w:w="1236" w:type="dxa"/>
            <w:tcBorders/>
          </w:tcPr>
          <w:p>
            <w:pPr>
              <w:pStyle w:val="style0"/>
              <w:spacing w:lineRule="auto" w:line="480"/>
              <w:rPr>
                <w:sz w:val="22"/>
                <w:szCs w:val="24"/>
              </w:rPr>
            </w:pPr>
            <w:r>
              <w:rPr>
                <w:sz w:val="22"/>
                <w:szCs w:val="24"/>
              </w:rPr>
              <w:t>27.050</w:t>
            </w:r>
          </w:p>
        </w:tc>
        <w:tc>
          <w:tcPr>
            <w:tcW w:w="1414" w:type="dxa"/>
            <w:tcBorders/>
          </w:tcPr>
          <w:p>
            <w:pPr>
              <w:pStyle w:val="style0"/>
              <w:spacing w:lineRule="auto" w:line="480"/>
              <w:rPr>
                <w:sz w:val="22"/>
                <w:szCs w:val="24"/>
              </w:rPr>
            </w:pPr>
            <w:r>
              <w:rPr>
                <w:sz w:val="22"/>
                <w:szCs w:val="24"/>
              </w:rPr>
              <w:t>17.314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CATALASE L</w:t>
            </w:r>
          </w:p>
        </w:tc>
        <w:tc>
          <w:tcPr>
            <w:tcW w:w="1316" w:type="dxa"/>
            <w:tcBorders/>
          </w:tcPr>
          <w:p>
            <w:pPr>
              <w:pStyle w:val="style0"/>
              <w:spacing w:lineRule="auto" w:line="480"/>
              <w:rPr>
                <w:sz w:val="22"/>
                <w:szCs w:val="24"/>
              </w:rPr>
            </w:pPr>
            <w:r>
              <w:rPr>
                <w:sz w:val="22"/>
                <w:szCs w:val="24"/>
              </w:rPr>
              <w:t>16.864</w:t>
            </w:r>
          </w:p>
        </w:tc>
        <w:tc>
          <w:tcPr>
            <w:tcW w:w="1236" w:type="dxa"/>
            <w:tcBorders/>
          </w:tcPr>
          <w:p>
            <w:pPr>
              <w:pStyle w:val="style0"/>
              <w:spacing w:lineRule="auto" w:line="480"/>
              <w:rPr>
                <w:sz w:val="22"/>
                <w:szCs w:val="24"/>
              </w:rPr>
            </w:pPr>
            <w:r>
              <w:rPr>
                <w:sz w:val="22"/>
                <w:szCs w:val="24"/>
              </w:rPr>
              <w:t>35.526</w:t>
            </w:r>
          </w:p>
        </w:tc>
        <w:tc>
          <w:tcPr>
            <w:tcW w:w="1236" w:type="dxa"/>
            <w:tcBorders/>
          </w:tcPr>
          <w:p>
            <w:pPr>
              <w:pStyle w:val="style0"/>
              <w:spacing w:lineRule="auto" w:line="480"/>
              <w:rPr>
                <w:sz w:val="22"/>
                <w:szCs w:val="24"/>
              </w:rPr>
            </w:pPr>
            <w:r>
              <w:rPr>
                <w:sz w:val="22"/>
                <w:szCs w:val="24"/>
              </w:rPr>
              <w:t>26.274</w:t>
            </w:r>
          </w:p>
        </w:tc>
        <w:tc>
          <w:tcPr>
            <w:tcW w:w="1236" w:type="dxa"/>
            <w:tcBorders/>
          </w:tcPr>
          <w:p>
            <w:pPr>
              <w:pStyle w:val="style0"/>
              <w:spacing w:lineRule="auto" w:line="480"/>
              <w:rPr>
                <w:sz w:val="22"/>
                <w:szCs w:val="24"/>
              </w:rPr>
            </w:pPr>
            <w:r>
              <w:rPr>
                <w:sz w:val="22"/>
                <w:szCs w:val="24"/>
              </w:rPr>
              <w:t>29.912</w:t>
            </w:r>
          </w:p>
        </w:tc>
        <w:tc>
          <w:tcPr>
            <w:tcW w:w="1236" w:type="dxa"/>
            <w:tcBorders/>
          </w:tcPr>
          <w:p>
            <w:pPr>
              <w:pStyle w:val="style0"/>
              <w:spacing w:lineRule="auto" w:line="480"/>
              <w:rPr>
                <w:sz w:val="22"/>
                <w:szCs w:val="24"/>
              </w:rPr>
            </w:pPr>
            <w:r>
              <w:rPr>
                <w:sz w:val="22"/>
                <w:szCs w:val="24"/>
              </w:rPr>
              <w:t>30.348</w:t>
            </w:r>
          </w:p>
        </w:tc>
        <w:tc>
          <w:tcPr>
            <w:tcW w:w="1236" w:type="dxa"/>
            <w:tcBorders/>
          </w:tcPr>
          <w:p>
            <w:pPr>
              <w:pStyle w:val="style0"/>
              <w:spacing w:lineRule="auto" w:line="480"/>
              <w:rPr>
                <w:sz w:val="22"/>
                <w:szCs w:val="24"/>
              </w:rPr>
            </w:pPr>
            <w:r>
              <w:rPr>
                <w:sz w:val="22"/>
                <w:szCs w:val="24"/>
              </w:rPr>
              <w:t>33.026</w:t>
            </w:r>
          </w:p>
        </w:tc>
        <w:tc>
          <w:tcPr>
            <w:tcW w:w="1414" w:type="dxa"/>
            <w:tcBorders/>
          </w:tcPr>
          <w:p>
            <w:pPr>
              <w:pStyle w:val="style0"/>
              <w:spacing w:lineRule="auto" w:line="480"/>
              <w:rPr>
                <w:sz w:val="22"/>
                <w:szCs w:val="24"/>
              </w:rPr>
            </w:pPr>
            <w:r>
              <w:rPr>
                <w:sz w:val="22"/>
                <w:szCs w:val="24"/>
              </w:rPr>
              <w:t>27.756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ALT ST</w:t>
            </w:r>
          </w:p>
        </w:tc>
        <w:tc>
          <w:tcPr>
            <w:tcW w:w="1316" w:type="dxa"/>
            <w:tcBorders/>
          </w:tcPr>
          <w:p>
            <w:pPr>
              <w:pStyle w:val="style0"/>
              <w:spacing w:lineRule="auto" w:line="480"/>
              <w:rPr>
                <w:sz w:val="22"/>
                <w:szCs w:val="24"/>
              </w:rPr>
            </w:pPr>
            <w:r>
              <w:rPr>
                <w:sz w:val="22"/>
                <w:szCs w:val="24"/>
              </w:rPr>
              <w:t>1.882</w:t>
            </w:r>
          </w:p>
        </w:tc>
        <w:tc>
          <w:tcPr>
            <w:tcW w:w="1236" w:type="dxa"/>
            <w:tcBorders/>
          </w:tcPr>
          <w:p>
            <w:pPr>
              <w:pStyle w:val="style0"/>
              <w:spacing w:lineRule="auto" w:line="480"/>
              <w:rPr>
                <w:sz w:val="22"/>
                <w:szCs w:val="24"/>
              </w:rPr>
            </w:pPr>
            <w:r>
              <w:rPr>
                <w:sz w:val="22"/>
                <w:szCs w:val="24"/>
              </w:rPr>
              <w:t>2.648</w:t>
            </w:r>
          </w:p>
        </w:tc>
        <w:tc>
          <w:tcPr>
            <w:tcW w:w="1236" w:type="dxa"/>
            <w:tcBorders/>
          </w:tcPr>
          <w:p>
            <w:pPr>
              <w:pStyle w:val="style0"/>
              <w:spacing w:lineRule="auto" w:line="480"/>
              <w:rPr>
                <w:sz w:val="22"/>
                <w:szCs w:val="24"/>
              </w:rPr>
            </w:pPr>
            <w:r>
              <w:rPr>
                <w:sz w:val="22"/>
                <w:szCs w:val="24"/>
              </w:rPr>
              <w:t>4.184</w:t>
            </w:r>
          </w:p>
        </w:tc>
        <w:tc>
          <w:tcPr>
            <w:tcW w:w="1236" w:type="dxa"/>
            <w:tcBorders/>
          </w:tcPr>
          <w:p>
            <w:pPr>
              <w:pStyle w:val="style0"/>
              <w:spacing w:lineRule="auto" w:line="480"/>
              <w:rPr>
                <w:sz w:val="22"/>
                <w:szCs w:val="24"/>
              </w:rPr>
            </w:pPr>
            <w:r>
              <w:rPr>
                <w:sz w:val="22"/>
                <w:szCs w:val="24"/>
              </w:rPr>
              <w:t>4.414</w:t>
            </w:r>
          </w:p>
        </w:tc>
        <w:tc>
          <w:tcPr>
            <w:tcW w:w="1236" w:type="dxa"/>
            <w:tcBorders/>
          </w:tcPr>
          <w:p>
            <w:pPr>
              <w:pStyle w:val="style0"/>
              <w:spacing w:lineRule="auto" w:line="480"/>
              <w:rPr>
                <w:sz w:val="22"/>
                <w:szCs w:val="24"/>
              </w:rPr>
            </w:pPr>
            <w:r>
              <w:rPr>
                <w:sz w:val="22"/>
                <w:szCs w:val="24"/>
              </w:rPr>
              <w:t>3.139</w:t>
            </w:r>
          </w:p>
        </w:tc>
        <w:tc>
          <w:tcPr>
            <w:tcW w:w="1236" w:type="dxa"/>
            <w:tcBorders/>
          </w:tcPr>
          <w:p>
            <w:pPr>
              <w:pStyle w:val="style0"/>
              <w:spacing w:lineRule="auto" w:line="480"/>
              <w:rPr>
                <w:sz w:val="22"/>
                <w:szCs w:val="24"/>
              </w:rPr>
            </w:pPr>
            <w:r>
              <w:rPr>
                <w:sz w:val="22"/>
                <w:szCs w:val="24"/>
              </w:rPr>
              <w:t>3.620</w:t>
            </w:r>
          </w:p>
        </w:tc>
        <w:tc>
          <w:tcPr>
            <w:tcW w:w="1414" w:type="dxa"/>
            <w:tcBorders/>
          </w:tcPr>
          <w:p>
            <w:pPr>
              <w:pStyle w:val="style0"/>
              <w:spacing w:lineRule="auto" w:line="480"/>
              <w:rPr>
                <w:sz w:val="22"/>
                <w:szCs w:val="24"/>
              </w:rPr>
            </w:pPr>
            <w:r>
              <w:rPr>
                <w:sz w:val="22"/>
                <w:szCs w:val="24"/>
              </w:rPr>
              <w:t>4.234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ALT L</w:t>
            </w:r>
          </w:p>
        </w:tc>
        <w:tc>
          <w:tcPr>
            <w:tcW w:w="1316" w:type="dxa"/>
            <w:tcBorders/>
          </w:tcPr>
          <w:p>
            <w:pPr>
              <w:pStyle w:val="style0"/>
              <w:spacing w:lineRule="auto" w:line="480"/>
              <w:rPr>
                <w:sz w:val="22"/>
                <w:szCs w:val="24"/>
              </w:rPr>
            </w:pPr>
            <w:r>
              <w:rPr>
                <w:sz w:val="22"/>
                <w:szCs w:val="24"/>
              </w:rPr>
              <w:t>1.799</w:t>
            </w:r>
          </w:p>
        </w:tc>
        <w:tc>
          <w:tcPr>
            <w:tcW w:w="1236" w:type="dxa"/>
            <w:tcBorders/>
          </w:tcPr>
          <w:p>
            <w:pPr>
              <w:pStyle w:val="style0"/>
              <w:spacing w:lineRule="auto" w:line="480"/>
              <w:rPr>
                <w:sz w:val="22"/>
                <w:szCs w:val="24"/>
              </w:rPr>
            </w:pPr>
            <w:r>
              <w:rPr>
                <w:sz w:val="22"/>
                <w:szCs w:val="24"/>
              </w:rPr>
              <w:t>2.827</w:t>
            </w:r>
          </w:p>
        </w:tc>
        <w:tc>
          <w:tcPr>
            <w:tcW w:w="1236" w:type="dxa"/>
            <w:tcBorders/>
          </w:tcPr>
          <w:p>
            <w:pPr>
              <w:pStyle w:val="style0"/>
              <w:spacing w:lineRule="auto" w:line="480"/>
              <w:rPr>
                <w:sz w:val="22"/>
                <w:szCs w:val="24"/>
              </w:rPr>
            </w:pPr>
            <w:r>
              <w:rPr>
                <w:sz w:val="22"/>
                <w:szCs w:val="24"/>
              </w:rPr>
              <w:t>4.763</w:t>
            </w:r>
          </w:p>
        </w:tc>
        <w:tc>
          <w:tcPr>
            <w:tcW w:w="1236" w:type="dxa"/>
            <w:tcBorders/>
          </w:tcPr>
          <w:p>
            <w:pPr>
              <w:pStyle w:val="style0"/>
              <w:spacing w:lineRule="auto" w:line="480"/>
              <w:rPr>
                <w:sz w:val="22"/>
                <w:szCs w:val="24"/>
              </w:rPr>
            </w:pPr>
            <w:r>
              <w:rPr>
                <w:sz w:val="22"/>
                <w:szCs w:val="24"/>
              </w:rPr>
              <w:t>6.985</w:t>
            </w:r>
          </w:p>
        </w:tc>
        <w:tc>
          <w:tcPr>
            <w:tcW w:w="1236" w:type="dxa"/>
            <w:tcBorders/>
          </w:tcPr>
          <w:p>
            <w:pPr>
              <w:pStyle w:val="style0"/>
              <w:spacing w:lineRule="auto" w:line="480"/>
              <w:rPr>
                <w:sz w:val="22"/>
                <w:szCs w:val="24"/>
              </w:rPr>
            </w:pPr>
            <w:r>
              <w:rPr>
                <w:sz w:val="22"/>
                <w:szCs w:val="24"/>
              </w:rPr>
              <w:t>4.008</w:t>
            </w:r>
          </w:p>
        </w:tc>
        <w:tc>
          <w:tcPr>
            <w:tcW w:w="1236" w:type="dxa"/>
            <w:tcBorders/>
          </w:tcPr>
          <w:p>
            <w:pPr>
              <w:pStyle w:val="style0"/>
              <w:spacing w:lineRule="auto" w:line="480"/>
              <w:rPr>
                <w:sz w:val="22"/>
                <w:szCs w:val="24"/>
              </w:rPr>
            </w:pPr>
            <w:r>
              <w:rPr>
                <w:sz w:val="22"/>
                <w:szCs w:val="24"/>
              </w:rPr>
              <w:t>3.345</w:t>
            </w:r>
          </w:p>
        </w:tc>
        <w:tc>
          <w:tcPr>
            <w:tcW w:w="1414" w:type="dxa"/>
            <w:tcBorders/>
          </w:tcPr>
          <w:p>
            <w:pPr>
              <w:pStyle w:val="style0"/>
              <w:spacing w:lineRule="auto" w:line="480"/>
              <w:rPr>
                <w:sz w:val="22"/>
                <w:szCs w:val="24"/>
              </w:rPr>
            </w:pPr>
            <w:r>
              <w:rPr>
                <w:sz w:val="22"/>
                <w:szCs w:val="24"/>
              </w:rPr>
              <w:t>3.508</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AST ST</w:t>
            </w:r>
          </w:p>
        </w:tc>
        <w:tc>
          <w:tcPr>
            <w:tcW w:w="1316" w:type="dxa"/>
            <w:tcBorders/>
          </w:tcPr>
          <w:p>
            <w:pPr>
              <w:pStyle w:val="style0"/>
              <w:spacing w:lineRule="auto" w:line="480"/>
              <w:rPr>
                <w:sz w:val="22"/>
                <w:szCs w:val="24"/>
              </w:rPr>
            </w:pPr>
            <w:r>
              <w:rPr>
                <w:sz w:val="22"/>
                <w:szCs w:val="24"/>
              </w:rPr>
              <w:t>10.738</w:t>
            </w:r>
          </w:p>
        </w:tc>
        <w:tc>
          <w:tcPr>
            <w:tcW w:w="1236" w:type="dxa"/>
            <w:tcBorders/>
          </w:tcPr>
          <w:p>
            <w:pPr>
              <w:pStyle w:val="style0"/>
              <w:spacing w:lineRule="auto" w:line="480"/>
              <w:rPr>
                <w:sz w:val="22"/>
                <w:szCs w:val="24"/>
              </w:rPr>
            </w:pPr>
            <w:r>
              <w:rPr>
                <w:sz w:val="22"/>
                <w:szCs w:val="24"/>
              </w:rPr>
              <w:t>16.392</w:t>
            </w:r>
          </w:p>
        </w:tc>
        <w:tc>
          <w:tcPr>
            <w:tcW w:w="1236" w:type="dxa"/>
            <w:tcBorders/>
          </w:tcPr>
          <w:p>
            <w:pPr>
              <w:pStyle w:val="style0"/>
              <w:spacing w:lineRule="auto" w:line="480"/>
              <w:rPr>
                <w:sz w:val="22"/>
                <w:szCs w:val="24"/>
              </w:rPr>
            </w:pPr>
            <w:r>
              <w:rPr>
                <w:sz w:val="22"/>
                <w:szCs w:val="24"/>
              </w:rPr>
              <w:t>15.109</w:t>
            </w:r>
          </w:p>
        </w:tc>
        <w:tc>
          <w:tcPr>
            <w:tcW w:w="1236" w:type="dxa"/>
            <w:tcBorders/>
          </w:tcPr>
          <w:p>
            <w:pPr>
              <w:pStyle w:val="style0"/>
              <w:spacing w:lineRule="auto" w:line="480"/>
              <w:rPr>
                <w:sz w:val="22"/>
                <w:szCs w:val="24"/>
              </w:rPr>
            </w:pPr>
            <w:r>
              <w:rPr>
                <w:sz w:val="22"/>
                <w:szCs w:val="24"/>
              </w:rPr>
              <w:t xml:space="preserve">17.544  </w:t>
            </w:r>
          </w:p>
        </w:tc>
        <w:tc>
          <w:tcPr>
            <w:tcW w:w="1236" w:type="dxa"/>
            <w:tcBorders/>
          </w:tcPr>
          <w:p>
            <w:pPr>
              <w:pStyle w:val="style0"/>
              <w:spacing w:lineRule="auto" w:line="480"/>
              <w:rPr>
                <w:sz w:val="22"/>
                <w:szCs w:val="24"/>
              </w:rPr>
            </w:pPr>
            <w:r>
              <w:rPr>
                <w:sz w:val="22"/>
                <w:szCs w:val="24"/>
              </w:rPr>
              <w:t>15.055</w:t>
            </w:r>
          </w:p>
        </w:tc>
        <w:tc>
          <w:tcPr>
            <w:tcW w:w="1236" w:type="dxa"/>
            <w:tcBorders/>
          </w:tcPr>
          <w:p>
            <w:pPr>
              <w:pStyle w:val="style0"/>
              <w:spacing w:lineRule="auto" w:line="480"/>
              <w:rPr>
                <w:sz w:val="22"/>
                <w:szCs w:val="24"/>
              </w:rPr>
            </w:pPr>
            <w:r>
              <w:rPr>
                <w:sz w:val="22"/>
                <w:szCs w:val="24"/>
              </w:rPr>
              <w:t>10.6000</w:t>
            </w:r>
          </w:p>
        </w:tc>
        <w:tc>
          <w:tcPr>
            <w:tcW w:w="1414" w:type="dxa"/>
            <w:tcBorders/>
          </w:tcPr>
          <w:p>
            <w:pPr>
              <w:pStyle w:val="style0"/>
              <w:spacing w:lineRule="auto" w:line="480"/>
              <w:rPr>
                <w:sz w:val="22"/>
                <w:szCs w:val="24"/>
              </w:rPr>
            </w:pPr>
            <w:r>
              <w:rPr>
                <w:sz w:val="22"/>
                <w:szCs w:val="24"/>
              </w:rPr>
              <w:t>14.954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AST L</w:t>
            </w:r>
          </w:p>
        </w:tc>
        <w:tc>
          <w:tcPr>
            <w:tcW w:w="1316" w:type="dxa"/>
            <w:tcBorders/>
          </w:tcPr>
          <w:p>
            <w:pPr>
              <w:pStyle w:val="style0"/>
              <w:spacing w:lineRule="auto" w:line="480"/>
              <w:rPr>
                <w:sz w:val="22"/>
                <w:szCs w:val="24"/>
              </w:rPr>
            </w:pPr>
            <w:r>
              <w:rPr>
                <w:sz w:val="22"/>
                <w:szCs w:val="24"/>
              </w:rPr>
              <w:t>7.938</w:t>
            </w:r>
          </w:p>
        </w:tc>
        <w:tc>
          <w:tcPr>
            <w:tcW w:w="1236" w:type="dxa"/>
            <w:tcBorders/>
          </w:tcPr>
          <w:p>
            <w:pPr>
              <w:pStyle w:val="style0"/>
              <w:spacing w:lineRule="auto" w:line="480"/>
              <w:rPr>
                <w:sz w:val="22"/>
                <w:szCs w:val="24"/>
              </w:rPr>
            </w:pPr>
            <w:r>
              <w:rPr>
                <w:sz w:val="22"/>
                <w:szCs w:val="24"/>
              </w:rPr>
              <w:t>8.740</w:t>
            </w:r>
          </w:p>
        </w:tc>
        <w:tc>
          <w:tcPr>
            <w:tcW w:w="1236" w:type="dxa"/>
            <w:tcBorders/>
          </w:tcPr>
          <w:p>
            <w:pPr>
              <w:pStyle w:val="style0"/>
              <w:spacing w:lineRule="auto" w:line="480"/>
              <w:rPr>
                <w:sz w:val="22"/>
                <w:szCs w:val="24"/>
              </w:rPr>
            </w:pPr>
            <w:r>
              <w:rPr>
                <w:sz w:val="22"/>
                <w:szCs w:val="24"/>
              </w:rPr>
              <w:t>9.827</w:t>
            </w:r>
          </w:p>
        </w:tc>
        <w:tc>
          <w:tcPr>
            <w:tcW w:w="1236" w:type="dxa"/>
            <w:tcBorders/>
          </w:tcPr>
          <w:p>
            <w:pPr>
              <w:pStyle w:val="style0"/>
              <w:spacing w:lineRule="auto" w:line="480"/>
              <w:rPr>
                <w:sz w:val="22"/>
                <w:szCs w:val="24"/>
              </w:rPr>
            </w:pPr>
            <w:r>
              <w:rPr>
                <w:sz w:val="22"/>
                <w:szCs w:val="24"/>
              </w:rPr>
              <w:t>8.036</w:t>
            </w:r>
          </w:p>
        </w:tc>
        <w:tc>
          <w:tcPr>
            <w:tcW w:w="1236" w:type="dxa"/>
            <w:tcBorders/>
          </w:tcPr>
          <w:p>
            <w:pPr>
              <w:pStyle w:val="style0"/>
              <w:spacing w:lineRule="auto" w:line="480"/>
              <w:rPr>
                <w:sz w:val="22"/>
                <w:szCs w:val="24"/>
              </w:rPr>
            </w:pPr>
            <w:r>
              <w:rPr>
                <w:sz w:val="22"/>
                <w:szCs w:val="24"/>
              </w:rPr>
              <w:t>12.731</w:t>
            </w:r>
          </w:p>
        </w:tc>
        <w:tc>
          <w:tcPr>
            <w:tcW w:w="1236" w:type="dxa"/>
            <w:tcBorders/>
          </w:tcPr>
          <w:p>
            <w:pPr>
              <w:pStyle w:val="style0"/>
              <w:spacing w:lineRule="auto" w:line="480"/>
              <w:rPr>
                <w:sz w:val="22"/>
                <w:szCs w:val="24"/>
              </w:rPr>
            </w:pPr>
            <w:r>
              <w:rPr>
                <w:sz w:val="22"/>
                <w:szCs w:val="24"/>
              </w:rPr>
              <w:t>11.236</w:t>
            </w:r>
          </w:p>
        </w:tc>
        <w:tc>
          <w:tcPr>
            <w:tcW w:w="1414" w:type="dxa"/>
            <w:tcBorders/>
          </w:tcPr>
          <w:p>
            <w:pPr>
              <w:pStyle w:val="style0"/>
              <w:spacing w:lineRule="auto" w:line="480"/>
              <w:rPr>
                <w:sz w:val="22"/>
                <w:szCs w:val="24"/>
              </w:rPr>
            </w:pPr>
            <w:r>
              <w:rPr>
                <w:sz w:val="22"/>
                <w:szCs w:val="24"/>
              </w:rPr>
              <w:t>10.199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PROTEIN ST</w:t>
            </w:r>
          </w:p>
        </w:tc>
        <w:tc>
          <w:tcPr>
            <w:tcW w:w="1316" w:type="dxa"/>
            <w:tcBorders/>
          </w:tcPr>
          <w:p>
            <w:pPr>
              <w:pStyle w:val="style0"/>
              <w:spacing w:lineRule="auto" w:line="480"/>
              <w:rPr>
                <w:sz w:val="22"/>
                <w:szCs w:val="24"/>
              </w:rPr>
            </w:pPr>
            <w:r>
              <w:rPr>
                <w:sz w:val="22"/>
                <w:szCs w:val="24"/>
              </w:rPr>
              <w:t>36.732</w:t>
            </w:r>
          </w:p>
        </w:tc>
        <w:tc>
          <w:tcPr>
            <w:tcW w:w="1236" w:type="dxa"/>
            <w:tcBorders/>
          </w:tcPr>
          <w:p>
            <w:pPr>
              <w:pStyle w:val="style0"/>
              <w:spacing w:lineRule="auto" w:line="480"/>
              <w:rPr>
                <w:sz w:val="22"/>
                <w:szCs w:val="24"/>
              </w:rPr>
            </w:pPr>
            <w:r>
              <w:rPr>
                <w:sz w:val="22"/>
                <w:szCs w:val="24"/>
              </w:rPr>
              <w:t>38.194</w:t>
            </w:r>
          </w:p>
        </w:tc>
        <w:tc>
          <w:tcPr>
            <w:tcW w:w="1236" w:type="dxa"/>
            <w:tcBorders/>
          </w:tcPr>
          <w:p>
            <w:pPr>
              <w:pStyle w:val="style0"/>
              <w:spacing w:lineRule="auto" w:line="480"/>
              <w:rPr>
                <w:sz w:val="22"/>
                <w:szCs w:val="24"/>
              </w:rPr>
            </w:pPr>
            <w:r>
              <w:rPr>
                <w:sz w:val="22"/>
                <w:szCs w:val="24"/>
              </w:rPr>
              <w:t>34.905</w:t>
            </w:r>
          </w:p>
        </w:tc>
        <w:tc>
          <w:tcPr>
            <w:tcW w:w="1236" w:type="dxa"/>
            <w:tcBorders/>
          </w:tcPr>
          <w:p>
            <w:pPr>
              <w:pStyle w:val="style0"/>
              <w:spacing w:lineRule="auto" w:line="480"/>
              <w:rPr>
                <w:sz w:val="22"/>
                <w:szCs w:val="24"/>
              </w:rPr>
            </w:pPr>
            <w:r>
              <w:rPr>
                <w:sz w:val="22"/>
                <w:szCs w:val="24"/>
              </w:rPr>
              <w:t>40.387</w:t>
            </w:r>
          </w:p>
        </w:tc>
        <w:tc>
          <w:tcPr>
            <w:tcW w:w="1236" w:type="dxa"/>
            <w:tcBorders/>
          </w:tcPr>
          <w:p>
            <w:pPr>
              <w:pStyle w:val="style0"/>
              <w:spacing w:lineRule="auto" w:line="480"/>
              <w:rPr>
                <w:sz w:val="22"/>
                <w:szCs w:val="24"/>
              </w:rPr>
            </w:pPr>
            <w:r>
              <w:rPr>
                <w:sz w:val="22"/>
                <w:szCs w:val="24"/>
              </w:rPr>
              <w:t>40.205</w:t>
            </w:r>
          </w:p>
        </w:tc>
        <w:tc>
          <w:tcPr>
            <w:tcW w:w="1236" w:type="dxa"/>
            <w:tcBorders/>
          </w:tcPr>
          <w:p>
            <w:pPr>
              <w:pStyle w:val="style0"/>
              <w:spacing w:lineRule="auto" w:line="480"/>
              <w:rPr>
                <w:sz w:val="22"/>
                <w:szCs w:val="24"/>
              </w:rPr>
            </w:pPr>
            <w:r>
              <w:rPr>
                <w:sz w:val="22"/>
                <w:szCs w:val="24"/>
              </w:rPr>
              <w:t>35.636</w:t>
            </w:r>
          </w:p>
        </w:tc>
        <w:tc>
          <w:tcPr>
            <w:tcW w:w="1414" w:type="dxa"/>
            <w:tcBorders/>
          </w:tcPr>
          <w:p>
            <w:pPr>
              <w:pStyle w:val="style0"/>
              <w:spacing w:lineRule="auto" w:line="480"/>
              <w:rPr>
                <w:sz w:val="22"/>
                <w:szCs w:val="24"/>
              </w:rPr>
            </w:pPr>
            <w:r>
              <w:rPr>
                <w:sz w:val="22"/>
                <w:szCs w:val="24"/>
              </w:rPr>
              <w:t>52.632</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PROTEIN L</w:t>
            </w:r>
          </w:p>
        </w:tc>
        <w:tc>
          <w:tcPr>
            <w:tcW w:w="1316" w:type="dxa"/>
            <w:tcBorders/>
          </w:tcPr>
          <w:p>
            <w:pPr>
              <w:pStyle w:val="style0"/>
              <w:spacing w:lineRule="auto" w:line="480"/>
              <w:rPr>
                <w:sz w:val="22"/>
                <w:szCs w:val="24"/>
              </w:rPr>
            </w:pPr>
            <w:r>
              <w:rPr>
                <w:sz w:val="22"/>
                <w:szCs w:val="24"/>
              </w:rPr>
              <w:t>45.321</w:t>
            </w:r>
          </w:p>
        </w:tc>
        <w:tc>
          <w:tcPr>
            <w:tcW w:w="1236" w:type="dxa"/>
            <w:tcBorders/>
          </w:tcPr>
          <w:p>
            <w:pPr>
              <w:pStyle w:val="style0"/>
              <w:spacing w:lineRule="auto" w:line="480"/>
              <w:rPr>
                <w:sz w:val="22"/>
                <w:szCs w:val="24"/>
              </w:rPr>
            </w:pPr>
            <w:r>
              <w:rPr>
                <w:sz w:val="22"/>
                <w:szCs w:val="24"/>
              </w:rPr>
              <w:t>29.788</w:t>
            </w:r>
          </w:p>
        </w:tc>
        <w:tc>
          <w:tcPr>
            <w:tcW w:w="1236" w:type="dxa"/>
            <w:tcBorders/>
          </w:tcPr>
          <w:p>
            <w:pPr>
              <w:pStyle w:val="style0"/>
              <w:spacing w:lineRule="auto" w:line="480"/>
              <w:rPr>
                <w:sz w:val="22"/>
                <w:szCs w:val="24"/>
              </w:rPr>
            </w:pPr>
            <w:r>
              <w:rPr>
                <w:sz w:val="22"/>
                <w:szCs w:val="24"/>
              </w:rPr>
              <w:t>36.367</w:t>
            </w:r>
          </w:p>
        </w:tc>
        <w:tc>
          <w:tcPr>
            <w:tcW w:w="1236" w:type="dxa"/>
            <w:tcBorders/>
          </w:tcPr>
          <w:p>
            <w:pPr>
              <w:pStyle w:val="style0"/>
              <w:spacing w:lineRule="auto" w:line="480"/>
              <w:rPr>
                <w:sz w:val="22"/>
                <w:szCs w:val="24"/>
              </w:rPr>
            </w:pPr>
            <w:r>
              <w:rPr>
                <w:sz w:val="22"/>
                <w:szCs w:val="24"/>
              </w:rPr>
              <w:t>33.443</w:t>
            </w:r>
          </w:p>
        </w:tc>
        <w:tc>
          <w:tcPr>
            <w:tcW w:w="1236" w:type="dxa"/>
            <w:tcBorders/>
          </w:tcPr>
          <w:p>
            <w:pPr>
              <w:pStyle w:val="style0"/>
              <w:spacing w:lineRule="auto" w:line="480"/>
              <w:rPr>
                <w:sz w:val="22"/>
                <w:szCs w:val="24"/>
              </w:rPr>
            </w:pPr>
            <w:r>
              <w:rPr>
                <w:sz w:val="22"/>
                <w:szCs w:val="24"/>
              </w:rPr>
              <w:t>34.539</w:t>
            </w:r>
          </w:p>
        </w:tc>
        <w:tc>
          <w:tcPr>
            <w:tcW w:w="1236" w:type="dxa"/>
            <w:tcBorders/>
          </w:tcPr>
          <w:p>
            <w:pPr>
              <w:pStyle w:val="style0"/>
              <w:spacing w:lineRule="auto" w:line="480"/>
              <w:rPr>
                <w:sz w:val="22"/>
                <w:szCs w:val="24"/>
              </w:rPr>
            </w:pPr>
            <w:r>
              <w:rPr>
                <w:sz w:val="22"/>
                <w:szCs w:val="24"/>
              </w:rPr>
              <w:t>32.346</w:t>
            </w:r>
          </w:p>
        </w:tc>
        <w:tc>
          <w:tcPr>
            <w:tcW w:w="1414" w:type="dxa"/>
            <w:tcBorders/>
          </w:tcPr>
          <w:p>
            <w:pPr>
              <w:pStyle w:val="style0"/>
              <w:spacing w:lineRule="auto" w:line="480"/>
              <w:rPr>
                <w:sz w:val="22"/>
                <w:szCs w:val="24"/>
              </w:rPr>
            </w:pPr>
            <w:r>
              <w:rPr>
                <w:sz w:val="22"/>
                <w:szCs w:val="24"/>
              </w:rPr>
              <w:t>36.732</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ALP L</w:t>
            </w:r>
          </w:p>
        </w:tc>
        <w:tc>
          <w:tcPr>
            <w:tcW w:w="1316" w:type="dxa"/>
            <w:tcBorders/>
          </w:tcPr>
          <w:p>
            <w:pPr>
              <w:pStyle w:val="style0"/>
              <w:spacing w:lineRule="auto" w:line="480"/>
              <w:rPr>
                <w:sz w:val="22"/>
                <w:szCs w:val="24"/>
              </w:rPr>
            </w:pPr>
            <w:r>
              <w:rPr>
                <w:sz w:val="22"/>
                <w:szCs w:val="24"/>
              </w:rPr>
              <w:t>13.992</w:t>
            </w:r>
          </w:p>
        </w:tc>
        <w:tc>
          <w:tcPr>
            <w:tcW w:w="1236" w:type="dxa"/>
            <w:tcBorders/>
          </w:tcPr>
          <w:p>
            <w:pPr>
              <w:pStyle w:val="style0"/>
              <w:spacing w:lineRule="auto" w:line="480"/>
              <w:rPr>
                <w:sz w:val="22"/>
                <w:szCs w:val="24"/>
              </w:rPr>
            </w:pPr>
            <w:r>
              <w:rPr>
                <w:sz w:val="22"/>
                <w:szCs w:val="24"/>
              </w:rPr>
              <w:t>18.701</w:t>
            </w:r>
          </w:p>
        </w:tc>
        <w:tc>
          <w:tcPr>
            <w:tcW w:w="1236" w:type="dxa"/>
            <w:tcBorders/>
          </w:tcPr>
          <w:p>
            <w:pPr>
              <w:pStyle w:val="style0"/>
              <w:spacing w:lineRule="auto" w:line="480"/>
              <w:rPr>
                <w:sz w:val="22"/>
                <w:szCs w:val="24"/>
              </w:rPr>
            </w:pPr>
            <w:r>
              <w:rPr>
                <w:sz w:val="22"/>
                <w:szCs w:val="24"/>
              </w:rPr>
              <w:t>19.062</w:t>
            </w:r>
          </w:p>
        </w:tc>
        <w:tc>
          <w:tcPr>
            <w:tcW w:w="1236" w:type="dxa"/>
            <w:tcBorders/>
          </w:tcPr>
          <w:p>
            <w:pPr>
              <w:pStyle w:val="style0"/>
              <w:spacing w:lineRule="auto" w:line="480"/>
              <w:rPr>
                <w:sz w:val="22"/>
                <w:szCs w:val="24"/>
              </w:rPr>
            </w:pPr>
            <w:r>
              <w:rPr>
                <w:sz w:val="22"/>
                <w:szCs w:val="24"/>
              </w:rPr>
              <w:t>22.743</w:t>
            </w:r>
          </w:p>
        </w:tc>
        <w:tc>
          <w:tcPr>
            <w:tcW w:w="1236" w:type="dxa"/>
            <w:tcBorders/>
          </w:tcPr>
          <w:p>
            <w:pPr>
              <w:pStyle w:val="style0"/>
              <w:spacing w:lineRule="auto" w:line="480"/>
              <w:rPr>
                <w:sz w:val="22"/>
                <w:szCs w:val="24"/>
              </w:rPr>
            </w:pPr>
            <w:r>
              <w:rPr>
                <w:sz w:val="22"/>
                <w:szCs w:val="24"/>
              </w:rPr>
              <w:t>18.862</w:t>
            </w:r>
          </w:p>
        </w:tc>
        <w:tc>
          <w:tcPr>
            <w:tcW w:w="1236" w:type="dxa"/>
            <w:tcBorders/>
          </w:tcPr>
          <w:p>
            <w:pPr>
              <w:pStyle w:val="style0"/>
              <w:spacing w:lineRule="auto" w:line="480"/>
              <w:rPr>
                <w:sz w:val="22"/>
                <w:szCs w:val="24"/>
              </w:rPr>
            </w:pPr>
            <w:r>
              <w:rPr>
                <w:sz w:val="22"/>
                <w:szCs w:val="24"/>
              </w:rPr>
              <w:t>18.736</w:t>
            </w:r>
          </w:p>
        </w:tc>
        <w:tc>
          <w:tcPr>
            <w:tcW w:w="1414" w:type="dxa"/>
            <w:tcBorders/>
          </w:tcPr>
          <w:p>
            <w:pPr>
              <w:pStyle w:val="style0"/>
              <w:spacing w:lineRule="auto" w:line="480"/>
              <w:rPr>
                <w:sz w:val="22"/>
                <w:szCs w:val="24"/>
              </w:rPr>
            </w:pPr>
            <w:r>
              <w:rPr>
                <w:sz w:val="22"/>
                <w:szCs w:val="24"/>
              </w:rPr>
              <w:t>19.329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ALP ST</w:t>
            </w:r>
          </w:p>
        </w:tc>
        <w:tc>
          <w:tcPr>
            <w:tcW w:w="1316" w:type="dxa"/>
            <w:tcBorders/>
          </w:tcPr>
          <w:p>
            <w:pPr>
              <w:pStyle w:val="style0"/>
              <w:spacing w:lineRule="auto" w:line="480"/>
              <w:rPr>
                <w:sz w:val="22"/>
                <w:szCs w:val="24"/>
              </w:rPr>
            </w:pPr>
            <w:r>
              <w:rPr>
                <w:sz w:val="22"/>
                <w:szCs w:val="24"/>
              </w:rPr>
              <w:t>29.807</w:t>
            </w:r>
          </w:p>
        </w:tc>
        <w:tc>
          <w:tcPr>
            <w:tcW w:w="1236" w:type="dxa"/>
            <w:tcBorders/>
          </w:tcPr>
          <w:p>
            <w:pPr>
              <w:pStyle w:val="style0"/>
              <w:spacing w:lineRule="auto" w:line="480"/>
              <w:rPr>
                <w:sz w:val="22"/>
                <w:szCs w:val="24"/>
              </w:rPr>
            </w:pPr>
            <w:r>
              <w:rPr>
                <w:sz w:val="22"/>
                <w:szCs w:val="24"/>
              </w:rPr>
              <w:t>15.891</w:t>
            </w:r>
          </w:p>
        </w:tc>
        <w:tc>
          <w:tcPr>
            <w:tcW w:w="1236" w:type="dxa"/>
            <w:tcBorders/>
          </w:tcPr>
          <w:p>
            <w:pPr>
              <w:pStyle w:val="style0"/>
              <w:spacing w:lineRule="auto" w:line="480"/>
              <w:rPr>
                <w:sz w:val="22"/>
                <w:szCs w:val="24"/>
              </w:rPr>
            </w:pPr>
            <w:r>
              <w:rPr>
                <w:sz w:val="22"/>
                <w:szCs w:val="24"/>
              </w:rPr>
              <w:t>25.233</w:t>
            </w:r>
          </w:p>
        </w:tc>
        <w:tc>
          <w:tcPr>
            <w:tcW w:w="1236" w:type="dxa"/>
            <w:tcBorders/>
          </w:tcPr>
          <w:p>
            <w:pPr>
              <w:pStyle w:val="style0"/>
              <w:spacing w:lineRule="auto" w:line="480"/>
              <w:rPr>
                <w:sz w:val="22"/>
                <w:szCs w:val="24"/>
              </w:rPr>
            </w:pPr>
            <w:r>
              <w:rPr>
                <w:sz w:val="22"/>
                <w:szCs w:val="24"/>
              </w:rPr>
              <w:t>20.000</w:t>
            </w:r>
          </w:p>
        </w:tc>
        <w:tc>
          <w:tcPr>
            <w:tcW w:w="1236" w:type="dxa"/>
            <w:tcBorders/>
          </w:tcPr>
          <w:p>
            <w:pPr>
              <w:pStyle w:val="style0"/>
              <w:spacing w:lineRule="auto" w:line="480"/>
              <w:rPr>
                <w:sz w:val="22"/>
                <w:szCs w:val="24"/>
              </w:rPr>
            </w:pPr>
            <w:r>
              <w:rPr>
                <w:sz w:val="22"/>
                <w:szCs w:val="24"/>
              </w:rPr>
              <w:t>17.027</w:t>
            </w:r>
          </w:p>
        </w:tc>
        <w:tc>
          <w:tcPr>
            <w:tcW w:w="1236" w:type="dxa"/>
            <w:tcBorders/>
          </w:tcPr>
          <w:p>
            <w:pPr>
              <w:pStyle w:val="style0"/>
              <w:spacing w:lineRule="auto" w:line="480"/>
              <w:rPr>
                <w:sz w:val="22"/>
                <w:szCs w:val="24"/>
              </w:rPr>
            </w:pPr>
            <w:r>
              <w:rPr>
                <w:sz w:val="22"/>
                <w:szCs w:val="24"/>
              </w:rPr>
              <w:t>21.325</w:t>
            </w:r>
          </w:p>
        </w:tc>
        <w:tc>
          <w:tcPr>
            <w:tcW w:w="1414" w:type="dxa"/>
            <w:tcBorders/>
          </w:tcPr>
          <w:p>
            <w:pPr>
              <w:pStyle w:val="style0"/>
              <w:spacing w:lineRule="auto" w:line="480"/>
              <w:rPr>
                <w:sz w:val="22"/>
                <w:szCs w:val="24"/>
              </w:rPr>
            </w:pPr>
            <w:r>
              <w:rPr>
                <w:sz w:val="22"/>
                <w:szCs w:val="24"/>
              </w:rPr>
              <w:t>37.854</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N.O ST</w:t>
            </w:r>
          </w:p>
        </w:tc>
        <w:tc>
          <w:tcPr>
            <w:tcW w:w="1316" w:type="dxa"/>
            <w:tcBorders/>
          </w:tcPr>
          <w:p>
            <w:pPr>
              <w:pStyle w:val="style0"/>
              <w:spacing w:lineRule="auto" w:line="480"/>
              <w:rPr>
                <w:sz w:val="22"/>
                <w:szCs w:val="24"/>
              </w:rPr>
            </w:pPr>
            <w:r>
              <w:rPr>
                <w:sz w:val="22"/>
                <w:szCs w:val="24"/>
              </w:rPr>
              <w:t>49.218</w:t>
            </w:r>
          </w:p>
        </w:tc>
        <w:tc>
          <w:tcPr>
            <w:tcW w:w="1236" w:type="dxa"/>
            <w:tcBorders/>
          </w:tcPr>
          <w:p>
            <w:pPr>
              <w:pStyle w:val="style0"/>
              <w:spacing w:lineRule="auto" w:line="480"/>
              <w:rPr>
                <w:sz w:val="22"/>
                <w:szCs w:val="24"/>
              </w:rPr>
            </w:pPr>
            <w:r>
              <w:rPr>
                <w:sz w:val="22"/>
                <w:szCs w:val="24"/>
              </w:rPr>
              <w:t>46.615</w:t>
            </w:r>
          </w:p>
        </w:tc>
        <w:tc>
          <w:tcPr>
            <w:tcW w:w="1236" w:type="dxa"/>
            <w:tcBorders/>
          </w:tcPr>
          <w:p>
            <w:pPr>
              <w:pStyle w:val="style0"/>
              <w:spacing w:lineRule="auto" w:line="480"/>
              <w:rPr>
                <w:sz w:val="22"/>
                <w:szCs w:val="24"/>
              </w:rPr>
            </w:pPr>
            <w:r>
              <w:rPr>
                <w:sz w:val="22"/>
                <w:szCs w:val="24"/>
              </w:rPr>
              <w:t>87.500</w:t>
            </w:r>
          </w:p>
        </w:tc>
        <w:tc>
          <w:tcPr>
            <w:tcW w:w="1236" w:type="dxa"/>
            <w:tcBorders/>
          </w:tcPr>
          <w:p>
            <w:pPr>
              <w:pStyle w:val="style0"/>
              <w:spacing w:lineRule="auto" w:line="480"/>
              <w:rPr>
                <w:sz w:val="22"/>
                <w:szCs w:val="24"/>
              </w:rPr>
            </w:pPr>
            <w:r>
              <w:rPr>
                <w:sz w:val="22"/>
                <w:szCs w:val="24"/>
              </w:rPr>
              <w:t>53.385</w:t>
            </w:r>
          </w:p>
        </w:tc>
        <w:tc>
          <w:tcPr>
            <w:tcW w:w="1236" w:type="dxa"/>
            <w:tcBorders/>
          </w:tcPr>
          <w:p>
            <w:pPr>
              <w:pStyle w:val="style0"/>
              <w:spacing w:lineRule="auto" w:line="480"/>
              <w:rPr>
                <w:sz w:val="22"/>
                <w:szCs w:val="24"/>
              </w:rPr>
            </w:pPr>
            <w:r>
              <w:rPr>
                <w:sz w:val="22"/>
                <w:szCs w:val="24"/>
              </w:rPr>
              <w:t>46.615</w:t>
            </w:r>
          </w:p>
        </w:tc>
        <w:tc>
          <w:tcPr>
            <w:tcW w:w="1236" w:type="dxa"/>
            <w:tcBorders/>
          </w:tcPr>
          <w:p>
            <w:pPr>
              <w:pStyle w:val="style0"/>
              <w:spacing w:lineRule="auto" w:line="480"/>
              <w:rPr>
                <w:sz w:val="22"/>
                <w:szCs w:val="24"/>
              </w:rPr>
            </w:pPr>
            <w:r>
              <w:rPr>
                <w:sz w:val="22"/>
                <w:szCs w:val="24"/>
              </w:rPr>
              <w:t>41.928</w:t>
            </w:r>
          </w:p>
        </w:tc>
        <w:tc>
          <w:tcPr>
            <w:tcW w:w="1414" w:type="dxa"/>
            <w:tcBorders/>
          </w:tcPr>
          <w:p>
            <w:pPr>
              <w:pStyle w:val="style0"/>
              <w:spacing w:lineRule="auto" w:line="480"/>
              <w:rPr>
                <w:sz w:val="22"/>
                <w:szCs w:val="24"/>
              </w:rPr>
            </w:pPr>
            <w:r>
              <w:rPr>
                <w:sz w:val="22"/>
                <w:szCs w:val="24"/>
              </w:rPr>
              <w:t>44.010</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N.O L</w:t>
            </w:r>
          </w:p>
        </w:tc>
        <w:tc>
          <w:tcPr>
            <w:tcW w:w="1316" w:type="dxa"/>
            <w:tcBorders/>
          </w:tcPr>
          <w:p>
            <w:pPr>
              <w:pStyle w:val="style0"/>
              <w:spacing w:lineRule="auto" w:line="480"/>
              <w:rPr>
                <w:sz w:val="22"/>
                <w:szCs w:val="24"/>
              </w:rPr>
            </w:pPr>
            <w:r>
              <w:rPr>
                <w:sz w:val="22"/>
                <w:szCs w:val="24"/>
              </w:rPr>
              <w:t>45.833</w:t>
            </w:r>
          </w:p>
        </w:tc>
        <w:tc>
          <w:tcPr>
            <w:tcW w:w="1236" w:type="dxa"/>
            <w:tcBorders/>
          </w:tcPr>
          <w:p>
            <w:pPr>
              <w:pStyle w:val="style0"/>
              <w:spacing w:lineRule="auto" w:line="480"/>
              <w:rPr>
                <w:sz w:val="22"/>
                <w:szCs w:val="24"/>
              </w:rPr>
            </w:pPr>
            <w:r>
              <w:rPr>
                <w:sz w:val="22"/>
                <w:szCs w:val="24"/>
              </w:rPr>
              <w:t>30.208</w:t>
            </w:r>
          </w:p>
        </w:tc>
        <w:tc>
          <w:tcPr>
            <w:tcW w:w="1236" w:type="dxa"/>
            <w:tcBorders/>
          </w:tcPr>
          <w:p>
            <w:pPr>
              <w:pStyle w:val="style0"/>
              <w:spacing w:lineRule="auto" w:line="480"/>
              <w:rPr>
                <w:sz w:val="22"/>
                <w:szCs w:val="24"/>
              </w:rPr>
            </w:pPr>
            <w:r>
              <w:rPr>
                <w:sz w:val="22"/>
                <w:szCs w:val="24"/>
              </w:rPr>
              <w:t>30.989</w:t>
            </w:r>
          </w:p>
        </w:tc>
        <w:tc>
          <w:tcPr>
            <w:tcW w:w="1236" w:type="dxa"/>
            <w:tcBorders/>
          </w:tcPr>
          <w:p>
            <w:pPr>
              <w:pStyle w:val="style0"/>
              <w:spacing w:lineRule="auto" w:line="480"/>
              <w:rPr>
                <w:sz w:val="22"/>
                <w:szCs w:val="24"/>
              </w:rPr>
            </w:pPr>
            <w:r>
              <w:rPr>
                <w:sz w:val="22"/>
                <w:szCs w:val="24"/>
              </w:rPr>
              <w:t>57.813</w:t>
            </w:r>
          </w:p>
        </w:tc>
        <w:tc>
          <w:tcPr>
            <w:tcW w:w="1236" w:type="dxa"/>
            <w:tcBorders/>
          </w:tcPr>
          <w:p>
            <w:pPr>
              <w:pStyle w:val="style0"/>
              <w:spacing w:lineRule="auto" w:line="480"/>
              <w:rPr>
                <w:sz w:val="22"/>
                <w:szCs w:val="24"/>
              </w:rPr>
            </w:pPr>
            <w:r>
              <w:rPr>
                <w:sz w:val="22"/>
                <w:szCs w:val="24"/>
              </w:rPr>
              <w:t>29.688</w:t>
            </w:r>
          </w:p>
        </w:tc>
        <w:tc>
          <w:tcPr>
            <w:tcW w:w="1236" w:type="dxa"/>
            <w:tcBorders/>
          </w:tcPr>
          <w:p>
            <w:pPr>
              <w:pStyle w:val="style0"/>
              <w:spacing w:lineRule="auto" w:line="480"/>
              <w:rPr>
                <w:sz w:val="22"/>
                <w:szCs w:val="24"/>
              </w:rPr>
            </w:pPr>
            <w:r>
              <w:rPr>
                <w:sz w:val="22"/>
                <w:szCs w:val="24"/>
              </w:rPr>
              <w:t>27.865</w:t>
            </w:r>
          </w:p>
        </w:tc>
        <w:tc>
          <w:tcPr>
            <w:tcW w:w="1414" w:type="dxa"/>
            <w:tcBorders/>
          </w:tcPr>
          <w:p>
            <w:pPr>
              <w:pStyle w:val="style0"/>
              <w:spacing w:lineRule="auto" w:line="480"/>
              <w:rPr>
                <w:sz w:val="22"/>
                <w:szCs w:val="24"/>
              </w:rPr>
            </w:pPr>
            <w:r>
              <w:rPr>
                <w:sz w:val="22"/>
                <w:szCs w:val="24"/>
              </w:rPr>
              <w:t>29.427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MPO ST</w:t>
            </w:r>
          </w:p>
        </w:tc>
        <w:tc>
          <w:tcPr>
            <w:tcW w:w="1316" w:type="dxa"/>
            <w:tcBorders/>
          </w:tcPr>
          <w:p>
            <w:pPr>
              <w:pStyle w:val="style0"/>
              <w:spacing w:lineRule="auto" w:line="480"/>
              <w:rPr>
                <w:sz w:val="22"/>
                <w:szCs w:val="24"/>
              </w:rPr>
            </w:pPr>
            <w:r>
              <w:rPr>
                <w:sz w:val="22"/>
                <w:szCs w:val="24"/>
              </w:rPr>
              <w:t>2.040</w:t>
            </w:r>
          </w:p>
        </w:tc>
        <w:tc>
          <w:tcPr>
            <w:tcW w:w="1236" w:type="dxa"/>
            <w:tcBorders/>
          </w:tcPr>
          <w:p>
            <w:pPr>
              <w:pStyle w:val="style0"/>
              <w:spacing w:lineRule="auto" w:line="480"/>
              <w:rPr>
                <w:sz w:val="22"/>
                <w:szCs w:val="24"/>
              </w:rPr>
            </w:pPr>
            <w:r>
              <w:rPr>
                <w:sz w:val="22"/>
                <w:szCs w:val="24"/>
              </w:rPr>
              <w:t>1.931</w:t>
            </w:r>
          </w:p>
        </w:tc>
        <w:tc>
          <w:tcPr>
            <w:tcW w:w="1236" w:type="dxa"/>
            <w:tcBorders/>
          </w:tcPr>
          <w:p>
            <w:pPr>
              <w:pStyle w:val="style0"/>
              <w:spacing w:lineRule="auto" w:line="480"/>
              <w:rPr>
                <w:sz w:val="22"/>
                <w:szCs w:val="24"/>
              </w:rPr>
            </w:pPr>
            <w:r>
              <w:rPr>
                <w:sz w:val="22"/>
                <w:szCs w:val="24"/>
              </w:rPr>
              <w:t>2.144</w:t>
            </w:r>
          </w:p>
        </w:tc>
        <w:tc>
          <w:tcPr>
            <w:tcW w:w="1236" w:type="dxa"/>
            <w:tcBorders/>
          </w:tcPr>
          <w:p>
            <w:pPr>
              <w:pStyle w:val="style0"/>
              <w:spacing w:lineRule="auto" w:line="480"/>
              <w:rPr>
                <w:sz w:val="22"/>
                <w:szCs w:val="24"/>
              </w:rPr>
            </w:pPr>
            <w:r>
              <w:rPr>
                <w:sz w:val="22"/>
                <w:szCs w:val="24"/>
              </w:rPr>
              <w:t>2.772</w:t>
            </w:r>
          </w:p>
        </w:tc>
        <w:tc>
          <w:tcPr>
            <w:tcW w:w="1236" w:type="dxa"/>
            <w:tcBorders/>
          </w:tcPr>
          <w:p>
            <w:pPr>
              <w:pStyle w:val="style0"/>
              <w:spacing w:lineRule="auto" w:line="480"/>
              <w:rPr>
                <w:sz w:val="22"/>
                <w:szCs w:val="24"/>
              </w:rPr>
            </w:pPr>
            <w:r>
              <w:rPr>
                <w:sz w:val="22"/>
                <w:szCs w:val="24"/>
              </w:rPr>
              <w:t>9.036</w:t>
            </w:r>
          </w:p>
        </w:tc>
        <w:tc>
          <w:tcPr>
            <w:tcW w:w="1236" w:type="dxa"/>
            <w:tcBorders/>
          </w:tcPr>
          <w:p>
            <w:pPr>
              <w:pStyle w:val="style0"/>
              <w:spacing w:lineRule="auto" w:line="480"/>
              <w:rPr>
                <w:sz w:val="22"/>
                <w:szCs w:val="24"/>
              </w:rPr>
            </w:pPr>
            <w:r>
              <w:rPr>
                <w:sz w:val="22"/>
                <w:szCs w:val="24"/>
              </w:rPr>
              <w:t>1.701</w:t>
            </w:r>
          </w:p>
        </w:tc>
        <w:tc>
          <w:tcPr>
            <w:tcW w:w="1414" w:type="dxa"/>
            <w:tcBorders/>
          </w:tcPr>
          <w:p>
            <w:pPr>
              <w:pStyle w:val="style0"/>
              <w:spacing w:lineRule="auto" w:line="480"/>
              <w:rPr>
                <w:sz w:val="22"/>
                <w:szCs w:val="24"/>
              </w:rPr>
            </w:pPr>
            <w:r>
              <w:rPr>
                <w:sz w:val="22"/>
                <w:szCs w:val="24"/>
              </w:rPr>
              <w:t>7.717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PEPSIN ST</w:t>
            </w:r>
          </w:p>
        </w:tc>
        <w:tc>
          <w:tcPr>
            <w:tcW w:w="1316" w:type="dxa"/>
            <w:tcBorders/>
          </w:tcPr>
          <w:p>
            <w:pPr>
              <w:pStyle w:val="style0"/>
              <w:spacing w:lineRule="auto" w:line="480"/>
              <w:rPr>
                <w:sz w:val="22"/>
                <w:szCs w:val="24"/>
              </w:rPr>
            </w:pPr>
            <w:r>
              <w:rPr>
                <w:sz w:val="22"/>
                <w:szCs w:val="24"/>
              </w:rPr>
              <w:t>1.494</w:t>
            </w:r>
          </w:p>
        </w:tc>
        <w:tc>
          <w:tcPr>
            <w:tcW w:w="1236" w:type="dxa"/>
            <w:tcBorders/>
          </w:tcPr>
          <w:p>
            <w:pPr>
              <w:pStyle w:val="style0"/>
              <w:spacing w:lineRule="auto" w:line="480"/>
              <w:rPr>
                <w:sz w:val="22"/>
                <w:szCs w:val="24"/>
              </w:rPr>
            </w:pPr>
            <w:r>
              <w:rPr>
                <w:sz w:val="22"/>
                <w:szCs w:val="24"/>
              </w:rPr>
              <w:t>4.305</w:t>
            </w:r>
          </w:p>
        </w:tc>
        <w:tc>
          <w:tcPr>
            <w:tcW w:w="1236" w:type="dxa"/>
            <w:tcBorders/>
          </w:tcPr>
          <w:p>
            <w:pPr>
              <w:pStyle w:val="style0"/>
              <w:spacing w:lineRule="auto" w:line="480"/>
              <w:rPr>
                <w:sz w:val="22"/>
                <w:szCs w:val="24"/>
              </w:rPr>
            </w:pPr>
            <w:r>
              <w:rPr>
                <w:sz w:val="22"/>
                <w:szCs w:val="24"/>
              </w:rPr>
              <w:t>1.932</w:t>
            </w:r>
          </w:p>
        </w:tc>
        <w:tc>
          <w:tcPr>
            <w:tcW w:w="1236" w:type="dxa"/>
            <w:tcBorders/>
          </w:tcPr>
          <w:p>
            <w:pPr>
              <w:pStyle w:val="style0"/>
              <w:spacing w:lineRule="auto" w:line="480"/>
              <w:rPr>
                <w:sz w:val="22"/>
                <w:szCs w:val="24"/>
              </w:rPr>
            </w:pPr>
            <w:r>
              <w:rPr>
                <w:sz w:val="22"/>
                <w:szCs w:val="24"/>
              </w:rPr>
              <w:t>1.214</w:t>
            </w:r>
          </w:p>
        </w:tc>
        <w:tc>
          <w:tcPr>
            <w:tcW w:w="1236" w:type="dxa"/>
            <w:tcBorders/>
          </w:tcPr>
          <w:p>
            <w:pPr>
              <w:pStyle w:val="style0"/>
              <w:spacing w:lineRule="auto" w:line="480"/>
              <w:rPr>
                <w:sz w:val="22"/>
                <w:szCs w:val="24"/>
              </w:rPr>
            </w:pPr>
            <w:r>
              <w:rPr>
                <w:sz w:val="22"/>
                <w:szCs w:val="24"/>
              </w:rPr>
              <w:t>0.872</w:t>
            </w:r>
          </w:p>
        </w:tc>
        <w:tc>
          <w:tcPr>
            <w:tcW w:w="1236" w:type="dxa"/>
            <w:tcBorders/>
          </w:tcPr>
          <w:p>
            <w:pPr>
              <w:pStyle w:val="style0"/>
              <w:spacing w:lineRule="auto" w:line="480"/>
              <w:rPr>
                <w:sz w:val="22"/>
                <w:szCs w:val="24"/>
              </w:rPr>
            </w:pPr>
            <w:r>
              <w:rPr>
                <w:sz w:val="22"/>
                <w:szCs w:val="24"/>
              </w:rPr>
              <w:t>1.855</w:t>
            </w:r>
          </w:p>
        </w:tc>
        <w:tc>
          <w:tcPr>
            <w:tcW w:w="1414" w:type="dxa"/>
            <w:tcBorders/>
          </w:tcPr>
          <w:p>
            <w:pPr>
              <w:pStyle w:val="style0"/>
              <w:spacing w:lineRule="auto" w:line="480"/>
              <w:rPr>
                <w:sz w:val="22"/>
                <w:szCs w:val="24"/>
              </w:rPr>
            </w:pPr>
            <w:r>
              <w:rPr>
                <w:sz w:val="22"/>
                <w:szCs w:val="24"/>
              </w:rPr>
              <w:t>1.787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MDA ST</w:t>
            </w:r>
          </w:p>
        </w:tc>
        <w:tc>
          <w:tcPr>
            <w:tcW w:w="1316" w:type="dxa"/>
            <w:tcBorders/>
          </w:tcPr>
          <w:p>
            <w:pPr>
              <w:pStyle w:val="style0"/>
              <w:spacing w:lineRule="auto" w:line="480"/>
              <w:rPr>
                <w:sz w:val="22"/>
                <w:szCs w:val="24"/>
              </w:rPr>
            </w:pPr>
            <w:r>
              <w:rPr>
                <w:sz w:val="22"/>
                <w:szCs w:val="24"/>
              </w:rPr>
              <w:t>9.799</w:t>
            </w:r>
          </w:p>
        </w:tc>
        <w:tc>
          <w:tcPr>
            <w:tcW w:w="1236" w:type="dxa"/>
            <w:tcBorders/>
          </w:tcPr>
          <w:p>
            <w:pPr>
              <w:pStyle w:val="style0"/>
              <w:spacing w:lineRule="auto" w:line="480"/>
              <w:rPr>
                <w:sz w:val="22"/>
                <w:szCs w:val="24"/>
              </w:rPr>
            </w:pPr>
            <w:r>
              <w:rPr>
                <w:sz w:val="22"/>
                <w:szCs w:val="24"/>
              </w:rPr>
              <w:t>5.673</w:t>
            </w:r>
          </w:p>
        </w:tc>
        <w:tc>
          <w:tcPr>
            <w:tcW w:w="1236" w:type="dxa"/>
            <w:tcBorders/>
          </w:tcPr>
          <w:p>
            <w:pPr>
              <w:pStyle w:val="style0"/>
              <w:spacing w:lineRule="auto" w:line="480"/>
              <w:rPr>
                <w:sz w:val="22"/>
                <w:szCs w:val="24"/>
              </w:rPr>
            </w:pPr>
            <w:r>
              <w:rPr>
                <w:sz w:val="22"/>
                <w:szCs w:val="24"/>
              </w:rPr>
              <w:t>6.514</w:t>
            </w:r>
          </w:p>
        </w:tc>
        <w:tc>
          <w:tcPr>
            <w:tcW w:w="1236" w:type="dxa"/>
            <w:tcBorders/>
          </w:tcPr>
          <w:p>
            <w:pPr>
              <w:pStyle w:val="style0"/>
              <w:spacing w:lineRule="auto" w:line="480"/>
              <w:rPr>
                <w:sz w:val="22"/>
                <w:szCs w:val="24"/>
              </w:rPr>
            </w:pPr>
            <w:r>
              <w:rPr>
                <w:sz w:val="22"/>
                <w:szCs w:val="24"/>
              </w:rPr>
              <w:t>7.828</w:t>
            </w:r>
          </w:p>
        </w:tc>
        <w:tc>
          <w:tcPr>
            <w:tcW w:w="1236" w:type="dxa"/>
            <w:tcBorders/>
          </w:tcPr>
          <w:p>
            <w:pPr>
              <w:pStyle w:val="style0"/>
              <w:spacing w:lineRule="auto" w:line="480"/>
              <w:rPr>
                <w:sz w:val="22"/>
                <w:szCs w:val="24"/>
              </w:rPr>
            </w:pPr>
            <w:r>
              <w:rPr>
                <w:sz w:val="22"/>
                <w:szCs w:val="24"/>
              </w:rPr>
              <w:t>11.899</w:t>
            </w:r>
          </w:p>
        </w:tc>
        <w:tc>
          <w:tcPr>
            <w:tcW w:w="1236" w:type="dxa"/>
            <w:tcBorders/>
          </w:tcPr>
          <w:p>
            <w:pPr>
              <w:pStyle w:val="style0"/>
              <w:spacing w:lineRule="auto" w:line="480"/>
              <w:rPr>
                <w:sz w:val="22"/>
                <w:szCs w:val="24"/>
              </w:rPr>
            </w:pPr>
            <w:r>
              <w:rPr>
                <w:sz w:val="22"/>
                <w:szCs w:val="24"/>
              </w:rPr>
              <w:t>12.000</w:t>
            </w:r>
          </w:p>
        </w:tc>
        <w:tc>
          <w:tcPr>
            <w:tcW w:w="1414" w:type="dxa"/>
            <w:tcBorders/>
          </w:tcPr>
          <w:p>
            <w:pPr>
              <w:pStyle w:val="style0"/>
              <w:spacing w:lineRule="auto" w:line="480"/>
              <w:rPr>
                <w:sz w:val="22"/>
                <w:szCs w:val="24"/>
              </w:rPr>
            </w:pPr>
            <w:r>
              <w:rPr>
                <w:sz w:val="22"/>
                <w:szCs w:val="24"/>
              </w:rPr>
              <w:t>15.168</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MDA L</w:t>
            </w:r>
          </w:p>
        </w:tc>
        <w:tc>
          <w:tcPr>
            <w:tcW w:w="1316" w:type="dxa"/>
            <w:tcBorders/>
          </w:tcPr>
          <w:p>
            <w:pPr>
              <w:pStyle w:val="style0"/>
              <w:spacing w:lineRule="auto" w:line="480"/>
              <w:rPr>
                <w:sz w:val="22"/>
                <w:szCs w:val="24"/>
              </w:rPr>
            </w:pPr>
            <w:r>
              <w:rPr>
                <w:sz w:val="22"/>
                <w:szCs w:val="24"/>
              </w:rPr>
              <w:t>5.601</w:t>
            </w:r>
          </w:p>
        </w:tc>
        <w:tc>
          <w:tcPr>
            <w:tcW w:w="1236" w:type="dxa"/>
            <w:tcBorders/>
          </w:tcPr>
          <w:p>
            <w:pPr>
              <w:pStyle w:val="style0"/>
              <w:spacing w:lineRule="auto" w:line="480"/>
              <w:rPr>
                <w:sz w:val="22"/>
                <w:szCs w:val="24"/>
              </w:rPr>
            </w:pPr>
            <w:r>
              <w:rPr>
                <w:sz w:val="22"/>
                <w:szCs w:val="24"/>
              </w:rPr>
              <w:t>3.966</w:t>
            </w:r>
          </w:p>
        </w:tc>
        <w:tc>
          <w:tcPr>
            <w:tcW w:w="1236" w:type="dxa"/>
            <w:tcBorders/>
          </w:tcPr>
          <w:p>
            <w:pPr>
              <w:pStyle w:val="style0"/>
              <w:spacing w:lineRule="auto" w:line="480"/>
              <w:rPr>
                <w:sz w:val="22"/>
                <w:szCs w:val="24"/>
              </w:rPr>
            </w:pPr>
            <w:r>
              <w:rPr>
                <w:sz w:val="22"/>
                <w:szCs w:val="24"/>
              </w:rPr>
              <w:t>6.042</w:t>
            </w:r>
          </w:p>
        </w:tc>
        <w:tc>
          <w:tcPr>
            <w:tcW w:w="1236" w:type="dxa"/>
            <w:tcBorders/>
          </w:tcPr>
          <w:p>
            <w:pPr>
              <w:pStyle w:val="style0"/>
              <w:spacing w:lineRule="auto" w:line="480"/>
              <w:rPr>
                <w:sz w:val="22"/>
                <w:szCs w:val="24"/>
              </w:rPr>
            </w:pPr>
            <w:r>
              <w:rPr>
                <w:sz w:val="22"/>
                <w:szCs w:val="24"/>
              </w:rPr>
              <w:t>3.966</w:t>
            </w:r>
          </w:p>
        </w:tc>
        <w:tc>
          <w:tcPr>
            <w:tcW w:w="1236" w:type="dxa"/>
            <w:tcBorders/>
          </w:tcPr>
          <w:p>
            <w:pPr>
              <w:pStyle w:val="style0"/>
              <w:spacing w:lineRule="auto" w:line="480"/>
              <w:rPr>
                <w:sz w:val="22"/>
                <w:szCs w:val="24"/>
              </w:rPr>
            </w:pPr>
            <w:r>
              <w:rPr>
                <w:sz w:val="22"/>
                <w:szCs w:val="24"/>
              </w:rPr>
              <w:t>3.598</w:t>
            </w:r>
          </w:p>
        </w:tc>
        <w:tc>
          <w:tcPr>
            <w:tcW w:w="1236" w:type="dxa"/>
            <w:tcBorders/>
          </w:tcPr>
          <w:p>
            <w:pPr>
              <w:pStyle w:val="style0"/>
              <w:spacing w:lineRule="auto" w:line="480"/>
              <w:rPr>
                <w:sz w:val="22"/>
                <w:szCs w:val="24"/>
              </w:rPr>
            </w:pPr>
            <w:r>
              <w:rPr>
                <w:sz w:val="22"/>
                <w:szCs w:val="24"/>
              </w:rPr>
              <w:t>6.082</w:t>
            </w:r>
          </w:p>
        </w:tc>
        <w:tc>
          <w:tcPr>
            <w:tcW w:w="1414" w:type="dxa"/>
            <w:tcBorders/>
          </w:tcPr>
          <w:p>
            <w:pPr>
              <w:pStyle w:val="style0"/>
              <w:spacing w:lineRule="auto" w:line="480"/>
              <w:rPr>
                <w:sz w:val="22"/>
                <w:szCs w:val="24"/>
              </w:rPr>
            </w:pPr>
            <w:r>
              <w:rPr>
                <w:sz w:val="22"/>
                <w:szCs w:val="24"/>
              </w:rPr>
              <w:t>4.079</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GSH ST</w:t>
            </w:r>
          </w:p>
        </w:tc>
        <w:tc>
          <w:tcPr>
            <w:tcW w:w="1316" w:type="dxa"/>
            <w:tcBorders/>
          </w:tcPr>
          <w:p>
            <w:pPr>
              <w:pStyle w:val="style0"/>
              <w:spacing w:lineRule="auto" w:line="480"/>
              <w:rPr>
                <w:sz w:val="22"/>
                <w:szCs w:val="24"/>
              </w:rPr>
            </w:pPr>
            <w:r>
              <w:rPr>
                <w:sz w:val="22"/>
                <w:szCs w:val="24"/>
              </w:rPr>
              <w:t>44.761</w:t>
            </w:r>
          </w:p>
        </w:tc>
        <w:tc>
          <w:tcPr>
            <w:tcW w:w="1236" w:type="dxa"/>
            <w:tcBorders/>
          </w:tcPr>
          <w:p>
            <w:pPr>
              <w:pStyle w:val="style0"/>
              <w:spacing w:lineRule="auto" w:line="480"/>
              <w:rPr>
                <w:sz w:val="22"/>
                <w:szCs w:val="24"/>
              </w:rPr>
            </w:pPr>
            <w:r>
              <w:rPr>
                <w:sz w:val="22"/>
                <w:szCs w:val="24"/>
              </w:rPr>
              <w:t>43.750</w:t>
            </w:r>
          </w:p>
        </w:tc>
        <w:tc>
          <w:tcPr>
            <w:tcW w:w="1236" w:type="dxa"/>
            <w:tcBorders/>
          </w:tcPr>
          <w:p>
            <w:pPr>
              <w:pStyle w:val="style0"/>
              <w:spacing w:lineRule="auto" w:line="480"/>
              <w:rPr>
                <w:sz w:val="22"/>
                <w:szCs w:val="24"/>
              </w:rPr>
            </w:pPr>
            <w:r>
              <w:rPr>
                <w:sz w:val="22"/>
                <w:szCs w:val="24"/>
              </w:rPr>
              <w:t>42.831</w:t>
            </w:r>
          </w:p>
        </w:tc>
        <w:tc>
          <w:tcPr>
            <w:tcW w:w="1236" w:type="dxa"/>
            <w:tcBorders/>
          </w:tcPr>
          <w:p>
            <w:pPr>
              <w:pStyle w:val="style0"/>
              <w:spacing w:lineRule="auto" w:line="480"/>
              <w:rPr>
                <w:sz w:val="22"/>
                <w:szCs w:val="24"/>
              </w:rPr>
            </w:pPr>
            <w:r>
              <w:rPr>
                <w:sz w:val="22"/>
                <w:szCs w:val="24"/>
              </w:rPr>
              <w:t>46.232</w:t>
            </w:r>
          </w:p>
        </w:tc>
        <w:tc>
          <w:tcPr>
            <w:tcW w:w="1236" w:type="dxa"/>
            <w:tcBorders/>
          </w:tcPr>
          <w:p>
            <w:pPr>
              <w:pStyle w:val="style0"/>
              <w:spacing w:lineRule="auto" w:line="480"/>
              <w:rPr>
                <w:sz w:val="22"/>
                <w:szCs w:val="24"/>
              </w:rPr>
            </w:pPr>
            <w:r>
              <w:rPr>
                <w:sz w:val="22"/>
                <w:szCs w:val="24"/>
              </w:rPr>
              <w:t>48.621</w:t>
            </w:r>
          </w:p>
        </w:tc>
        <w:tc>
          <w:tcPr>
            <w:tcW w:w="1236" w:type="dxa"/>
            <w:tcBorders/>
          </w:tcPr>
          <w:p>
            <w:pPr>
              <w:pStyle w:val="style0"/>
              <w:spacing w:lineRule="auto" w:line="480"/>
              <w:rPr>
                <w:sz w:val="22"/>
                <w:szCs w:val="24"/>
              </w:rPr>
            </w:pPr>
            <w:r>
              <w:rPr>
                <w:sz w:val="22"/>
                <w:szCs w:val="24"/>
              </w:rPr>
              <w:t>47.243</w:t>
            </w:r>
          </w:p>
        </w:tc>
        <w:tc>
          <w:tcPr>
            <w:tcW w:w="1414" w:type="dxa"/>
            <w:tcBorders/>
          </w:tcPr>
          <w:p>
            <w:pPr>
              <w:pStyle w:val="style0"/>
              <w:spacing w:lineRule="auto" w:line="480"/>
              <w:rPr>
                <w:sz w:val="22"/>
                <w:szCs w:val="24"/>
              </w:rPr>
            </w:pPr>
            <w:r>
              <w:rPr>
                <w:sz w:val="22"/>
                <w:szCs w:val="24"/>
              </w:rPr>
              <w:t>56.066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GSH L</w:t>
            </w:r>
          </w:p>
        </w:tc>
        <w:tc>
          <w:tcPr>
            <w:tcW w:w="1316" w:type="dxa"/>
            <w:tcBorders/>
          </w:tcPr>
          <w:p>
            <w:pPr>
              <w:pStyle w:val="style0"/>
              <w:spacing w:lineRule="auto" w:line="480"/>
              <w:rPr>
                <w:sz w:val="22"/>
                <w:szCs w:val="24"/>
              </w:rPr>
            </w:pPr>
            <w:r>
              <w:rPr>
                <w:sz w:val="22"/>
                <w:szCs w:val="24"/>
              </w:rPr>
              <w:t>86.949</w:t>
            </w:r>
          </w:p>
        </w:tc>
        <w:tc>
          <w:tcPr>
            <w:tcW w:w="1236" w:type="dxa"/>
            <w:tcBorders/>
          </w:tcPr>
          <w:p>
            <w:pPr>
              <w:pStyle w:val="style0"/>
              <w:spacing w:lineRule="auto" w:line="480"/>
              <w:rPr>
                <w:sz w:val="22"/>
                <w:szCs w:val="24"/>
              </w:rPr>
            </w:pPr>
            <w:r>
              <w:rPr>
                <w:sz w:val="22"/>
                <w:szCs w:val="24"/>
              </w:rPr>
              <w:t>45.954</w:t>
            </w:r>
          </w:p>
        </w:tc>
        <w:tc>
          <w:tcPr>
            <w:tcW w:w="1236" w:type="dxa"/>
            <w:tcBorders/>
          </w:tcPr>
          <w:p>
            <w:pPr>
              <w:pStyle w:val="style0"/>
              <w:spacing w:lineRule="auto" w:line="480"/>
              <w:rPr>
                <w:sz w:val="22"/>
                <w:szCs w:val="24"/>
              </w:rPr>
            </w:pPr>
            <w:r>
              <w:rPr>
                <w:sz w:val="22"/>
                <w:szCs w:val="24"/>
              </w:rPr>
              <w:t>62.776</w:t>
            </w:r>
          </w:p>
        </w:tc>
        <w:tc>
          <w:tcPr>
            <w:tcW w:w="1236" w:type="dxa"/>
            <w:tcBorders/>
          </w:tcPr>
          <w:p>
            <w:pPr>
              <w:pStyle w:val="style0"/>
              <w:spacing w:lineRule="auto" w:line="480"/>
              <w:rPr>
                <w:sz w:val="22"/>
                <w:szCs w:val="24"/>
              </w:rPr>
            </w:pPr>
            <w:r>
              <w:rPr>
                <w:sz w:val="22"/>
                <w:szCs w:val="24"/>
              </w:rPr>
              <w:t>61.029</w:t>
            </w:r>
          </w:p>
        </w:tc>
        <w:tc>
          <w:tcPr>
            <w:tcW w:w="1236" w:type="dxa"/>
            <w:tcBorders/>
          </w:tcPr>
          <w:p>
            <w:pPr>
              <w:pStyle w:val="style0"/>
              <w:spacing w:lineRule="auto" w:line="480"/>
              <w:rPr>
                <w:sz w:val="22"/>
                <w:szCs w:val="24"/>
              </w:rPr>
            </w:pPr>
            <w:r>
              <w:rPr>
                <w:sz w:val="22"/>
                <w:szCs w:val="24"/>
              </w:rPr>
              <w:t>67.463</w:t>
            </w:r>
          </w:p>
        </w:tc>
        <w:tc>
          <w:tcPr>
            <w:tcW w:w="1236" w:type="dxa"/>
            <w:tcBorders/>
          </w:tcPr>
          <w:p>
            <w:pPr>
              <w:pStyle w:val="style0"/>
              <w:spacing w:lineRule="auto" w:line="480"/>
              <w:rPr>
                <w:sz w:val="22"/>
                <w:szCs w:val="24"/>
              </w:rPr>
            </w:pPr>
            <w:r>
              <w:rPr>
                <w:sz w:val="22"/>
                <w:szCs w:val="24"/>
              </w:rPr>
              <w:t>52.941</w:t>
            </w:r>
          </w:p>
        </w:tc>
        <w:tc>
          <w:tcPr>
            <w:tcW w:w="1414" w:type="dxa"/>
            <w:tcBorders/>
          </w:tcPr>
          <w:p>
            <w:pPr>
              <w:pStyle w:val="style0"/>
              <w:spacing w:lineRule="auto" w:line="480"/>
              <w:rPr>
                <w:sz w:val="22"/>
                <w:szCs w:val="24"/>
              </w:rPr>
            </w:pPr>
            <w:r>
              <w:rPr>
                <w:sz w:val="22"/>
                <w:szCs w:val="24"/>
              </w:rPr>
              <w:t>87.776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GGT ST</w:t>
            </w:r>
          </w:p>
        </w:tc>
        <w:tc>
          <w:tcPr>
            <w:tcW w:w="1316" w:type="dxa"/>
            <w:tcBorders/>
          </w:tcPr>
          <w:p>
            <w:pPr>
              <w:pStyle w:val="style0"/>
              <w:spacing w:lineRule="auto" w:line="480"/>
              <w:rPr>
                <w:sz w:val="22"/>
                <w:szCs w:val="24"/>
              </w:rPr>
            </w:pPr>
            <w:r>
              <w:rPr>
                <w:sz w:val="22"/>
                <w:szCs w:val="24"/>
              </w:rPr>
              <w:t>9.031</w:t>
            </w:r>
          </w:p>
        </w:tc>
        <w:tc>
          <w:tcPr>
            <w:tcW w:w="1236" w:type="dxa"/>
            <w:tcBorders/>
          </w:tcPr>
          <w:p>
            <w:pPr>
              <w:pStyle w:val="style0"/>
              <w:spacing w:lineRule="auto" w:line="480"/>
              <w:rPr>
                <w:sz w:val="22"/>
                <w:szCs w:val="24"/>
              </w:rPr>
            </w:pPr>
            <w:r>
              <w:rPr>
                <w:sz w:val="22"/>
                <w:szCs w:val="24"/>
              </w:rPr>
              <w:t>8.646</w:t>
            </w:r>
          </w:p>
        </w:tc>
        <w:tc>
          <w:tcPr>
            <w:tcW w:w="1236" w:type="dxa"/>
            <w:tcBorders/>
          </w:tcPr>
          <w:p>
            <w:pPr>
              <w:pStyle w:val="style0"/>
              <w:spacing w:lineRule="auto" w:line="480"/>
              <w:rPr>
                <w:sz w:val="22"/>
                <w:szCs w:val="24"/>
              </w:rPr>
            </w:pPr>
            <w:r>
              <w:rPr>
                <w:sz w:val="22"/>
                <w:szCs w:val="24"/>
              </w:rPr>
              <w:t>9.361</w:t>
            </w:r>
          </w:p>
        </w:tc>
        <w:tc>
          <w:tcPr>
            <w:tcW w:w="1236" w:type="dxa"/>
            <w:tcBorders/>
          </w:tcPr>
          <w:p>
            <w:pPr>
              <w:pStyle w:val="style0"/>
              <w:spacing w:lineRule="auto" w:line="480"/>
              <w:rPr>
                <w:sz w:val="22"/>
                <w:szCs w:val="24"/>
              </w:rPr>
            </w:pPr>
            <w:r>
              <w:rPr>
                <w:sz w:val="22"/>
                <w:szCs w:val="24"/>
              </w:rPr>
              <w:t>8.564</w:t>
            </w:r>
          </w:p>
        </w:tc>
        <w:tc>
          <w:tcPr>
            <w:tcW w:w="1236" w:type="dxa"/>
            <w:tcBorders/>
          </w:tcPr>
          <w:p>
            <w:pPr>
              <w:pStyle w:val="style0"/>
              <w:spacing w:lineRule="auto" w:line="480"/>
              <w:rPr>
                <w:sz w:val="22"/>
                <w:szCs w:val="24"/>
              </w:rPr>
            </w:pPr>
            <w:r>
              <w:rPr>
                <w:sz w:val="22"/>
                <w:szCs w:val="24"/>
              </w:rPr>
              <w:t>8.1840</w:t>
            </w:r>
          </w:p>
        </w:tc>
        <w:tc>
          <w:tcPr>
            <w:tcW w:w="1236" w:type="dxa"/>
            <w:tcBorders/>
          </w:tcPr>
          <w:p>
            <w:pPr>
              <w:pStyle w:val="style0"/>
              <w:spacing w:lineRule="auto" w:line="480"/>
              <w:rPr>
                <w:sz w:val="22"/>
                <w:szCs w:val="24"/>
              </w:rPr>
            </w:pPr>
            <w:r>
              <w:rPr>
                <w:sz w:val="22"/>
                <w:szCs w:val="24"/>
              </w:rPr>
              <w:t>9.459</w:t>
            </w:r>
          </w:p>
        </w:tc>
        <w:tc>
          <w:tcPr>
            <w:tcW w:w="1414" w:type="dxa"/>
            <w:tcBorders/>
          </w:tcPr>
          <w:p>
            <w:pPr>
              <w:pStyle w:val="style0"/>
              <w:spacing w:lineRule="auto" w:line="480"/>
              <w:rPr>
                <w:sz w:val="22"/>
                <w:szCs w:val="24"/>
              </w:rPr>
            </w:pPr>
            <w:r>
              <w:rPr>
                <w:sz w:val="22"/>
                <w:szCs w:val="24"/>
              </w:rPr>
              <w:t>7.105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GGT L</w:t>
            </w:r>
          </w:p>
        </w:tc>
        <w:tc>
          <w:tcPr>
            <w:tcW w:w="1316" w:type="dxa"/>
            <w:tcBorders/>
          </w:tcPr>
          <w:p>
            <w:pPr>
              <w:pStyle w:val="style0"/>
              <w:spacing w:lineRule="auto" w:line="480"/>
              <w:rPr>
                <w:sz w:val="22"/>
                <w:szCs w:val="24"/>
              </w:rPr>
            </w:pPr>
            <w:r>
              <w:rPr>
                <w:sz w:val="22"/>
                <w:szCs w:val="24"/>
              </w:rPr>
              <w:t>7.683</w:t>
            </w:r>
          </w:p>
        </w:tc>
        <w:tc>
          <w:tcPr>
            <w:tcW w:w="1236" w:type="dxa"/>
            <w:tcBorders/>
          </w:tcPr>
          <w:p>
            <w:pPr>
              <w:pStyle w:val="style0"/>
              <w:spacing w:lineRule="auto" w:line="480"/>
              <w:rPr>
                <w:sz w:val="22"/>
                <w:szCs w:val="24"/>
              </w:rPr>
            </w:pPr>
            <w:r>
              <w:rPr>
                <w:sz w:val="22"/>
                <w:szCs w:val="24"/>
              </w:rPr>
              <w:t>11.564</w:t>
            </w:r>
          </w:p>
        </w:tc>
        <w:tc>
          <w:tcPr>
            <w:tcW w:w="1236" w:type="dxa"/>
            <w:tcBorders/>
          </w:tcPr>
          <w:p>
            <w:pPr>
              <w:pStyle w:val="style0"/>
              <w:spacing w:lineRule="auto" w:line="480"/>
              <w:rPr>
                <w:sz w:val="22"/>
                <w:szCs w:val="24"/>
              </w:rPr>
            </w:pPr>
            <w:r>
              <w:rPr>
                <w:sz w:val="22"/>
                <w:szCs w:val="24"/>
              </w:rPr>
              <w:t>9.140</w:t>
            </w:r>
          </w:p>
        </w:tc>
        <w:tc>
          <w:tcPr>
            <w:tcW w:w="1236" w:type="dxa"/>
            <w:tcBorders/>
          </w:tcPr>
          <w:p>
            <w:pPr>
              <w:pStyle w:val="style0"/>
              <w:spacing w:lineRule="auto" w:line="480"/>
              <w:rPr>
                <w:sz w:val="22"/>
                <w:szCs w:val="24"/>
              </w:rPr>
            </w:pPr>
            <w:r>
              <w:rPr>
                <w:sz w:val="22"/>
                <w:szCs w:val="24"/>
              </w:rPr>
              <w:t>10.788</w:t>
            </w:r>
          </w:p>
        </w:tc>
        <w:tc>
          <w:tcPr>
            <w:tcW w:w="1236" w:type="dxa"/>
            <w:tcBorders/>
          </w:tcPr>
          <w:p>
            <w:pPr>
              <w:pStyle w:val="style0"/>
              <w:spacing w:lineRule="auto" w:line="480"/>
              <w:rPr>
                <w:sz w:val="22"/>
                <w:szCs w:val="24"/>
              </w:rPr>
            </w:pPr>
            <w:r>
              <w:rPr>
                <w:sz w:val="22"/>
                <w:szCs w:val="24"/>
              </w:rPr>
              <w:t>12.527</w:t>
            </w:r>
          </w:p>
        </w:tc>
        <w:tc>
          <w:tcPr>
            <w:tcW w:w="1236" w:type="dxa"/>
            <w:tcBorders/>
          </w:tcPr>
          <w:p>
            <w:pPr>
              <w:pStyle w:val="style0"/>
              <w:spacing w:lineRule="auto" w:line="480"/>
              <w:rPr>
                <w:sz w:val="22"/>
                <w:szCs w:val="24"/>
              </w:rPr>
            </w:pPr>
            <w:r>
              <w:rPr>
                <w:sz w:val="22"/>
                <w:szCs w:val="24"/>
              </w:rPr>
              <w:t>10.891</w:t>
            </w:r>
          </w:p>
        </w:tc>
        <w:tc>
          <w:tcPr>
            <w:tcW w:w="1414" w:type="dxa"/>
            <w:tcBorders/>
          </w:tcPr>
          <w:p>
            <w:pPr>
              <w:pStyle w:val="style0"/>
              <w:spacing w:lineRule="auto" w:line="480"/>
              <w:rPr>
                <w:sz w:val="22"/>
                <w:szCs w:val="24"/>
              </w:rPr>
            </w:pPr>
            <w:r>
              <w:rPr>
                <w:sz w:val="22"/>
                <w:szCs w:val="24"/>
              </w:rPr>
              <w:t>9.906</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GPX ST</w:t>
            </w:r>
          </w:p>
        </w:tc>
        <w:tc>
          <w:tcPr>
            <w:tcW w:w="1316" w:type="dxa"/>
            <w:tcBorders/>
          </w:tcPr>
          <w:p>
            <w:pPr>
              <w:pStyle w:val="style0"/>
              <w:spacing w:lineRule="auto" w:line="480"/>
              <w:rPr>
                <w:sz w:val="22"/>
                <w:szCs w:val="24"/>
              </w:rPr>
            </w:pPr>
            <w:r>
              <w:rPr>
                <w:sz w:val="22"/>
                <w:szCs w:val="24"/>
              </w:rPr>
              <w:t>2.744</w:t>
            </w:r>
          </w:p>
        </w:tc>
        <w:tc>
          <w:tcPr>
            <w:tcW w:w="1236" w:type="dxa"/>
            <w:tcBorders/>
          </w:tcPr>
          <w:p>
            <w:pPr>
              <w:pStyle w:val="style0"/>
              <w:spacing w:lineRule="auto" w:line="480"/>
              <w:rPr>
                <w:sz w:val="22"/>
                <w:szCs w:val="24"/>
              </w:rPr>
            </w:pPr>
            <w:r>
              <w:rPr>
                <w:sz w:val="22"/>
                <w:szCs w:val="24"/>
              </w:rPr>
              <w:t>2.669</w:t>
            </w:r>
          </w:p>
        </w:tc>
        <w:tc>
          <w:tcPr>
            <w:tcW w:w="1236" w:type="dxa"/>
            <w:tcBorders/>
          </w:tcPr>
          <w:p>
            <w:pPr>
              <w:pStyle w:val="style0"/>
              <w:spacing w:lineRule="auto" w:line="480"/>
              <w:rPr>
                <w:sz w:val="22"/>
                <w:szCs w:val="24"/>
              </w:rPr>
            </w:pPr>
            <w:r>
              <w:rPr>
                <w:sz w:val="22"/>
                <w:szCs w:val="24"/>
              </w:rPr>
              <w:t>2.776</w:t>
            </w:r>
          </w:p>
        </w:tc>
        <w:tc>
          <w:tcPr>
            <w:tcW w:w="1236" w:type="dxa"/>
            <w:tcBorders/>
          </w:tcPr>
          <w:p>
            <w:pPr>
              <w:pStyle w:val="style0"/>
              <w:spacing w:lineRule="auto" w:line="480"/>
              <w:rPr>
                <w:sz w:val="22"/>
                <w:szCs w:val="24"/>
              </w:rPr>
            </w:pPr>
            <w:r>
              <w:rPr>
                <w:sz w:val="22"/>
                <w:szCs w:val="24"/>
              </w:rPr>
              <w:t>2.879</w:t>
            </w:r>
          </w:p>
        </w:tc>
        <w:tc>
          <w:tcPr>
            <w:tcW w:w="1236" w:type="dxa"/>
            <w:tcBorders/>
          </w:tcPr>
          <w:p>
            <w:pPr>
              <w:pStyle w:val="style0"/>
              <w:spacing w:lineRule="auto" w:line="480"/>
              <w:rPr>
                <w:sz w:val="22"/>
                <w:szCs w:val="24"/>
              </w:rPr>
            </w:pPr>
            <w:r>
              <w:rPr>
                <w:sz w:val="22"/>
                <w:szCs w:val="24"/>
              </w:rPr>
              <w:t>2.958</w:t>
            </w:r>
          </w:p>
        </w:tc>
        <w:tc>
          <w:tcPr>
            <w:tcW w:w="1236" w:type="dxa"/>
            <w:tcBorders/>
          </w:tcPr>
          <w:p>
            <w:pPr>
              <w:pStyle w:val="style0"/>
              <w:spacing w:lineRule="auto" w:line="480"/>
              <w:rPr>
                <w:sz w:val="22"/>
                <w:szCs w:val="24"/>
              </w:rPr>
            </w:pPr>
            <w:r>
              <w:rPr>
                <w:sz w:val="22"/>
                <w:szCs w:val="24"/>
              </w:rPr>
              <w:t>2.999</w:t>
            </w:r>
          </w:p>
        </w:tc>
        <w:tc>
          <w:tcPr>
            <w:tcW w:w="1414" w:type="dxa"/>
            <w:tcBorders/>
          </w:tcPr>
          <w:p>
            <w:pPr>
              <w:pStyle w:val="style0"/>
              <w:spacing w:lineRule="auto" w:line="480"/>
              <w:rPr>
                <w:sz w:val="22"/>
                <w:szCs w:val="24"/>
              </w:rPr>
            </w:pPr>
            <w:r>
              <w:rPr>
                <w:sz w:val="22"/>
                <w:szCs w:val="24"/>
              </w:rPr>
              <w:t>2.065</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GPX L</w:t>
            </w:r>
          </w:p>
        </w:tc>
        <w:tc>
          <w:tcPr>
            <w:tcW w:w="1316" w:type="dxa"/>
            <w:tcBorders/>
          </w:tcPr>
          <w:p>
            <w:pPr>
              <w:pStyle w:val="style0"/>
              <w:spacing w:lineRule="auto" w:line="480"/>
              <w:rPr>
                <w:sz w:val="22"/>
                <w:szCs w:val="24"/>
              </w:rPr>
            </w:pPr>
            <w:r>
              <w:rPr>
                <w:sz w:val="22"/>
                <w:szCs w:val="24"/>
              </w:rPr>
              <w:t>3.216</w:t>
            </w:r>
          </w:p>
        </w:tc>
        <w:tc>
          <w:tcPr>
            <w:tcW w:w="1236" w:type="dxa"/>
            <w:tcBorders/>
          </w:tcPr>
          <w:p>
            <w:pPr>
              <w:pStyle w:val="style0"/>
              <w:spacing w:lineRule="auto" w:line="480"/>
              <w:rPr>
                <w:sz w:val="22"/>
                <w:szCs w:val="24"/>
              </w:rPr>
            </w:pPr>
            <w:r>
              <w:rPr>
                <w:sz w:val="22"/>
                <w:szCs w:val="24"/>
              </w:rPr>
              <w:t>3.293</w:t>
            </w:r>
          </w:p>
        </w:tc>
        <w:tc>
          <w:tcPr>
            <w:tcW w:w="1236" w:type="dxa"/>
            <w:tcBorders/>
          </w:tcPr>
          <w:p>
            <w:pPr>
              <w:pStyle w:val="style0"/>
              <w:spacing w:lineRule="auto" w:line="480"/>
              <w:rPr>
                <w:sz w:val="22"/>
                <w:szCs w:val="24"/>
              </w:rPr>
            </w:pPr>
            <w:r>
              <w:rPr>
                <w:sz w:val="22"/>
                <w:szCs w:val="24"/>
              </w:rPr>
              <w:t>2.679</w:t>
            </w:r>
          </w:p>
        </w:tc>
        <w:tc>
          <w:tcPr>
            <w:tcW w:w="1236" w:type="dxa"/>
            <w:tcBorders/>
          </w:tcPr>
          <w:p>
            <w:pPr>
              <w:pStyle w:val="style0"/>
              <w:spacing w:lineRule="auto" w:line="480"/>
              <w:rPr>
                <w:sz w:val="22"/>
                <w:szCs w:val="24"/>
              </w:rPr>
            </w:pPr>
            <w:r>
              <w:rPr>
                <w:sz w:val="22"/>
                <w:szCs w:val="24"/>
              </w:rPr>
              <w:t>3.098</w:t>
            </w:r>
          </w:p>
        </w:tc>
        <w:tc>
          <w:tcPr>
            <w:tcW w:w="1236" w:type="dxa"/>
            <w:tcBorders/>
          </w:tcPr>
          <w:p>
            <w:pPr>
              <w:pStyle w:val="style0"/>
              <w:spacing w:lineRule="auto" w:line="480"/>
              <w:rPr>
                <w:sz w:val="22"/>
                <w:szCs w:val="24"/>
              </w:rPr>
            </w:pPr>
            <w:r>
              <w:rPr>
                <w:sz w:val="22"/>
                <w:szCs w:val="24"/>
              </w:rPr>
              <w:t>2.698</w:t>
            </w:r>
          </w:p>
        </w:tc>
        <w:tc>
          <w:tcPr>
            <w:tcW w:w="1236" w:type="dxa"/>
            <w:tcBorders/>
          </w:tcPr>
          <w:p>
            <w:pPr>
              <w:pStyle w:val="style0"/>
              <w:spacing w:lineRule="auto" w:line="480"/>
              <w:rPr>
                <w:sz w:val="22"/>
                <w:szCs w:val="24"/>
              </w:rPr>
            </w:pPr>
            <w:r>
              <w:rPr>
                <w:sz w:val="22"/>
                <w:szCs w:val="24"/>
              </w:rPr>
              <w:t>2.738</w:t>
            </w:r>
          </w:p>
        </w:tc>
        <w:tc>
          <w:tcPr>
            <w:tcW w:w="1414" w:type="dxa"/>
            <w:tcBorders/>
          </w:tcPr>
          <w:p>
            <w:pPr>
              <w:pStyle w:val="style0"/>
              <w:spacing w:lineRule="auto" w:line="480"/>
              <w:rPr>
                <w:sz w:val="22"/>
                <w:szCs w:val="24"/>
              </w:rPr>
            </w:pPr>
            <w:r>
              <w:rPr>
                <w:sz w:val="22"/>
                <w:szCs w:val="24"/>
              </w:rPr>
              <w:t>3.057</w:t>
            </w:r>
          </w:p>
        </w:tc>
      </w:tr>
      <w:tr>
        <w:tblPrEx/>
        <w:trPr/>
        <w:tc>
          <w:tcPr>
            <w:tcW w:w="810" w:type="dxa"/>
            <w:tcBorders/>
          </w:tcPr>
          <w:p>
            <w:pPr>
              <w:pStyle w:val="style179"/>
              <w:numPr>
                <w:ilvl w:val="0"/>
                <w:numId w:val="13"/>
              </w:numPr>
              <w:spacing w:lineRule="auto" w:line="480"/>
              <w:rPr>
                <w:sz w:val="22"/>
                <w:szCs w:val="24"/>
              </w:rPr>
            </w:pPr>
          </w:p>
        </w:tc>
        <w:tc>
          <w:tcPr>
            <w:tcW w:w="1170" w:type="dxa"/>
            <w:tcBorders/>
          </w:tcPr>
          <w:p>
            <w:pPr>
              <w:pStyle w:val="style0"/>
              <w:spacing w:lineRule="auto" w:line="480"/>
              <w:rPr>
                <w:sz w:val="22"/>
                <w:szCs w:val="24"/>
              </w:rPr>
            </w:pPr>
            <w:r>
              <w:rPr>
                <w:sz w:val="22"/>
                <w:szCs w:val="24"/>
              </w:rPr>
              <w:t>G.R. ST</w:t>
            </w:r>
          </w:p>
        </w:tc>
        <w:tc>
          <w:tcPr>
            <w:tcW w:w="1316" w:type="dxa"/>
            <w:tcBorders/>
          </w:tcPr>
          <w:p>
            <w:pPr>
              <w:pStyle w:val="style0"/>
              <w:spacing w:lineRule="auto" w:line="480"/>
              <w:rPr>
                <w:sz w:val="22"/>
                <w:szCs w:val="24"/>
              </w:rPr>
            </w:pPr>
            <w:r>
              <w:rPr>
                <w:sz w:val="22"/>
                <w:szCs w:val="24"/>
              </w:rPr>
              <w:t>100.0127</w:t>
            </w:r>
          </w:p>
        </w:tc>
        <w:tc>
          <w:tcPr>
            <w:tcW w:w="1236" w:type="dxa"/>
            <w:tcBorders/>
          </w:tcPr>
          <w:p>
            <w:pPr>
              <w:pStyle w:val="style0"/>
              <w:spacing w:lineRule="auto" w:line="480"/>
              <w:rPr>
                <w:sz w:val="22"/>
                <w:szCs w:val="24"/>
              </w:rPr>
            </w:pPr>
            <w:r>
              <w:rPr>
                <w:sz w:val="22"/>
                <w:szCs w:val="24"/>
              </w:rPr>
              <w:t>91.877</w:t>
            </w:r>
          </w:p>
        </w:tc>
        <w:tc>
          <w:tcPr>
            <w:tcW w:w="1236" w:type="dxa"/>
            <w:tcBorders/>
          </w:tcPr>
          <w:p>
            <w:pPr>
              <w:pStyle w:val="style0"/>
              <w:spacing w:lineRule="auto" w:line="480"/>
              <w:rPr>
                <w:sz w:val="22"/>
                <w:szCs w:val="24"/>
              </w:rPr>
            </w:pPr>
            <w:r>
              <w:rPr>
                <w:sz w:val="22"/>
                <w:szCs w:val="24"/>
              </w:rPr>
              <w:t>95.276</w:t>
            </w:r>
          </w:p>
        </w:tc>
        <w:tc>
          <w:tcPr>
            <w:tcW w:w="1236" w:type="dxa"/>
            <w:tcBorders/>
          </w:tcPr>
          <w:p>
            <w:pPr>
              <w:pStyle w:val="style0"/>
              <w:spacing w:lineRule="auto" w:line="480"/>
              <w:rPr>
                <w:sz w:val="22"/>
                <w:szCs w:val="24"/>
              </w:rPr>
            </w:pPr>
            <w:r>
              <w:rPr>
                <w:sz w:val="22"/>
                <w:szCs w:val="24"/>
              </w:rPr>
              <w:t>95.276</w:t>
            </w:r>
          </w:p>
        </w:tc>
        <w:tc>
          <w:tcPr>
            <w:tcW w:w="1236" w:type="dxa"/>
            <w:tcBorders/>
          </w:tcPr>
          <w:p>
            <w:pPr>
              <w:pStyle w:val="style0"/>
              <w:spacing w:lineRule="auto" w:line="480"/>
              <w:rPr>
                <w:sz w:val="22"/>
                <w:szCs w:val="24"/>
              </w:rPr>
            </w:pPr>
            <w:r>
              <w:rPr>
                <w:sz w:val="22"/>
                <w:szCs w:val="24"/>
              </w:rPr>
              <w:t>105.668</w:t>
            </w:r>
          </w:p>
        </w:tc>
        <w:tc>
          <w:tcPr>
            <w:tcW w:w="1236" w:type="dxa"/>
            <w:tcBorders/>
          </w:tcPr>
          <w:p>
            <w:pPr>
              <w:pStyle w:val="style0"/>
              <w:spacing w:lineRule="auto" w:line="480"/>
              <w:rPr>
                <w:sz w:val="22"/>
                <w:szCs w:val="24"/>
              </w:rPr>
            </w:pPr>
            <w:r>
              <w:rPr>
                <w:sz w:val="22"/>
                <w:szCs w:val="24"/>
              </w:rPr>
              <w:t>93.681</w:t>
            </w:r>
          </w:p>
        </w:tc>
        <w:tc>
          <w:tcPr>
            <w:tcW w:w="1414" w:type="dxa"/>
            <w:tcBorders/>
          </w:tcPr>
          <w:p>
            <w:pPr>
              <w:pStyle w:val="style0"/>
              <w:spacing w:lineRule="auto" w:line="480"/>
              <w:rPr>
                <w:sz w:val="22"/>
                <w:szCs w:val="24"/>
              </w:rPr>
            </w:pPr>
            <w:r>
              <w:rPr>
                <w:sz w:val="22"/>
                <w:szCs w:val="24"/>
              </w:rPr>
              <w:t>75.528</w:t>
            </w:r>
          </w:p>
        </w:tc>
      </w:tr>
      <w:tr>
        <w:tblPrEx/>
        <w:trPr/>
        <w:tc>
          <w:tcPr>
            <w:tcW w:w="810" w:type="dxa"/>
            <w:tcBorders>
              <w:bottom w:val="single" w:sz="4" w:space="0" w:color="auto"/>
            </w:tcBorders>
          </w:tcPr>
          <w:p>
            <w:pPr>
              <w:pStyle w:val="style179"/>
              <w:numPr>
                <w:ilvl w:val="0"/>
                <w:numId w:val="13"/>
              </w:numPr>
              <w:spacing w:lineRule="auto" w:line="480"/>
              <w:rPr>
                <w:sz w:val="22"/>
                <w:szCs w:val="24"/>
              </w:rPr>
            </w:pPr>
          </w:p>
        </w:tc>
        <w:tc>
          <w:tcPr>
            <w:tcW w:w="1170" w:type="dxa"/>
            <w:tcBorders>
              <w:bottom w:val="single" w:sz="4" w:space="0" w:color="auto"/>
            </w:tcBorders>
          </w:tcPr>
          <w:p>
            <w:pPr>
              <w:pStyle w:val="style0"/>
              <w:spacing w:lineRule="auto" w:line="480"/>
              <w:rPr>
                <w:sz w:val="22"/>
                <w:szCs w:val="24"/>
              </w:rPr>
            </w:pPr>
            <w:r>
              <w:rPr>
                <w:sz w:val="22"/>
                <w:szCs w:val="24"/>
              </w:rPr>
              <w:t>G.R. L</w:t>
            </w:r>
          </w:p>
        </w:tc>
        <w:tc>
          <w:tcPr>
            <w:tcW w:w="1316" w:type="dxa"/>
            <w:tcBorders>
              <w:bottom w:val="single" w:sz="4" w:space="0" w:color="auto"/>
            </w:tcBorders>
          </w:tcPr>
          <w:p>
            <w:pPr>
              <w:pStyle w:val="style0"/>
              <w:spacing w:lineRule="auto" w:line="480"/>
              <w:rPr>
                <w:sz w:val="22"/>
                <w:szCs w:val="24"/>
              </w:rPr>
            </w:pPr>
            <w:r>
              <w:rPr>
                <w:sz w:val="22"/>
                <w:szCs w:val="24"/>
              </w:rPr>
              <w:t>106.241</w:t>
            </w:r>
          </w:p>
        </w:tc>
        <w:tc>
          <w:tcPr>
            <w:tcW w:w="1236" w:type="dxa"/>
            <w:tcBorders>
              <w:bottom w:val="single" w:sz="4" w:space="0" w:color="auto"/>
            </w:tcBorders>
          </w:tcPr>
          <w:p>
            <w:pPr>
              <w:pStyle w:val="style0"/>
              <w:spacing w:lineRule="auto" w:line="480"/>
              <w:rPr>
                <w:sz w:val="22"/>
                <w:szCs w:val="24"/>
              </w:rPr>
            </w:pPr>
            <w:r>
              <w:rPr>
                <w:sz w:val="22"/>
                <w:szCs w:val="24"/>
              </w:rPr>
              <w:t>89.739</w:t>
            </w:r>
          </w:p>
        </w:tc>
        <w:tc>
          <w:tcPr>
            <w:tcW w:w="1236" w:type="dxa"/>
            <w:tcBorders>
              <w:bottom w:val="single" w:sz="4" w:space="0" w:color="auto"/>
            </w:tcBorders>
          </w:tcPr>
          <w:p>
            <w:pPr>
              <w:pStyle w:val="style0"/>
              <w:spacing w:lineRule="auto" w:line="480"/>
              <w:rPr>
                <w:sz w:val="22"/>
                <w:szCs w:val="24"/>
              </w:rPr>
            </w:pPr>
            <w:r>
              <w:rPr>
                <w:sz w:val="22"/>
                <w:szCs w:val="24"/>
              </w:rPr>
              <w:t>84.565</w:t>
            </w:r>
          </w:p>
        </w:tc>
        <w:tc>
          <w:tcPr>
            <w:tcW w:w="1236" w:type="dxa"/>
            <w:tcBorders>
              <w:bottom w:val="single" w:sz="4" w:space="0" w:color="auto"/>
            </w:tcBorders>
          </w:tcPr>
          <w:p>
            <w:pPr>
              <w:pStyle w:val="style0"/>
              <w:spacing w:lineRule="auto" w:line="480"/>
              <w:rPr>
                <w:sz w:val="22"/>
                <w:szCs w:val="24"/>
              </w:rPr>
            </w:pPr>
            <w:r>
              <w:rPr>
                <w:sz w:val="22"/>
                <w:szCs w:val="24"/>
              </w:rPr>
              <w:t>88.753</w:t>
            </w:r>
          </w:p>
        </w:tc>
        <w:tc>
          <w:tcPr>
            <w:tcW w:w="1236" w:type="dxa"/>
            <w:tcBorders>
              <w:bottom w:val="single" w:sz="4" w:space="0" w:color="auto"/>
            </w:tcBorders>
          </w:tcPr>
          <w:p>
            <w:pPr>
              <w:pStyle w:val="style0"/>
              <w:spacing w:lineRule="auto" w:line="480"/>
              <w:rPr>
                <w:sz w:val="22"/>
                <w:szCs w:val="24"/>
              </w:rPr>
            </w:pPr>
            <w:r>
              <w:rPr>
                <w:sz w:val="22"/>
                <w:szCs w:val="24"/>
              </w:rPr>
              <w:t>71.709</w:t>
            </w:r>
          </w:p>
        </w:tc>
        <w:tc>
          <w:tcPr>
            <w:tcW w:w="1236" w:type="dxa"/>
            <w:tcBorders>
              <w:bottom w:val="single" w:sz="4" w:space="0" w:color="auto"/>
            </w:tcBorders>
          </w:tcPr>
          <w:p>
            <w:pPr>
              <w:pStyle w:val="style0"/>
              <w:spacing w:lineRule="auto" w:line="480"/>
              <w:rPr>
                <w:sz w:val="22"/>
                <w:szCs w:val="24"/>
              </w:rPr>
            </w:pPr>
            <w:r>
              <w:rPr>
                <w:sz w:val="22"/>
                <w:szCs w:val="24"/>
              </w:rPr>
              <w:t>77.282</w:t>
            </w:r>
          </w:p>
        </w:tc>
        <w:tc>
          <w:tcPr>
            <w:tcW w:w="1414" w:type="dxa"/>
            <w:tcBorders>
              <w:bottom w:val="single" w:sz="4" w:space="0" w:color="auto"/>
            </w:tcBorders>
          </w:tcPr>
          <w:p>
            <w:pPr>
              <w:pStyle w:val="style0"/>
              <w:spacing w:lineRule="auto" w:line="480"/>
              <w:rPr>
                <w:sz w:val="22"/>
                <w:szCs w:val="24"/>
              </w:rPr>
            </w:pPr>
            <w:r>
              <w:rPr>
                <w:sz w:val="22"/>
                <w:szCs w:val="24"/>
              </w:rPr>
              <w:t>82.127</w:t>
            </w:r>
          </w:p>
        </w:tc>
      </w:tr>
    </w:tbl>
    <w:p>
      <w:pPr>
        <w:pStyle w:val="style0"/>
        <w:spacing w:lineRule="auto" w:line="240"/>
        <w:rPr>
          <w:sz w:val="24"/>
          <w:szCs w:val="24"/>
        </w:rPr>
      </w:pPr>
      <w:r>
        <w:rPr>
          <w:sz w:val="26"/>
        </w:rPr>
        <w:t xml:space="preserve">KEY:  </w:t>
      </w:r>
      <w:r>
        <w:rPr>
          <w:sz w:val="24"/>
        </w:rPr>
        <w:t>Control is Group 1</w:t>
      </w:r>
      <w:r>
        <w:t xml:space="preserve">, </w:t>
      </w:r>
      <w:r>
        <w:rPr>
          <w:sz w:val="22"/>
          <w:szCs w:val="24"/>
        </w:rPr>
        <w:t>Untreated is Group 2</w:t>
      </w:r>
      <w:r>
        <w:t xml:space="preserve">, </w:t>
      </w:r>
      <w:r>
        <w:rPr>
          <w:sz w:val="24"/>
          <w:szCs w:val="24"/>
        </w:rPr>
        <w:t>Standard Drug is Group 3</w:t>
      </w:r>
      <w:r>
        <w:t xml:space="preserve">, </w:t>
      </w:r>
      <w:r>
        <w:rPr>
          <w:sz w:val="24"/>
          <w:szCs w:val="24"/>
        </w:rPr>
        <w:t>100mg/kg is Group 4</w:t>
      </w:r>
      <w:r>
        <w:t xml:space="preserve">, </w:t>
      </w:r>
      <w:r>
        <w:rPr>
          <w:sz w:val="24"/>
          <w:szCs w:val="24"/>
        </w:rPr>
        <w:t>200mg/kg is Group 5</w:t>
      </w:r>
      <w:r>
        <w:t xml:space="preserve">, </w:t>
      </w:r>
      <w:r>
        <w:rPr>
          <w:sz w:val="24"/>
          <w:szCs w:val="24"/>
        </w:rPr>
        <w:t>400mg/kg is Group 6</w:t>
      </w:r>
      <w:r>
        <w:t xml:space="preserve">, </w:t>
      </w:r>
      <w:r>
        <w:rPr>
          <w:sz w:val="24"/>
          <w:szCs w:val="24"/>
        </w:rPr>
        <w:t>800mg/kg is Group 7.</w:t>
      </w:r>
    </w:p>
    <w:p>
      <w:pPr>
        <w:pStyle w:val="style0"/>
        <w:spacing w:lineRule="auto" w:line="240"/>
        <w:rPr>
          <w:sz w:val="24"/>
          <w:szCs w:val="24"/>
        </w:rPr>
      </w:pPr>
    </w:p>
    <w:p>
      <w:pPr>
        <w:pStyle w:val="style0"/>
        <w:spacing w:lineRule="auto" w:line="240"/>
        <w:rPr>
          <w:sz w:val="26"/>
        </w:rPr>
      </w:pPr>
      <w:r>
        <w:rPr>
          <w:sz w:val="26"/>
        </w:rPr>
      </w:r>
      <w:r>
        <w:rPr>
          <w:sz w:val="26"/>
        </w:rPr>
      </w:r>
      <w:r>
        <w:rPr>
          <w:sz w:val="26"/>
        </w:rPr>
      </w:r>
      <w:r>
        <w:rPr>
          <w:sz w:val="26"/>
        </w:rPr>
        <w:object>
          <v:shape id="1050" type="#_x0000_t75" filled="f" stroked="f" style="margin-left:0.0pt;margin-top:0.0pt;width:406.5pt;height:273.75pt;mso-wrap-distance-left:0.0pt;mso-wrap-distance-right:0.0pt;visibility:visible;">
            <v:imagedata r:id="rId25" embosscolor="white" o:title=""/>
            <v:stroke on="f" joinstyle="miter"/>
            <o:lock aspectratio="true" v:ext="view"/>
            <v:fill/>
          </v:shape>
          <o:OLEObject Type="EMBED" ProgID="Prism8.Document" ShapeID="1050" DrawAspect="Content" ObjectID="0" r:id="rId26"/>
        </w:object>
      </w:r>
      <w:r>
        <w:rPr>
          <w:sz w:val="26"/>
        </w:rPr>
      </w:r>
    </w:p>
    <w:p>
      <w:pPr>
        <w:pStyle w:val="style0"/>
        <w:spacing w:lineRule="auto" w:line="240"/>
        <w:rPr>
          <w:sz w:val="26"/>
        </w:rPr>
      </w:pPr>
      <w:r>
        <w:rPr>
          <w:sz w:val="26"/>
        </w:rPr>
      </w:r>
      <w:r>
        <w:rPr>
          <w:sz w:val="26"/>
        </w:rPr>
      </w:r>
      <w:r>
        <w:rPr>
          <w:sz w:val="26"/>
        </w:rPr>
      </w:r>
      <w:r>
        <w:rPr>
          <w:sz w:val="26"/>
        </w:rPr>
        <w:object>
          <v:shape id="1052" type="#_x0000_t75" filled="f" stroked="f" style="margin-left:0.0pt;margin-top:0.0pt;width:408.0pt;height:219.75pt;mso-wrap-distance-left:0.0pt;mso-wrap-distance-right:0.0pt;visibility:visible;">
            <v:imagedata r:id="rId27" embosscolor="white" o:title=""/>
            <v:stroke on="f" joinstyle="miter"/>
            <o:lock aspectratio="true" v:ext="view"/>
            <v:fill/>
          </v:shape>
          <o:OLEObject Type="EMBED" ProgID="Prism8.Document" ShapeID="1052" DrawAspect="Content" ObjectID="0" r:id="rId28"/>
        </w:object>
      </w:r>
      <w:r>
        <w:rPr>
          <w:sz w:val="26"/>
        </w:rPr>
      </w:r>
    </w:p>
    <w:p>
      <w:pPr>
        <w:pStyle w:val="style0"/>
        <w:spacing w:lineRule="auto" w:line="240"/>
        <w:rPr>
          <w:sz w:val="26"/>
        </w:rPr>
      </w:pPr>
      <w:r>
        <w:rPr>
          <w:sz w:val="26"/>
        </w:rPr>
      </w:r>
      <w:r>
        <w:rPr>
          <w:sz w:val="26"/>
        </w:rPr>
      </w:r>
      <w:r>
        <w:rPr>
          <w:sz w:val="26"/>
        </w:rPr>
      </w:r>
      <w:r>
        <w:rPr>
          <w:sz w:val="26"/>
        </w:rPr>
        <w:object>
          <v:shape id="1054" type="#_x0000_t75" filled="f" stroked="f" style="margin-left:0.0pt;margin-top:0.0pt;width:411.75pt;height:285.0pt;mso-wrap-distance-left:0.0pt;mso-wrap-distance-right:0.0pt;visibility:visible;">
            <v:imagedata r:id="rId29" embosscolor="white" o:title=""/>
            <v:stroke on="f" joinstyle="miter"/>
            <o:lock aspectratio="true" v:ext="view"/>
            <v:fill/>
          </v:shape>
          <o:OLEObject Type="EMBED" ProgID="Prism8.Document" ShapeID="1054" DrawAspect="Content" ObjectID="0" r:id="rId30"/>
        </w:object>
      </w:r>
      <w:r>
        <w:rPr>
          <w:sz w:val="26"/>
        </w:rPr>
      </w:r>
    </w:p>
    <w:p>
      <w:pPr>
        <w:pStyle w:val="style0"/>
        <w:spacing w:lineRule="auto" w:line="240"/>
        <w:rPr>
          <w:sz w:val="26"/>
        </w:rPr>
      </w:pPr>
      <w:r>
        <w:rPr>
          <w:sz w:val="26"/>
        </w:rPr>
      </w:r>
      <w:r>
        <w:rPr>
          <w:sz w:val="26"/>
        </w:rPr>
      </w:r>
      <w:r>
        <w:rPr>
          <w:sz w:val="26"/>
        </w:rPr>
      </w:r>
      <w:r>
        <w:rPr>
          <w:sz w:val="26"/>
        </w:rPr>
        <w:object>
          <v:shape id="1056" type="#_x0000_t75" filled="f" stroked="f" style="margin-left:0.0pt;margin-top:0.0pt;width:404.25pt;height:229.5pt;mso-wrap-distance-left:0.0pt;mso-wrap-distance-right:0.0pt;visibility:visible;">
            <v:imagedata r:id="rId31" embosscolor="white" o:title=""/>
            <v:stroke on="f" joinstyle="miter"/>
            <o:lock aspectratio="true" v:ext="view"/>
            <v:fill/>
          </v:shape>
          <o:OLEObject Type="EMBED" ProgID="Prism8.Document" ShapeID="1056" DrawAspect="Content" ObjectID="0" r:id="rId32"/>
        </w:object>
      </w:r>
      <w:r>
        <w:rPr>
          <w:sz w:val="26"/>
        </w:rPr>
      </w:r>
    </w:p>
    <w:p>
      <w:pPr>
        <w:pStyle w:val="style0"/>
        <w:spacing w:lineRule="auto" w:line="240"/>
        <w:rPr>
          <w:sz w:val="26"/>
        </w:rPr>
      </w:pPr>
      <w:r>
        <w:rPr>
          <w:sz w:val="26"/>
        </w:rPr>
      </w:r>
      <w:r>
        <w:rPr>
          <w:sz w:val="26"/>
        </w:rPr>
      </w:r>
      <w:r>
        <w:rPr>
          <w:sz w:val="26"/>
        </w:rPr>
      </w:r>
      <w:r>
        <w:rPr>
          <w:sz w:val="26"/>
        </w:rPr>
        <w:object>
          <v:shape id="1058" type="#_x0000_t75" filled="f" stroked="f" style="margin-left:0.0pt;margin-top:0.0pt;width:411.75pt;height:285.0pt;mso-wrap-distance-left:0.0pt;mso-wrap-distance-right:0.0pt;visibility:visible;">
            <v:imagedata r:id="rId33" embosscolor="white" o:title=""/>
            <v:stroke on="f" joinstyle="miter"/>
            <o:lock aspectratio="true" v:ext="view"/>
            <v:fill/>
          </v:shape>
          <o:OLEObject Type="EMBED" ProgID="Prism8.Document" ShapeID="1058" DrawAspect="Content" ObjectID="0" r:id="rId34"/>
        </w:object>
      </w:r>
      <w:r>
        <w:rPr>
          <w:sz w:val="26"/>
        </w:rPr>
      </w:r>
    </w:p>
    <w:p>
      <w:pPr>
        <w:pStyle w:val="style0"/>
        <w:spacing w:lineRule="auto" w:line="240"/>
        <w:rPr>
          <w:sz w:val="26"/>
        </w:rPr>
      </w:pPr>
    </w:p>
    <w:p>
      <w:pPr>
        <w:pStyle w:val="style0"/>
        <w:spacing w:lineRule="auto" w:line="240"/>
        <w:rPr>
          <w:sz w:val="26"/>
        </w:rPr>
      </w:pPr>
      <w:r>
        <w:rPr>
          <w:sz w:val="26"/>
        </w:rPr>
      </w:r>
      <w:r>
        <w:rPr>
          <w:sz w:val="26"/>
        </w:rPr>
      </w:r>
      <w:r>
        <w:rPr>
          <w:sz w:val="26"/>
        </w:rPr>
      </w:r>
      <w:r>
        <w:rPr>
          <w:sz w:val="26"/>
        </w:rPr>
        <w:object>
          <v:shape id="1060" type="#_x0000_t75" filled="f" stroked="f" style="margin-left:0.0pt;margin-top:0.0pt;width:408.0pt;height:260.25pt;mso-wrap-distance-left:0.0pt;mso-wrap-distance-right:0.0pt;visibility:visible;">
            <v:imagedata r:id="rId35" embosscolor="white" o:title=""/>
            <v:stroke on="f" joinstyle="miter"/>
            <o:lock aspectratio="true" v:ext="view"/>
            <v:fill/>
          </v:shape>
          <o:OLEObject Type="EMBED" ProgID="Prism8.Document" ShapeID="1060" DrawAspect="Content" ObjectID="0" r:id="rId36"/>
        </w:object>
      </w:r>
      <w:r>
        <w:rPr>
          <w:sz w:val="26"/>
        </w:rPr>
      </w:r>
    </w:p>
    <w:p>
      <w:pPr>
        <w:pStyle w:val="style0"/>
        <w:spacing w:lineRule="auto" w:line="240"/>
        <w:rPr>
          <w:sz w:val="26"/>
        </w:rPr>
      </w:pPr>
      <w:r>
        <w:rPr>
          <w:sz w:val="26"/>
        </w:rPr>
      </w:r>
      <w:r>
        <w:rPr>
          <w:sz w:val="26"/>
        </w:rPr>
      </w:r>
      <w:r>
        <w:rPr>
          <w:sz w:val="26"/>
        </w:rPr>
      </w:r>
      <w:r>
        <w:rPr>
          <w:sz w:val="26"/>
        </w:rPr>
        <w:object>
          <v:shape id="1062" type="#_x0000_t75" filled="f" stroked="f" style="margin-left:0.0pt;margin-top:0.0pt;width:404.25pt;height:267.75pt;mso-wrap-distance-left:0.0pt;mso-wrap-distance-right:0.0pt;visibility:visible;">
            <v:imagedata r:id="rId37" embosscolor="white" o:title=""/>
            <v:stroke on="f" joinstyle="miter"/>
            <o:lock aspectratio="true" v:ext="view"/>
            <v:fill/>
          </v:shape>
          <o:OLEObject Type="EMBED" ProgID="Prism8.Document" ShapeID="1062" DrawAspect="Content" ObjectID="0" r:id="rId38"/>
        </w:object>
      </w:r>
      <w:r>
        <w:rPr>
          <w:sz w:val="26"/>
        </w:rPr>
      </w:r>
    </w:p>
    <w:p>
      <w:pPr>
        <w:pStyle w:val="style0"/>
        <w:spacing w:lineRule="auto" w:line="240"/>
        <w:rPr/>
      </w:pPr>
    </w:p>
    <w:p>
      <w:pPr>
        <w:pStyle w:val="style0"/>
        <w:spacing w:lineRule="auto" w:line="240"/>
        <w:rPr>
          <w:sz w:val="26"/>
        </w:rPr>
      </w:pPr>
      <w:r>
        <w:rPr>
          <w:sz w:val="26"/>
        </w:rPr>
      </w:r>
      <w:r>
        <w:rPr>
          <w:sz w:val="26"/>
        </w:rPr>
      </w:r>
      <w:r>
        <w:rPr>
          <w:sz w:val="26"/>
        </w:rPr>
      </w:r>
      <w:r>
        <w:rPr>
          <w:sz w:val="26"/>
        </w:rPr>
        <w:object>
          <v:shape id="1064" type="#_x0000_t75" filled="f" stroked="f" style="margin-left:0.0pt;margin-top:0.0pt;width:400.5pt;height:238.5pt;mso-wrap-distance-left:0.0pt;mso-wrap-distance-right:0.0pt;visibility:visible;">
            <v:imagedata r:id="rId39" embosscolor="white" o:title=""/>
            <v:stroke on="f" joinstyle="miter"/>
            <o:lock aspectratio="true" v:ext="view"/>
            <v:fill/>
          </v:shape>
          <o:OLEObject Type="EMBED" ProgID="Prism8.Document" ShapeID="1064" DrawAspect="Content" ObjectID="0" r:id="rId40"/>
        </w:object>
      </w:r>
      <w:r>
        <w:rPr>
          <w:sz w:val="26"/>
        </w:rPr>
      </w:r>
    </w:p>
    <w:p>
      <w:pPr>
        <w:pStyle w:val="style0"/>
        <w:spacing w:lineRule="auto" w:line="240"/>
        <w:rPr>
          <w:sz w:val="26"/>
        </w:rPr>
      </w:pPr>
      <w:r>
        <w:rPr>
          <w:sz w:val="26"/>
        </w:rPr>
      </w:r>
      <w:r>
        <w:rPr>
          <w:sz w:val="26"/>
        </w:rPr>
      </w:r>
      <w:r>
        <w:rPr>
          <w:sz w:val="26"/>
        </w:rPr>
      </w:r>
      <w:r>
        <w:rPr>
          <w:sz w:val="26"/>
        </w:rPr>
        <w:object>
          <v:shape id="1066" type="#_x0000_t75" filled="f" stroked="f" style="margin-left:0.0pt;margin-top:0.0pt;width:400.5pt;height:262.5pt;mso-wrap-distance-left:0.0pt;mso-wrap-distance-right:0.0pt;visibility:visible;">
            <v:imagedata r:id="rId41" embosscolor="white" o:title=""/>
            <v:stroke on="f" joinstyle="miter"/>
            <o:lock aspectratio="true" v:ext="view"/>
            <v:fill/>
          </v:shape>
          <o:OLEObject Type="EMBED" ProgID="Prism8.Document" ShapeID="1066" DrawAspect="Content" ObjectID="0" r:id="rId42"/>
        </w:object>
      </w:r>
      <w:r>
        <w:rPr>
          <w:sz w:val="26"/>
        </w:rPr>
      </w:r>
    </w:p>
    <w:p>
      <w:pPr>
        <w:pStyle w:val="style0"/>
        <w:spacing w:lineRule="auto" w:line="240"/>
        <w:rPr/>
      </w:pPr>
    </w:p>
    <w:p>
      <w:pPr>
        <w:pStyle w:val="style0"/>
        <w:spacing w:before="100" w:beforeAutospacing="true" w:after="0" w:lineRule="auto" w:line="480"/>
        <w:jc w:val="both"/>
        <w:rPr>
          <w:sz w:val="26"/>
        </w:rPr>
      </w:pPr>
      <w:r>
        <w:rPr>
          <w:sz w:val="26"/>
        </w:rPr>
      </w:r>
      <w:r>
        <w:rPr>
          <w:sz w:val="26"/>
        </w:rPr>
      </w:r>
      <w:r>
        <w:rPr>
          <w:sz w:val="26"/>
        </w:rPr>
      </w:r>
      <w:r>
        <w:rPr>
          <w:sz w:val="26"/>
        </w:rPr>
        <w:object>
          <v:shape id="1068" type="#_x0000_t75" filled="f" stroked="f" style="margin-left:0.0pt;margin-top:0.0pt;width:409.5pt;height:234.75pt;mso-wrap-distance-left:0.0pt;mso-wrap-distance-right:0.0pt;visibility:visible;">
            <v:imagedata r:id="rId43" embosscolor="white" o:title=""/>
            <v:stroke on="f" joinstyle="miter"/>
            <o:lock aspectratio="true" v:ext="view"/>
            <v:fill/>
          </v:shape>
          <o:OLEObject Type="EMBED" ProgID="Prism8.Document" ShapeID="1068" DrawAspect="Content" ObjectID="0" r:id="rId44"/>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070" type="#_x0000_t75" filled="f" stroked="f" style="margin-left:0.0pt;margin-top:0.0pt;width:423.0pt;height:252.0pt;mso-wrap-distance-left:0.0pt;mso-wrap-distance-right:0.0pt;visibility:visible;">
            <v:imagedata r:id="rId45" embosscolor="white" o:title=""/>
            <v:stroke on="f" joinstyle="miter"/>
            <o:lock aspectratio="true" v:ext="view"/>
            <v:fill/>
          </v:shape>
          <o:OLEObject Type="EMBED" ProgID="Prism8.Document" ShapeID="1070" DrawAspect="Content" ObjectID="0" r:id="rId46"/>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2" type="#_x0000_t75" filled="f" stroked="f" style="margin-left:0.0pt;margin-top:0.0pt;width:402.75pt;height:273.75pt;mso-wrap-distance-left:0.0pt;mso-wrap-distance-right:0.0pt;visibility:visible;">
            <v:imagedata r:id="rId47" embosscolor="white" o:title=""/>
            <v:stroke on="f" joinstyle="miter"/>
            <o:lock aspectratio="true" v:ext="view"/>
            <v:fill/>
          </v:shape>
          <o:OLEObject Type="EMBED" ProgID="Prism8.Document" ShapeID="1072" DrawAspect="Content" ObjectID="0" r:id="rId48"/>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4" type="#_x0000_t75" filled="f" stroked="f" style="margin-left:0.0pt;margin-top:0.0pt;width:382.5pt;height:259.5pt;mso-wrap-distance-left:0.0pt;mso-wrap-distance-right:0.0pt;visibility:visible;">
            <v:imagedata r:id="rId49" embosscolor="white" o:title=""/>
            <v:stroke on="f" joinstyle="miter"/>
            <o:lock aspectratio="true" v:ext="view"/>
            <v:fill/>
          </v:shape>
          <o:OLEObject Type="EMBED" ProgID="Prism8.Document" ShapeID="1074" DrawAspect="Content" ObjectID="0" r:id="rId50"/>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76" type="#_x0000_t75" filled="f" stroked="f" style="margin-left:0.0pt;margin-top:0.0pt;width:412.5pt;height:251.25pt;mso-wrap-distance-left:0.0pt;mso-wrap-distance-right:0.0pt;visibility:visible;">
            <v:imagedata r:id="rId51" embosscolor="white" o:title=""/>
            <v:stroke on="f" joinstyle="miter"/>
            <o:lock aspectratio="true" v:ext="view"/>
            <v:fill/>
          </v:shape>
          <o:OLEObject Type="EMBED" ProgID="Prism8.Document" ShapeID="1076" DrawAspect="Content" ObjectID="0" r:id="rId52"/>
        </w:object>
      </w:r>
      <w:r>
        <w:rPr>
          <w:sz w:val="26"/>
        </w:rPr>
      </w:r>
      <w:r>
        <w:rPr>
          <w:sz w:val="26"/>
        </w:rPr>
      </w:r>
      <w:r>
        <w:rPr>
          <w:sz w:val="26"/>
        </w:rPr>
      </w:r>
      <w:r>
        <w:rPr>
          <w:sz w:val="26"/>
        </w:rPr>
      </w:r>
      <w:r>
        <w:rPr>
          <w:sz w:val="26"/>
        </w:rPr>
        <w:object>
          <v:shape id="1078" type="#_x0000_t75" filled="f" stroked="f" style="margin-left:0.0pt;margin-top:0.0pt;width:409.5pt;height:277.5pt;mso-wrap-distance-left:0.0pt;mso-wrap-distance-right:0.0pt;visibility:visible;">
            <v:imagedata r:id="rId53" embosscolor="white" o:title=""/>
            <v:stroke on="f" joinstyle="miter"/>
            <o:lock aspectratio="true" v:ext="view"/>
            <v:fill/>
          </v:shape>
          <o:OLEObject Type="EMBED" ProgID="Prism8.Document" ShapeID="1078" DrawAspect="Content" ObjectID="0" r:id="rId54"/>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80" type="#_x0000_t75" filled="f" stroked="f" style="margin-left:0.0pt;margin-top:0.0pt;width:393.0pt;height:247.5pt;mso-wrap-distance-left:0.0pt;mso-wrap-distance-right:0.0pt;visibility:visible;">
            <v:imagedata r:id="rId55" embosscolor="white" o:title=""/>
            <v:stroke on="f" joinstyle="miter"/>
            <o:lock aspectratio="true" v:ext="view"/>
            <v:fill/>
          </v:shape>
          <o:OLEObject Type="EMBED" ProgID="Prism8.Document" ShapeID="1080" DrawAspect="Content" ObjectID="0" r:id="rId56"/>
        </w:object>
      </w:r>
      <w:r>
        <w:rPr>
          <w:sz w:val="26"/>
        </w:rPr>
      </w:r>
      <w:r>
        <w:rPr>
          <w:sz w:val="26"/>
        </w:rPr>
      </w:r>
      <w:r>
        <w:rPr>
          <w:sz w:val="26"/>
        </w:rPr>
      </w:r>
      <w:r>
        <w:rPr>
          <w:sz w:val="26"/>
        </w:rPr>
      </w:r>
      <w:r>
        <w:rPr>
          <w:sz w:val="26"/>
        </w:rPr>
        <w:object>
          <v:shape id="1082" type="#_x0000_t75" filled="f" stroked="f" style="margin-left:0.0pt;margin-top:0.0pt;width:390.0pt;height:272.25pt;mso-wrap-distance-left:0.0pt;mso-wrap-distance-right:0.0pt;visibility:visible;">
            <v:imagedata r:id="rId57" embosscolor="white" o:title=""/>
            <v:stroke on="f" joinstyle="miter"/>
            <o:lock aspectratio="true" v:ext="view"/>
            <v:fill/>
          </v:shape>
          <o:OLEObject Type="EMBED" ProgID="Prism8.Document" ShapeID="1082" DrawAspect="Content" ObjectID="0" r:id="rId58"/>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84" type="#_x0000_t75" filled="f" stroked="f" style="margin-left:0.0pt;margin-top:0.0pt;width:415.5pt;height:330.75pt;mso-wrap-distance-left:0.0pt;mso-wrap-distance-right:0.0pt;visibility:visible;">
            <v:imagedata r:id="rId59" embosscolor="white" o:title=""/>
            <v:stroke on="f" joinstyle="miter"/>
            <o:lock aspectratio="true" v:ext="view"/>
            <v:fill/>
          </v:shape>
          <o:OLEObject Type="EMBED" ProgID="Prism8.Document" ShapeID="1084" DrawAspect="Content" ObjectID="0" r:id="rId60"/>
        </w:object>
      </w:r>
      <w:r>
        <w:rPr>
          <w:sz w:val="26"/>
        </w:rPr>
      </w:r>
      <w:r>
        <w:rPr>
          <w:sz w:val="26"/>
        </w:rPr>
      </w:r>
      <w:r>
        <w:rPr>
          <w:sz w:val="26"/>
        </w:rPr>
      </w:r>
      <w:r>
        <w:rPr>
          <w:sz w:val="26"/>
        </w:rPr>
      </w:r>
      <w:r>
        <w:rPr>
          <w:sz w:val="26"/>
        </w:rPr>
        <w:object>
          <v:shape id="1086" type="#_x0000_t75" filled="f" stroked="f" style="margin-left:0.0pt;margin-top:0.0pt;width:429.75pt;height:261.0pt;mso-wrap-distance-left:0.0pt;mso-wrap-distance-right:0.0pt;visibility:visible;">
            <v:imagedata r:id="rId61" embosscolor="white" o:title=""/>
            <v:stroke on="f" joinstyle="miter"/>
            <o:lock aspectratio="true" v:ext="view"/>
            <v:fill/>
          </v:shape>
          <o:OLEObject Type="EMBED" ProgID="Prism8.Document" ShapeID="1086" DrawAspect="Content" ObjectID="0" r:id="rId62"/>
        </w:object>
      </w:r>
      <w:r>
        <w:rPr>
          <w:sz w:val="26"/>
        </w:rPr>
      </w:r>
      <w:r>
        <w:rPr>
          <w:sz w:val="26"/>
        </w:rPr>
      </w:r>
      <w:r>
        <w:rPr>
          <w:sz w:val="26"/>
        </w:rPr>
      </w:r>
      <w:r>
        <w:rPr>
          <w:sz w:val="26"/>
        </w:rPr>
      </w:r>
      <w:r>
        <w:rPr>
          <w:sz w:val="26"/>
        </w:rPr>
        <w:object>
          <v:shape id="1088" type="#_x0000_t75" filled="f" stroked="f" style="margin-left:0.0pt;margin-top:0.0pt;width:393.0pt;height:246.75pt;mso-wrap-distance-left:0.0pt;mso-wrap-distance-right:0.0pt;visibility:visible;">
            <v:imagedata r:id="rId63" embosscolor="white" o:title=""/>
            <v:stroke on="f" joinstyle="miter"/>
            <o:lock aspectratio="true" v:ext="view"/>
            <v:fill/>
          </v:shape>
          <o:OLEObject Type="EMBED" ProgID="Prism8.Document" ShapeID="1088" DrawAspect="Content" ObjectID="0" r:id="rId64"/>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0" type="#_x0000_t75" filled="f" stroked="f" style="margin-left:0.0pt;margin-top:0.0pt;width:411.75pt;height:285.0pt;mso-wrap-distance-left:0.0pt;mso-wrap-distance-right:0.0pt;visibility:visible;">
            <v:imagedata r:id="rId29" embosscolor="white" o:title=""/>
            <v:stroke on="f" joinstyle="miter"/>
            <o:lock aspectratio="true" v:ext="view"/>
            <v:fill/>
          </v:shape>
          <o:OLEObject Type="EMBED" ProgID="Prism8.Document" ShapeID="1090" DrawAspect="Content" ObjectID="0" r:id="rId65"/>
        </w:object>
      </w:r>
      <w:r>
        <w:rPr>
          <w:sz w:val="26"/>
        </w:rPr>
      </w:r>
      <w:r>
        <w:rPr>
          <w:sz w:val="26"/>
        </w:rPr>
      </w:r>
      <w:r>
        <w:rPr>
          <w:sz w:val="26"/>
        </w:rPr>
      </w:r>
      <w:r>
        <w:rPr>
          <w:sz w:val="26"/>
        </w:rPr>
      </w:r>
      <w:r>
        <w:rPr>
          <w:sz w:val="26"/>
        </w:rPr>
        <w:object>
          <v:shape id="1092" type="#_x0000_t75" filled="f" stroked="f" style="margin-left:0.0pt;margin-top:0.0pt;width:411.75pt;height:262.5pt;mso-wrap-distance-left:0.0pt;mso-wrap-distance-right:0.0pt;visibility:visible;">
            <v:imagedata r:id="rId66" embosscolor="white" o:title=""/>
            <v:stroke on="f" joinstyle="miter"/>
            <o:lock aspectratio="true" v:ext="view"/>
            <v:fill/>
          </v:shape>
          <o:OLEObject Type="EMBED" ProgID="Prism8.Document" ShapeID="1092" DrawAspect="Content" ObjectID="0" r:id="rId67"/>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4" type="#_x0000_t75" filled="f" stroked="f" style="margin-left:0.0pt;margin-top:0.0pt;width:413.25pt;height:248.25pt;mso-wrap-distance-left:0.0pt;mso-wrap-distance-right:0.0pt;visibility:visible;">
            <v:imagedata r:id="rId68" embosscolor="white" o:title=""/>
            <v:stroke on="f" joinstyle="miter"/>
            <o:lock aspectratio="true" v:ext="view"/>
            <v:fill/>
          </v:shape>
          <o:OLEObject Type="EMBED" ProgID="Prism8.Document" ShapeID="1094" DrawAspect="Content" ObjectID="0" r:id="rId69"/>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096" type="#_x0000_t75" filled="f" stroked="f" style="margin-left:0.0pt;margin-top:0.0pt;width:413.25pt;height:282.0pt;mso-wrap-distance-left:0.0pt;mso-wrap-distance-right:0.0pt;visibility:visible;">
            <v:imagedata r:id="rId70" embosscolor="white" o:title=""/>
            <v:stroke on="f" joinstyle="miter"/>
            <o:lock aspectratio="true" v:ext="view"/>
            <v:fill/>
          </v:shape>
          <o:OLEObject Type="EMBED" ProgID="Prism8.Document" ShapeID="1096" DrawAspect="Content" ObjectID="0" r:id="rId71"/>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098" type="#_x0000_t75" filled="f" stroked="f" style="margin-left:0.0pt;margin-top:0.0pt;width:411.75pt;height:277.5pt;mso-wrap-distance-left:0.0pt;mso-wrap-distance-right:0.0pt;visibility:visible;">
            <v:imagedata r:id="rId72" embosscolor="white" o:title=""/>
            <v:stroke on="f" joinstyle="miter"/>
            <o:lock aspectratio="true" v:ext="view"/>
            <v:fill/>
          </v:shape>
          <o:OLEObject Type="EMBED" ProgID="Prism8.Document" ShapeID="1098" DrawAspect="Content" ObjectID="0" r:id="rId73"/>
        </w:object>
      </w:r>
      <w:r>
        <w:rPr>
          <w:sz w:val="26"/>
        </w:rPr>
      </w:r>
    </w:p>
    <w:p>
      <w:pPr>
        <w:pStyle w:val="style0"/>
        <w:spacing w:before="100" w:beforeAutospacing="true" w:after="0" w:lineRule="auto" w:line="480"/>
        <w:jc w:val="both"/>
        <w:rPr>
          <w:sz w:val="26"/>
        </w:rPr>
      </w:pPr>
      <w:r>
        <w:rPr>
          <w:sz w:val="26"/>
        </w:rPr>
      </w:r>
      <w:r>
        <w:rPr>
          <w:sz w:val="26"/>
        </w:rPr>
      </w:r>
      <w:r>
        <w:rPr>
          <w:sz w:val="26"/>
        </w:rPr>
      </w:r>
      <w:r>
        <w:rPr>
          <w:sz w:val="26"/>
        </w:rPr>
        <w:object>
          <v:shape id="1100" type="#_x0000_t75" filled="f" stroked="f" style="margin-left:0.0pt;margin-top:0.0pt;width:408.0pt;height:237.75pt;mso-wrap-distance-left:0.0pt;mso-wrap-distance-right:0.0pt;visibility:visible;">
            <v:imagedata r:id="rId74" embosscolor="white" o:title=""/>
            <v:stroke on="f" joinstyle="miter"/>
            <o:lock aspectratio="true" v:ext="view"/>
            <v:fill/>
          </v:shape>
          <o:OLEObject Type="EMBED" ProgID="Prism8.Document" ShapeID="1100" DrawAspect="Content" ObjectID="0" r:id="rId75"/>
        </w:object>
      </w:r>
      <w:r>
        <w:rPr>
          <w:sz w:val="26"/>
        </w:rPr>
      </w:r>
    </w:p>
    <w:p>
      <w:pPr>
        <w:pStyle w:val="style0"/>
        <w:spacing w:before="100" w:beforeAutospacing="true" w:after="0" w:lineRule="auto" w:line="480"/>
        <w:jc w:val="both"/>
        <w:rPr>
          <w:b/>
          <w:bCs/>
          <w:color w:val="000000"/>
          <w:sz w:val="24"/>
          <w:szCs w:val="26"/>
        </w:rPr>
      </w:pPr>
      <w:r>
        <w:rPr>
          <w:sz w:val="26"/>
        </w:rPr>
      </w:r>
      <w:r>
        <w:rPr>
          <w:sz w:val="26"/>
        </w:rPr>
      </w:r>
      <w:r>
        <w:rPr>
          <w:sz w:val="26"/>
        </w:rPr>
      </w:r>
      <w:r>
        <w:rPr>
          <w:sz w:val="26"/>
        </w:rPr>
        <w:object>
          <v:shape id="1102" type="#_x0000_t75" filled="f" stroked="f" style="margin-left:0.0pt;margin-top:0.0pt;width:420.0pt;height:276.0pt;mso-wrap-distance-left:0.0pt;mso-wrap-distance-right:0.0pt;visibility:visible;">
            <v:imagedata r:id="rId76" embosscolor="white" o:title=""/>
            <v:stroke on="f" joinstyle="miter"/>
            <o:lock aspectratio="true" v:ext="view"/>
            <v:fill/>
          </v:shape>
          <o:OLEObject Type="EMBED" ProgID="Prism8.Document" ShapeID="1102" DrawAspect="Content" ObjectID="0" r:id="rId77"/>
        </w:object>
      </w:r>
      <w:r>
        <w:rPr>
          <w:sz w:val="26"/>
        </w:rPr>
      </w:r>
    </w:p>
    <w:p>
      <w:pPr>
        <w:pStyle w:val="style0"/>
        <w:spacing w:before="100" w:beforeAutospacing="true" w:after="0" w:lineRule="auto" w:line="480"/>
        <w:jc w:val="both"/>
        <w:rPr>
          <w:rFonts w:eastAsia="Times New Roman"/>
          <w:b/>
          <w:bCs/>
          <w:color w:val="000000"/>
          <w:sz w:val="24"/>
          <w:szCs w:val="26"/>
        </w:rPr>
      </w:pPr>
      <w:r>
        <w:rPr>
          <w:b/>
          <w:bCs/>
          <w:color w:val="000000"/>
          <w:sz w:val="24"/>
          <w:szCs w:val="26"/>
        </w:rPr>
        <w:t>4.6. Ulcerated Area Measurement</w:t>
      </w:r>
    </w:p>
    <w:p>
      <w:pPr>
        <w:pStyle w:val="style0"/>
        <w:spacing w:before="100" w:beforeAutospacing="true" w:after="0" w:lineRule="auto" w:line="480"/>
        <w:jc w:val="both"/>
        <w:rPr>
          <w:color w:val="000000"/>
          <w:sz w:val="24"/>
          <w:szCs w:val="26"/>
        </w:rPr>
      </w:pPr>
      <w:r>
        <w:rPr>
          <w:color w:val="000000"/>
          <w:sz w:val="24"/>
          <w:szCs w:val="26"/>
        </w:rPr>
        <w:t xml:space="preserve">The ulcerated areas, characterized by measurements of length and breadth at affected </w:t>
      </w:r>
      <w:r>
        <w:rPr>
          <w:color w:val="000000"/>
          <w:sz w:val="24"/>
          <w:szCs w:val="26"/>
        </w:rPr>
        <w:t>sites, are summarized in Table 6</w:t>
      </w:r>
      <w:r>
        <w:rPr>
          <w:color w:val="000000"/>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r>
        <w:rPr>
          <w:color w:val="000000"/>
          <w:sz w:val="24"/>
          <w:szCs w:val="26"/>
        </w:rPr>
        <w:t>, indicating</w:t>
      </w:r>
      <w:r>
        <w:rPr>
          <w:color w:val="000000"/>
          <w:sz w:val="24"/>
          <w:szCs w:val="26"/>
        </w:rPr>
        <w:t xml:space="preserve"> lesser degrees of mucosal damage. No ulcer data were recorded for Group 1.</w:t>
      </w:r>
    </w:p>
    <w:p>
      <w:pPr>
        <w:pStyle w:val="style0"/>
        <w:spacing w:after="0" w:lineRule="auto" w:line="480"/>
        <w:jc w:val="both"/>
        <w:rPr>
          <w:b/>
          <w:color w:val="000000"/>
          <w:sz w:val="24"/>
          <w:szCs w:val="26"/>
        </w:rPr>
      </w:pPr>
    </w:p>
    <w:p>
      <w:pPr>
        <w:pStyle w:val="style0"/>
        <w:spacing w:after="0" w:lineRule="auto" w:line="480"/>
        <w:jc w:val="both"/>
        <w:rPr>
          <w:color w:val="000000"/>
          <w:sz w:val="24"/>
          <w:szCs w:val="26"/>
        </w:rPr>
      </w:pPr>
      <w:r>
        <w:rPr>
          <w:b/>
          <w:color w:val="000000"/>
          <w:sz w:val="24"/>
          <w:szCs w:val="26"/>
        </w:rPr>
        <w:t>Table 4.6: Measurement of Ulcerated Areas (Length and Breadth) in Different Groups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trPr/>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Breadth (B)</w:t>
            </w:r>
          </w:p>
        </w:tc>
      </w:tr>
      <w:tr>
        <w:tblPrEx/>
        <w:trPr/>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Group 1</w:t>
            </w:r>
          </w:p>
        </w:tc>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1a</w:t>
            </w:r>
          </w:p>
        </w:tc>
        <w:tc>
          <w:tcPr>
            <w:tcW w:w="2160" w:type="dxa"/>
            <w:tcBorders>
              <w:top w:val="single" w:sz="4" w:space="0" w:color="auto"/>
            </w:tcBorders>
          </w:tcPr>
          <w:p>
            <w:pPr>
              <w:pStyle w:val="style0"/>
              <w:spacing w:lineRule="auto" w:line="480"/>
              <w:jc w:val="both"/>
              <w:rPr>
                <w:color w:val="000000"/>
                <w:sz w:val="24"/>
                <w:szCs w:val="26"/>
              </w:rPr>
            </w:pPr>
          </w:p>
        </w:tc>
        <w:tc>
          <w:tcPr>
            <w:tcW w:w="2160" w:type="dxa"/>
            <w:tcBorders>
              <w:top w:val="single" w:sz="4" w:space="0" w:color="auto"/>
            </w:tcBorders>
          </w:tcPr>
          <w:p>
            <w:pPr>
              <w:pStyle w:val="style0"/>
              <w:spacing w:lineRule="auto" w:line="480"/>
              <w:jc w:val="both"/>
              <w:rPr>
                <w:color w:val="000000"/>
                <w:sz w:val="24"/>
                <w:szCs w:val="26"/>
              </w:rPr>
            </w:pPr>
          </w:p>
        </w:tc>
      </w:tr>
      <w:tr>
        <w:tblPrEx/>
        <w:trPr/>
        <w:tc>
          <w:tcPr>
            <w:tcW w:w="2160" w:type="dxa"/>
            <w:tcBorders/>
          </w:tcPr>
          <w:p>
            <w:pPr>
              <w:pStyle w:val="style0"/>
              <w:spacing w:lineRule="auto" w:line="480"/>
              <w:jc w:val="both"/>
              <w:rPr>
                <w:color w:val="000000"/>
                <w:sz w:val="24"/>
                <w:szCs w:val="26"/>
              </w:rPr>
            </w:pPr>
            <w:r>
              <w:rPr>
                <w:color w:val="000000"/>
                <w:sz w:val="24"/>
                <w:szCs w:val="26"/>
              </w:rPr>
              <w:t>Group 2</w:t>
            </w:r>
          </w:p>
        </w:tc>
        <w:tc>
          <w:tcPr>
            <w:tcW w:w="2160" w:type="dxa"/>
            <w:tcBorders/>
          </w:tcPr>
          <w:p>
            <w:pPr>
              <w:pStyle w:val="style0"/>
              <w:spacing w:lineRule="auto" w:line="480"/>
              <w:jc w:val="both"/>
              <w:rPr>
                <w:color w:val="000000"/>
                <w:sz w:val="24"/>
                <w:szCs w:val="26"/>
              </w:rPr>
            </w:pPr>
            <w:r>
              <w:rPr>
                <w:color w:val="000000"/>
                <w:sz w:val="24"/>
                <w:szCs w:val="26"/>
              </w:rPr>
              <w:t>2a</w:t>
            </w:r>
          </w:p>
        </w:tc>
        <w:tc>
          <w:tcPr>
            <w:tcW w:w="2160" w:type="dxa"/>
            <w:tcBorders/>
          </w:tcPr>
          <w:p>
            <w:pPr>
              <w:pStyle w:val="style0"/>
              <w:spacing w:lineRule="auto" w:line="480"/>
              <w:jc w:val="both"/>
              <w:rPr>
                <w:color w:val="000000"/>
                <w:sz w:val="24"/>
                <w:szCs w:val="26"/>
              </w:rPr>
            </w:pPr>
            <w:r>
              <w:rPr>
                <w:color w:val="000000"/>
                <w:sz w:val="24"/>
                <w:szCs w:val="26"/>
              </w:rPr>
              <w:t>0.96</w:t>
            </w:r>
          </w:p>
        </w:tc>
        <w:tc>
          <w:tcPr>
            <w:tcW w:w="2160" w:type="dxa"/>
            <w:tcBorders/>
          </w:tcPr>
          <w:p>
            <w:pPr>
              <w:pStyle w:val="style0"/>
              <w:spacing w:lineRule="auto" w:line="480"/>
              <w:jc w:val="both"/>
              <w:rPr>
                <w:color w:val="000000"/>
                <w:sz w:val="24"/>
                <w:szCs w:val="26"/>
              </w:rPr>
            </w:pPr>
            <w:r>
              <w:rPr>
                <w:color w:val="000000"/>
                <w:sz w:val="24"/>
                <w:szCs w:val="26"/>
              </w:rPr>
              <w:t>0.60</w:t>
            </w:r>
          </w:p>
        </w:tc>
      </w:tr>
      <w:tr>
        <w:tblPrEx/>
        <w:trPr/>
        <w:tc>
          <w:tcPr>
            <w:tcW w:w="2160" w:type="dxa"/>
            <w:tcBorders/>
          </w:tcPr>
          <w:p>
            <w:pPr>
              <w:pStyle w:val="style0"/>
              <w:spacing w:lineRule="auto" w:line="480"/>
              <w:jc w:val="both"/>
              <w:rPr>
                <w:color w:val="000000"/>
                <w:sz w:val="24"/>
                <w:szCs w:val="26"/>
              </w:rPr>
            </w:pPr>
            <w:r>
              <w:rPr>
                <w:color w:val="000000"/>
                <w:sz w:val="24"/>
                <w:szCs w:val="26"/>
              </w:rPr>
              <w:t>Group 3</w:t>
            </w:r>
          </w:p>
        </w:tc>
        <w:tc>
          <w:tcPr>
            <w:tcW w:w="2160" w:type="dxa"/>
            <w:tcBorders/>
          </w:tcPr>
          <w:p>
            <w:pPr>
              <w:pStyle w:val="style0"/>
              <w:spacing w:lineRule="auto" w:line="480"/>
              <w:jc w:val="both"/>
              <w:rPr>
                <w:color w:val="000000"/>
                <w:sz w:val="24"/>
                <w:szCs w:val="26"/>
              </w:rPr>
            </w:pPr>
            <w:r>
              <w:rPr>
                <w:color w:val="000000"/>
                <w:sz w:val="24"/>
                <w:szCs w:val="26"/>
              </w:rPr>
              <w:t>3a</w:t>
            </w:r>
          </w:p>
        </w:tc>
        <w:tc>
          <w:tcPr>
            <w:tcW w:w="2160" w:type="dxa"/>
            <w:tcBorders/>
          </w:tcPr>
          <w:p>
            <w:pPr>
              <w:pStyle w:val="style0"/>
              <w:spacing w:lineRule="auto" w:line="480"/>
              <w:jc w:val="both"/>
              <w:rPr>
                <w:color w:val="000000"/>
                <w:sz w:val="24"/>
                <w:szCs w:val="26"/>
              </w:rPr>
            </w:pPr>
            <w:r>
              <w:rPr>
                <w:color w:val="000000"/>
                <w:sz w:val="24"/>
                <w:szCs w:val="26"/>
              </w:rPr>
              <w:t>2.05</w:t>
            </w:r>
          </w:p>
        </w:tc>
        <w:tc>
          <w:tcPr>
            <w:tcW w:w="2160" w:type="dxa"/>
            <w:tcBorders/>
          </w:tcPr>
          <w:p>
            <w:pPr>
              <w:pStyle w:val="style0"/>
              <w:spacing w:lineRule="auto" w:line="480"/>
              <w:jc w:val="both"/>
              <w:rPr>
                <w:color w:val="000000"/>
                <w:sz w:val="24"/>
                <w:szCs w:val="26"/>
              </w:rPr>
            </w:pPr>
            <w:r>
              <w:rPr>
                <w:color w:val="000000"/>
                <w:sz w:val="24"/>
                <w:szCs w:val="26"/>
              </w:rPr>
              <w:t>1.5</w:t>
            </w:r>
          </w:p>
        </w:tc>
      </w:tr>
      <w:tr>
        <w:tblPrEx/>
        <w:trPr/>
        <w:tc>
          <w:tcPr>
            <w:tcW w:w="2160" w:type="dxa"/>
            <w:tcBorders/>
          </w:tcPr>
          <w:p>
            <w:pPr>
              <w:pStyle w:val="style0"/>
              <w:spacing w:lineRule="auto" w:line="480"/>
              <w:jc w:val="both"/>
              <w:rPr>
                <w:color w:val="000000"/>
                <w:sz w:val="24"/>
                <w:szCs w:val="26"/>
              </w:rPr>
            </w:pPr>
            <w:r>
              <w:rPr>
                <w:color w:val="000000"/>
                <w:sz w:val="24"/>
                <w:szCs w:val="26"/>
              </w:rPr>
              <w:t>Group 4</w:t>
            </w:r>
          </w:p>
        </w:tc>
        <w:tc>
          <w:tcPr>
            <w:tcW w:w="2160" w:type="dxa"/>
            <w:tcBorders/>
          </w:tcPr>
          <w:p>
            <w:pPr>
              <w:pStyle w:val="style0"/>
              <w:spacing w:lineRule="auto" w:line="480"/>
              <w:jc w:val="both"/>
              <w:rPr>
                <w:color w:val="000000"/>
                <w:sz w:val="24"/>
                <w:szCs w:val="26"/>
              </w:rPr>
            </w:pPr>
            <w:r>
              <w:rPr>
                <w:color w:val="000000"/>
                <w:sz w:val="24"/>
                <w:szCs w:val="26"/>
              </w:rPr>
              <w:t>4a</w:t>
            </w:r>
          </w:p>
        </w:tc>
        <w:tc>
          <w:tcPr>
            <w:tcW w:w="2160" w:type="dxa"/>
            <w:tcBorders/>
          </w:tcPr>
          <w:p>
            <w:pPr>
              <w:pStyle w:val="style0"/>
              <w:spacing w:lineRule="auto" w:line="480"/>
              <w:jc w:val="both"/>
              <w:rPr>
                <w:color w:val="000000"/>
                <w:sz w:val="24"/>
                <w:szCs w:val="26"/>
              </w:rPr>
            </w:pPr>
            <w:r>
              <w:rPr>
                <w:color w:val="000000"/>
                <w:sz w:val="24"/>
                <w:szCs w:val="26"/>
              </w:rPr>
              <w:t>1.85</w:t>
            </w:r>
          </w:p>
        </w:tc>
        <w:tc>
          <w:tcPr>
            <w:tcW w:w="2160" w:type="dxa"/>
            <w:tcBorders/>
          </w:tcPr>
          <w:p>
            <w:pPr>
              <w:pStyle w:val="style0"/>
              <w:spacing w:lineRule="auto" w:line="480"/>
              <w:jc w:val="both"/>
              <w:rPr>
                <w:color w:val="000000"/>
                <w:sz w:val="24"/>
                <w:szCs w:val="26"/>
              </w:rPr>
            </w:pPr>
            <w:r>
              <w:rPr>
                <w:color w:val="000000"/>
                <w:sz w:val="24"/>
                <w:szCs w:val="26"/>
              </w:rPr>
              <w:t>0.90</w:t>
            </w:r>
          </w:p>
        </w:tc>
      </w:tr>
      <w:tr>
        <w:tblPrEx/>
        <w:trPr/>
        <w:tc>
          <w:tcPr>
            <w:tcW w:w="2160" w:type="dxa"/>
            <w:tcBorders/>
          </w:tcPr>
          <w:p>
            <w:pPr>
              <w:pStyle w:val="style0"/>
              <w:spacing w:lineRule="auto" w:line="480"/>
              <w:jc w:val="both"/>
              <w:rPr>
                <w:color w:val="000000"/>
                <w:sz w:val="24"/>
                <w:szCs w:val="26"/>
              </w:rPr>
            </w:pPr>
            <w:r>
              <w:rPr>
                <w:color w:val="000000"/>
                <w:sz w:val="24"/>
                <w:szCs w:val="26"/>
              </w:rPr>
              <w:t>Group 5</w:t>
            </w:r>
          </w:p>
        </w:tc>
        <w:tc>
          <w:tcPr>
            <w:tcW w:w="2160" w:type="dxa"/>
            <w:tcBorders/>
          </w:tcPr>
          <w:p>
            <w:pPr>
              <w:pStyle w:val="style0"/>
              <w:spacing w:lineRule="auto" w:line="480"/>
              <w:jc w:val="both"/>
              <w:rPr>
                <w:color w:val="000000"/>
                <w:sz w:val="24"/>
                <w:szCs w:val="26"/>
              </w:rPr>
            </w:pPr>
            <w:r>
              <w:rPr>
                <w:color w:val="000000"/>
                <w:sz w:val="24"/>
                <w:szCs w:val="26"/>
              </w:rPr>
              <w:t>5a</w:t>
            </w:r>
          </w:p>
        </w:tc>
        <w:tc>
          <w:tcPr>
            <w:tcW w:w="2160" w:type="dxa"/>
            <w:tcBorders/>
          </w:tcPr>
          <w:p>
            <w:pPr>
              <w:pStyle w:val="style0"/>
              <w:spacing w:lineRule="auto" w:line="480"/>
              <w:jc w:val="both"/>
              <w:rPr>
                <w:color w:val="000000"/>
                <w:sz w:val="24"/>
                <w:szCs w:val="26"/>
              </w:rPr>
            </w:pPr>
            <w:r>
              <w:rPr>
                <w:color w:val="000000"/>
                <w:sz w:val="24"/>
                <w:szCs w:val="26"/>
              </w:rPr>
              <w:t>1.5</w:t>
            </w:r>
          </w:p>
        </w:tc>
        <w:tc>
          <w:tcPr>
            <w:tcW w:w="2160" w:type="dxa"/>
            <w:tcBorders/>
          </w:tcPr>
          <w:p>
            <w:pPr>
              <w:pStyle w:val="style0"/>
              <w:spacing w:lineRule="auto" w:line="480"/>
              <w:jc w:val="both"/>
              <w:rPr>
                <w:color w:val="000000"/>
                <w:sz w:val="24"/>
                <w:szCs w:val="26"/>
              </w:rPr>
            </w:pPr>
            <w:r>
              <w:rPr>
                <w:color w:val="000000"/>
                <w:sz w:val="24"/>
                <w:szCs w:val="26"/>
              </w:rPr>
              <w:t>0.73</w:t>
            </w:r>
          </w:p>
        </w:tc>
      </w:tr>
      <w:tr>
        <w:tblPrEx/>
        <w:trPr/>
        <w:tc>
          <w:tcPr>
            <w:tcW w:w="2160" w:type="dxa"/>
            <w:tcBorders/>
          </w:tcPr>
          <w:p>
            <w:pPr>
              <w:pStyle w:val="style0"/>
              <w:spacing w:lineRule="auto" w:line="480"/>
              <w:jc w:val="both"/>
              <w:rPr>
                <w:color w:val="000000"/>
                <w:sz w:val="24"/>
                <w:szCs w:val="26"/>
              </w:rPr>
            </w:pPr>
            <w:r>
              <w:rPr>
                <w:color w:val="000000"/>
                <w:sz w:val="24"/>
                <w:szCs w:val="26"/>
              </w:rPr>
              <w:t>Group 6</w:t>
            </w:r>
          </w:p>
        </w:tc>
        <w:tc>
          <w:tcPr>
            <w:tcW w:w="2160" w:type="dxa"/>
            <w:tcBorders/>
          </w:tcPr>
          <w:p>
            <w:pPr>
              <w:pStyle w:val="style0"/>
              <w:spacing w:lineRule="auto" w:line="480"/>
              <w:jc w:val="both"/>
              <w:rPr>
                <w:color w:val="000000"/>
                <w:sz w:val="24"/>
                <w:szCs w:val="26"/>
              </w:rPr>
            </w:pPr>
            <w:r>
              <w:rPr>
                <w:color w:val="000000"/>
                <w:sz w:val="24"/>
                <w:szCs w:val="26"/>
              </w:rPr>
              <w:t>6a</w:t>
            </w:r>
          </w:p>
        </w:tc>
        <w:tc>
          <w:tcPr>
            <w:tcW w:w="2160" w:type="dxa"/>
            <w:tcBorders/>
          </w:tcPr>
          <w:p>
            <w:pPr>
              <w:pStyle w:val="style0"/>
              <w:spacing w:lineRule="auto" w:line="480"/>
              <w:jc w:val="both"/>
              <w:rPr>
                <w:color w:val="000000"/>
                <w:sz w:val="24"/>
                <w:szCs w:val="26"/>
              </w:rPr>
            </w:pPr>
            <w:r>
              <w:rPr>
                <w:color w:val="000000"/>
                <w:sz w:val="24"/>
                <w:szCs w:val="26"/>
              </w:rPr>
              <w:t>1.23</w:t>
            </w:r>
          </w:p>
        </w:tc>
        <w:tc>
          <w:tcPr>
            <w:tcW w:w="2160" w:type="dxa"/>
            <w:tcBorders/>
          </w:tcPr>
          <w:p>
            <w:pPr>
              <w:pStyle w:val="style0"/>
              <w:spacing w:lineRule="auto" w:line="480"/>
              <w:jc w:val="both"/>
              <w:rPr>
                <w:color w:val="000000"/>
                <w:sz w:val="24"/>
                <w:szCs w:val="26"/>
              </w:rPr>
            </w:pPr>
            <w:r>
              <w:rPr>
                <w:color w:val="000000"/>
                <w:sz w:val="24"/>
                <w:szCs w:val="26"/>
              </w:rPr>
              <w:t>0.50</w:t>
            </w:r>
          </w:p>
        </w:tc>
      </w:tr>
      <w:tr>
        <w:tblPrEx/>
        <w:trPr/>
        <w:tc>
          <w:tcPr>
            <w:tcW w:w="2160" w:type="dxa"/>
            <w:tcBorders/>
          </w:tcPr>
          <w:p>
            <w:pPr>
              <w:pStyle w:val="style0"/>
              <w:spacing w:lineRule="auto" w:line="480"/>
              <w:jc w:val="both"/>
              <w:rPr>
                <w:color w:val="000000"/>
                <w:sz w:val="24"/>
                <w:szCs w:val="26"/>
              </w:rPr>
            </w:pPr>
            <w:r>
              <w:rPr>
                <w:color w:val="000000"/>
                <w:sz w:val="24"/>
                <w:szCs w:val="26"/>
              </w:rPr>
              <w:t>Group 7</w:t>
            </w:r>
          </w:p>
        </w:tc>
        <w:tc>
          <w:tcPr>
            <w:tcW w:w="2160" w:type="dxa"/>
            <w:tcBorders/>
          </w:tcPr>
          <w:p>
            <w:pPr>
              <w:pStyle w:val="style0"/>
              <w:spacing w:lineRule="auto" w:line="480"/>
              <w:jc w:val="both"/>
              <w:rPr>
                <w:color w:val="000000"/>
                <w:sz w:val="24"/>
                <w:szCs w:val="26"/>
              </w:rPr>
            </w:pPr>
            <w:r>
              <w:rPr>
                <w:color w:val="000000"/>
                <w:sz w:val="24"/>
                <w:szCs w:val="26"/>
              </w:rPr>
              <w:t>7a</w:t>
            </w:r>
          </w:p>
        </w:tc>
        <w:tc>
          <w:tcPr>
            <w:tcW w:w="2160" w:type="dxa"/>
            <w:tcBorders/>
          </w:tcPr>
          <w:p>
            <w:pPr>
              <w:pStyle w:val="style0"/>
              <w:spacing w:lineRule="auto" w:line="480"/>
              <w:jc w:val="both"/>
              <w:rPr>
                <w:color w:val="000000"/>
                <w:sz w:val="24"/>
                <w:szCs w:val="26"/>
              </w:rPr>
            </w:pPr>
            <w:r>
              <w:rPr>
                <w:color w:val="000000"/>
                <w:sz w:val="24"/>
                <w:szCs w:val="26"/>
              </w:rPr>
              <w:t>1.27</w:t>
            </w:r>
          </w:p>
        </w:tc>
        <w:tc>
          <w:tcPr>
            <w:tcW w:w="2160" w:type="dxa"/>
            <w:tcBorders/>
          </w:tcPr>
          <w:p>
            <w:pPr>
              <w:pStyle w:val="style0"/>
              <w:spacing w:lineRule="auto" w:line="480"/>
              <w:jc w:val="both"/>
              <w:rPr>
                <w:color w:val="000000"/>
                <w:sz w:val="24"/>
                <w:szCs w:val="26"/>
              </w:rPr>
            </w:pPr>
            <w:r>
              <w:rPr>
                <w:color w:val="000000"/>
                <w:sz w:val="24"/>
                <w:szCs w:val="26"/>
              </w:rPr>
              <w:t>0.50</w:t>
            </w:r>
          </w:p>
        </w:tc>
      </w:tr>
    </w:tbl>
    <w:p>
      <w:pPr>
        <w:pStyle w:val="style0"/>
        <w:spacing w:before="100" w:beforeAutospacing="true" w:after="0" w:lineRule="auto" w:line="480"/>
        <w:jc w:val="both"/>
        <w:rPr>
          <w:rFonts w:eastAsia="Times New Roman"/>
          <w:color w:val="000000"/>
          <w:sz w:val="24"/>
          <w:szCs w:val="26"/>
        </w:rPr>
      </w:pPr>
      <w:r>
        <w:rPr>
          <w:b/>
          <w:bCs/>
          <w:color w:val="000000"/>
          <w:sz w:val="24"/>
          <w:szCs w:val="26"/>
        </w:rPr>
        <w:t>4.7. Stomach Area Measurement</w:t>
      </w:r>
    </w:p>
    <w:p>
      <w:pPr>
        <w:pStyle w:val="style0"/>
        <w:spacing w:before="100" w:beforeAutospacing="true" w:after="0" w:lineRule="auto" w:line="480"/>
        <w:jc w:val="both"/>
        <w:rPr>
          <w:color w:val="000000"/>
          <w:sz w:val="24"/>
          <w:szCs w:val="26"/>
        </w:rPr>
      </w:pPr>
      <w:r>
        <w:rPr>
          <w:color w:val="000000"/>
          <w:sz w:val="24"/>
          <w:szCs w:val="26"/>
        </w:rPr>
        <w:t>The stomach areas (SA), measured as length and b</w:t>
      </w:r>
      <w:r>
        <w:rPr>
          <w:color w:val="000000"/>
          <w:sz w:val="24"/>
          <w:szCs w:val="26"/>
        </w:rPr>
        <w:t>readth, are presented in Table 7</w:t>
      </w:r>
      <w:r>
        <w:rPr>
          <w:color w:val="000000"/>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b/>
          <w:color w:val="000000"/>
          <w:sz w:val="24"/>
          <w:szCs w:val="26"/>
        </w:rPr>
      </w:pPr>
    </w:p>
    <w:p>
      <w:pPr>
        <w:pStyle w:val="style0"/>
        <w:spacing w:after="0" w:lineRule="auto" w:line="480"/>
        <w:jc w:val="both"/>
        <w:rPr>
          <w:color w:val="000000"/>
          <w:sz w:val="24"/>
          <w:szCs w:val="26"/>
        </w:rPr>
      </w:pPr>
      <w:r>
        <w:rPr>
          <w:b/>
          <w:color w:val="000000"/>
          <w:sz w:val="24"/>
          <w:szCs w:val="26"/>
        </w:rPr>
        <w:t>Table 4.7: Stomach Area (Length and Breadth) Measurements of Different Groups</w:t>
      </w:r>
    </w:p>
    <w:tbl>
      <w:tblPr>
        <w:tblStyle w:val="style15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trPr/>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pPr>
              <w:pStyle w:val="style0"/>
              <w:spacing w:lineRule="auto" w:line="480"/>
              <w:jc w:val="both"/>
              <w:rPr>
                <w:b/>
                <w:bCs/>
                <w:color w:val="000000"/>
                <w:sz w:val="24"/>
                <w:szCs w:val="26"/>
              </w:rPr>
            </w:pPr>
            <w:r>
              <w:rPr>
                <w:b/>
                <w:bCs/>
                <w:color w:val="000000"/>
                <w:sz w:val="24"/>
                <w:szCs w:val="26"/>
              </w:rPr>
              <w:t>Breadth (B)</w:t>
            </w:r>
          </w:p>
        </w:tc>
      </w:tr>
      <w:tr>
        <w:tblPrEx/>
        <w:trPr/>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Group 1</w:t>
            </w:r>
          </w:p>
        </w:tc>
        <w:tc>
          <w:tcPr>
            <w:tcW w:w="2160" w:type="dxa"/>
            <w:tcBorders>
              <w:top w:val="single" w:sz="4" w:space="0" w:color="auto"/>
            </w:tcBorders>
          </w:tcPr>
          <w:p>
            <w:pPr>
              <w:pStyle w:val="style0"/>
              <w:spacing w:lineRule="auto" w:line="480"/>
              <w:jc w:val="both"/>
              <w:rPr>
                <w:color w:val="000000"/>
                <w:sz w:val="24"/>
                <w:szCs w:val="26"/>
              </w:rPr>
            </w:pPr>
            <w:r>
              <w:rPr>
                <w:color w:val="000000"/>
                <w:sz w:val="24"/>
                <w:szCs w:val="26"/>
              </w:rPr>
              <w:t>1a</w:t>
            </w:r>
          </w:p>
        </w:tc>
        <w:tc>
          <w:tcPr>
            <w:tcW w:w="2160" w:type="dxa"/>
            <w:tcBorders>
              <w:top w:val="single" w:sz="4" w:space="0" w:color="auto"/>
            </w:tcBorders>
          </w:tcPr>
          <w:p>
            <w:pPr>
              <w:pStyle w:val="style0"/>
              <w:spacing w:lineRule="auto" w:line="480"/>
              <w:jc w:val="both"/>
              <w:rPr>
                <w:color w:val="000000"/>
                <w:sz w:val="24"/>
                <w:szCs w:val="26"/>
              </w:rPr>
            </w:pPr>
          </w:p>
        </w:tc>
        <w:tc>
          <w:tcPr>
            <w:tcW w:w="2160" w:type="dxa"/>
            <w:tcBorders>
              <w:top w:val="single" w:sz="4" w:space="0" w:color="auto"/>
            </w:tcBorders>
          </w:tcPr>
          <w:p>
            <w:pPr>
              <w:pStyle w:val="style0"/>
              <w:spacing w:lineRule="auto" w:line="480"/>
              <w:jc w:val="both"/>
              <w:rPr>
                <w:color w:val="000000"/>
                <w:sz w:val="24"/>
                <w:szCs w:val="26"/>
              </w:rPr>
            </w:pPr>
          </w:p>
        </w:tc>
      </w:tr>
      <w:tr>
        <w:tblPrEx/>
        <w:trPr/>
        <w:tc>
          <w:tcPr>
            <w:tcW w:w="2160" w:type="dxa"/>
            <w:tcBorders/>
          </w:tcPr>
          <w:p>
            <w:pPr>
              <w:pStyle w:val="style0"/>
              <w:spacing w:lineRule="auto" w:line="480"/>
              <w:jc w:val="both"/>
              <w:rPr>
                <w:color w:val="000000"/>
                <w:sz w:val="24"/>
                <w:szCs w:val="26"/>
              </w:rPr>
            </w:pPr>
            <w:r>
              <w:rPr>
                <w:color w:val="000000"/>
                <w:sz w:val="24"/>
                <w:szCs w:val="26"/>
              </w:rPr>
              <w:t>Group 2</w:t>
            </w:r>
          </w:p>
        </w:tc>
        <w:tc>
          <w:tcPr>
            <w:tcW w:w="2160" w:type="dxa"/>
            <w:tcBorders/>
          </w:tcPr>
          <w:p>
            <w:pPr>
              <w:pStyle w:val="style0"/>
              <w:spacing w:lineRule="auto" w:line="480"/>
              <w:jc w:val="both"/>
              <w:rPr>
                <w:color w:val="000000"/>
                <w:sz w:val="24"/>
                <w:szCs w:val="26"/>
              </w:rPr>
            </w:pPr>
            <w:r>
              <w:rPr>
                <w:color w:val="000000"/>
                <w:sz w:val="24"/>
                <w:szCs w:val="26"/>
              </w:rPr>
              <w:t>2a</w:t>
            </w:r>
          </w:p>
        </w:tc>
        <w:tc>
          <w:tcPr>
            <w:tcW w:w="2160" w:type="dxa"/>
            <w:tcBorders/>
          </w:tcPr>
          <w:p>
            <w:pPr>
              <w:pStyle w:val="style0"/>
              <w:spacing w:lineRule="auto" w:line="480"/>
              <w:jc w:val="both"/>
              <w:rPr>
                <w:color w:val="000000"/>
                <w:sz w:val="24"/>
                <w:szCs w:val="26"/>
              </w:rPr>
            </w:pPr>
            <w:r>
              <w:rPr>
                <w:color w:val="000000"/>
                <w:sz w:val="24"/>
                <w:szCs w:val="26"/>
              </w:rPr>
              <w:t>4.23</w:t>
            </w:r>
          </w:p>
        </w:tc>
        <w:tc>
          <w:tcPr>
            <w:tcW w:w="2160" w:type="dxa"/>
            <w:tcBorders/>
          </w:tcPr>
          <w:p>
            <w:pPr>
              <w:pStyle w:val="style0"/>
              <w:spacing w:lineRule="auto" w:line="480"/>
              <w:jc w:val="both"/>
              <w:rPr>
                <w:color w:val="000000"/>
                <w:sz w:val="24"/>
                <w:szCs w:val="26"/>
              </w:rPr>
            </w:pPr>
            <w:r>
              <w:rPr>
                <w:color w:val="000000"/>
                <w:sz w:val="24"/>
                <w:szCs w:val="26"/>
              </w:rPr>
              <w:t>3.60</w:t>
            </w:r>
          </w:p>
        </w:tc>
      </w:tr>
      <w:tr>
        <w:tblPrEx/>
        <w:trPr/>
        <w:tc>
          <w:tcPr>
            <w:tcW w:w="2160" w:type="dxa"/>
            <w:tcBorders/>
          </w:tcPr>
          <w:p>
            <w:pPr>
              <w:pStyle w:val="style0"/>
              <w:spacing w:lineRule="auto" w:line="480"/>
              <w:jc w:val="both"/>
              <w:rPr>
                <w:color w:val="000000"/>
                <w:sz w:val="24"/>
                <w:szCs w:val="26"/>
              </w:rPr>
            </w:pPr>
            <w:r>
              <w:rPr>
                <w:color w:val="000000"/>
                <w:sz w:val="24"/>
                <w:szCs w:val="26"/>
              </w:rPr>
              <w:t>Group 3</w:t>
            </w:r>
          </w:p>
        </w:tc>
        <w:tc>
          <w:tcPr>
            <w:tcW w:w="2160" w:type="dxa"/>
            <w:tcBorders/>
          </w:tcPr>
          <w:p>
            <w:pPr>
              <w:pStyle w:val="style0"/>
              <w:spacing w:lineRule="auto" w:line="480"/>
              <w:jc w:val="both"/>
              <w:rPr>
                <w:color w:val="000000"/>
                <w:sz w:val="24"/>
                <w:szCs w:val="26"/>
              </w:rPr>
            </w:pPr>
            <w:r>
              <w:rPr>
                <w:color w:val="000000"/>
                <w:sz w:val="24"/>
                <w:szCs w:val="26"/>
              </w:rPr>
              <w:t>3a</w:t>
            </w:r>
          </w:p>
        </w:tc>
        <w:tc>
          <w:tcPr>
            <w:tcW w:w="2160" w:type="dxa"/>
            <w:tcBorders/>
          </w:tcPr>
          <w:p>
            <w:pPr>
              <w:pStyle w:val="style0"/>
              <w:spacing w:lineRule="auto" w:line="480"/>
              <w:jc w:val="both"/>
              <w:rPr>
                <w:color w:val="000000"/>
                <w:sz w:val="24"/>
                <w:szCs w:val="26"/>
              </w:rPr>
            </w:pPr>
            <w:r>
              <w:rPr>
                <w:color w:val="000000"/>
                <w:sz w:val="24"/>
                <w:szCs w:val="26"/>
              </w:rPr>
              <w:t>3.75</w:t>
            </w:r>
          </w:p>
        </w:tc>
        <w:tc>
          <w:tcPr>
            <w:tcW w:w="2160" w:type="dxa"/>
            <w:tcBorders/>
          </w:tcPr>
          <w:p>
            <w:pPr>
              <w:pStyle w:val="style0"/>
              <w:spacing w:lineRule="auto" w:line="480"/>
              <w:jc w:val="both"/>
              <w:rPr>
                <w:color w:val="000000"/>
                <w:sz w:val="24"/>
                <w:szCs w:val="26"/>
              </w:rPr>
            </w:pPr>
            <w:r>
              <w:rPr>
                <w:color w:val="000000"/>
                <w:sz w:val="24"/>
                <w:szCs w:val="26"/>
              </w:rPr>
              <w:t>3.00</w:t>
            </w:r>
          </w:p>
        </w:tc>
      </w:tr>
      <w:tr>
        <w:tblPrEx/>
        <w:trPr/>
        <w:tc>
          <w:tcPr>
            <w:tcW w:w="2160" w:type="dxa"/>
            <w:tcBorders/>
          </w:tcPr>
          <w:p>
            <w:pPr>
              <w:pStyle w:val="style0"/>
              <w:spacing w:lineRule="auto" w:line="480"/>
              <w:jc w:val="both"/>
              <w:rPr>
                <w:color w:val="000000"/>
                <w:sz w:val="24"/>
                <w:szCs w:val="26"/>
              </w:rPr>
            </w:pPr>
            <w:r>
              <w:rPr>
                <w:color w:val="000000"/>
                <w:sz w:val="24"/>
                <w:szCs w:val="26"/>
              </w:rPr>
              <w:t>Group 4</w:t>
            </w:r>
          </w:p>
        </w:tc>
        <w:tc>
          <w:tcPr>
            <w:tcW w:w="2160" w:type="dxa"/>
            <w:tcBorders/>
          </w:tcPr>
          <w:p>
            <w:pPr>
              <w:pStyle w:val="style0"/>
              <w:spacing w:lineRule="auto" w:line="480"/>
              <w:jc w:val="both"/>
              <w:rPr>
                <w:color w:val="000000"/>
                <w:sz w:val="24"/>
                <w:szCs w:val="26"/>
              </w:rPr>
            </w:pPr>
            <w:r>
              <w:rPr>
                <w:color w:val="000000"/>
                <w:sz w:val="24"/>
                <w:szCs w:val="26"/>
              </w:rPr>
              <w:t>4a</w:t>
            </w:r>
          </w:p>
        </w:tc>
        <w:tc>
          <w:tcPr>
            <w:tcW w:w="2160" w:type="dxa"/>
            <w:tcBorders/>
          </w:tcPr>
          <w:p>
            <w:pPr>
              <w:pStyle w:val="style0"/>
              <w:spacing w:lineRule="auto" w:line="480"/>
              <w:jc w:val="both"/>
              <w:rPr>
                <w:color w:val="000000"/>
                <w:sz w:val="24"/>
                <w:szCs w:val="26"/>
              </w:rPr>
            </w:pPr>
            <w:r>
              <w:rPr>
                <w:color w:val="000000"/>
                <w:sz w:val="24"/>
                <w:szCs w:val="26"/>
              </w:rPr>
              <w:t>3.80</w:t>
            </w:r>
          </w:p>
        </w:tc>
        <w:tc>
          <w:tcPr>
            <w:tcW w:w="2160" w:type="dxa"/>
            <w:tcBorders/>
          </w:tcPr>
          <w:p>
            <w:pPr>
              <w:pStyle w:val="style0"/>
              <w:spacing w:lineRule="auto" w:line="480"/>
              <w:jc w:val="both"/>
              <w:rPr>
                <w:color w:val="000000"/>
                <w:sz w:val="24"/>
                <w:szCs w:val="26"/>
              </w:rPr>
            </w:pPr>
            <w:r>
              <w:rPr>
                <w:color w:val="000000"/>
                <w:sz w:val="24"/>
                <w:szCs w:val="26"/>
              </w:rPr>
              <w:t>2.90</w:t>
            </w:r>
          </w:p>
        </w:tc>
      </w:tr>
      <w:tr>
        <w:tblPrEx/>
        <w:trPr/>
        <w:tc>
          <w:tcPr>
            <w:tcW w:w="2160" w:type="dxa"/>
            <w:tcBorders/>
          </w:tcPr>
          <w:p>
            <w:pPr>
              <w:pStyle w:val="style0"/>
              <w:spacing w:lineRule="auto" w:line="480"/>
              <w:jc w:val="both"/>
              <w:rPr>
                <w:color w:val="000000"/>
                <w:sz w:val="24"/>
                <w:szCs w:val="26"/>
              </w:rPr>
            </w:pPr>
            <w:r>
              <w:rPr>
                <w:color w:val="000000"/>
                <w:sz w:val="24"/>
                <w:szCs w:val="26"/>
              </w:rPr>
              <w:t>Group 5</w:t>
            </w:r>
          </w:p>
        </w:tc>
        <w:tc>
          <w:tcPr>
            <w:tcW w:w="2160" w:type="dxa"/>
            <w:tcBorders/>
          </w:tcPr>
          <w:p>
            <w:pPr>
              <w:pStyle w:val="style0"/>
              <w:spacing w:lineRule="auto" w:line="480"/>
              <w:jc w:val="both"/>
              <w:rPr>
                <w:color w:val="000000"/>
                <w:sz w:val="24"/>
                <w:szCs w:val="26"/>
              </w:rPr>
            </w:pPr>
            <w:r>
              <w:rPr>
                <w:color w:val="000000"/>
                <w:sz w:val="24"/>
                <w:szCs w:val="26"/>
              </w:rPr>
              <w:t>5a</w:t>
            </w:r>
          </w:p>
        </w:tc>
        <w:tc>
          <w:tcPr>
            <w:tcW w:w="2160" w:type="dxa"/>
            <w:tcBorders/>
          </w:tcPr>
          <w:p>
            <w:pPr>
              <w:pStyle w:val="style0"/>
              <w:spacing w:lineRule="auto" w:line="480"/>
              <w:jc w:val="both"/>
              <w:rPr>
                <w:color w:val="000000"/>
                <w:sz w:val="24"/>
                <w:szCs w:val="26"/>
              </w:rPr>
            </w:pPr>
            <w:r>
              <w:rPr>
                <w:color w:val="000000"/>
                <w:sz w:val="24"/>
                <w:szCs w:val="26"/>
              </w:rPr>
              <w:t>3.70</w:t>
            </w:r>
          </w:p>
        </w:tc>
        <w:tc>
          <w:tcPr>
            <w:tcW w:w="2160" w:type="dxa"/>
            <w:tcBorders/>
          </w:tcPr>
          <w:p>
            <w:pPr>
              <w:pStyle w:val="style0"/>
              <w:spacing w:lineRule="auto" w:line="480"/>
              <w:jc w:val="both"/>
              <w:rPr>
                <w:color w:val="000000"/>
                <w:sz w:val="24"/>
                <w:szCs w:val="26"/>
              </w:rPr>
            </w:pPr>
            <w:r>
              <w:rPr>
                <w:color w:val="000000"/>
                <w:sz w:val="24"/>
                <w:szCs w:val="26"/>
              </w:rPr>
              <w:t>2.73</w:t>
            </w:r>
          </w:p>
        </w:tc>
      </w:tr>
      <w:tr>
        <w:tblPrEx/>
        <w:trPr/>
        <w:tc>
          <w:tcPr>
            <w:tcW w:w="2160" w:type="dxa"/>
            <w:tcBorders/>
          </w:tcPr>
          <w:p>
            <w:pPr>
              <w:pStyle w:val="style0"/>
              <w:spacing w:lineRule="auto" w:line="480"/>
              <w:jc w:val="both"/>
              <w:rPr>
                <w:color w:val="000000"/>
                <w:sz w:val="24"/>
                <w:szCs w:val="26"/>
              </w:rPr>
            </w:pPr>
            <w:r>
              <w:rPr>
                <w:color w:val="000000"/>
                <w:sz w:val="24"/>
                <w:szCs w:val="26"/>
              </w:rPr>
              <w:t>Group 6</w:t>
            </w:r>
          </w:p>
        </w:tc>
        <w:tc>
          <w:tcPr>
            <w:tcW w:w="2160" w:type="dxa"/>
            <w:tcBorders/>
          </w:tcPr>
          <w:p>
            <w:pPr>
              <w:pStyle w:val="style0"/>
              <w:spacing w:lineRule="auto" w:line="480"/>
              <w:jc w:val="both"/>
              <w:rPr>
                <w:color w:val="000000"/>
                <w:sz w:val="24"/>
                <w:szCs w:val="26"/>
              </w:rPr>
            </w:pPr>
            <w:r>
              <w:rPr>
                <w:color w:val="000000"/>
                <w:sz w:val="24"/>
                <w:szCs w:val="26"/>
              </w:rPr>
              <w:t>6a</w:t>
            </w:r>
          </w:p>
        </w:tc>
        <w:tc>
          <w:tcPr>
            <w:tcW w:w="2160" w:type="dxa"/>
            <w:tcBorders/>
          </w:tcPr>
          <w:p>
            <w:pPr>
              <w:pStyle w:val="style0"/>
              <w:spacing w:lineRule="auto" w:line="480"/>
              <w:jc w:val="both"/>
              <w:rPr>
                <w:color w:val="000000"/>
                <w:sz w:val="24"/>
                <w:szCs w:val="26"/>
              </w:rPr>
            </w:pPr>
            <w:r>
              <w:rPr>
                <w:color w:val="000000"/>
                <w:sz w:val="24"/>
                <w:szCs w:val="26"/>
              </w:rPr>
              <w:t>3.80</w:t>
            </w:r>
          </w:p>
        </w:tc>
        <w:tc>
          <w:tcPr>
            <w:tcW w:w="2160" w:type="dxa"/>
            <w:tcBorders/>
          </w:tcPr>
          <w:p>
            <w:pPr>
              <w:pStyle w:val="style0"/>
              <w:spacing w:lineRule="auto" w:line="480"/>
              <w:jc w:val="both"/>
              <w:rPr>
                <w:color w:val="000000"/>
                <w:sz w:val="24"/>
                <w:szCs w:val="26"/>
              </w:rPr>
            </w:pPr>
            <w:r>
              <w:rPr>
                <w:color w:val="000000"/>
                <w:sz w:val="24"/>
                <w:szCs w:val="26"/>
              </w:rPr>
              <w:t>2.53</w:t>
            </w:r>
          </w:p>
        </w:tc>
      </w:tr>
      <w:tr>
        <w:tblPrEx/>
        <w:trPr/>
        <w:tc>
          <w:tcPr>
            <w:tcW w:w="2160" w:type="dxa"/>
            <w:tcBorders/>
          </w:tcPr>
          <w:p>
            <w:pPr>
              <w:pStyle w:val="style0"/>
              <w:spacing w:lineRule="auto" w:line="480"/>
              <w:jc w:val="both"/>
              <w:rPr>
                <w:color w:val="000000"/>
                <w:sz w:val="24"/>
                <w:szCs w:val="26"/>
              </w:rPr>
            </w:pPr>
            <w:r>
              <w:rPr>
                <w:color w:val="000000"/>
                <w:sz w:val="24"/>
                <w:szCs w:val="26"/>
              </w:rPr>
              <w:t>Group 7</w:t>
            </w:r>
          </w:p>
        </w:tc>
        <w:tc>
          <w:tcPr>
            <w:tcW w:w="2160" w:type="dxa"/>
            <w:tcBorders/>
          </w:tcPr>
          <w:p>
            <w:pPr>
              <w:pStyle w:val="style0"/>
              <w:spacing w:lineRule="auto" w:line="480"/>
              <w:jc w:val="both"/>
              <w:rPr>
                <w:color w:val="000000"/>
                <w:sz w:val="24"/>
                <w:szCs w:val="26"/>
              </w:rPr>
            </w:pPr>
            <w:r>
              <w:rPr>
                <w:color w:val="000000"/>
                <w:sz w:val="24"/>
                <w:szCs w:val="26"/>
              </w:rPr>
              <w:t>7a</w:t>
            </w:r>
          </w:p>
        </w:tc>
        <w:tc>
          <w:tcPr>
            <w:tcW w:w="2160" w:type="dxa"/>
            <w:tcBorders/>
          </w:tcPr>
          <w:p>
            <w:pPr>
              <w:pStyle w:val="style0"/>
              <w:spacing w:lineRule="auto" w:line="480"/>
              <w:jc w:val="both"/>
              <w:rPr>
                <w:color w:val="000000"/>
                <w:sz w:val="24"/>
                <w:szCs w:val="26"/>
              </w:rPr>
            </w:pPr>
            <w:r>
              <w:rPr>
                <w:color w:val="000000"/>
                <w:sz w:val="24"/>
                <w:szCs w:val="26"/>
              </w:rPr>
              <w:t>3.83</w:t>
            </w:r>
          </w:p>
        </w:tc>
        <w:tc>
          <w:tcPr>
            <w:tcW w:w="2160" w:type="dxa"/>
            <w:tcBorders/>
          </w:tcPr>
          <w:p>
            <w:pPr>
              <w:pStyle w:val="style0"/>
              <w:spacing w:lineRule="auto" w:line="480"/>
              <w:jc w:val="both"/>
              <w:rPr>
                <w:color w:val="000000"/>
                <w:sz w:val="24"/>
                <w:szCs w:val="26"/>
              </w:rPr>
            </w:pPr>
            <w:r>
              <w:rPr>
                <w:color w:val="000000"/>
                <w:sz w:val="24"/>
                <w:szCs w:val="26"/>
              </w:rPr>
              <w:t>2.86</w:t>
            </w:r>
          </w:p>
        </w:tc>
      </w:tr>
    </w:tbl>
    <w:p>
      <w:pPr>
        <w:pStyle w:val="style0"/>
        <w:spacing w:before="100" w:beforeAutospacing="true" w:after="0" w:lineRule="auto" w:line="480"/>
        <w:jc w:val="both"/>
        <w:rPr>
          <w:rFonts w:eastAsia="Times New Roman"/>
          <w:b/>
          <w:bCs/>
          <w:color w:val="000000"/>
          <w:sz w:val="24"/>
          <w:szCs w:val="26"/>
        </w:rPr>
      </w:pPr>
      <w:r>
        <w:rPr>
          <w:rFonts w:eastAsia="Times New Roman"/>
          <w:b/>
          <w:bCs/>
          <w:color w:val="000000"/>
          <w:sz w:val="24"/>
          <w:szCs w:val="26"/>
        </w:rPr>
        <w:t>4.8</w:t>
      </w:r>
      <w:r>
        <w:rPr>
          <w:rFonts w:eastAsia="Times New Roman"/>
          <w:b/>
          <w:bCs/>
          <w:color w:val="000000"/>
          <w:sz w:val="24"/>
          <w:szCs w:val="26"/>
        </w:rPr>
        <w:t xml:space="preserve"> Hematological Composition</w:t>
      </w:r>
      <w:r>
        <w:rPr>
          <w:rFonts w:eastAsia="Times New Roman"/>
          <w:b/>
          <w:bCs/>
          <w:color w:val="000000"/>
          <w:sz w:val="24"/>
          <w:szCs w:val="26"/>
        </w:rPr>
        <w:t xml:space="preserve"> of Rats blood samples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Table 4.8</w:t>
      </w:r>
      <w:r>
        <w:rPr>
          <w:rFonts w:eastAsia="Times New Roman"/>
          <w:color w:val="000000"/>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Neutrophil (NEU) and lymphocyte (LYMPH) percentages remained relatively balanced across groups, though Groups 5 and 6 showed slight elevations in neutrophil </w:t>
      </w:r>
      <w:r>
        <w:rPr>
          <w:rFonts w:eastAsia="Times New Roman"/>
          <w:color w:val="000000"/>
          <w:sz w:val="24"/>
          <w:szCs w:val="26"/>
        </w:rPr>
        <w:t>percentages and reductions in lymphocytes. These shifts could imply a mild stress or inflammatory response, particularly at higher extract concentrations.</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 xml:space="preserve">Red blood cell (RBC) counts showed notable stability across the groups, ranging from 5.00 × 10¹²/L to 6.00 × 10¹²/L. Groups 1 </w:t>
      </w:r>
      <w:r>
        <w:rPr>
          <w:rFonts w:eastAsia="Times New Roman"/>
          <w:color w:val="000000"/>
          <w:sz w:val="24"/>
          <w:szCs w:val="26"/>
        </w:rPr>
        <w:t>is</w:t>
      </w:r>
      <w:r>
        <w:rPr>
          <w:rFonts w:eastAsia="Times New Roman"/>
          <w:color w:val="000000"/>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pPr>
        <w:pStyle w:val="style0"/>
        <w:spacing w:before="100" w:beforeAutospacing="true" w:after="0" w:lineRule="auto" w:line="480"/>
        <w:ind w:firstLine="720"/>
        <w:jc w:val="both"/>
        <w:rPr>
          <w:rFonts w:eastAsia="Times New Roman"/>
          <w:color w:val="000000"/>
          <w:sz w:val="24"/>
          <w:szCs w:val="26"/>
        </w:rPr>
      </w:pPr>
      <w:r>
        <w:rPr>
          <w:rFonts w:eastAsia="Times New Roman"/>
          <w:color w:val="000000"/>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pPr>
        <w:pStyle w:val="style0"/>
        <w:spacing w:before="100" w:beforeAutospacing="true" w:after="0" w:lineRule="auto" w:line="480"/>
        <w:rPr>
          <w:rFonts w:eastAsia="Times New Roman"/>
          <w:b/>
          <w:bCs/>
          <w:color w:val="000000"/>
          <w:sz w:val="24"/>
          <w:szCs w:val="26"/>
        </w:rPr>
      </w:pPr>
      <w:r>
        <w:rPr>
          <w:rFonts w:eastAsia="Times New Roman"/>
          <w:b/>
          <w:bCs/>
          <w:color w:val="000000"/>
          <w:sz w:val="24"/>
          <w:szCs w:val="26"/>
        </w:rPr>
        <w:t>Table 4.8</w:t>
      </w:r>
      <w:r>
        <w:rPr>
          <w:rFonts w:eastAsia="Times New Roman"/>
          <w:b/>
          <w:bCs/>
          <w:color w:val="000000"/>
          <w:sz w:val="24"/>
          <w:szCs w:val="26"/>
        </w:rPr>
        <w:t xml:space="preserve"> Hematological </w:t>
      </w:r>
      <w:r>
        <w:rPr>
          <w:rFonts w:eastAsia="Times New Roman"/>
          <w:b/>
          <w:bCs/>
          <w:color w:val="000000"/>
          <w:sz w:val="24"/>
          <w:szCs w:val="26"/>
        </w:rPr>
        <w:t>Composition of Rats blood samples</w:t>
      </w:r>
    </w:p>
    <w:tbl>
      <w:tblPr>
        <w:tblStyle w:val="style154"/>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1097"/>
        <w:gridCol w:w="826"/>
        <w:gridCol w:w="716"/>
        <w:gridCol w:w="999"/>
        <w:gridCol w:w="639"/>
        <w:gridCol w:w="733"/>
        <w:gridCol w:w="793"/>
        <w:gridCol w:w="892"/>
        <w:gridCol w:w="720"/>
        <w:gridCol w:w="716"/>
        <w:gridCol w:w="730"/>
        <w:gridCol w:w="740"/>
        <w:gridCol w:w="884"/>
      </w:tblGrid>
      <w:tr>
        <w:trPr>
          <w:trHeight w:val="900" w:hRule="atLeast"/>
          <w:jc w:val="center"/>
        </w:trPr>
        <w:tc>
          <w:tcPr>
            <w:tcW w:w="552" w:type="dxa"/>
            <w:tcBorders>
              <w:top w:val="single" w:sz="4" w:space="0" w:color="auto"/>
              <w:bottom w:val="single" w:sz="4" w:space="0" w:color="auto"/>
            </w:tcBorders>
          </w:tcPr>
          <w:p>
            <w:pPr>
              <w:pStyle w:val="style0"/>
              <w:spacing w:lineRule="auto" w:line="480"/>
              <w:rPr>
                <w:rFonts w:ascii="宋体" w:cs="宋体" w:hAnsi="宋体"/>
                <w:b/>
                <w:color w:val="000000"/>
                <w:sz w:val="20"/>
                <w:szCs w:val="22"/>
              </w:rPr>
            </w:pPr>
          </w:p>
          <w:p>
            <w:pPr>
              <w:pStyle w:val="style0"/>
              <w:spacing w:lineRule="auto" w:line="480"/>
              <w:rPr>
                <w:color w:val="000000"/>
                <w:sz w:val="20"/>
                <w:szCs w:val="22"/>
              </w:rPr>
            </w:pPr>
            <w:r>
              <w:rPr>
                <w:rFonts w:ascii="宋体" w:cs="宋体" w:hAnsi="宋体"/>
                <w:b/>
                <w:color w:val="000000"/>
                <w:sz w:val="20"/>
                <w:szCs w:val="22"/>
              </w:rPr>
              <w:t>S/N</w:t>
            </w:r>
          </w:p>
        </w:tc>
        <w:tc>
          <w:tcPr>
            <w:tcW w:w="111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SAMPLE</w:t>
            </w:r>
          </w:p>
          <w:p>
            <w:pPr>
              <w:pStyle w:val="style0"/>
              <w:spacing w:lineRule="auto" w:line="480"/>
              <w:rPr>
                <w:color w:val="000000"/>
                <w:sz w:val="20"/>
                <w:szCs w:val="22"/>
              </w:rPr>
            </w:pPr>
            <w:r>
              <w:rPr>
                <w:rFonts w:ascii="宋体" w:cs="宋体" w:hAnsi="宋体"/>
                <w:b/>
                <w:color w:val="000000"/>
                <w:sz w:val="20"/>
                <w:szCs w:val="22"/>
              </w:rPr>
              <w:t>I.D</w:t>
            </w:r>
          </w:p>
        </w:tc>
        <w:tc>
          <w:tcPr>
            <w:tcW w:w="830"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 xml:space="preserve"> WBC</w:t>
            </w:r>
          </w:p>
          <w:p>
            <w:pPr>
              <w:pStyle w:val="style0"/>
              <w:spacing w:lineRule="auto" w:line="480"/>
              <w:rPr>
                <w:color w:val="000000"/>
                <w:sz w:val="20"/>
                <w:szCs w:val="22"/>
              </w:rPr>
            </w:pPr>
            <w:r>
              <w:rPr>
                <w:rFonts w:ascii="宋体" w:cs="宋体" w:hAnsi="宋体"/>
                <w:b/>
                <w:color w:val="000000"/>
                <w:sz w:val="20"/>
                <w:szCs w:val="22"/>
              </w:rPr>
              <w:t>×10</w:t>
            </w:r>
            <w:r>
              <w:rPr>
                <w:rFonts w:ascii="宋体" w:cs="宋体" w:hAnsi="宋体"/>
                <w:b/>
                <w:color w:val="000000"/>
                <w:sz w:val="20"/>
                <w:szCs w:val="22"/>
                <w:vertAlign w:val="superscript"/>
              </w:rPr>
              <w:t>9</w:t>
            </w:r>
            <w:r>
              <w:rPr>
                <w:rFonts w:ascii="宋体" w:cs="宋体" w:hAnsi="宋体"/>
                <w:b/>
                <w:color w:val="000000"/>
                <w:sz w:val="20"/>
                <w:szCs w:val="22"/>
              </w:rPr>
              <w:t>/L</w:t>
            </w:r>
          </w:p>
        </w:tc>
        <w:tc>
          <w:tcPr>
            <w:tcW w:w="673"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NEU</w:t>
            </w:r>
          </w:p>
          <w:p>
            <w:pPr>
              <w:pStyle w:val="style0"/>
              <w:spacing w:lineRule="auto" w:line="480"/>
              <w:rPr>
                <w:color w:val="000000"/>
                <w:sz w:val="20"/>
                <w:szCs w:val="22"/>
              </w:rPr>
            </w:pPr>
            <w:r>
              <w:rPr>
                <w:rFonts w:ascii="宋体" w:cs="宋体" w:hAnsi="宋体"/>
                <w:b/>
                <w:color w:val="000000"/>
                <w:sz w:val="20"/>
                <w:szCs w:val="22"/>
              </w:rPr>
              <w:t xml:space="preserve"> (%)</w:t>
            </w:r>
          </w:p>
        </w:tc>
        <w:tc>
          <w:tcPr>
            <w:tcW w:w="1022"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LYMPH</w:t>
            </w:r>
          </w:p>
          <w:p>
            <w:pPr>
              <w:pStyle w:val="style0"/>
              <w:spacing w:lineRule="auto" w:line="480"/>
              <w:rPr>
                <w:color w:val="000000"/>
                <w:sz w:val="20"/>
                <w:szCs w:val="22"/>
              </w:rPr>
            </w:pPr>
            <w:r>
              <w:rPr>
                <w:rFonts w:ascii="宋体" w:cs="宋体" w:hAnsi="宋体"/>
                <w:b/>
                <w:color w:val="000000"/>
                <w:sz w:val="20"/>
                <w:szCs w:val="22"/>
              </w:rPr>
              <w:t>(%)</w:t>
            </w:r>
          </w:p>
        </w:tc>
        <w:tc>
          <w:tcPr>
            <w:tcW w:w="64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EOS</w:t>
            </w:r>
          </w:p>
          <w:p>
            <w:pPr>
              <w:pStyle w:val="style0"/>
              <w:spacing w:lineRule="auto" w:line="480"/>
              <w:rPr>
                <w:color w:val="000000"/>
                <w:sz w:val="20"/>
                <w:szCs w:val="22"/>
              </w:rPr>
            </w:pPr>
            <w:r>
              <w:rPr>
                <w:rFonts w:ascii="宋体" w:cs="宋体" w:hAnsi="宋体"/>
                <w:b/>
                <w:color w:val="000000"/>
                <w:sz w:val="20"/>
                <w:szCs w:val="22"/>
              </w:rPr>
              <w:t>(%)</w:t>
            </w:r>
          </w:p>
        </w:tc>
        <w:tc>
          <w:tcPr>
            <w:tcW w:w="745"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MON</w:t>
            </w:r>
          </w:p>
          <w:p>
            <w:pPr>
              <w:pStyle w:val="style0"/>
              <w:spacing w:lineRule="auto" w:line="480"/>
              <w:rPr>
                <w:color w:val="000000"/>
                <w:sz w:val="20"/>
                <w:szCs w:val="22"/>
              </w:rPr>
            </w:pPr>
            <w:r>
              <w:rPr>
                <w:rFonts w:ascii="宋体" w:cs="宋体" w:hAnsi="宋体"/>
                <w:b/>
                <w:color w:val="000000"/>
                <w:sz w:val="20"/>
                <w:szCs w:val="22"/>
              </w:rPr>
              <w:t>(%)</w:t>
            </w:r>
          </w:p>
        </w:tc>
        <w:tc>
          <w:tcPr>
            <w:tcW w:w="806"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BASO</w:t>
            </w:r>
          </w:p>
          <w:p>
            <w:pPr>
              <w:pStyle w:val="style0"/>
              <w:spacing w:lineRule="auto" w:line="480"/>
              <w:rPr>
                <w:color w:val="000000"/>
                <w:sz w:val="20"/>
                <w:szCs w:val="22"/>
              </w:rPr>
            </w:pPr>
            <w:r>
              <w:rPr>
                <w:rFonts w:ascii="宋体" w:cs="宋体" w:hAnsi="宋体"/>
                <w:b/>
                <w:color w:val="000000"/>
                <w:sz w:val="20"/>
                <w:szCs w:val="22"/>
              </w:rPr>
              <w:t>(%)</w:t>
            </w:r>
          </w:p>
        </w:tc>
        <w:tc>
          <w:tcPr>
            <w:tcW w:w="89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RBC</w:t>
            </w:r>
          </w:p>
          <w:p>
            <w:pPr>
              <w:pStyle w:val="style0"/>
              <w:spacing w:lineRule="auto" w:line="480"/>
              <w:rPr>
                <w:color w:val="000000"/>
                <w:sz w:val="20"/>
                <w:szCs w:val="22"/>
              </w:rPr>
            </w:pPr>
            <w:r>
              <w:rPr>
                <w:rFonts w:ascii="宋体" w:cs="宋体" w:hAnsi="宋体"/>
                <w:b/>
                <w:color w:val="000000"/>
                <w:sz w:val="20"/>
                <w:szCs w:val="22"/>
              </w:rPr>
              <w:t>×10</w:t>
            </w:r>
            <w:r>
              <w:rPr>
                <w:rFonts w:ascii="宋体" w:cs="宋体" w:hAnsi="宋体"/>
                <w:b/>
                <w:color w:val="000000"/>
                <w:sz w:val="20"/>
                <w:szCs w:val="22"/>
                <w:vertAlign w:val="superscript"/>
              </w:rPr>
              <w:t>12</w:t>
            </w:r>
            <w:r>
              <w:rPr>
                <w:rFonts w:ascii="宋体" w:cs="宋体" w:hAnsi="宋体"/>
                <w:b/>
                <w:color w:val="000000"/>
                <w:sz w:val="20"/>
                <w:szCs w:val="22"/>
              </w:rPr>
              <w:t>/L</w:t>
            </w:r>
          </w:p>
        </w:tc>
        <w:tc>
          <w:tcPr>
            <w:tcW w:w="709"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HB</w:t>
            </w:r>
          </w:p>
          <w:p>
            <w:pPr>
              <w:pStyle w:val="style0"/>
              <w:spacing w:lineRule="auto" w:line="480"/>
              <w:rPr>
                <w:color w:val="000000"/>
                <w:sz w:val="20"/>
                <w:szCs w:val="22"/>
              </w:rPr>
            </w:pPr>
            <w:r>
              <w:rPr>
                <w:rFonts w:ascii="宋体" w:cs="宋体" w:hAnsi="宋体"/>
                <w:b/>
                <w:color w:val="000000"/>
                <w:sz w:val="20"/>
                <w:szCs w:val="22"/>
              </w:rPr>
              <w:t>(g/dl)</w:t>
            </w:r>
          </w:p>
        </w:tc>
        <w:tc>
          <w:tcPr>
            <w:tcW w:w="661"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PCV</w:t>
            </w:r>
          </w:p>
          <w:p>
            <w:pPr>
              <w:pStyle w:val="style0"/>
              <w:spacing w:lineRule="auto" w:line="480"/>
              <w:rPr>
                <w:color w:val="000000"/>
                <w:sz w:val="20"/>
                <w:szCs w:val="22"/>
              </w:rPr>
            </w:pPr>
            <w:r>
              <w:rPr>
                <w:rFonts w:ascii="宋体" w:cs="宋体" w:hAnsi="宋体"/>
                <w:b/>
                <w:color w:val="000000"/>
                <w:sz w:val="20"/>
                <w:szCs w:val="22"/>
              </w:rPr>
              <w:t>(%)</w:t>
            </w:r>
          </w:p>
        </w:tc>
        <w:tc>
          <w:tcPr>
            <w:tcW w:w="733"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MCV</w:t>
            </w:r>
          </w:p>
          <w:p>
            <w:pPr>
              <w:pStyle w:val="style0"/>
              <w:spacing w:lineRule="auto" w:line="480"/>
              <w:rPr>
                <w:color w:val="000000"/>
                <w:sz w:val="20"/>
                <w:szCs w:val="22"/>
              </w:rPr>
            </w:pPr>
            <w:r>
              <w:rPr>
                <w:rFonts w:ascii="宋体" w:cs="宋体" w:hAnsi="宋体"/>
                <w:b/>
                <w:color w:val="000000"/>
                <w:sz w:val="20"/>
                <w:szCs w:val="22"/>
              </w:rPr>
              <w:t>(fl)</w:t>
            </w:r>
          </w:p>
        </w:tc>
        <w:tc>
          <w:tcPr>
            <w:tcW w:w="745"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MCH</w:t>
            </w:r>
          </w:p>
          <w:p>
            <w:pPr>
              <w:pStyle w:val="style0"/>
              <w:spacing w:lineRule="auto" w:line="480"/>
              <w:rPr>
                <w:color w:val="000000"/>
                <w:sz w:val="20"/>
                <w:szCs w:val="22"/>
              </w:rPr>
            </w:pPr>
            <w:r>
              <w:rPr>
                <w:rFonts w:ascii="宋体" w:cs="宋体" w:hAnsi="宋体"/>
                <w:b/>
                <w:color w:val="000000"/>
                <w:sz w:val="20"/>
                <w:szCs w:val="22"/>
              </w:rPr>
              <w:t>(Pg)</w:t>
            </w:r>
          </w:p>
        </w:tc>
        <w:tc>
          <w:tcPr>
            <w:tcW w:w="902" w:type="dxa"/>
            <w:tcBorders>
              <w:top w:val="single" w:sz="4" w:space="0" w:color="auto"/>
              <w:bottom w:val="single" w:sz="4" w:space="0" w:color="auto"/>
            </w:tcBorders>
            <w:hideMark/>
          </w:tcPr>
          <w:p>
            <w:pPr>
              <w:pStyle w:val="style0"/>
              <w:spacing w:lineRule="auto" w:line="480"/>
              <w:jc w:val="center"/>
              <w:rPr>
                <w:rFonts w:ascii="宋体" w:cs="宋体" w:hAnsi="宋体"/>
                <w:b/>
                <w:color w:val="000000"/>
                <w:sz w:val="20"/>
                <w:szCs w:val="22"/>
              </w:rPr>
            </w:pPr>
            <w:r>
              <w:rPr>
                <w:rFonts w:ascii="宋体" w:cs="宋体" w:hAnsi="宋体"/>
                <w:b/>
                <w:color w:val="000000"/>
                <w:sz w:val="20"/>
                <w:szCs w:val="22"/>
              </w:rPr>
              <w:t>MCHC</w:t>
            </w:r>
          </w:p>
          <w:p>
            <w:pPr>
              <w:pStyle w:val="style0"/>
              <w:spacing w:lineRule="auto" w:line="480"/>
              <w:rPr>
                <w:color w:val="000000"/>
                <w:sz w:val="20"/>
                <w:szCs w:val="22"/>
              </w:rPr>
            </w:pPr>
            <w:r>
              <w:rPr>
                <w:rFonts w:ascii="宋体" w:cs="宋体" w:hAnsi="宋体"/>
                <w:b/>
                <w:color w:val="000000"/>
                <w:sz w:val="20"/>
                <w:szCs w:val="22"/>
              </w:rPr>
              <w:t>(g/dl)</w:t>
            </w:r>
          </w:p>
        </w:tc>
      </w:tr>
      <w:tr>
        <w:tblPrEx/>
        <w:trPr>
          <w:trHeight w:val="97" w:hRule="atLeast"/>
          <w:jc w:val="center"/>
        </w:trPr>
        <w:tc>
          <w:tcPr>
            <w:tcW w:w="552" w:type="dxa"/>
            <w:tcBorders>
              <w:top w:val="single" w:sz="4" w:space="0" w:color="auto"/>
            </w:tcBorders>
          </w:tcPr>
          <w:p>
            <w:pPr>
              <w:pStyle w:val="style0"/>
              <w:spacing w:lineRule="auto" w:line="480"/>
              <w:rPr>
                <w:rFonts w:ascii="宋体" w:cs="宋体" w:hAnsi="宋体"/>
                <w:b/>
                <w:color w:val="000000"/>
                <w:sz w:val="20"/>
                <w:szCs w:val="22"/>
              </w:rPr>
            </w:pPr>
          </w:p>
        </w:tc>
        <w:tc>
          <w:tcPr>
            <w:tcW w:w="1119" w:type="dxa"/>
            <w:tcBorders>
              <w:top w:val="single" w:sz="4" w:space="0" w:color="auto"/>
            </w:tcBorders>
          </w:tcPr>
          <w:p>
            <w:pPr>
              <w:pStyle w:val="style0"/>
              <w:spacing w:lineRule="auto" w:line="480"/>
              <w:rPr>
                <w:rFonts w:ascii="宋体" w:cs="宋体" w:hAnsi="宋体"/>
                <w:b/>
                <w:color w:val="000000"/>
                <w:sz w:val="20"/>
                <w:szCs w:val="22"/>
              </w:rPr>
            </w:pPr>
          </w:p>
        </w:tc>
        <w:tc>
          <w:tcPr>
            <w:tcW w:w="830" w:type="dxa"/>
            <w:tcBorders>
              <w:top w:val="single" w:sz="4" w:space="0" w:color="auto"/>
            </w:tcBorders>
          </w:tcPr>
          <w:p>
            <w:pPr>
              <w:pStyle w:val="style0"/>
              <w:spacing w:lineRule="auto" w:line="480"/>
              <w:rPr>
                <w:rFonts w:ascii="宋体" w:cs="宋体" w:hAnsi="宋体"/>
                <w:b/>
                <w:color w:val="000000"/>
                <w:sz w:val="20"/>
                <w:szCs w:val="22"/>
              </w:rPr>
            </w:pPr>
          </w:p>
        </w:tc>
        <w:tc>
          <w:tcPr>
            <w:tcW w:w="673" w:type="dxa"/>
            <w:tcBorders>
              <w:top w:val="single" w:sz="4" w:space="0" w:color="auto"/>
            </w:tcBorders>
          </w:tcPr>
          <w:p>
            <w:pPr>
              <w:pStyle w:val="style0"/>
              <w:spacing w:lineRule="auto" w:line="480"/>
              <w:rPr>
                <w:rFonts w:ascii="宋体" w:cs="宋体" w:hAnsi="宋体"/>
                <w:b/>
                <w:color w:val="000000"/>
                <w:sz w:val="20"/>
                <w:szCs w:val="22"/>
              </w:rPr>
            </w:pPr>
          </w:p>
        </w:tc>
        <w:tc>
          <w:tcPr>
            <w:tcW w:w="1022" w:type="dxa"/>
            <w:tcBorders>
              <w:top w:val="single" w:sz="4" w:space="0" w:color="auto"/>
            </w:tcBorders>
          </w:tcPr>
          <w:p>
            <w:pPr>
              <w:pStyle w:val="style0"/>
              <w:spacing w:lineRule="auto" w:line="480"/>
              <w:rPr>
                <w:rFonts w:ascii="宋体" w:cs="宋体" w:hAnsi="宋体"/>
                <w:b/>
                <w:color w:val="000000"/>
                <w:sz w:val="20"/>
                <w:szCs w:val="22"/>
              </w:rPr>
            </w:pPr>
          </w:p>
        </w:tc>
        <w:tc>
          <w:tcPr>
            <w:tcW w:w="649" w:type="dxa"/>
            <w:tcBorders>
              <w:top w:val="single" w:sz="4" w:space="0" w:color="auto"/>
            </w:tcBorders>
          </w:tcPr>
          <w:p>
            <w:pPr>
              <w:pStyle w:val="style0"/>
              <w:spacing w:lineRule="auto" w:line="480"/>
              <w:rPr>
                <w:rFonts w:ascii="宋体" w:cs="宋体" w:hAnsi="宋体"/>
                <w:b/>
                <w:color w:val="000000"/>
                <w:sz w:val="20"/>
                <w:szCs w:val="22"/>
              </w:rPr>
            </w:pPr>
          </w:p>
        </w:tc>
        <w:tc>
          <w:tcPr>
            <w:tcW w:w="745" w:type="dxa"/>
            <w:tcBorders>
              <w:top w:val="single" w:sz="4" w:space="0" w:color="auto"/>
            </w:tcBorders>
          </w:tcPr>
          <w:p>
            <w:pPr>
              <w:pStyle w:val="style0"/>
              <w:spacing w:lineRule="auto" w:line="480"/>
              <w:rPr>
                <w:rFonts w:ascii="宋体" w:cs="宋体" w:hAnsi="宋体"/>
                <w:b/>
                <w:color w:val="000000"/>
                <w:sz w:val="20"/>
                <w:szCs w:val="22"/>
              </w:rPr>
            </w:pPr>
          </w:p>
        </w:tc>
        <w:tc>
          <w:tcPr>
            <w:tcW w:w="806" w:type="dxa"/>
            <w:tcBorders>
              <w:top w:val="single" w:sz="4" w:space="0" w:color="auto"/>
            </w:tcBorders>
          </w:tcPr>
          <w:p>
            <w:pPr>
              <w:pStyle w:val="style0"/>
              <w:spacing w:lineRule="auto" w:line="480"/>
              <w:rPr>
                <w:rFonts w:ascii="宋体" w:cs="宋体" w:hAnsi="宋体"/>
                <w:b/>
                <w:color w:val="000000"/>
                <w:sz w:val="20"/>
                <w:szCs w:val="22"/>
              </w:rPr>
            </w:pPr>
          </w:p>
        </w:tc>
        <w:tc>
          <w:tcPr>
            <w:tcW w:w="899" w:type="dxa"/>
            <w:tcBorders>
              <w:top w:val="single" w:sz="4" w:space="0" w:color="auto"/>
            </w:tcBorders>
          </w:tcPr>
          <w:p>
            <w:pPr>
              <w:pStyle w:val="style0"/>
              <w:spacing w:lineRule="auto" w:line="480"/>
              <w:rPr>
                <w:rFonts w:ascii="宋体" w:cs="宋体" w:hAnsi="宋体"/>
                <w:b/>
                <w:color w:val="000000"/>
                <w:sz w:val="20"/>
                <w:szCs w:val="22"/>
              </w:rPr>
            </w:pPr>
          </w:p>
        </w:tc>
        <w:tc>
          <w:tcPr>
            <w:tcW w:w="709" w:type="dxa"/>
            <w:tcBorders>
              <w:top w:val="single" w:sz="4" w:space="0" w:color="auto"/>
            </w:tcBorders>
          </w:tcPr>
          <w:p>
            <w:pPr>
              <w:pStyle w:val="style0"/>
              <w:spacing w:lineRule="auto" w:line="480"/>
              <w:rPr>
                <w:rFonts w:ascii="宋体" w:cs="宋体" w:hAnsi="宋体"/>
                <w:b/>
                <w:color w:val="000000"/>
                <w:sz w:val="20"/>
                <w:szCs w:val="22"/>
              </w:rPr>
            </w:pPr>
          </w:p>
        </w:tc>
        <w:tc>
          <w:tcPr>
            <w:tcW w:w="661" w:type="dxa"/>
            <w:tcBorders>
              <w:top w:val="single" w:sz="4" w:space="0" w:color="auto"/>
            </w:tcBorders>
          </w:tcPr>
          <w:p>
            <w:pPr>
              <w:pStyle w:val="style0"/>
              <w:spacing w:lineRule="auto" w:line="480"/>
              <w:rPr>
                <w:rFonts w:ascii="宋体" w:cs="宋体" w:hAnsi="宋体"/>
                <w:b/>
                <w:color w:val="000000"/>
                <w:sz w:val="20"/>
                <w:szCs w:val="22"/>
              </w:rPr>
            </w:pPr>
          </w:p>
        </w:tc>
        <w:tc>
          <w:tcPr>
            <w:tcW w:w="733" w:type="dxa"/>
            <w:tcBorders>
              <w:top w:val="single" w:sz="4" w:space="0" w:color="auto"/>
            </w:tcBorders>
          </w:tcPr>
          <w:p>
            <w:pPr>
              <w:pStyle w:val="style0"/>
              <w:spacing w:lineRule="auto" w:line="480"/>
              <w:rPr>
                <w:rFonts w:ascii="宋体" w:cs="宋体" w:hAnsi="宋体"/>
                <w:b/>
                <w:color w:val="000000"/>
                <w:sz w:val="20"/>
                <w:szCs w:val="22"/>
              </w:rPr>
            </w:pPr>
          </w:p>
        </w:tc>
        <w:tc>
          <w:tcPr>
            <w:tcW w:w="745" w:type="dxa"/>
            <w:tcBorders>
              <w:top w:val="single" w:sz="4" w:space="0" w:color="auto"/>
            </w:tcBorders>
          </w:tcPr>
          <w:p>
            <w:pPr>
              <w:pStyle w:val="style0"/>
              <w:spacing w:lineRule="auto" w:line="480"/>
              <w:rPr>
                <w:rFonts w:ascii="宋体" w:cs="宋体" w:hAnsi="宋体"/>
                <w:b/>
                <w:color w:val="000000"/>
                <w:sz w:val="20"/>
                <w:szCs w:val="22"/>
              </w:rPr>
            </w:pPr>
          </w:p>
        </w:tc>
        <w:tc>
          <w:tcPr>
            <w:tcW w:w="902" w:type="dxa"/>
            <w:tcBorders>
              <w:top w:val="single" w:sz="4" w:space="0" w:color="auto"/>
            </w:tcBorders>
          </w:tcPr>
          <w:p>
            <w:pPr>
              <w:pStyle w:val="style0"/>
              <w:spacing w:lineRule="auto" w:line="480"/>
              <w:rPr>
                <w:rFonts w:ascii="宋体" w:cs="宋体" w:hAnsi="宋体"/>
                <w:b/>
                <w:color w:val="000000"/>
                <w:sz w:val="20"/>
                <w:szCs w:val="22"/>
              </w:rPr>
            </w:pP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1</w:t>
            </w:r>
          </w:p>
        </w:tc>
        <w:tc>
          <w:tcPr>
            <w:tcW w:w="1119" w:type="dxa"/>
            <w:tcBorders/>
            <w:hideMark/>
          </w:tcPr>
          <w:p>
            <w:pPr>
              <w:pStyle w:val="style0"/>
              <w:spacing w:lineRule="auto" w:line="480"/>
              <w:rPr>
                <w:color w:val="000000"/>
                <w:sz w:val="20"/>
                <w:szCs w:val="22"/>
              </w:rPr>
            </w:pPr>
            <w:r>
              <w:rPr>
                <w:color w:val="000000"/>
                <w:sz w:val="20"/>
                <w:szCs w:val="22"/>
              </w:rPr>
              <w:t>Group 1</w:t>
            </w:r>
          </w:p>
        </w:tc>
        <w:tc>
          <w:tcPr>
            <w:tcW w:w="830" w:type="dxa"/>
            <w:tcBorders/>
            <w:hideMark/>
          </w:tcPr>
          <w:p>
            <w:pPr>
              <w:pStyle w:val="style0"/>
              <w:spacing w:lineRule="auto" w:line="480"/>
              <w:rPr>
                <w:color w:val="000000"/>
                <w:sz w:val="20"/>
                <w:szCs w:val="22"/>
              </w:rPr>
            </w:pPr>
            <w:r>
              <w:rPr>
                <w:color w:val="000000"/>
                <w:sz w:val="20"/>
                <w:szCs w:val="22"/>
              </w:rPr>
              <w:t>8.20</w:t>
            </w:r>
          </w:p>
        </w:tc>
        <w:tc>
          <w:tcPr>
            <w:tcW w:w="673" w:type="dxa"/>
            <w:tcBorders/>
            <w:hideMark/>
          </w:tcPr>
          <w:p>
            <w:pPr>
              <w:pStyle w:val="style0"/>
              <w:spacing w:lineRule="auto" w:line="480"/>
              <w:rPr>
                <w:color w:val="000000"/>
                <w:sz w:val="20"/>
                <w:szCs w:val="22"/>
              </w:rPr>
            </w:pPr>
            <w:r>
              <w:rPr>
                <w:color w:val="000000"/>
                <w:sz w:val="20"/>
                <w:szCs w:val="22"/>
              </w:rPr>
              <w:t>27.30</w:t>
            </w:r>
          </w:p>
        </w:tc>
        <w:tc>
          <w:tcPr>
            <w:tcW w:w="1022" w:type="dxa"/>
            <w:tcBorders/>
            <w:hideMark/>
          </w:tcPr>
          <w:p>
            <w:pPr>
              <w:pStyle w:val="style0"/>
              <w:spacing w:lineRule="auto" w:line="480"/>
              <w:rPr>
                <w:color w:val="000000"/>
                <w:sz w:val="20"/>
                <w:szCs w:val="22"/>
              </w:rPr>
            </w:pPr>
            <w:r>
              <w:rPr>
                <w:color w:val="000000"/>
                <w:sz w:val="20"/>
                <w:szCs w:val="22"/>
              </w:rPr>
              <w:t>72.30</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5.00</w:t>
            </w:r>
          </w:p>
        </w:tc>
        <w:tc>
          <w:tcPr>
            <w:tcW w:w="709" w:type="dxa"/>
            <w:tcBorders/>
            <w:hideMark/>
          </w:tcPr>
          <w:p>
            <w:pPr>
              <w:pStyle w:val="style0"/>
              <w:spacing w:lineRule="auto" w:line="480"/>
              <w:rPr>
                <w:color w:val="000000"/>
                <w:sz w:val="20"/>
                <w:szCs w:val="22"/>
              </w:rPr>
            </w:pPr>
            <w:r>
              <w:rPr>
                <w:color w:val="000000"/>
                <w:sz w:val="20"/>
                <w:szCs w:val="22"/>
              </w:rPr>
              <w:t>10.33</w:t>
            </w:r>
          </w:p>
        </w:tc>
        <w:tc>
          <w:tcPr>
            <w:tcW w:w="661" w:type="dxa"/>
            <w:tcBorders/>
            <w:hideMark/>
          </w:tcPr>
          <w:p>
            <w:pPr>
              <w:pStyle w:val="style0"/>
              <w:spacing w:lineRule="auto" w:line="480"/>
              <w:rPr>
                <w:color w:val="000000"/>
                <w:sz w:val="20"/>
                <w:szCs w:val="22"/>
              </w:rPr>
            </w:pPr>
            <w:r>
              <w:rPr>
                <w:color w:val="000000"/>
                <w:sz w:val="20"/>
                <w:szCs w:val="22"/>
              </w:rPr>
              <w:t>31.00</w:t>
            </w:r>
          </w:p>
        </w:tc>
        <w:tc>
          <w:tcPr>
            <w:tcW w:w="733" w:type="dxa"/>
            <w:tcBorders/>
            <w:hideMark/>
          </w:tcPr>
          <w:p>
            <w:pPr>
              <w:pStyle w:val="style0"/>
              <w:spacing w:lineRule="auto" w:line="480"/>
              <w:rPr>
                <w:color w:val="000000"/>
                <w:sz w:val="20"/>
                <w:szCs w:val="22"/>
              </w:rPr>
            </w:pPr>
            <w:r>
              <w:rPr>
                <w:color w:val="000000"/>
                <w:sz w:val="20"/>
                <w:szCs w:val="22"/>
              </w:rPr>
              <w:t>64.00</w:t>
            </w:r>
          </w:p>
        </w:tc>
        <w:tc>
          <w:tcPr>
            <w:tcW w:w="745" w:type="dxa"/>
            <w:tcBorders/>
            <w:hideMark/>
          </w:tcPr>
          <w:p>
            <w:pPr>
              <w:pStyle w:val="style0"/>
              <w:spacing w:lineRule="auto" w:line="480"/>
              <w:rPr>
                <w:color w:val="000000"/>
                <w:sz w:val="20"/>
                <w:szCs w:val="22"/>
              </w:rPr>
            </w:pPr>
            <w:r>
              <w:rPr>
                <w:color w:val="000000"/>
                <w:sz w:val="20"/>
                <w:szCs w:val="22"/>
              </w:rPr>
              <w:t>21.10</w:t>
            </w:r>
          </w:p>
        </w:tc>
        <w:tc>
          <w:tcPr>
            <w:tcW w:w="902" w:type="dxa"/>
            <w:tcBorders/>
            <w:hideMark/>
          </w:tcPr>
          <w:p>
            <w:pPr>
              <w:pStyle w:val="style0"/>
              <w:spacing w:lineRule="auto" w:line="480"/>
              <w:rPr>
                <w:color w:val="000000"/>
                <w:sz w:val="20"/>
                <w:szCs w:val="22"/>
              </w:rPr>
            </w:pPr>
            <w:r>
              <w:rPr>
                <w:color w:val="000000"/>
                <w:sz w:val="20"/>
                <w:szCs w:val="22"/>
              </w:rPr>
              <w:t>33.00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2</w:t>
            </w:r>
          </w:p>
        </w:tc>
        <w:tc>
          <w:tcPr>
            <w:tcW w:w="1119" w:type="dxa"/>
            <w:tcBorders/>
            <w:hideMark/>
          </w:tcPr>
          <w:p>
            <w:pPr>
              <w:pStyle w:val="style0"/>
              <w:spacing w:lineRule="auto" w:line="480"/>
              <w:rPr>
                <w:color w:val="000000"/>
                <w:sz w:val="20"/>
                <w:szCs w:val="22"/>
              </w:rPr>
            </w:pPr>
            <w:r>
              <w:rPr>
                <w:color w:val="000000"/>
                <w:sz w:val="20"/>
                <w:szCs w:val="22"/>
              </w:rPr>
              <w:t>Group 2</w:t>
            </w:r>
          </w:p>
        </w:tc>
        <w:tc>
          <w:tcPr>
            <w:tcW w:w="830" w:type="dxa"/>
            <w:tcBorders/>
            <w:hideMark/>
          </w:tcPr>
          <w:p>
            <w:pPr>
              <w:pStyle w:val="style0"/>
              <w:spacing w:lineRule="auto" w:line="480"/>
              <w:rPr>
                <w:color w:val="000000"/>
                <w:sz w:val="20"/>
                <w:szCs w:val="22"/>
              </w:rPr>
            </w:pPr>
            <w:r>
              <w:rPr>
                <w:color w:val="000000"/>
                <w:sz w:val="20"/>
                <w:szCs w:val="22"/>
              </w:rPr>
              <w:t>6.73</w:t>
            </w:r>
          </w:p>
        </w:tc>
        <w:tc>
          <w:tcPr>
            <w:tcW w:w="673" w:type="dxa"/>
            <w:tcBorders/>
            <w:hideMark/>
          </w:tcPr>
          <w:p>
            <w:pPr>
              <w:pStyle w:val="style0"/>
              <w:spacing w:lineRule="auto" w:line="480"/>
              <w:rPr>
                <w:color w:val="000000"/>
                <w:sz w:val="20"/>
                <w:szCs w:val="22"/>
              </w:rPr>
            </w:pPr>
            <w:r>
              <w:rPr>
                <w:color w:val="000000"/>
                <w:sz w:val="20"/>
                <w:szCs w:val="22"/>
              </w:rPr>
              <w:t>28.00</w:t>
            </w:r>
          </w:p>
        </w:tc>
        <w:tc>
          <w:tcPr>
            <w:tcW w:w="1022" w:type="dxa"/>
            <w:tcBorders/>
            <w:hideMark/>
          </w:tcPr>
          <w:p>
            <w:pPr>
              <w:pStyle w:val="style0"/>
              <w:spacing w:lineRule="auto" w:line="480"/>
              <w:rPr>
                <w:color w:val="000000"/>
                <w:sz w:val="20"/>
                <w:szCs w:val="22"/>
              </w:rPr>
            </w:pPr>
            <w:r>
              <w:rPr>
                <w:color w:val="000000"/>
                <w:sz w:val="20"/>
                <w:szCs w:val="22"/>
              </w:rPr>
              <w:t>70.66</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5.96</w:t>
            </w:r>
          </w:p>
        </w:tc>
        <w:tc>
          <w:tcPr>
            <w:tcW w:w="709" w:type="dxa"/>
            <w:tcBorders/>
            <w:hideMark/>
          </w:tcPr>
          <w:p>
            <w:pPr>
              <w:pStyle w:val="style0"/>
              <w:spacing w:lineRule="auto" w:line="480"/>
              <w:rPr>
                <w:color w:val="000000"/>
                <w:sz w:val="20"/>
                <w:szCs w:val="22"/>
              </w:rPr>
            </w:pPr>
            <w:r>
              <w:rPr>
                <w:color w:val="000000"/>
                <w:sz w:val="20"/>
                <w:szCs w:val="22"/>
              </w:rPr>
              <w:t>12.45</w:t>
            </w:r>
          </w:p>
        </w:tc>
        <w:tc>
          <w:tcPr>
            <w:tcW w:w="661" w:type="dxa"/>
            <w:tcBorders/>
            <w:hideMark/>
          </w:tcPr>
          <w:p>
            <w:pPr>
              <w:pStyle w:val="style0"/>
              <w:spacing w:lineRule="auto" w:line="480"/>
              <w:rPr>
                <w:color w:val="000000"/>
                <w:sz w:val="20"/>
                <w:szCs w:val="22"/>
              </w:rPr>
            </w:pPr>
            <w:r>
              <w:rPr>
                <w:color w:val="000000"/>
                <w:sz w:val="20"/>
                <w:szCs w:val="22"/>
              </w:rPr>
              <w:t>37.66</w:t>
            </w:r>
          </w:p>
        </w:tc>
        <w:tc>
          <w:tcPr>
            <w:tcW w:w="733" w:type="dxa"/>
            <w:tcBorders/>
            <w:hideMark/>
          </w:tcPr>
          <w:p>
            <w:pPr>
              <w:pStyle w:val="style0"/>
              <w:spacing w:lineRule="auto" w:line="480"/>
              <w:rPr>
                <w:color w:val="000000"/>
                <w:sz w:val="20"/>
                <w:szCs w:val="22"/>
              </w:rPr>
            </w:pPr>
            <w:r>
              <w:rPr>
                <w:color w:val="000000"/>
                <w:sz w:val="20"/>
                <w:szCs w:val="22"/>
              </w:rPr>
              <w:t>64.33</w:t>
            </w:r>
          </w:p>
        </w:tc>
        <w:tc>
          <w:tcPr>
            <w:tcW w:w="745" w:type="dxa"/>
            <w:tcBorders/>
            <w:hideMark/>
          </w:tcPr>
          <w:p>
            <w:pPr>
              <w:pStyle w:val="style0"/>
              <w:spacing w:lineRule="auto" w:line="480"/>
              <w:rPr>
                <w:color w:val="000000"/>
                <w:sz w:val="20"/>
                <w:szCs w:val="22"/>
              </w:rPr>
            </w:pPr>
            <w:r>
              <w:rPr>
                <w:color w:val="000000"/>
                <w:sz w:val="20"/>
                <w:szCs w:val="22"/>
              </w:rPr>
              <w:t>20.90</w:t>
            </w:r>
          </w:p>
        </w:tc>
        <w:tc>
          <w:tcPr>
            <w:tcW w:w="902" w:type="dxa"/>
            <w:tcBorders/>
            <w:hideMark/>
          </w:tcPr>
          <w:p>
            <w:pPr>
              <w:pStyle w:val="style0"/>
              <w:spacing w:lineRule="auto" w:line="480"/>
              <w:rPr>
                <w:color w:val="000000"/>
                <w:sz w:val="20"/>
                <w:szCs w:val="22"/>
              </w:rPr>
            </w:pPr>
            <w:r>
              <w:rPr>
                <w:color w:val="000000"/>
                <w:sz w:val="20"/>
                <w:szCs w:val="22"/>
              </w:rPr>
              <w:t>33.06</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3</w:t>
            </w:r>
          </w:p>
        </w:tc>
        <w:tc>
          <w:tcPr>
            <w:tcW w:w="1119" w:type="dxa"/>
            <w:tcBorders/>
            <w:hideMark/>
          </w:tcPr>
          <w:p>
            <w:pPr>
              <w:pStyle w:val="style0"/>
              <w:spacing w:lineRule="auto" w:line="480"/>
              <w:rPr>
                <w:color w:val="000000"/>
                <w:sz w:val="20"/>
                <w:szCs w:val="22"/>
              </w:rPr>
            </w:pPr>
            <w:r>
              <w:rPr>
                <w:color w:val="000000"/>
                <w:sz w:val="20"/>
                <w:szCs w:val="22"/>
              </w:rPr>
              <w:t>Group 3</w:t>
            </w:r>
          </w:p>
        </w:tc>
        <w:tc>
          <w:tcPr>
            <w:tcW w:w="830" w:type="dxa"/>
            <w:tcBorders/>
            <w:hideMark/>
          </w:tcPr>
          <w:p>
            <w:pPr>
              <w:pStyle w:val="style0"/>
              <w:spacing w:lineRule="auto" w:line="480"/>
              <w:rPr>
                <w:color w:val="000000"/>
                <w:sz w:val="20"/>
                <w:szCs w:val="22"/>
              </w:rPr>
            </w:pPr>
            <w:r>
              <w:rPr>
                <w:color w:val="000000"/>
                <w:sz w:val="20"/>
                <w:szCs w:val="22"/>
              </w:rPr>
              <w:t>8.00</w:t>
            </w:r>
          </w:p>
        </w:tc>
        <w:tc>
          <w:tcPr>
            <w:tcW w:w="673" w:type="dxa"/>
            <w:tcBorders/>
            <w:hideMark/>
          </w:tcPr>
          <w:p>
            <w:pPr>
              <w:pStyle w:val="style0"/>
              <w:spacing w:lineRule="auto" w:line="480"/>
              <w:rPr>
                <w:color w:val="000000"/>
                <w:sz w:val="20"/>
                <w:szCs w:val="22"/>
              </w:rPr>
            </w:pPr>
            <w:r>
              <w:rPr>
                <w:color w:val="000000"/>
                <w:sz w:val="20"/>
                <w:szCs w:val="22"/>
              </w:rPr>
              <w:t>25.51</w:t>
            </w:r>
          </w:p>
        </w:tc>
        <w:tc>
          <w:tcPr>
            <w:tcW w:w="1022" w:type="dxa"/>
            <w:tcBorders/>
            <w:hideMark/>
          </w:tcPr>
          <w:p>
            <w:pPr>
              <w:pStyle w:val="style0"/>
              <w:spacing w:lineRule="auto" w:line="480"/>
              <w:rPr>
                <w:color w:val="000000"/>
                <w:sz w:val="20"/>
                <w:szCs w:val="22"/>
              </w:rPr>
            </w:pPr>
            <w:r>
              <w:rPr>
                <w:color w:val="000000"/>
                <w:sz w:val="20"/>
                <w:szCs w:val="22"/>
              </w:rPr>
              <w:t>74.50</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5.55</w:t>
            </w:r>
          </w:p>
        </w:tc>
        <w:tc>
          <w:tcPr>
            <w:tcW w:w="709" w:type="dxa"/>
            <w:tcBorders/>
            <w:hideMark/>
          </w:tcPr>
          <w:p>
            <w:pPr>
              <w:pStyle w:val="style0"/>
              <w:spacing w:lineRule="auto" w:line="480"/>
              <w:rPr>
                <w:color w:val="000000"/>
                <w:sz w:val="20"/>
                <w:szCs w:val="22"/>
              </w:rPr>
            </w:pPr>
            <w:r>
              <w:rPr>
                <w:color w:val="000000"/>
                <w:sz w:val="20"/>
                <w:szCs w:val="22"/>
              </w:rPr>
              <w:t>11.35</w:t>
            </w:r>
          </w:p>
        </w:tc>
        <w:tc>
          <w:tcPr>
            <w:tcW w:w="661" w:type="dxa"/>
            <w:tcBorders/>
            <w:hideMark/>
          </w:tcPr>
          <w:p>
            <w:pPr>
              <w:pStyle w:val="style0"/>
              <w:spacing w:lineRule="auto" w:line="480"/>
              <w:rPr>
                <w:color w:val="000000"/>
                <w:sz w:val="20"/>
                <w:szCs w:val="22"/>
              </w:rPr>
            </w:pPr>
            <w:r>
              <w:rPr>
                <w:color w:val="000000"/>
                <w:sz w:val="20"/>
                <w:szCs w:val="22"/>
              </w:rPr>
              <w:t>34.50</w:t>
            </w:r>
          </w:p>
        </w:tc>
        <w:tc>
          <w:tcPr>
            <w:tcW w:w="733" w:type="dxa"/>
            <w:tcBorders/>
            <w:hideMark/>
          </w:tcPr>
          <w:p>
            <w:pPr>
              <w:pStyle w:val="style0"/>
              <w:spacing w:lineRule="auto" w:line="480"/>
              <w:rPr>
                <w:color w:val="000000"/>
                <w:sz w:val="20"/>
                <w:szCs w:val="22"/>
              </w:rPr>
            </w:pPr>
            <w:r>
              <w:rPr>
                <w:color w:val="000000"/>
                <w:sz w:val="20"/>
                <w:szCs w:val="22"/>
              </w:rPr>
              <w:t>62.15</w:t>
            </w:r>
          </w:p>
        </w:tc>
        <w:tc>
          <w:tcPr>
            <w:tcW w:w="745" w:type="dxa"/>
            <w:tcBorders/>
            <w:hideMark/>
          </w:tcPr>
          <w:p>
            <w:pPr>
              <w:pStyle w:val="style0"/>
              <w:spacing w:lineRule="auto" w:line="480"/>
              <w:rPr>
                <w:color w:val="000000"/>
                <w:sz w:val="20"/>
                <w:szCs w:val="22"/>
              </w:rPr>
            </w:pPr>
            <w:r>
              <w:rPr>
                <w:color w:val="000000"/>
                <w:sz w:val="20"/>
                <w:szCs w:val="22"/>
              </w:rPr>
              <w:t>20.25</w:t>
            </w:r>
          </w:p>
        </w:tc>
        <w:tc>
          <w:tcPr>
            <w:tcW w:w="902" w:type="dxa"/>
            <w:tcBorders/>
            <w:hideMark/>
          </w:tcPr>
          <w:p>
            <w:pPr>
              <w:pStyle w:val="style0"/>
              <w:spacing w:lineRule="auto" w:line="480"/>
              <w:rPr>
                <w:color w:val="000000"/>
                <w:sz w:val="20"/>
                <w:szCs w:val="22"/>
              </w:rPr>
            </w:pPr>
            <w:r>
              <w:rPr>
                <w:color w:val="000000"/>
                <w:sz w:val="20"/>
                <w:szCs w:val="22"/>
              </w:rPr>
              <w:t>32.85</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4</w:t>
            </w:r>
          </w:p>
        </w:tc>
        <w:tc>
          <w:tcPr>
            <w:tcW w:w="1119" w:type="dxa"/>
            <w:tcBorders/>
            <w:hideMark/>
          </w:tcPr>
          <w:p>
            <w:pPr>
              <w:pStyle w:val="style0"/>
              <w:spacing w:lineRule="auto" w:line="480"/>
              <w:rPr>
                <w:color w:val="000000"/>
                <w:sz w:val="20"/>
                <w:szCs w:val="22"/>
              </w:rPr>
            </w:pPr>
            <w:r>
              <w:rPr>
                <w:color w:val="000000"/>
                <w:sz w:val="20"/>
                <w:szCs w:val="22"/>
              </w:rPr>
              <w:t xml:space="preserve"> Group 4 </w:t>
            </w:r>
          </w:p>
        </w:tc>
        <w:tc>
          <w:tcPr>
            <w:tcW w:w="830" w:type="dxa"/>
            <w:tcBorders/>
            <w:hideMark/>
          </w:tcPr>
          <w:p>
            <w:pPr>
              <w:pStyle w:val="style0"/>
              <w:spacing w:lineRule="auto" w:line="480"/>
              <w:rPr>
                <w:color w:val="000000"/>
                <w:sz w:val="20"/>
                <w:szCs w:val="22"/>
              </w:rPr>
            </w:pPr>
            <w:r>
              <w:rPr>
                <w:color w:val="000000"/>
                <w:sz w:val="20"/>
                <w:szCs w:val="22"/>
              </w:rPr>
              <w:t>10.33</w:t>
            </w:r>
          </w:p>
        </w:tc>
        <w:tc>
          <w:tcPr>
            <w:tcW w:w="673" w:type="dxa"/>
            <w:tcBorders/>
            <w:hideMark/>
          </w:tcPr>
          <w:p>
            <w:pPr>
              <w:pStyle w:val="style0"/>
              <w:spacing w:lineRule="auto" w:line="480"/>
              <w:rPr>
                <w:color w:val="000000"/>
                <w:sz w:val="20"/>
                <w:szCs w:val="22"/>
              </w:rPr>
            </w:pPr>
            <w:r>
              <w:rPr>
                <w:color w:val="000000"/>
                <w:sz w:val="20"/>
                <w:szCs w:val="22"/>
              </w:rPr>
              <w:t>32.66</w:t>
            </w:r>
          </w:p>
        </w:tc>
        <w:tc>
          <w:tcPr>
            <w:tcW w:w="1022" w:type="dxa"/>
            <w:tcBorders/>
            <w:hideMark/>
          </w:tcPr>
          <w:p>
            <w:pPr>
              <w:pStyle w:val="style0"/>
              <w:spacing w:lineRule="auto" w:line="480"/>
              <w:rPr>
                <w:color w:val="000000"/>
                <w:sz w:val="20"/>
                <w:szCs w:val="22"/>
              </w:rPr>
            </w:pPr>
            <w:r>
              <w:rPr>
                <w:color w:val="000000"/>
                <w:sz w:val="20"/>
                <w:szCs w:val="22"/>
              </w:rPr>
              <w:t>70.67</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6.00</w:t>
            </w:r>
          </w:p>
        </w:tc>
        <w:tc>
          <w:tcPr>
            <w:tcW w:w="709" w:type="dxa"/>
            <w:tcBorders/>
            <w:hideMark/>
          </w:tcPr>
          <w:p>
            <w:pPr>
              <w:pStyle w:val="style0"/>
              <w:spacing w:lineRule="auto" w:line="480"/>
              <w:rPr>
                <w:color w:val="000000"/>
                <w:sz w:val="20"/>
                <w:szCs w:val="22"/>
              </w:rPr>
            </w:pPr>
            <w:r>
              <w:rPr>
                <w:color w:val="000000"/>
                <w:sz w:val="20"/>
                <w:szCs w:val="22"/>
              </w:rPr>
              <w:t>12.10</w:t>
            </w:r>
          </w:p>
        </w:tc>
        <w:tc>
          <w:tcPr>
            <w:tcW w:w="661" w:type="dxa"/>
            <w:tcBorders/>
            <w:hideMark/>
          </w:tcPr>
          <w:p>
            <w:pPr>
              <w:pStyle w:val="style0"/>
              <w:spacing w:lineRule="auto" w:line="480"/>
              <w:rPr>
                <w:color w:val="000000"/>
                <w:sz w:val="20"/>
                <w:szCs w:val="22"/>
              </w:rPr>
            </w:pPr>
            <w:r>
              <w:rPr>
                <w:color w:val="000000"/>
                <w:sz w:val="20"/>
                <w:szCs w:val="22"/>
              </w:rPr>
              <w:t>36.67</w:t>
            </w:r>
          </w:p>
        </w:tc>
        <w:tc>
          <w:tcPr>
            <w:tcW w:w="733" w:type="dxa"/>
            <w:tcBorders/>
            <w:hideMark/>
          </w:tcPr>
          <w:p>
            <w:pPr>
              <w:pStyle w:val="style0"/>
              <w:spacing w:lineRule="auto" w:line="480"/>
              <w:rPr>
                <w:color w:val="000000"/>
                <w:sz w:val="20"/>
                <w:szCs w:val="22"/>
              </w:rPr>
            </w:pPr>
            <w:r>
              <w:rPr>
                <w:color w:val="000000"/>
                <w:sz w:val="20"/>
                <w:szCs w:val="22"/>
              </w:rPr>
              <w:t>61.17</w:t>
            </w:r>
          </w:p>
        </w:tc>
        <w:tc>
          <w:tcPr>
            <w:tcW w:w="745" w:type="dxa"/>
            <w:tcBorders/>
            <w:hideMark/>
          </w:tcPr>
          <w:p>
            <w:pPr>
              <w:pStyle w:val="style0"/>
              <w:spacing w:lineRule="auto" w:line="480"/>
              <w:rPr>
                <w:color w:val="000000"/>
                <w:sz w:val="20"/>
                <w:szCs w:val="22"/>
              </w:rPr>
            </w:pPr>
            <w:r>
              <w:rPr>
                <w:color w:val="000000"/>
                <w:sz w:val="20"/>
                <w:szCs w:val="22"/>
              </w:rPr>
              <w:t>20.13</w:t>
            </w:r>
          </w:p>
        </w:tc>
        <w:tc>
          <w:tcPr>
            <w:tcW w:w="902" w:type="dxa"/>
            <w:tcBorders/>
            <w:hideMark/>
          </w:tcPr>
          <w:p>
            <w:pPr>
              <w:pStyle w:val="style0"/>
              <w:spacing w:lineRule="auto" w:line="480"/>
              <w:rPr>
                <w:color w:val="000000"/>
                <w:sz w:val="20"/>
                <w:szCs w:val="22"/>
              </w:rPr>
            </w:pPr>
            <w:r>
              <w:rPr>
                <w:color w:val="000000"/>
                <w:sz w:val="20"/>
                <w:szCs w:val="22"/>
              </w:rPr>
              <w:t>33.00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5</w:t>
            </w:r>
          </w:p>
        </w:tc>
        <w:tc>
          <w:tcPr>
            <w:tcW w:w="1119" w:type="dxa"/>
            <w:tcBorders/>
            <w:hideMark/>
          </w:tcPr>
          <w:p>
            <w:pPr>
              <w:pStyle w:val="style0"/>
              <w:spacing w:lineRule="auto" w:line="480"/>
              <w:rPr>
                <w:color w:val="000000"/>
                <w:sz w:val="20"/>
                <w:szCs w:val="22"/>
              </w:rPr>
            </w:pPr>
            <w:r>
              <w:rPr>
                <w:color w:val="000000"/>
                <w:sz w:val="20"/>
                <w:szCs w:val="22"/>
              </w:rPr>
              <w:t>Group 5</w:t>
            </w:r>
          </w:p>
        </w:tc>
        <w:tc>
          <w:tcPr>
            <w:tcW w:w="830" w:type="dxa"/>
            <w:tcBorders/>
            <w:hideMark/>
          </w:tcPr>
          <w:p>
            <w:pPr>
              <w:pStyle w:val="style0"/>
              <w:spacing w:lineRule="auto" w:line="480"/>
              <w:rPr>
                <w:color w:val="000000"/>
                <w:sz w:val="20"/>
                <w:szCs w:val="22"/>
              </w:rPr>
            </w:pPr>
            <w:r>
              <w:rPr>
                <w:color w:val="000000"/>
                <w:sz w:val="20"/>
                <w:szCs w:val="22"/>
              </w:rPr>
              <w:t>6.03</w:t>
            </w:r>
          </w:p>
        </w:tc>
        <w:tc>
          <w:tcPr>
            <w:tcW w:w="673" w:type="dxa"/>
            <w:tcBorders/>
            <w:hideMark/>
          </w:tcPr>
          <w:p>
            <w:pPr>
              <w:pStyle w:val="style0"/>
              <w:spacing w:lineRule="auto" w:line="480"/>
              <w:rPr>
                <w:color w:val="000000"/>
                <w:sz w:val="20"/>
                <w:szCs w:val="22"/>
              </w:rPr>
            </w:pPr>
            <w:r>
              <w:rPr>
                <w:color w:val="000000"/>
                <w:sz w:val="20"/>
                <w:szCs w:val="22"/>
              </w:rPr>
              <w:t>33.33</w:t>
            </w:r>
          </w:p>
        </w:tc>
        <w:tc>
          <w:tcPr>
            <w:tcW w:w="1022" w:type="dxa"/>
            <w:tcBorders/>
            <w:hideMark/>
          </w:tcPr>
          <w:p>
            <w:pPr>
              <w:pStyle w:val="style0"/>
              <w:spacing w:lineRule="auto" w:line="480"/>
              <w:rPr>
                <w:color w:val="000000"/>
                <w:sz w:val="20"/>
                <w:szCs w:val="22"/>
              </w:rPr>
            </w:pPr>
            <w:r>
              <w:rPr>
                <w:color w:val="000000"/>
                <w:sz w:val="20"/>
                <w:szCs w:val="22"/>
              </w:rPr>
              <w:t>66.66</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5.57</w:t>
            </w:r>
          </w:p>
        </w:tc>
        <w:tc>
          <w:tcPr>
            <w:tcW w:w="709" w:type="dxa"/>
            <w:tcBorders/>
            <w:hideMark/>
          </w:tcPr>
          <w:p>
            <w:pPr>
              <w:pStyle w:val="style0"/>
              <w:spacing w:lineRule="auto" w:line="480"/>
              <w:rPr>
                <w:color w:val="000000"/>
                <w:sz w:val="20"/>
                <w:szCs w:val="22"/>
              </w:rPr>
            </w:pPr>
            <w:r>
              <w:rPr>
                <w:color w:val="000000"/>
                <w:sz w:val="20"/>
                <w:szCs w:val="22"/>
              </w:rPr>
              <w:t>11.33</w:t>
            </w:r>
          </w:p>
        </w:tc>
        <w:tc>
          <w:tcPr>
            <w:tcW w:w="661" w:type="dxa"/>
            <w:tcBorders/>
            <w:hideMark/>
          </w:tcPr>
          <w:p>
            <w:pPr>
              <w:pStyle w:val="style0"/>
              <w:spacing w:lineRule="auto" w:line="480"/>
              <w:rPr>
                <w:color w:val="000000"/>
                <w:sz w:val="20"/>
                <w:szCs w:val="22"/>
              </w:rPr>
            </w:pPr>
            <w:r>
              <w:rPr>
                <w:color w:val="000000"/>
                <w:sz w:val="20"/>
                <w:szCs w:val="22"/>
              </w:rPr>
              <w:t>34.00</w:t>
            </w:r>
          </w:p>
        </w:tc>
        <w:tc>
          <w:tcPr>
            <w:tcW w:w="733" w:type="dxa"/>
            <w:tcBorders/>
            <w:hideMark/>
          </w:tcPr>
          <w:p>
            <w:pPr>
              <w:pStyle w:val="style0"/>
              <w:spacing w:lineRule="auto" w:line="480"/>
              <w:rPr>
                <w:color w:val="000000"/>
                <w:sz w:val="20"/>
                <w:szCs w:val="22"/>
              </w:rPr>
            </w:pPr>
            <w:r>
              <w:rPr>
                <w:color w:val="000000"/>
                <w:sz w:val="20"/>
                <w:szCs w:val="22"/>
              </w:rPr>
              <w:t>61.00</w:t>
            </w:r>
          </w:p>
        </w:tc>
        <w:tc>
          <w:tcPr>
            <w:tcW w:w="745" w:type="dxa"/>
            <w:tcBorders/>
            <w:hideMark/>
          </w:tcPr>
          <w:p>
            <w:pPr>
              <w:pStyle w:val="style0"/>
              <w:spacing w:lineRule="auto" w:line="480"/>
              <w:rPr>
                <w:color w:val="000000"/>
                <w:sz w:val="20"/>
                <w:szCs w:val="22"/>
              </w:rPr>
            </w:pPr>
            <w:r>
              <w:rPr>
                <w:color w:val="000000"/>
                <w:sz w:val="20"/>
                <w:szCs w:val="22"/>
              </w:rPr>
              <w:t>20.33</w:t>
            </w:r>
          </w:p>
        </w:tc>
        <w:tc>
          <w:tcPr>
            <w:tcW w:w="902" w:type="dxa"/>
            <w:tcBorders/>
            <w:hideMark/>
          </w:tcPr>
          <w:p>
            <w:pPr>
              <w:pStyle w:val="style0"/>
              <w:spacing w:lineRule="auto" w:line="480"/>
              <w:rPr>
                <w:color w:val="000000"/>
                <w:sz w:val="20"/>
                <w:szCs w:val="22"/>
              </w:rPr>
            </w:pPr>
            <w:r>
              <w:rPr>
                <w:color w:val="000000"/>
                <w:sz w:val="20"/>
                <w:szCs w:val="22"/>
              </w:rPr>
              <w:t>33.30</w:t>
            </w:r>
          </w:p>
        </w:tc>
      </w:tr>
      <w:tr>
        <w:tblPrEx/>
        <w:trPr>
          <w:trHeight w:val="313" w:hRule="atLeast"/>
          <w:jc w:val="center"/>
        </w:trPr>
        <w:tc>
          <w:tcPr>
            <w:tcW w:w="552" w:type="dxa"/>
            <w:tcBorders/>
            <w:hideMark/>
          </w:tcPr>
          <w:p>
            <w:pPr>
              <w:pStyle w:val="style0"/>
              <w:spacing w:lineRule="auto" w:line="480"/>
              <w:rPr>
                <w:color w:val="000000"/>
                <w:sz w:val="20"/>
                <w:szCs w:val="22"/>
              </w:rPr>
            </w:pPr>
            <w:r>
              <w:rPr>
                <w:color w:val="000000"/>
                <w:sz w:val="20"/>
                <w:szCs w:val="22"/>
              </w:rPr>
              <w:t>6</w:t>
            </w:r>
          </w:p>
        </w:tc>
        <w:tc>
          <w:tcPr>
            <w:tcW w:w="1119" w:type="dxa"/>
            <w:tcBorders/>
            <w:hideMark/>
          </w:tcPr>
          <w:p>
            <w:pPr>
              <w:pStyle w:val="style0"/>
              <w:spacing w:lineRule="auto" w:line="480"/>
              <w:rPr>
                <w:color w:val="000000"/>
                <w:sz w:val="20"/>
                <w:szCs w:val="22"/>
              </w:rPr>
            </w:pPr>
            <w:r>
              <w:rPr>
                <w:color w:val="000000"/>
                <w:sz w:val="20"/>
                <w:szCs w:val="22"/>
              </w:rPr>
              <w:t xml:space="preserve"> Group 6</w:t>
            </w:r>
          </w:p>
        </w:tc>
        <w:tc>
          <w:tcPr>
            <w:tcW w:w="830" w:type="dxa"/>
            <w:tcBorders/>
            <w:hideMark/>
          </w:tcPr>
          <w:p>
            <w:pPr>
              <w:pStyle w:val="style0"/>
              <w:spacing w:lineRule="auto" w:line="480"/>
              <w:rPr>
                <w:color w:val="000000"/>
                <w:sz w:val="20"/>
                <w:szCs w:val="22"/>
              </w:rPr>
            </w:pPr>
            <w:r>
              <w:rPr>
                <w:color w:val="000000"/>
                <w:sz w:val="20"/>
                <w:szCs w:val="22"/>
              </w:rPr>
              <w:t>1.98</w:t>
            </w:r>
          </w:p>
        </w:tc>
        <w:tc>
          <w:tcPr>
            <w:tcW w:w="673" w:type="dxa"/>
            <w:tcBorders/>
            <w:hideMark/>
          </w:tcPr>
          <w:p>
            <w:pPr>
              <w:pStyle w:val="style0"/>
              <w:spacing w:lineRule="auto" w:line="480"/>
              <w:rPr>
                <w:color w:val="000000"/>
                <w:sz w:val="20"/>
                <w:szCs w:val="22"/>
              </w:rPr>
            </w:pPr>
            <w:r>
              <w:rPr>
                <w:color w:val="000000"/>
                <w:sz w:val="20"/>
                <w:szCs w:val="22"/>
              </w:rPr>
              <w:t>37</w:t>
            </w:r>
          </w:p>
        </w:tc>
        <w:tc>
          <w:tcPr>
            <w:tcW w:w="1022" w:type="dxa"/>
            <w:tcBorders/>
            <w:hideMark/>
          </w:tcPr>
          <w:p>
            <w:pPr>
              <w:pStyle w:val="style0"/>
              <w:spacing w:lineRule="auto" w:line="480"/>
              <w:rPr>
                <w:color w:val="000000"/>
                <w:sz w:val="20"/>
                <w:szCs w:val="22"/>
              </w:rPr>
            </w:pPr>
            <w:r>
              <w:rPr>
                <w:color w:val="000000"/>
                <w:sz w:val="20"/>
                <w:szCs w:val="22"/>
              </w:rPr>
              <w:t>62.33</w:t>
            </w:r>
          </w:p>
        </w:tc>
        <w:tc>
          <w:tcPr>
            <w:tcW w:w="649" w:type="dxa"/>
            <w:tcBorders/>
            <w:hideMark/>
          </w:tcPr>
          <w:p>
            <w:pPr>
              <w:pStyle w:val="style0"/>
              <w:spacing w:lineRule="auto" w:line="480"/>
              <w:rPr>
                <w:color w:val="000000"/>
                <w:sz w:val="20"/>
                <w:szCs w:val="22"/>
              </w:rPr>
            </w:pPr>
            <w:r>
              <w:rPr>
                <w:color w:val="000000"/>
                <w:sz w:val="20"/>
                <w:szCs w:val="22"/>
              </w:rPr>
              <w:t>NIL</w:t>
            </w:r>
          </w:p>
        </w:tc>
        <w:tc>
          <w:tcPr>
            <w:tcW w:w="745" w:type="dxa"/>
            <w:tcBorders/>
            <w:hideMark/>
          </w:tcPr>
          <w:p>
            <w:pPr>
              <w:pStyle w:val="style0"/>
              <w:spacing w:lineRule="auto" w:line="480"/>
              <w:rPr>
                <w:color w:val="000000"/>
                <w:sz w:val="20"/>
                <w:szCs w:val="22"/>
              </w:rPr>
            </w:pPr>
            <w:r>
              <w:rPr>
                <w:color w:val="000000"/>
                <w:sz w:val="20"/>
                <w:szCs w:val="22"/>
              </w:rPr>
              <w:t>NIL</w:t>
            </w:r>
          </w:p>
        </w:tc>
        <w:tc>
          <w:tcPr>
            <w:tcW w:w="806" w:type="dxa"/>
            <w:tcBorders/>
            <w:hideMark/>
          </w:tcPr>
          <w:p>
            <w:pPr>
              <w:pStyle w:val="style0"/>
              <w:spacing w:lineRule="auto" w:line="480"/>
              <w:rPr>
                <w:color w:val="000000"/>
                <w:sz w:val="20"/>
                <w:szCs w:val="22"/>
              </w:rPr>
            </w:pPr>
            <w:r>
              <w:rPr>
                <w:color w:val="000000"/>
                <w:sz w:val="20"/>
                <w:szCs w:val="22"/>
              </w:rPr>
              <w:t>NIL</w:t>
            </w:r>
          </w:p>
        </w:tc>
        <w:tc>
          <w:tcPr>
            <w:tcW w:w="899" w:type="dxa"/>
            <w:tcBorders/>
            <w:hideMark/>
          </w:tcPr>
          <w:p>
            <w:pPr>
              <w:pStyle w:val="style0"/>
              <w:spacing w:lineRule="auto" w:line="480"/>
              <w:rPr>
                <w:color w:val="000000"/>
                <w:sz w:val="20"/>
                <w:szCs w:val="22"/>
              </w:rPr>
            </w:pPr>
            <w:r>
              <w:rPr>
                <w:color w:val="000000"/>
                <w:sz w:val="20"/>
                <w:szCs w:val="22"/>
              </w:rPr>
              <w:t>5.76</w:t>
            </w:r>
          </w:p>
        </w:tc>
        <w:tc>
          <w:tcPr>
            <w:tcW w:w="709" w:type="dxa"/>
            <w:tcBorders/>
            <w:hideMark/>
          </w:tcPr>
          <w:p>
            <w:pPr>
              <w:pStyle w:val="style0"/>
              <w:spacing w:lineRule="auto" w:line="480"/>
              <w:rPr>
                <w:color w:val="000000"/>
                <w:sz w:val="20"/>
                <w:szCs w:val="22"/>
              </w:rPr>
            </w:pPr>
            <w:r>
              <w:rPr>
                <w:color w:val="000000"/>
                <w:sz w:val="20"/>
                <w:szCs w:val="22"/>
              </w:rPr>
              <w:t>11.43</w:t>
            </w:r>
          </w:p>
        </w:tc>
        <w:tc>
          <w:tcPr>
            <w:tcW w:w="661" w:type="dxa"/>
            <w:tcBorders/>
            <w:hideMark/>
          </w:tcPr>
          <w:p>
            <w:pPr>
              <w:pStyle w:val="style0"/>
              <w:spacing w:lineRule="auto" w:line="480"/>
              <w:rPr>
                <w:color w:val="000000"/>
                <w:sz w:val="20"/>
                <w:szCs w:val="22"/>
              </w:rPr>
            </w:pPr>
            <w:r>
              <w:rPr>
                <w:color w:val="000000"/>
                <w:sz w:val="20"/>
                <w:szCs w:val="22"/>
              </w:rPr>
              <w:t>34.33</w:t>
            </w:r>
          </w:p>
        </w:tc>
        <w:tc>
          <w:tcPr>
            <w:tcW w:w="733" w:type="dxa"/>
            <w:tcBorders/>
            <w:hideMark/>
          </w:tcPr>
          <w:p>
            <w:pPr>
              <w:pStyle w:val="style0"/>
              <w:spacing w:lineRule="auto" w:line="480"/>
              <w:rPr>
                <w:color w:val="000000"/>
                <w:sz w:val="20"/>
                <w:szCs w:val="22"/>
              </w:rPr>
            </w:pPr>
            <w:r>
              <w:rPr>
                <w:color w:val="000000"/>
                <w:sz w:val="20"/>
                <w:szCs w:val="22"/>
              </w:rPr>
              <w:t>59.56</w:t>
            </w:r>
          </w:p>
        </w:tc>
        <w:tc>
          <w:tcPr>
            <w:tcW w:w="745" w:type="dxa"/>
            <w:tcBorders/>
            <w:hideMark/>
          </w:tcPr>
          <w:p>
            <w:pPr>
              <w:pStyle w:val="style0"/>
              <w:spacing w:lineRule="auto" w:line="480"/>
              <w:rPr>
                <w:color w:val="000000"/>
                <w:sz w:val="20"/>
                <w:szCs w:val="22"/>
              </w:rPr>
            </w:pPr>
            <w:r>
              <w:rPr>
                <w:color w:val="000000"/>
                <w:sz w:val="20"/>
                <w:szCs w:val="22"/>
              </w:rPr>
              <w:t>19.83</w:t>
            </w:r>
          </w:p>
        </w:tc>
        <w:tc>
          <w:tcPr>
            <w:tcW w:w="902" w:type="dxa"/>
            <w:tcBorders/>
            <w:hideMark/>
          </w:tcPr>
          <w:p>
            <w:pPr>
              <w:pStyle w:val="style0"/>
              <w:spacing w:lineRule="auto" w:line="480"/>
              <w:rPr>
                <w:color w:val="000000"/>
                <w:sz w:val="20"/>
                <w:szCs w:val="22"/>
              </w:rPr>
            </w:pPr>
            <w:r>
              <w:rPr>
                <w:color w:val="000000"/>
                <w:sz w:val="20"/>
                <w:szCs w:val="22"/>
              </w:rPr>
              <w:t>33.30</w:t>
            </w:r>
          </w:p>
        </w:tc>
      </w:tr>
      <w:tr>
        <w:tblPrEx/>
        <w:trPr>
          <w:trHeight w:val="313" w:hRule="atLeast"/>
          <w:jc w:val="center"/>
        </w:trPr>
        <w:tc>
          <w:tcPr>
            <w:tcW w:w="552" w:type="dxa"/>
            <w:tcBorders>
              <w:bottom w:val="single" w:sz="4" w:space="0" w:color="auto"/>
            </w:tcBorders>
            <w:hideMark/>
          </w:tcPr>
          <w:p>
            <w:pPr>
              <w:pStyle w:val="style0"/>
              <w:spacing w:lineRule="auto" w:line="480"/>
              <w:rPr>
                <w:color w:val="000000"/>
                <w:sz w:val="20"/>
                <w:szCs w:val="22"/>
              </w:rPr>
            </w:pPr>
            <w:r>
              <w:rPr>
                <w:color w:val="000000"/>
                <w:sz w:val="20"/>
                <w:szCs w:val="22"/>
              </w:rPr>
              <w:t>7</w:t>
            </w:r>
          </w:p>
        </w:tc>
        <w:tc>
          <w:tcPr>
            <w:tcW w:w="1119" w:type="dxa"/>
            <w:tcBorders>
              <w:bottom w:val="single" w:sz="4" w:space="0" w:color="auto"/>
            </w:tcBorders>
            <w:hideMark/>
          </w:tcPr>
          <w:p>
            <w:pPr>
              <w:pStyle w:val="style0"/>
              <w:spacing w:lineRule="auto" w:line="480"/>
              <w:rPr>
                <w:color w:val="000000"/>
                <w:sz w:val="20"/>
                <w:szCs w:val="22"/>
              </w:rPr>
            </w:pPr>
            <w:r>
              <w:rPr>
                <w:color w:val="000000"/>
                <w:sz w:val="20"/>
                <w:szCs w:val="22"/>
              </w:rPr>
              <w:t>Group 7</w:t>
            </w:r>
          </w:p>
        </w:tc>
        <w:tc>
          <w:tcPr>
            <w:tcW w:w="830" w:type="dxa"/>
            <w:tcBorders>
              <w:bottom w:val="single" w:sz="4" w:space="0" w:color="auto"/>
            </w:tcBorders>
            <w:hideMark/>
          </w:tcPr>
          <w:p>
            <w:pPr>
              <w:pStyle w:val="style0"/>
              <w:spacing w:lineRule="auto" w:line="480"/>
              <w:rPr>
                <w:color w:val="000000"/>
                <w:sz w:val="20"/>
                <w:szCs w:val="22"/>
              </w:rPr>
            </w:pPr>
            <w:r>
              <w:rPr>
                <w:color w:val="000000"/>
                <w:sz w:val="20"/>
                <w:szCs w:val="22"/>
              </w:rPr>
              <w:t>3.60</w:t>
            </w:r>
          </w:p>
        </w:tc>
        <w:tc>
          <w:tcPr>
            <w:tcW w:w="673" w:type="dxa"/>
            <w:tcBorders>
              <w:bottom w:val="single" w:sz="4" w:space="0" w:color="auto"/>
            </w:tcBorders>
            <w:hideMark/>
          </w:tcPr>
          <w:p>
            <w:pPr>
              <w:pStyle w:val="style0"/>
              <w:spacing w:lineRule="auto" w:line="480"/>
              <w:rPr>
                <w:color w:val="000000"/>
                <w:sz w:val="20"/>
                <w:szCs w:val="22"/>
              </w:rPr>
            </w:pPr>
            <w:r>
              <w:rPr>
                <w:color w:val="000000"/>
                <w:sz w:val="20"/>
                <w:szCs w:val="22"/>
              </w:rPr>
              <w:t>30</w:t>
            </w:r>
          </w:p>
        </w:tc>
        <w:tc>
          <w:tcPr>
            <w:tcW w:w="1022" w:type="dxa"/>
            <w:tcBorders>
              <w:bottom w:val="single" w:sz="4" w:space="0" w:color="auto"/>
            </w:tcBorders>
            <w:hideMark/>
          </w:tcPr>
          <w:p>
            <w:pPr>
              <w:pStyle w:val="style0"/>
              <w:spacing w:lineRule="auto" w:line="480"/>
              <w:rPr>
                <w:color w:val="000000"/>
                <w:sz w:val="20"/>
                <w:szCs w:val="22"/>
              </w:rPr>
            </w:pPr>
            <w:r>
              <w:rPr>
                <w:color w:val="000000"/>
                <w:sz w:val="20"/>
                <w:szCs w:val="22"/>
              </w:rPr>
              <w:t>70</w:t>
            </w:r>
          </w:p>
        </w:tc>
        <w:tc>
          <w:tcPr>
            <w:tcW w:w="649"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745"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806" w:type="dxa"/>
            <w:tcBorders>
              <w:bottom w:val="single" w:sz="4" w:space="0" w:color="auto"/>
            </w:tcBorders>
            <w:hideMark/>
          </w:tcPr>
          <w:p>
            <w:pPr>
              <w:pStyle w:val="style0"/>
              <w:spacing w:lineRule="auto" w:line="480"/>
              <w:rPr>
                <w:color w:val="000000"/>
                <w:sz w:val="20"/>
                <w:szCs w:val="22"/>
              </w:rPr>
            </w:pPr>
            <w:r>
              <w:rPr>
                <w:color w:val="000000"/>
                <w:sz w:val="20"/>
                <w:szCs w:val="22"/>
              </w:rPr>
              <w:t>NIL</w:t>
            </w:r>
          </w:p>
        </w:tc>
        <w:tc>
          <w:tcPr>
            <w:tcW w:w="899" w:type="dxa"/>
            <w:tcBorders>
              <w:bottom w:val="single" w:sz="4" w:space="0" w:color="auto"/>
            </w:tcBorders>
            <w:hideMark/>
          </w:tcPr>
          <w:p>
            <w:pPr>
              <w:pStyle w:val="style0"/>
              <w:spacing w:lineRule="auto" w:line="480"/>
              <w:rPr>
                <w:color w:val="000000"/>
                <w:sz w:val="20"/>
                <w:szCs w:val="22"/>
              </w:rPr>
            </w:pPr>
            <w:r>
              <w:rPr>
                <w:color w:val="000000"/>
                <w:sz w:val="20"/>
                <w:szCs w:val="22"/>
              </w:rPr>
              <w:t>5.65</w:t>
            </w:r>
          </w:p>
        </w:tc>
        <w:tc>
          <w:tcPr>
            <w:tcW w:w="709" w:type="dxa"/>
            <w:tcBorders>
              <w:bottom w:val="single" w:sz="4" w:space="0" w:color="auto"/>
            </w:tcBorders>
            <w:hideMark/>
          </w:tcPr>
          <w:p>
            <w:pPr>
              <w:pStyle w:val="style0"/>
              <w:spacing w:lineRule="auto" w:line="480"/>
              <w:rPr>
                <w:color w:val="000000"/>
                <w:sz w:val="20"/>
                <w:szCs w:val="22"/>
              </w:rPr>
            </w:pPr>
            <w:r>
              <w:rPr>
                <w:color w:val="000000"/>
                <w:sz w:val="20"/>
                <w:szCs w:val="22"/>
              </w:rPr>
              <w:t>11.20</w:t>
            </w:r>
          </w:p>
        </w:tc>
        <w:tc>
          <w:tcPr>
            <w:tcW w:w="661" w:type="dxa"/>
            <w:tcBorders>
              <w:bottom w:val="single" w:sz="4" w:space="0" w:color="auto"/>
            </w:tcBorders>
            <w:hideMark/>
          </w:tcPr>
          <w:p>
            <w:pPr>
              <w:pStyle w:val="style0"/>
              <w:spacing w:lineRule="auto" w:line="480"/>
              <w:rPr>
                <w:color w:val="000000"/>
                <w:sz w:val="20"/>
                <w:szCs w:val="22"/>
              </w:rPr>
            </w:pPr>
            <w:r>
              <w:rPr>
                <w:color w:val="000000"/>
                <w:sz w:val="20"/>
                <w:szCs w:val="22"/>
              </w:rPr>
              <w:t>32.50</w:t>
            </w:r>
          </w:p>
        </w:tc>
        <w:tc>
          <w:tcPr>
            <w:tcW w:w="733" w:type="dxa"/>
            <w:tcBorders>
              <w:bottom w:val="single" w:sz="4" w:space="0" w:color="auto"/>
            </w:tcBorders>
            <w:hideMark/>
          </w:tcPr>
          <w:p>
            <w:pPr>
              <w:pStyle w:val="style0"/>
              <w:spacing w:lineRule="auto" w:line="480"/>
              <w:rPr>
                <w:color w:val="000000"/>
                <w:sz w:val="20"/>
                <w:szCs w:val="22"/>
              </w:rPr>
            </w:pPr>
            <w:r>
              <w:rPr>
                <w:color w:val="000000"/>
                <w:sz w:val="20"/>
                <w:szCs w:val="22"/>
              </w:rPr>
              <w:t>57.55</w:t>
            </w:r>
          </w:p>
        </w:tc>
        <w:tc>
          <w:tcPr>
            <w:tcW w:w="745" w:type="dxa"/>
            <w:tcBorders>
              <w:bottom w:val="single" w:sz="4" w:space="0" w:color="auto"/>
            </w:tcBorders>
            <w:hideMark/>
          </w:tcPr>
          <w:p>
            <w:pPr>
              <w:pStyle w:val="style0"/>
              <w:spacing w:lineRule="auto" w:line="480"/>
              <w:rPr>
                <w:color w:val="000000"/>
                <w:sz w:val="20"/>
                <w:szCs w:val="22"/>
              </w:rPr>
            </w:pPr>
            <w:r>
              <w:rPr>
                <w:color w:val="000000"/>
                <w:sz w:val="20"/>
                <w:szCs w:val="22"/>
              </w:rPr>
              <w:t>19.85</w:t>
            </w:r>
          </w:p>
        </w:tc>
        <w:tc>
          <w:tcPr>
            <w:tcW w:w="902" w:type="dxa"/>
            <w:tcBorders>
              <w:bottom w:val="single" w:sz="4" w:space="0" w:color="auto"/>
            </w:tcBorders>
            <w:hideMark/>
          </w:tcPr>
          <w:p>
            <w:pPr>
              <w:pStyle w:val="style0"/>
              <w:spacing w:lineRule="auto" w:line="480"/>
              <w:rPr>
                <w:color w:val="000000"/>
                <w:sz w:val="20"/>
                <w:szCs w:val="22"/>
              </w:rPr>
            </w:pPr>
            <w:r>
              <w:rPr>
                <w:color w:val="000000"/>
                <w:sz w:val="20"/>
                <w:szCs w:val="22"/>
              </w:rPr>
              <w:t>34.50</w:t>
            </w:r>
          </w:p>
        </w:tc>
      </w:tr>
    </w:tbl>
    <w:p>
      <w:pPr>
        <w:pStyle w:val="style0"/>
        <w:spacing w:after="0" w:lineRule="auto" w:line="480"/>
        <w:rPr>
          <w:b/>
          <w:color w:val="000000"/>
          <w:sz w:val="24"/>
          <w:szCs w:val="26"/>
        </w:rPr>
      </w:pPr>
    </w:p>
    <w:p>
      <w:pPr>
        <w:pStyle w:val="style0"/>
        <w:spacing w:after="0" w:lineRule="auto" w:line="480"/>
        <w:rPr>
          <w:bCs/>
          <w:color w:val="000000"/>
          <w:sz w:val="24"/>
          <w:szCs w:val="26"/>
        </w:rPr>
      </w:pPr>
      <w:r>
        <w:rPr>
          <w:b/>
          <w:color w:val="000000"/>
          <w:sz w:val="24"/>
          <w:szCs w:val="26"/>
        </w:rPr>
        <w:t xml:space="preserve">Keys: </w:t>
      </w:r>
      <w:r>
        <w:rPr>
          <w:bCs/>
          <w:color w:val="000000"/>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pPr>
        <w:pStyle w:val="style0"/>
        <w:rPr>
          <w:color w:val="000000"/>
          <w:sz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spacing w:after="0" w:lineRule="auto" w:line="240"/>
        <w:jc w:val="both"/>
        <w:rPr>
          <w:rFonts w:eastAsia="Times New Roman"/>
          <w:b/>
          <w:bCs/>
          <w:color w:val="000000"/>
          <w:sz w:val="24"/>
          <w:szCs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0"/>
        <w:rPr>
          <w:sz w:val="26"/>
        </w:rPr>
      </w:pPr>
    </w:p>
    <w:p>
      <w:pPr>
        <w:pStyle w:val="style94"/>
        <w:spacing w:lineRule="auto" w:line="480"/>
        <w:jc w:val="center"/>
        <w:rPr>
          <w:b/>
          <w:color w:val="000000"/>
          <w:szCs w:val="26"/>
        </w:rPr>
      </w:pPr>
      <w:r>
        <w:rPr>
          <w:b/>
          <w:color w:val="000000"/>
          <w:szCs w:val="26"/>
        </w:rPr>
        <w:t>CHAPTER FIVE</w:t>
      </w:r>
    </w:p>
    <w:p>
      <w:pPr>
        <w:pStyle w:val="style94"/>
        <w:spacing w:lineRule="auto" w:line="480"/>
        <w:rPr>
          <w:b/>
          <w:color w:val="000000"/>
          <w:szCs w:val="26"/>
        </w:rPr>
      </w:pPr>
      <w:r>
        <w:rPr>
          <w:b/>
          <w:color w:val="000000"/>
          <w:szCs w:val="26"/>
        </w:rPr>
        <w:t>5.0 DISCUSSION</w:t>
      </w:r>
    </w:p>
    <w:p>
      <w:pPr>
        <w:pStyle w:val="style94"/>
        <w:spacing w:lineRule="auto" w:line="480"/>
        <w:ind w:firstLine="720"/>
        <w:rPr>
          <w:b/>
          <w:color w:val="000000"/>
          <w:szCs w:val="26"/>
        </w:rPr>
      </w:pPr>
      <w:r>
        <w:rPr>
          <w:color w:val="000000"/>
          <w:szCs w:val="26"/>
        </w:rPr>
        <w:t xml:space="preserve">The present study investigated the physiological, nutritional, hematological, and phytochemical impacts of </w:t>
      </w:r>
      <w:r>
        <w:rPr>
          <w:rStyle w:val="style88"/>
          <w:color w:val="000000"/>
          <w:szCs w:val="26"/>
        </w:rPr>
        <w:t>Sida acuta</w:t>
      </w:r>
      <w:r>
        <w:rPr>
          <w:color w:val="000000"/>
          <w:szCs w:val="26"/>
        </w:rPr>
        <w:t xml:space="preserve"> extracts, with results demonstrating both consistency and reinforcement of earlier findings reported in similar research.</w:t>
      </w:r>
    </w:p>
    <w:p>
      <w:pPr>
        <w:pStyle w:val="style94"/>
        <w:spacing w:lineRule="auto" w:line="480"/>
        <w:rPr>
          <w:b/>
          <w:color w:val="000000"/>
          <w:szCs w:val="26"/>
        </w:rPr>
      </w:pPr>
      <w:r>
        <w:rPr>
          <w:b/>
          <w:color w:val="000000"/>
          <w:szCs w:val="26"/>
        </w:rPr>
        <w:t>5.1 Body Weight Gain in Experimental Animals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The analysis of body weight gain in experimental animals over a 14-day period revealed that most groups showed appreciable increases, especially Groups 1, 4, and 6, suggesting positive anabolic or nutritive properties of </w:t>
      </w:r>
      <w:r>
        <w:rPr>
          <w:rFonts w:eastAsia="Times New Roman"/>
          <w:i/>
          <w:iCs/>
          <w:color w:val="000000"/>
          <w:sz w:val="24"/>
          <w:szCs w:val="26"/>
        </w:rPr>
        <w:t>Sida acuta</w:t>
      </w:r>
      <w:r>
        <w:rPr>
          <w:rFonts w:eastAsia="Times New Roman"/>
          <w:color w:val="000000"/>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Pr>
          <w:rFonts w:eastAsia="Times New Roman"/>
          <w:i/>
          <w:iCs/>
          <w:color w:val="000000"/>
          <w:sz w:val="24"/>
          <w:szCs w:val="26"/>
        </w:rPr>
        <w:t>Sida acuta</w:t>
      </w:r>
      <w:r>
        <w:rPr>
          <w:rFonts w:eastAsia="Times New Roman"/>
          <w:color w:val="000000"/>
          <w:sz w:val="24"/>
          <w:szCs w:val="26"/>
        </w:rPr>
        <w:t xml:space="preserve"> enhanced growth performance in Wistar rats. Similarly, Idakwoji et al. (2022) reported comparable weight fluctuations depending on dosage and duration of administration, affirming that </w:t>
      </w:r>
      <w:r>
        <w:rPr>
          <w:rFonts w:eastAsia="Times New Roman"/>
          <w:i/>
          <w:iCs/>
          <w:color w:val="000000"/>
          <w:sz w:val="24"/>
          <w:szCs w:val="26"/>
        </w:rPr>
        <w:t>Sida acuta</w:t>
      </w:r>
      <w:r>
        <w:rPr>
          <w:rFonts w:eastAsia="Times New Roman"/>
          <w:color w:val="000000"/>
          <w:sz w:val="24"/>
          <w:szCs w:val="26"/>
        </w:rPr>
        <w:t xml:space="preserve"> possesses nutritive properties that can promote weight gain, but potentially leads to metabolic stress or suppressed appetite at high concentrations.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The proximate composition revealed high levels of crude protein (13.56%–13.78%) and dietary fiber (27.52%–29.22%), moderate carbohydrate levels (30.68%–</w:t>
      </w:r>
      <w:r>
        <w:rPr>
          <w:rFonts w:eastAsia="Times New Roman"/>
          <w:color w:val="000000"/>
          <w:sz w:val="24"/>
          <w:szCs w:val="26"/>
        </w:rPr>
        <w:t xml:space="preserve">31.64%), and relatively low fat content (7.07%–7.21%). These values are consistent with findings by Nwankpa et al. (2015), who highlighted the nutritional potential of </w:t>
      </w:r>
      <w:r>
        <w:rPr>
          <w:rFonts w:eastAsia="Times New Roman"/>
          <w:i/>
          <w:iCs/>
          <w:color w:val="000000"/>
          <w:sz w:val="24"/>
          <w:szCs w:val="26"/>
        </w:rPr>
        <w:t>Sida acuta</w:t>
      </w:r>
      <w:r>
        <w:rPr>
          <w:rFonts w:eastAsia="Times New Roman"/>
          <w:color w:val="000000"/>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pPr>
        <w:pStyle w:val="style0"/>
        <w:spacing w:before="100" w:beforeAutospacing="true" w:after="100" w:afterAutospacing="true" w:lineRule="auto" w:line="480"/>
        <w:outlineLvl w:val="3"/>
        <w:rPr>
          <w:rFonts w:eastAsia="Times New Roman"/>
          <w:b/>
          <w:bCs/>
          <w:color w:val="000000"/>
          <w:sz w:val="24"/>
          <w:szCs w:val="26"/>
        </w:rPr>
      </w:pPr>
      <w:r>
        <w:rPr>
          <w:rFonts w:eastAsia="Times New Roman"/>
          <w:b/>
          <w:bCs/>
          <w:color w:val="000000"/>
          <w:sz w:val="24"/>
          <w:szCs w:val="26"/>
        </w:rPr>
        <w:t xml:space="preserve">5.2 Phytochemical </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Pr>
          <w:rFonts w:eastAsia="Times New Roman"/>
          <w:i/>
          <w:iCs/>
          <w:color w:val="000000"/>
          <w:sz w:val="24"/>
          <w:szCs w:val="26"/>
        </w:rPr>
        <w:t>Sida acuta</w:t>
      </w:r>
      <w:r>
        <w:rPr>
          <w:rFonts w:eastAsia="Times New Roman"/>
          <w:color w:val="000000"/>
          <w:sz w:val="24"/>
          <w:szCs w:val="26"/>
        </w:rPr>
        <w:t xml:space="preserve"> in reducing oxidative stress in rats. These phytochemicals provide pharmacological value that supports the ethnomedicinal use of the plant in traditional medicine.</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Saponins was</w:t>
      </w:r>
      <w:r>
        <w:rPr>
          <w:rFonts w:eastAsia="Times New Roman"/>
          <w:bCs/>
          <w:color w:val="000000"/>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Pr>
          <w:rFonts w:eastAsia="Times New Roman"/>
          <w:bCs/>
          <w:i/>
          <w:color w:val="000000"/>
          <w:sz w:val="24"/>
          <w:szCs w:val="26"/>
        </w:rPr>
        <w:t>et al</w:t>
      </w:r>
      <w:r>
        <w:rPr>
          <w:rFonts w:eastAsia="Times New Roman"/>
          <w:bCs/>
          <w:color w:val="000000"/>
          <w:sz w:val="24"/>
          <w:szCs w:val="26"/>
        </w:rPr>
        <w:t xml:space="preserve">., 2019). Present of saponins in the sample and implies that the extracts can be useful in soap industry as well as antimicrobial agents. </w:t>
      </w:r>
      <w:r>
        <w:rPr>
          <w:rFonts w:eastAsia="Times New Roman"/>
          <w:bCs/>
          <w:color w:val="000000"/>
          <w:sz w:val="24"/>
          <w:szCs w:val="26"/>
        </w:rPr>
        <w:t>They are used by plants for their growths, aroma of oils and defense against microorganisms.</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 xml:space="preserve">Tannins </w:t>
      </w:r>
      <w:r>
        <w:rPr>
          <w:rFonts w:eastAsia="Times New Roman"/>
          <w:bCs/>
          <w:color w:val="000000"/>
          <w:sz w:val="24"/>
          <w:szCs w:val="26"/>
        </w:rPr>
        <w:t>was</w:t>
      </w:r>
      <w:r>
        <w:rPr>
          <w:rFonts w:eastAsia="Times New Roman"/>
          <w:bCs/>
          <w:color w:val="000000"/>
          <w:sz w:val="24"/>
          <w:szCs w:val="26"/>
        </w:rPr>
        <w:t xml:space="preserve"> found to be present in the Sample. Tannins are a class of astringent, polyphenol biomolecules that binds to and precipitate proteins and various other organic compounds including amino acids and alkaloids (Akange </w:t>
      </w:r>
      <w:r>
        <w:rPr>
          <w:rFonts w:eastAsia="Times New Roman"/>
          <w:bCs/>
          <w:i/>
          <w:color w:val="000000"/>
          <w:sz w:val="24"/>
          <w:szCs w:val="26"/>
        </w:rPr>
        <w:t>et al</w:t>
      </w:r>
      <w:r>
        <w:rPr>
          <w:rFonts w:eastAsia="Times New Roman"/>
          <w:bCs/>
          <w:color w:val="000000"/>
          <w:sz w:val="24"/>
          <w:szCs w:val="26"/>
        </w:rPr>
        <w:t>., 2019). The presence of tannins reveals that the extracts exhibit medicinal properties and can be useful for pharmacological purposes.</w:t>
      </w:r>
    </w:p>
    <w:p>
      <w:pPr>
        <w:pStyle w:val="style0"/>
        <w:spacing w:before="100" w:beforeAutospacing="true" w:after="100" w:afterAutospacing="true" w:lineRule="auto" w:line="480"/>
        <w:ind w:firstLine="720"/>
        <w:outlineLvl w:val="3"/>
        <w:rPr>
          <w:rFonts w:eastAsia="Times New Roman"/>
          <w:bCs/>
          <w:color w:val="000000"/>
          <w:sz w:val="24"/>
          <w:szCs w:val="26"/>
        </w:rPr>
      </w:pPr>
      <w:r>
        <w:rPr>
          <w:rFonts w:eastAsia="Times New Roman"/>
          <w:bCs/>
          <w:color w:val="000000"/>
          <w:sz w:val="24"/>
          <w:szCs w:val="26"/>
        </w:rPr>
        <w:t xml:space="preserve">Flavonoid was found to be presence in the sample respectively. Flavonoids are powerful antioxidants with anti-inflammatory and immune system benefits (kimar </w:t>
      </w:r>
      <w:r>
        <w:rPr>
          <w:rFonts w:eastAsia="Times New Roman"/>
          <w:bCs/>
          <w:i/>
          <w:color w:val="000000"/>
          <w:sz w:val="24"/>
          <w:szCs w:val="26"/>
        </w:rPr>
        <w:t>et al</w:t>
      </w:r>
      <w:r>
        <w:rPr>
          <w:rFonts w:eastAsia="Times New Roman"/>
          <w:bCs/>
          <w:color w:val="000000"/>
          <w:sz w:val="24"/>
          <w:szCs w:val="26"/>
        </w:rPr>
        <w:t>., 2018). Presence of flavonoids in all samples is an indication that the extracts have medicinal benefits. They are used by plants for their growths, aroma of oils and defense against microorganisms.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Pr>
          <w:rFonts w:eastAsia="Times New Roman"/>
          <w:i/>
          <w:color w:val="000000"/>
          <w:sz w:val="24"/>
          <w:szCs w:val="26"/>
        </w:rPr>
        <w:t>et al</w:t>
      </w:r>
      <w:r>
        <w:rPr>
          <w:rFonts w:eastAsia="Times New Roman"/>
          <w:color w:val="000000"/>
          <w:sz w:val="24"/>
          <w:szCs w:val="26"/>
        </w:rPr>
        <w:t>., 2001).</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Pr>
          <w:rFonts w:eastAsia="Times New Roman"/>
          <w:i/>
          <w:color w:val="000000"/>
          <w:sz w:val="24"/>
          <w:szCs w:val="26"/>
        </w:rPr>
        <w:t>et al</w:t>
      </w:r>
      <w:r>
        <w:rPr>
          <w:rFonts w:eastAsia="Times New Roman"/>
          <w:color w:val="000000"/>
          <w:sz w:val="24"/>
          <w:szCs w:val="26"/>
        </w:rPr>
        <w:t>., 2017).</w:t>
      </w:r>
    </w:p>
    <w:p>
      <w:pPr>
        <w:pStyle w:val="style0"/>
        <w:spacing w:before="100" w:beforeAutospacing="true" w:after="100" w:afterAutospacing="true" w:lineRule="auto" w:line="480"/>
        <w:rPr>
          <w:rFonts w:eastAsia="Times New Roman"/>
          <w:b/>
          <w:color w:val="000000"/>
          <w:sz w:val="24"/>
          <w:szCs w:val="26"/>
        </w:rPr>
      </w:pPr>
      <w:r>
        <w:rPr>
          <w:rFonts w:eastAsia="Times New Roman"/>
          <w:b/>
          <w:color w:val="000000"/>
          <w:sz w:val="24"/>
          <w:szCs w:val="26"/>
        </w:rPr>
        <w:t>5.3 Proximate Analysis</w:t>
      </w:r>
    </w:p>
    <w:p>
      <w:pPr>
        <w:pStyle w:val="style0"/>
        <w:spacing w:before="100" w:beforeAutospacing="true" w:after="100" w:afterAutospacing="true" w:lineRule="auto" w:line="480"/>
        <w:ind w:firstLine="720"/>
        <w:jc w:val="both"/>
        <w:rPr>
          <w:color w:val="000000"/>
          <w:sz w:val="24"/>
          <w:szCs w:val="26"/>
        </w:rPr>
      </w:pPr>
      <w:r>
        <w:rPr>
          <w:color w:val="000000"/>
          <w:sz w:val="24"/>
          <w:szCs w:val="26"/>
        </w:rPr>
        <w:t xml:space="preserve">The proximate analysis revealed that </w:t>
      </w:r>
      <w:r>
        <w:rPr>
          <w:color w:val="000000"/>
          <w:sz w:val="24"/>
          <w:szCs w:val="26"/>
        </w:rPr>
        <w:t>sample</w:t>
      </w:r>
      <w:r>
        <w:rPr>
          <w:color w:val="000000"/>
          <w:sz w:val="24"/>
          <w:szCs w:val="26"/>
        </w:rPr>
        <w:t xml:space="preserve"> of </w:t>
      </w:r>
      <w:r>
        <w:rPr>
          <w:rStyle w:val="style88"/>
          <w:color w:val="000000"/>
          <w:sz w:val="24"/>
          <w:szCs w:val="26"/>
        </w:rPr>
        <w:t>Sida acuta</w:t>
      </w:r>
      <w:r>
        <w:rPr>
          <w:color w:val="000000"/>
          <w:sz w:val="24"/>
          <w:szCs w:val="26"/>
        </w:rPr>
        <w:t xml:space="preserve"> is</w:t>
      </w:r>
      <w:r>
        <w:rPr>
          <w:color w:val="000000"/>
          <w:sz w:val="24"/>
          <w:szCs w:val="26"/>
        </w:rPr>
        <w:t xml:space="preserve"> rich in macronutrients,</w:t>
      </w:r>
      <w:r>
        <w:rPr>
          <w:color w:val="000000"/>
          <w:sz w:val="24"/>
          <w:szCs w:val="26"/>
        </w:rPr>
        <w:t xml:space="preserve"> </w:t>
      </w:r>
      <w:r>
        <w:rPr>
          <w:rStyle w:val="style88"/>
          <w:color w:val="000000"/>
          <w:sz w:val="24"/>
          <w:szCs w:val="26"/>
        </w:rPr>
        <w:t>Sida acuta</w:t>
      </w:r>
      <w:r>
        <w:rPr>
          <w:color w:val="000000"/>
          <w:sz w:val="24"/>
          <w:szCs w:val="26"/>
        </w:rPr>
        <w:t xml:space="preserve"> particularly crude protein, making them suitable </w:t>
      </w:r>
      <w:r>
        <w:rPr>
          <w:color w:val="000000"/>
          <w:sz w:val="24"/>
          <w:szCs w:val="26"/>
        </w:rPr>
        <w:t xml:space="preserve">for nutritional applications. </w:t>
      </w:r>
      <w:r>
        <w:rPr>
          <w:color w:val="000000"/>
          <w:sz w:val="24"/>
          <w:szCs w:val="26"/>
        </w:rPr>
        <w:t xml:space="preserve"> </w:t>
      </w:r>
      <w:r>
        <w:rPr>
          <w:color w:val="000000"/>
          <w:sz w:val="24"/>
          <w:szCs w:val="26"/>
        </w:rPr>
        <w:t>exhibited</w:t>
      </w:r>
      <w:r>
        <w:rPr>
          <w:color w:val="000000"/>
          <w:sz w:val="24"/>
          <w:szCs w:val="26"/>
        </w:rPr>
        <w:t xml:space="preserve"> slightly</w:t>
      </w:r>
      <w:r>
        <w:rPr>
          <w:color w:val="000000"/>
          <w:sz w:val="24"/>
          <w:szCs w:val="26"/>
        </w:rPr>
        <w:t xml:space="preserve"> higher protein contents</w:t>
      </w:r>
      <w:r>
        <w:rPr>
          <w:color w:val="000000"/>
          <w:sz w:val="24"/>
          <w:szCs w:val="26"/>
        </w:rPr>
        <w:t>, suggesting better suitability for energy and protein supplementation. The moderate crude lipid content indicates a low-fat profile, which may be beneficial for individuals on low-fat diets. High crude</w:t>
      </w:r>
      <w:r>
        <w:rPr>
          <w:color w:val="000000"/>
          <w:sz w:val="24"/>
          <w:szCs w:val="26"/>
        </w:rPr>
        <w:t xml:space="preserve"> fiber content, especially in </w:t>
      </w:r>
      <w:r>
        <w:rPr>
          <w:rStyle w:val="style88"/>
          <w:color w:val="000000"/>
          <w:sz w:val="24"/>
          <w:szCs w:val="26"/>
        </w:rPr>
        <w:t>Sida acuta</w:t>
      </w:r>
      <w:r>
        <w:rPr>
          <w:color w:val="000000"/>
          <w:sz w:val="24"/>
          <w:szCs w:val="26"/>
        </w:rPr>
        <w:t xml:space="preserve">, highlights the potential of </w:t>
      </w:r>
      <w:r>
        <w:rPr>
          <w:rStyle w:val="style88"/>
          <w:color w:val="000000"/>
          <w:sz w:val="24"/>
          <w:szCs w:val="26"/>
        </w:rPr>
        <w:t>Sida acuta</w:t>
      </w:r>
      <w:r>
        <w:rPr>
          <w:color w:val="000000"/>
          <w:sz w:val="24"/>
          <w:szCs w:val="26"/>
        </w:rPr>
        <w:t xml:space="preserve"> in promoting digestive health, although excessive fiber might reduce nutrient bioavailability. Low moisture content in both samples implies good shelf stability and reduced susceptibility to microbial spoilage.</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Sample </w:t>
      </w:r>
      <w:r>
        <w:rPr>
          <w:rStyle w:val="style88"/>
          <w:color w:val="000000"/>
          <w:sz w:val="24"/>
          <w:szCs w:val="26"/>
        </w:rPr>
        <w:t>Sida acuta</w:t>
      </w:r>
      <w:r>
        <w:rPr>
          <w:rFonts w:eastAsia="Times New Roman"/>
          <w:color w:val="000000"/>
          <w:sz w:val="24"/>
          <w:szCs w:val="26"/>
        </w:rPr>
        <w:t xml:space="preserve"> and was found to have highest </w:t>
      </w:r>
      <w:r>
        <w:rPr>
          <w:rFonts w:eastAsia="Times New Roman"/>
          <w:color w:val="000000"/>
          <w:sz w:val="24"/>
          <w:szCs w:val="26"/>
        </w:rPr>
        <w:t>moisture content</w:t>
      </w:r>
      <w:r>
        <w:rPr>
          <w:rFonts w:eastAsia="Times New Roman"/>
          <w:color w:val="000000"/>
          <w:sz w:val="24"/>
          <w:szCs w:val="26"/>
        </w:rPr>
        <w:t xml:space="preserve">. The moisture content is the amount of water in the </w:t>
      </w:r>
      <w:r>
        <w:rPr>
          <w:rFonts w:eastAsia="Times New Roman"/>
          <w:i/>
          <w:color w:val="000000"/>
          <w:sz w:val="24"/>
          <w:szCs w:val="26"/>
        </w:rPr>
        <w:t>Sida Acuta</w:t>
      </w:r>
      <w:r>
        <w:rPr>
          <w:rFonts w:eastAsia="Times New Roman"/>
          <w:color w:val="000000"/>
          <w:sz w:val="24"/>
          <w:szCs w:val="26"/>
        </w:rPr>
        <w:t xml:space="preserve"> and is usually expressed as a percentage. The low moisture content will increase the shelf life by preventing oxidation (Sanderson, 2007).</w:t>
      </w:r>
      <w:r>
        <w:rPr>
          <w:rFonts w:eastAsia="Times New Roman"/>
          <w:color w:val="000000"/>
          <w:sz w:val="24"/>
          <w:szCs w:val="26"/>
        </w:rPr>
        <w:t xml:space="preserve">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Pr>
          <w:rFonts w:eastAsia="Times New Roman"/>
          <w:color w:val="000000"/>
          <w:sz w:val="24"/>
          <w:szCs w:val="26"/>
        </w:rPr>
        <w:t xml:space="preserve"> </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Sample </w:t>
      </w:r>
      <w:r>
        <w:rPr>
          <w:rStyle w:val="style88"/>
          <w:color w:val="000000"/>
          <w:sz w:val="24"/>
          <w:szCs w:val="26"/>
        </w:rPr>
        <w:t>Sida acuta</w:t>
      </w:r>
      <w:r>
        <w:rPr>
          <w:rFonts w:eastAsia="Times New Roman"/>
          <w:color w:val="000000"/>
          <w:sz w:val="24"/>
          <w:szCs w:val="26"/>
        </w:rPr>
        <w:t xml:space="preserve"> contained 13.56% crude protein.</w:t>
      </w:r>
      <w:r>
        <w:rPr>
          <w:rFonts w:eastAsia="Times New Roman"/>
          <w:color w:val="000000"/>
          <w:sz w:val="24"/>
          <w:szCs w:val="26"/>
        </w:rPr>
        <w:t xml:space="preserve"> These values demonstrate that </w:t>
      </w:r>
      <w:r>
        <w:rPr>
          <w:rFonts w:eastAsia="Times New Roman"/>
          <w:i/>
          <w:iCs/>
          <w:color w:val="000000"/>
          <w:sz w:val="24"/>
          <w:szCs w:val="26"/>
        </w:rPr>
        <w:t>Sida acuta</w:t>
      </w:r>
      <w:r>
        <w:rPr>
          <w:rFonts w:eastAsia="Times New Roman"/>
          <w:color w:val="000000"/>
          <w:sz w:val="24"/>
          <w:szCs w:val="26"/>
        </w:rPr>
        <w:t xml:space="preserve"> is a good source of plant-based protein. Protein plays an essential role in body repair, enzyme synthesis, and muscle development, which makes </w:t>
      </w:r>
      <w:r>
        <w:rPr>
          <w:rFonts w:eastAsia="Times New Roman"/>
          <w:i/>
          <w:iCs/>
          <w:color w:val="000000"/>
          <w:sz w:val="24"/>
          <w:szCs w:val="26"/>
        </w:rPr>
        <w:t>Sida acuta</w:t>
      </w:r>
      <w:r>
        <w:rPr>
          <w:rFonts w:eastAsia="Times New Roman"/>
          <w:color w:val="000000"/>
          <w:sz w:val="24"/>
          <w:szCs w:val="26"/>
        </w:rPr>
        <w:t xml:space="preserve"> a promising supplement in both animal feed and human diets.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The lipid contents of </w:t>
      </w:r>
      <w:r>
        <w:rPr>
          <w:rStyle w:val="style88"/>
          <w:color w:val="000000"/>
          <w:sz w:val="24"/>
          <w:szCs w:val="26"/>
        </w:rPr>
        <w:t>Sida acuta</w:t>
      </w:r>
      <w:r>
        <w:rPr>
          <w:rFonts w:eastAsia="Times New Roman"/>
          <w:color w:val="000000"/>
          <w:sz w:val="24"/>
          <w:szCs w:val="26"/>
        </w:rPr>
        <w:t xml:space="preserve"> </w:t>
      </w:r>
      <w:r>
        <w:rPr>
          <w:rFonts w:eastAsia="Times New Roman"/>
          <w:color w:val="000000"/>
          <w:sz w:val="24"/>
          <w:szCs w:val="26"/>
        </w:rPr>
        <w:t>was 7.14%</w:t>
      </w:r>
      <w:r>
        <w:rPr>
          <w:rFonts w:eastAsia="Times New Roman"/>
          <w:color w:val="000000"/>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Pr>
          <w:rFonts w:eastAsia="Times New Roman"/>
          <w:i/>
          <w:color w:val="000000"/>
          <w:sz w:val="24"/>
          <w:szCs w:val="26"/>
        </w:rPr>
        <w:t>et al</w:t>
      </w:r>
      <w:r>
        <w:rPr>
          <w:rFonts w:eastAsia="Times New Roman"/>
          <w:color w:val="000000"/>
          <w:sz w:val="24"/>
          <w:szCs w:val="26"/>
        </w:rPr>
        <w:t xml:space="preserve">. 2016), the lipid content of </w:t>
      </w:r>
      <w:r>
        <w:rPr>
          <w:rFonts w:eastAsia="Times New Roman"/>
          <w:i/>
          <w:iCs/>
          <w:color w:val="000000"/>
          <w:sz w:val="24"/>
          <w:szCs w:val="26"/>
        </w:rPr>
        <w:t>Sida acuta</w:t>
      </w:r>
      <w:r>
        <w:rPr>
          <w:rFonts w:eastAsia="Times New Roman"/>
          <w:color w:val="000000"/>
          <w:sz w:val="24"/>
          <w:szCs w:val="26"/>
        </w:rPr>
        <w:t xml:space="preserve"> was estimated at 6.85%, slightly lower but within range. Their findings also emphasized the plant’s potential as a low-fat energy source, reinforcing its desirability in diets meant to manage obesity or cardiovascular risk.</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Ash content represents the total mineral matter in the plant. </w:t>
      </w:r>
      <w:r>
        <w:rPr>
          <w:rStyle w:val="style88"/>
          <w:color w:val="000000"/>
          <w:sz w:val="24"/>
          <w:szCs w:val="26"/>
        </w:rPr>
        <w:t>Sida acuta</w:t>
      </w:r>
      <w:r>
        <w:rPr>
          <w:rFonts w:eastAsia="Times New Roman"/>
          <w:color w:val="000000"/>
          <w:sz w:val="24"/>
          <w:szCs w:val="26"/>
        </w:rPr>
        <w:t xml:space="preserve"> </w:t>
      </w:r>
      <w:r>
        <w:rPr>
          <w:rFonts w:eastAsia="Times New Roman"/>
          <w:color w:val="000000"/>
          <w:sz w:val="24"/>
          <w:szCs w:val="26"/>
        </w:rPr>
        <w:t xml:space="preserve">recorded 11.39%, </w:t>
      </w:r>
      <w:r>
        <w:rPr>
          <w:rFonts w:eastAsia="Times New Roman"/>
          <w:color w:val="000000"/>
          <w:sz w:val="24"/>
          <w:szCs w:val="26"/>
        </w:rPr>
        <w:t xml:space="preserve">respectively. These values indicate high inorganic matter, pointing to rich mineral content such as calcium, potassium, and magnesium. (Ajayi </w:t>
      </w:r>
      <w:r>
        <w:rPr>
          <w:rFonts w:eastAsia="Times New Roman"/>
          <w:i/>
          <w:color w:val="000000"/>
          <w:sz w:val="24"/>
          <w:szCs w:val="26"/>
        </w:rPr>
        <w:t>et al</w:t>
      </w:r>
      <w:r>
        <w:rPr>
          <w:rFonts w:eastAsia="Times New Roman"/>
          <w:color w:val="000000"/>
          <w:sz w:val="24"/>
          <w:szCs w:val="26"/>
        </w:rPr>
        <w:t xml:space="preserve">., 2017) found ash content in </w:t>
      </w:r>
      <w:r>
        <w:rPr>
          <w:rFonts w:eastAsia="Times New Roman"/>
          <w:i/>
          <w:iCs/>
          <w:color w:val="000000"/>
          <w:sz w:val="24"/>
          <w:szCs w:val="26"/>
        </w:rPr>
        <w:t>Sida acuta</w:t>
      </w:r>
      <w:r>
        <w:rPr>
          <w:rFonts w:eastAsia="Times New Roman"/>
          <w:color w:val="000000"/>
          <w:sz w:val="24"/>
          <w:szCs w:val="26"/>
        </w:rPr>
        <w:t xml:space="preserve"> to be around 10.8%, which corroborates the mineral-rich nature </w:t>
      </w:r>
      <w:r>
        <w:rPr>
          <w:rFonts w:eastAsia="Times New Roman"/>
          <w:color w:val="000000"/>
          <w:sz w:val="24"/>
          <w:szCs w:val="26"/>
        </w:rPr>
        <w:t>of the plant. This makes the plant highly beneficial in addressing micronutrient deficiencies.</w:t>
      </w:r>
    </w:p>
    <w:p>
      <w:pPr>
        <w:pStyle w:val="style0"/>
        <w:spacing w:before="100" w:beforeAutospacing="true" w:after="100" w:afterAutospacing="true" w:lineRule="auto" w:line="480"/>
        <w:ind w:firstLine="720"/>
        <w:jc w:val="both"/>
        <w:rPr>
          <w:rFonts w:eastAsia="Times New Roman"/>
          <w:color w:val="000000"/>
          <w:sz w:val="24"/>
          <w:szCs w:val="26"/>
        </w:rPr>
      </w:pPr>
      <w:r>
        <w:rPr>
          <w:rFonts w:eastAsia="Times New Roman"/>
          <w:color w:val="000000"/>
          <w:sz w:val="24"/>
          <w:szCs w:val="26"/>
        </w:rPr>
        <w:t xml:space="preserve">Fibre content was significant </w:t>
      </w:r>
      <w:r>
        <w:rPr>
          <w:rFonts w:eastAsia="Times New Roman"/>
          <w:color w:val="000000"/>
          <w:sz w:val="24"/>
          <w:szCs w:val="26"/>
        </w:rPr>
        <w:t xml:space="preserve">lower at 27.52%. High fibre promotes digestive health and helps regulate blood sugar and cholesterol levels. In alignment with the findings of (Chukwuma </w:t>
      </w:r>
      <w:r>
        <w:rPr>
          <w:rFonts w:eastAsia="Times New Roman"/>
          <w:i/>
          <w:color w:val="000000"/>
          <w:sz w:val="24"/>
          <w:szCs w:val="26"/>
        </w:rPr>
        <w:t>et al</w:t>
      </w:r>
      <w:r>
        <w:rPr>
          <w:rFonts w:eastAsia="Times New Roman"/>
          <w:color w:val="000000"/>
          <w:sz w:val="24"/>
          <w:szCs w:val="26"/>
        </w:rPr>
        <w:t xml:space="preserve">., 2020), who reported a fibre content of approximately 28.9%, this study reinforces </w:t>
      </w:r>
      <w:r>
        <w:rPr>
          <w:rFonts w:eastAsia="Times New Roman"/>
          <w:i/>
          <w:iCs/>
          <w:color w:val="000000"/>
          <w:sz w:val="24"/>
          <w:szCs w:val="26"/>
        </w:rPr>
        <w:t>Sida acuta’s</w:t>
      </w:r>
      <w:r>
        <w:rPr>
          <w:rFonts w:eastAsia="Times New Roman"/>
          <w:color w:val="000000"/>
          <w:sz w:val="24"/>
          <w:szCs w:val="26"/>
        </w:rPr>
        <w:t xml:space="preserve"> use in promoting gastrointestinal health and satiety in both humans and animals.</w:t>
      </w:r>
    </w:p>
    <w:p>
      <w:pPr>
        <w:pStyle w:val="style0"/>
        <w:spacing w:before="100" w:beforeAutospacing="true" w:after="100" w:afterAutospacing="true" w:lineRule="auto" w:line="480"/>
        <w:outlineLvl w:val="3"/>
        <w:rPr>
          <w:rFonts w:eastAsia="Times New Roman"/>
          <w:b/>
          <w:bCs/>
          <w:color w:val="000000"/>
          <w:sz w:val="24"/>
          <w:szCs w:val="26"/>
        </w:rPr>
      </w:pPr>
      <w:r>
        <w:rPr>
          <w:rFonts w:eastAsia="Times New Roman"/>
          <w:b/>
          <w:bCs/>
          <w:color w:val="000000"/>
          <w:sz w:val="24"/>
          <w:szCs w:val="26"/>
        </w:rPr>
        <w:t>5.4 Hematological Findings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Hematological analysis revealed variations across the different experimental groups. White blood cell (WBC) counts were highest in Group 4 (10.33 × 10</w:t>
      </w:r>
      <w:r>
        <w:rPr>
          <w:rFonts w:ascii="Cambria Math" w:cs="Cambria Math" w:eastAsia="Times New Roman" w:hAnsi="Cambria Math"/>
          <w:color w:val="000000"/>
          <w:sz w:val="24"/>
          <w:szCs w:val="26"/>
        </w:rPr>
        <w:t>⁹</w:t>
      </w:r>
      <w:r>
        <w:rPr>
          <w:rFonts w:eastAsia="Times New Roman"/>
          <w:color w:val="000000"/>
          <w:sz w:val="24"/>
          <w:szCs w:val="26"/>
        </w:rPr>
        <w:t>/L) and lowest in Group 6 (1.98 × 10</w:t>
      </w:r>
      <w:r>
        <w:rPr>
          <w:rFonts w:ascii="Cambria Math" w:cs="Cambria Math" w:eastAsia="Times New Roman" w:hAnsi="Cambria Math"/>
          <w:color w:val="000000"/>
          <w:sz w:val="24"/>
          <w:szCs w:val="26"/>
        </w:rPr>
        <w:t>⁹</w:t>
      </w:r>
      <w:r>
        <w:rPr>
          <w:rFonts w:eastAsia="Times New Roman"/>
          <w:color w:val="000000"/>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Pr>
          <w:rFonts w:eastAsia="Times New Roman"/>
          <w:color w:val="000000"/>
          <w:sz w:val="24"/>
          <w:szCs w:val="26"/>
        </w:rPr>
        <w:t xml:space="preserve">of Owoeye and Salami (2024), who found that </w:t>
      </w:r>
      <w:r>
        <w:rPr>
          <w:rFonts w:eastAsia="Times New Roman"/>
          <w:i/>
          <w:iCs/>
          <w:color w:val="000000"/>
          <w:sz w:val="24"/>
          <w:szCs w:val="26"/>
        </w:rPr>
        <w:t>Sida acuta</w:t>
      </w:r>
      <w:r>
        <w:rPr>
          <w:rFonts w:eastAsia="Times New Roman"/>
          <w:color w:val="000000"/>
          <w:sz w:val="24"/>
          <w:szCs w:val="26"/>
        </w:rPr>
        <w:t xml:space="preserve"> supports hematopoiesis and may help manage conditions like anemia at appropriate doses.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pPr>
        <w:pStyle w:val="style0"/>
        <w:spacing w:before="100" w:beforeAutospacing="true" w:after="100" w:afterAutospacing="true" w:lineRule="auto" w:line="480"/>
        <w:rPr>
          <w:rFonts w:eastAsia="Times New Roman"/>
          <w:b/>
          <w:color w:val="000000"/>
          <w:sz w:val="24"/>
          <w:szCs w:val="26"/>
        </w:rPr>
      </w:pPr>
      <w:r>
        <w:rPr>
          <w:rFonts w:eastAsia="Times New Roman"/>
          <w:b/>
          <w:color w:val="000000"/>
          <w:sz w:val="24"/>
          <w:szCs w:val="26"/>
        </w:rPr>
        <w:t>5.5 Mineral Contents</w:t>
      </w:r>
    </w:p>
    <w:p>
      <w:pPr>
        <w:pStyle w:val="style0"/>
        <w:spacing w:before="100" w:beforeAutospacing="true" w:after="100" w:afterAutospacing="true" w:lineRule="auto" w:line="480"/>
        <w:ind w:firstLine="720"/>
        <w:rPr>
          <w:rFonts w:eastAsia="Times New Roman"/>
          <w:color w:val="000000"/>
          <w:sz w:val="24"/>
          <w:szCs w:val="26"/>
        </w:rPr>
      </w:pPr>
      <w:r>
        <w:rPr>
          <w:rFonts w:eastAsia="Times New Roman"/>
          <w:color w:val="000000"/>
          <w:sz w:val="24"/>
          <w:szCs w:val="26"/>
        </w:rPr>
        <w:t xml:space="preserve">Mineral analysis indicated that </w:t>
      </w:r>
      <w:r>
        <w:rPr>
          <w:rFonts w:eastAsia="Times New Roman"/>
          <w:i/>
          <w:iCs/>
          <w:color w:val="000000"/>
          <w:sz w:val="24"/>
          <w:szCs w:val="26"/>
        </w:rPr>
        <w:t>Sida acuta</w:t>
      </w:r>
      <w:r>
        <w:rPr>
          <w:rFonts w:eastAsia="Times New Roman"/>
          <w:color w:val="000000"/>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Pr>
          <w:rFonts w:eastAsia="Times New Roman"/>
          <w:i/>
          <w:iCs/>
          <w:color w:val="000000"/>
          <w:sz w:val="24"/>
          <w:szCs w:val="26"/>
        </w:rPr>
        <w:t>Sida acuta</w:t>
      </w:r>
      <w:r>
        <w:rPr>
          <w:rFonts w:eastAsia="Times New Roman"/>
          <w:color w:val="000000"/>
          <w:sz w:val="24"/>
          <w:szCs w:val="26"/>
        </w:rPr>
        <w:t xml:space="preserve"> in nutritional and medicinal contexts.</w:t>
      </w:r>
    </w:p>
    <w:p>
      <w:pPr>
        <w:pStyle w:val="style94"/>
        <w:spacing w:lineRule="auto" w:line="480"/>
        <w:jc w:val="both"/>
        <w:rPr>
          <w:color w:val="000000"/>
          <w:szCs w:val="26"/>
        </w:rPr>
      </w:pPr>
      <w:r>
        <w:rPr>
          <w:b/>
          <w:color w:val="000000"/>
          <w:szCs w:val="26"/>
        </w:rPr>
        <w:t>5.6</w:t>
      </w:r>
      <w:r>
        <w:rPr>
          <w:color w:val="000000"/>
          <w:szCs w:val="26"/>
        </w:rPr>
        <w:tab/>
      </w:r>
      <w:r>
        <w:rPr>
          <w:rStyle w:val="style87"/>
          <w:color w:val="000000"/>
          <w:szCs w:val="26"/>
        </w:rPr>
        <w:t>Ulcerated</w:t>
      </w:r>
      <w:r>
        <w:rPr>
          <w:rStyle w:val="style87"/>
          <w:color w:val="000000"/>
          <w:szCs w:val="26"/>
        </w:rPr>
        <w:tab/>
      </w:r>
      <w:r>
        <w:rPr>
          <w:rStyle w:val="style87"/>
          <w:color w:val="000000"/>
          <w:szCs w:val="26"/>
        </w:rPr>
        <w:t>Area</w:t>
      </w:r>
      <w:r>
        <w:rPr>
          <w:color w:val="000000"/>
          <w:szCs w:val="26"/>
        </w:rPr>
        <w:br/>
      </w:r>
      <w:r>
        <w:rPr>
          <w:color w:val="000000"/>
          <w:szCs w:val="26"/>
        </w:rPr>
        <w:t xml:space="preserve">Measurement of ulcerated regions revealed a clear distinction between groups in terms of mucosal damage. Group 4 exhibited the largest ulcerated areas, with lengths ranging from </w:t>
      </w:r>
      <w:r>
        <w:rPr>
          <w:color w:val="000000"/>
          <w:szCs w:val="26"/>
        </w:rPr>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pPr>
        <w:pStyle w:val="style94"/>
        <w:spacing w:lineRule="auto" w:line="480"/>
        <w:rPr>
          <w:b/>
          <w:bCs/>
          <w:color w:val="000000"/>
          <w:szCs w:val="26"/>
        </w:rPr>
      </w:pPr>
      <w:r>
        <w:rPr>
          <w:rStyle w:val="style87"/>
          <w:color w:val="000000"/>
          <w:szCs w:val="26"/>
        </w:rPr>
        <w:t xml:space="preserve">5.7 Stomach Area </w:t>
      </w:r>
      <w:r>
        <w:rPr>
          <w:color w:val="000000"/>
          <w:szCs w:val="26"/>
        </w:rPr>
        <w:br/>
      </w:r>
      <w:r>
        <w:rPr>
          <w:color w:val="000000"/>
          <w:szCs w:val="26"/>
        </w:rP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pPr>
        <w:pStyle w:val="style94"/>
        <w:spacing w:lineRule="auto" w:line="480"/>
        <w:rPr>
          <w:b/>
          <w:bCs/>
          <w:color w:val="000000"/>
          <w:szCs w:val="26"/>
        </w:rPr>
      </w:pPr>
      <w:r>
        <w:rPr>
          <w:rStyle w:val="style87"/>
          <w:color w:val="000000"/>
          <w:szCs w:val="26"/>
        </w:rPr>
        <w:t xml:space="preserve">5.8 Total Tannin Content </w:t>
      </w:r>
      <w:r>
        <w:rPr>
          <w:color w:val="000000"/>
          <w:szCs w:val="26"/>
        </w:rPr>
        <w:br/>
      </w:r>
      <w:r>
        <w:rPr>
          <w:color w:val="000000"/>
          <w:szCs w:val="26"/>
        </w:rP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Pr>
          <w:color w:val="000000"/>
          <w:szCs w:val="26"/>
        </w:rPr>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pPr>
        <w:pStyle w:val="style0"/>
        <w:spacing w:before="100" w:beforeAutospacing="true" w:after="100" w:afterAutospacing="true" w:lineRule="auto" w:line="480"/>
        <w:rPr>
          <w:rFonts w:eastAsia="Times New Roman"/>
          <w:color w:val="000000"/>
          <w:sz w:val="24"/>
          <w:szCs w:val="26"/>
        </w:rPr>
      </w:pPr>
    </w:p>
    <w:p>
      <w:pPr>
        <w:pStyle w:val="style0"/>
        <w:spacing w:before="100" w:beforeAutospacing="true" w:after="100" w:afterAutospacing="true"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0"/>
        <w:spacing w:after="0" w:lineRule="auto" w:line="480"/>
        <w:rPr>
          <w:rFonts w:eastAsia="Times New Roman"/>
          <w:color w:val="000000"/>
          <w:sz w:val="24"/>
          <w:szCs w:val="26"/>
        </w:rPr>
      </w:pPr>
    </w:p>
    <w:p>
      <w:pPr>
        <w:pStyle w:val="style94"/>
        <w:rPr>
          <w:b/>
          <w:color w:val="000000"/>
          <w:sz w:val="22"/>
        </w:rPr>
      </w:pPr>
      <w:r>
        <w:rPr>
          <w:b/>
          <w:color w:val="000000"/>
          <w:sz w:val="22"/>
        </w:rPr>
        <w:t>CONCLUSION</w:t>
      </w:r>
    </w:p>
    <w:p>
      <w:pPr>
        <w:pStyle w:val="style94"/>
        <w:spacing w:lineRule="auto" w:line="480"/>
        <w:ind w:firstLine="720"/>
        <w:jc w:val="both"/>
        <w:rPr>
          <w:color w:val="000000"/>
          <w:szCs w:val="26"/>
        </w:rPr>
      </w:pPr>
      <w:r>
        <w:rPr>
          <w:color w:val="000000"/>
          <w:szCs w:val="26"/>
        </w:rPr>
        <w:t xml:space="preserve">The present study comprehensively evaluated the </w:t>
      </w:r>
      <w:r>
        <w:rPr>
          <w:rStyle w:val="style87"/>
          <w:b w:val="false"/>
          <w:color w:val="000000"/>
          <w:szCs w:val="26"/>
        </w:rPr>
        <w:t>physiological, nutritional, hematological, and phytochemical impacts</w:t>
      </w:r>
      <w:r>
        <w:rPr>
          <w:b/>
          <w:color w:val="000000"/>
          <w:szCs w:val="26"/>
        </w:rPr>
        <w:t xml:space="preserve"> </w:t>
      </w:r>
      <w:r>
        <w:rPr>
          <w:color w:val="000000"/>
          <w:szCs w:val="26"/>
        </w:rPr>
        <w:t xml:space="preserve">of </w:t>
      </w:r>
      <w:r>
        <w:rPr>
          <w:rStyle w:val="style88"/>
          <w:color w:val="000000"/>
          <w:szCs w:val="26"/>
        </w:rPr>
        <w:t>Sida acuta</w:t>
      </w:r>
      <w:r>
        <w:rPr>
          <w:color w:val="000000"/>
          <w:szCs w:val="26"/>
        </w:rPr>
        <w:t xml:space="preserve"> extracts on experimental animals, yielding results that strongly align with findings from earlier studies, thus reinforcing the plant’s therapeutic and nutritional potential.</w:t>
      </w:r>
    </w:p>
    <w:p>
      <w:pPr>
        <w:pStyle w:val="style94"/>
        <w:spacing w:lineRule="auto" w:line="480"/>
        <w:jc w:val="both"/>
        <w:rPr>
          <w:color w:val="000000"/>
          <w:szCs w:val="26"/>
        </w:rPr>
      </w:pPr>
      <w:r>
        <w:rPr>
          <w:color w:val="000000"/>
          <w:szCs w:val="26"/>
        </w:rPr>
        <w:t xml:space="preserve">The </w:t>
      </w:r>
      <w:r>
        <w:rPr>
          <w:rStyle w:val="style87"/>
          <w:b w:val="false"/>
          <w:color w:val="000000"/>
          <w:szCs w:val="26"/>
        </w:rPr>
        <w:t>weight gain analysis</w:t>
      </w:r>
      <w:r>
        <w:rPr>
          <w:color w:val="000000"/>
          <w:szCs w:val="26"/>
        </w:rPr>
        <w:t xml:space="preserve"> demonstrated that </w:t>
      </w:r>
      <w:r>
        <w:rPr>
          <w:rStyle w:val="style88"/>
          <w:color w:val="000000"/>
          <w:szCs w:val="26"/>
        </w:rPr>
        <w:t>Sida acuta</w:t>
      </w:r>
      <w:r>
        <w:rPr>
          <w:color w:val="000000"/>
          <w:szCs w:val="26"/>
        </w:rPr>
        <w:t xml:space="preserve"> supports body mass increase, particularly at moderate dosages, echoing the conclusions that Groups 1, 4, and 6 showing significant </w:t>
      </w:r>
      <w:r>
        <w:rPr>
          <w:color w:val="000000"/>
          <w:szCs w:val="26"/>
        </w:rPr>
        <w:t xml:space="preserve">weight </w:t>
      </w:r>
      <w:r>
        <w:rPr>
          <w:color w:val="000000"/>
          <w:szCs w:val="26"/>
        </w:rPr>
        <w:t>gain</w:t>
      </w:r>
      <w:r>
        <w:rPr>
          <w:color w:val="000000"/>
          <w:szCs w:val="26"/>
        </w:rPr>
        <w:t>.</w:t>
      </w:r>
      <w:r>
        <w:rPr>
          <w:color w:val="000000"/>
          <w:szCs w:val="26"/>
        </w:rPr>
        <w:t xml:space="preserve"> </w:t>
      </w:r>
      <w:r>
        <w:rPr>
          <w:color w:val="000000"/>
          <w:szCs w:val="26"/>
        </w:rPr>
        <w:t xml:space="preserve">The </w:t>
      </w:r>
      <w:r>
        <w:rPr>
          <w:rStyle w:val="style87"/>
          <w:b w:val="false"/>
          <w:color w:val="000000"/>
          <w:szCs w:val="26"/>
        </w:rPr>
        <w:t>proximate analysis</w:t>
      </w:r>
      <w:r>
        <w:rPr>
          <w:color w:val="000000"/>
          <w:szCs w:val="26"/>
        </w:rPr>
        <w:t xml:space="preserve"> confirmed that </w:t>
      </w:r>
      <w:r>
        <w:rPr>
          <w:rStyle w:val="style88"/>
          <w:color w:val="000000"/>
          <w:szCs w:val="26"/>
        </w:rPr>
        <w:t>Sida acuta</w:t>
      </w:r>
      <w:r>
        <w:rPr>
          <w:color w:val="000000"/>
          <w:szCs w:val="26"/>
        </w:rPr>
        <w:t xml:space="preserve"> is a rich source o</w:t>
      </w:r>
      <w:r>
        <w:rPr>
          <w:color w:val="000000"/>
          <w:szCs w:val="26"/>
        </w:rPr>
        <w:t xml:space="preserve">f crude protein. </w:t>
      </w:r>
      <w:r>
        <w:rPr>
          <w:color w:val="000000"/>
          <w:szCs w:val="26"/>
        </w:rPr>
        <w:t xml:space="preserve">The </w:t>
      </w:r>
      <w:r>
        <w:rPr>
          <w:rStyle w:val="style87"/>
          <w:b w:val="false"/>
          <w:color w:val="000000"/>
          <w:szCs w:val="26"/>
        </w:rPr>
        <w:t>phytochemical screening</w:t>
      </w:r>
      <w:r>
        <w:rPr>
          <w:color w:val="000000"/>
          <w:szCs w:val="26"/>
        </w:rPr>
        <w:t xml:space="preserve"> further validated the presenc</w:t>
      </w:r>
      <w:r>
        <w:rPr>
          <w:color w:val="000000"/>
          <w:szCs w:val="26"/>
        </w:rPr>
        <w:t xml:space="preserve">e of potent bioactive compounds </w:t>
      </w:r>
      <w:r>
        <w:rPr>
          <w:color w:val="000000"/>
          <w:szCs w:val="26"/>
        </w:rPr>
        <w:t>saponins, tannins, flav</w:t>
      </w:r>
      <w:r>
        <w:rPr>
          <w:color w:val="000000"/>
          <w:szCs w:val="26"/>
        </w:rPr>
        <w:t xml:space="preserve">onoids, phenols, and glycosides </w:t>
      </w:r>
      <w:r>
        <w:rPr>
          <w:color w:val="000000"/>
          <w:szCs w:val="26"/>
        </w:rPr>
        <w:t xml:space="preserve">known for their </w:t>
      </w:r>
      <w:r>
        <w:rPr>
          <w:rStyle w:val="style87"/>
          <w:b w:val="false"/>
          <w:color w:val="000000"/>
          <w:szCs w:val="26"/>
        </w:rPr>
        <w:t>antioxidant, antimicrobial, anti-inflammatory, and cardioprotective</w:t>
      </w:r>
      <w:r>
        <w:rPr>
          <w:color w:val="000000"/>
          <w:szCs w:val="26"/>
        </w:rPr>
        <w:t xml:space="preserve"> properties. From a </w:t>
      </w:r>
      <w:r>
        <w:rPr>
          <w:rStyle w:val="style87"/>
          <w:b w:val="false"/>
          <w:color w:val="000000"/>
          <w:szCs w:val="26"/>
        </w:rPr>
        <w:t>hematological standpoint</w:t>
      </w:r>
      <w:r>
        <w:rPr>
          <w:color w:val="000000"/>
          <w:szCs w:val="26"/>
        </w:rPr>
        <w:t xml:space="preserve">, the extract positively influenced red blood cell production, hemoglobin concentration, and packed cell volume, particularly at moderate doses (Groups 2 and 4). These effects suggest </w:t>
      </w:r>
      <w:r>
        <w:rPr>
          <w:rStyle w:val="style88"/>
          <w:color w:val="000000"/>
          <w:szCs w:val="26"/>
        </w:rPr>
        <w:t>Sida acuta’s</w:t>
      </w:r>
      <w:r>
        <w:rPr>
          <w:color w:val="000000"/>
          <w:szCs w:val="26"/>
        </w:rPr>
        <w:t xml:space="preserve"> role in supporting erythropoiesis and managing conditions like anemia</w:t>
      </w:r>
      <w:r>
        <w:rPr>
          <w:color w:val="000000"/>
          <w:szCs w:val="26"/>
        </w:rPr>
        <w:t xml:space="preserve">. </w:t>
      </w:r>
      <w:r>
        <w:rPr>
          <w:color w:val="000000"/>
          <w:szCs w:val="26"/>
        </w:rPr>
        <w:t xml:space="preserve">The </w:t>
      </w:r>
      <w:r>
        <w:rPr>
          <w:rStyle w:val="style87"/>
          <w:b w:val="false"/>
          <w:color w:val="000000"/>
          <w:szCs w:val="26"/>
        </w:rPr>
        <w:t>mineral composition</w:t>
      </w:r>
      <w:r>
        <w:rPr>
          <w:color w:val="000000"/>
          <w:szCs w:val="26"/>
        </w:rPr>
        <w:t xml:space="preserve"> of </w:t>
      </w:r>
      <w:r>
        <w:rPr>
          <w:rStyle w:val="style88"/>
          <w:color w:val="000000"/>
          <w:szCs w:val="26"/>
        </w:rPr>
        <w:t>Sida acuta</w:t>
      </w:r>
      <w:r>
        <w:rPr>
          <w:color w:val="000000"/>
          <w:szCs w:val="26"/>
        </w:rPr>
        <w:t xml:space="preserve"> (Fe, Cu, Zn, K, Mg, </w:t>
      </w:r>
      <w:r>
        <w:rPr>
          <w:color w:val="000000"/>
          <w:szCs w:val="26"/>
        </w:rPr>
        <w:t>Ca</w:t>
      </w:r>
      <w:r>
        <w:rPr>
          <w:color w:val="000000"/>
          <w:szCs w:val="26"/>
        </w:rPr>
        <w:t xml:space="preserve">) further adds to its nutritional value, supporting metabolic functions, hematopoiesis, and cardiovascular health. </w:t>
      </w: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r>
        <w:rPr>
          <w:b/>
          <w:color w:val="000000"/>
          <w:szCs w:val="26"/>
        </w:rPr>
        <w:t>RECOMMENDATION</w:t>
      </w:r>
      <w:r>
        <w:rPr>
          <w:b/>
          <w:color w:val="000000"/>
          <w:szCs w:val="26"/>
        </w:rPr>
        <w:t xml:space="preserve"> </w:t>
      </w:r>
      <w:r>
        <w:rPr>
          <w:rStyle w:val="style87"/>
          <w:bCs w:val="false"/>
          <w:color w:val="000000"/>
          <w:sz w:val="22"/>
        </w:rPr>
        <w:t>FUTURE RESEARCHERS</w:t>
      </w:r>
    </w:p>
    <w:p>
      <w:pPr>
        <w:pStyle w:val="style94"/>
        <w:spacing w:lineRule="auto" w:line="480"/>
        <w:ind w:firstLine="360"/>
        <w:jc w:val="both"/>
        <w:rPr>
          <w:color w:val="000000"/>
        </w:rPr>
      </w:pPr>
      <w:r>
        <w:rPr>
          <w:color w:val="000000"/>
        </w:rPr>
        <w:t xml:space="preserve">In view of the comprehensive findings from this study on the physiological, nutritional, hematological, and phytochemical impacts of </w:t>
      </w:r>
      <w:r>
        <w:rPr>
          <w:rStyle w:val="style88"/>
          <w:color w:val="000000"/>
        </w:rPr>
        <w:t>Sida acuta</w:t>
      </w:r>
      <w:r>
        <w:rPr>
          <w:color w:val="000000"/>
        </w:rPr>
        <w:t>, the following recommendations are made to guide future research efforts:</w:t>
      </w:r>
    </w:p>
    <w:p>
      <w:pPr>
        <w:pStyle w:val="style94"/>
        <w:spacing w:lineRule="auto" w:line="480"/>
        <w:jc w:val="both"/>
        <w:rPr>
          <w:rStyle w:val="style87"/>
          <w:color w:val="000000"/>
        </w:rPr>
      </w:pPr>
      <w:r>
        <w:rPr>
          <w:rStyle w:val="style87"/>
          <w:color w:val="000000"/>
        </w:rPr>
        <w:t>Conduct Clinical Trials and Human Studies</w:t>
      </w:r>
    </w:p>
    <w:p>
      <w:pPr>
        <w:pStyle w:val="style94"/>
        <w:spacing w:lineRule="auto" w:line="480"/>
        <w:ind w:firstLine="720"/>
        <w:jc w:val="both"/>
        <w:rPr>
          <w:b/>
          <w:bCs/>
          <w:color w:val="000000"/>
        </w:rPr>
      </w:pPr>
      <w:r>
        <w:rPr>
          <w:color w:val="000000"/>
        </w:rPr>
        <w:t xml:space="preserve">Future researchers are encouraged to extend this investigation beyond animal models to human clinical trials. This would validate the safety, efficacy, and dosage thresholds of </w:t>
      </w:r>
      <w:r>
        <w:rPr>
          <w:rStyle w:val="style88"/>
          <w:color w:val="000000"/>
        </w:rPr>
        <w:t>Sida acuta</w:t>
      </w:r>
      <w:r>
        <w:rPr>
          <w:color w:val="000000"/>
        </w:rPr>
        <w:t xml:space="preserve"> in treating conditions such as anemia and nutritional deficiencies in humans.</w:t>
      </w:r>
    </w:p>
    <w:p>
      <w:pPr>
        <w:pStyle w:val="style94"/>
        <w:spacing w:lineRule="auto" w:line="480"/>
        <w:jc w:val="both"/>
        <w:rPr>
          <w:rStyle w:val="style87"/>
          <w:color w:val="000000"/>
        </w:rPr>
      </w:pPr>
      <w:r>
        <w:rPr>
          <w:rStyle w:val="style87"/>
          <w:color w:val="000000"/>
        </w:rPr>
        <w:t>Isolate and Characterize Active Componds</w:t>
      </w:r>
    </w:p>
    <w:p>
      <w:pPr>
        <w:pStyle w:val="style94"/>
        <w:spacing w:lineRule="auto" w:line="480"/>
        <w:ind w:firstLine="720"/>
        <w:jc w:val="both"/>
        <w:rPr>
          <w:color w:val="000000"/>
        </w:rPr>
      </w:pPr>
      <w:r>
        <w:rPr>
          <w:color w:val="000000"/>
        </w:rPr>
        <w:t xml:space="preserve">While the study confirmed the presence of several bioactive compounds, further research should focus on isolating, purifying, and characterizing these phytochemicals. This could lead to the development of novel drugs or therapeutic agents from </w:t>
      </w:r>
      <w:r>
        <w:rPr>
          <w:rStyle w:val="style88"/>
          <w:color w:val="000000"/>
        </w:rPr>
        <w:t>Sida acuta</w:t>
      </w:r>
      <w:r>
        <w:rPr>
          <w:color w:val="000000"/>
        </w:rPr>
        <w:t>.</w:t>
      </w:r>
    </w:p>
    <w:p>
      <w:pPr>
        <w:pStyle w:val="style94"/>
        <w:spacing w:lineRule="auto" w:line="480"/>
        <w:jc w:val="both"/>
        <w:rPr>
          <w:rStyle w:val="style87"/>
          <w:b w:val="false"/>
          <w:bCs w:val="false"/>
          <w:color w:val="000000"/>
        </w:rPr>
      </w:pPr>
      <w:r>
        <w:rPr>
          <w:rStyle w:val="style87"/>
          <w:color w:val="000000"/>
        </w:rPr>
        <w:t xml:space="preserve">Evaluate Long-Term Toxicity and Safety Profile </w:t>
      </w:r>
    </w:p>
    <w:p>
      <w:pPr>
        <w:pStyle w:val="style94"/>
        <w:spacing w:lineRule="auto" w:line="480"/>
        <w:ind w:firstLine="720"/>
        <w:jc w:val="both"/>
        <w:rPr>
          <w:color w:val="000000"/>
        </w:rPr>
      </w:pPr>
      <w:r>
        <w:rPr>
          <w:color w:val="000000"/>
        </w:rPr>
        <w:t xml:space="preserve">Long-term administration and chronic toxicity studies are needed to assess the potential side effects or cumulative impacts of </w:t>
      </w:r>
      <w:r>
        <w:rPr>
          <w:rStyle w:val="style88"/>
          <w:color w:val="000000"/>
        </w:rPr>
        <w:t>Sida acuta</w:t>
      </w:r>
      <w:r>
        <w:rPr>
          <w:color w:val="000000"/>
        </w:rPr>
        <w:t xml:space="preserve"> extract, particularly at higher doses. This will help define its safety margin and therapeutic window.</w:t>
      </w:r>
    </w:p>
    <w:p>
      <w:pPr>
        <w:pStyle w:val="style94"/>
        <w:jc w:val="both"/>
        <w:rPr>
          <w:b/>
          <w:bCs/>
          <w:color w:val="000000"/>
        </w:rPr>
      </w:pPr>
      <w:r>
        <w:rPr>
          <w:rStyle w:val="style87"/>
          <w:color w:val="000000"/>
        </w:rPr>
        <w:t>Investigate Synergistic Effects with Other Herbs or Drugs</w:t>
      </w:r>
    </w:p>
    <w:p>
      <w:pPr>
        <w:pStyle w:val="style94"/>
        <w:spacing w:lineRule="auto" w:line="480"/>
        <w:ind w:firstLine="720"/>
        <w:jc w:val="both"/>
        <w:rPr>
          <w:color w:val="000000"/>
        </w:rPr>
      </w:pPr>
      <w:r>
        <w:rPr>
          <w:color w:val="000000"/>
        </w:rPr>
        <w:t xml:space="preserve">It would be beneficial to explore potential synergistic or antagonistic interactions between </w:t>
      </w:r>
      <w:r>
        <w:rPr>
          <w:rStyle w:val="style88"/>
          <w:color w:val="000000"/>
        </w:rPr>
        <w:t>Sida acuta</w:t>
      </w:r>
      <w:r>
        <w:rPr>
          <w:color w:val="000000"/>
        </w:rPr>
        <w:t xml:space="preserve"> and other medicinal plants or conventional pharmaceuticals. This could broaden its application in integrated medicine.</w:t>
      </w:r>
    </w:p>
    <w:p>
      <w:pPr>
        <w:pStyle w:val="style94"/>
        <w:spacing w:lineRule="auto" w:line="480"/>
        <w:jc w:val="both"/>
        <w:rPr>
          <w:color w:val="000000"/>
        </w:rPr>
      </w:pPr>
      <w:r>
        <w:rPr>
          <w:rStyle w:val="style87"/>
          <w:color w:val="000000"/>
        </w:rPr>
        <w:t>Broaden the Scope of Nutritional and Functional Assessments</w:t>
      </w:r>
    </w:p>
    <w:p>
      <w:pPr>
        <w:pStyle w:val="style94"/>
        <w:spacing w:lineRule="auto" w:line="480"/>
        <w:ind w:firstLine="720"/>
        <w:jc w:val="both"/>
        <w:rPr>
          <w:color w:val="000000"/>
        </w:rPr>
      </w:pPr>
      <w:r>
        <w:rPr>
          <w:color w:val="000000"/>
        </w:rPr>
        <w:t xml:space="preserve">Researchers are advised to assess additional nutritional indices and organ-specific effects (e.g., liver and kidney function tests), to better understand the systemic effects of </w:t>
      </w:r>
      <w:r>
        <w:rPr>
          <w:rStyle w:val="style88"/>
          <w:color w:val="000000"/>
        </w:rPr>
        <w:t>Sida acuta</w:t>
      </w:r>
      <w:r>
        <w:rPr>
          <w:color w:val="000000"/>
        </w:rPr>
        <w:t xml:space="preserve"> and its suitability as a functional food or supplement.</w:t>
      </w:r>
    </w:p>
    <w:p>
      <w:pPr>
        <w:pStyle w:val="style94"/>
        <w:spacing w:lineRule="auto" w:line="480"/>
        <w:jc w:val="both"/>
        <w:rPr>
          <w:color w:val="000000"/>
        </w:rPr>
      </w:pPr>
      <w:r>
        <w:rPr>
          <w:rStyle w:val="style87"/>
          <w:color w:val="000000"/>
        </w:rPr>
        <w:t>Utilize Omics-Based Approaches</w:t>
      </w:r>
    </w:p>
    <w:p>
      <w:pPr>
        <w:pStyle w:val="style94"/>
        <w:spacing w:lineRule="auto" w:line="480"/>
        <w:ind w:firstLine="720"/>
        <w:jc w:val="both"/>
        <w:rPr>
          <w:b/>
          <w:bCs/>
          <w:color w:val="000000"/>
        </w:rPr>
      </w:pPr>
      <w:r>
        <w:rPr>
          <w:color w:val="000000"/>
        </w:rPr>
        <w:t xml:space="preserve">Integrating genomics, proteomics, and metabolomics into future studies may help uncover more comprehensive insights into the biological pathways influenced by </w:t>
      </w:r>
      <w:r>
        <w:rPr>
          <w:rStyle w:val="style88"/>
          <w:color w:val="000000"/>
        </w:rPr>
        <w:t>Sida acuta</w:t>
      </w:r>
      <w:r>
        <w:rPr>
          <w:color w:val="000000"/>
        </w:rPr>
        <w:t>, and identify potential biomarkers of efficacy or toxicity.</w:t>
      </w:r>
    </w:p>
    <w:p>
      <w:pPr>
        <w:pStyle w:val="style94"/>
        <w:spacing w:lineRule="auto" w:line="480"/>
        <w:ind w:firstLine="720"/>
        <w:jc w:val="both"/>
        <w:rPr>
          <w:color w:val="000000"/>
        </w:rPr>
      </w:pPr>
      <w:r>
        <w:rPr>
          <w:color w:val="000000"/>
        </w:rPr>
        <w:t xml:space="preserve">By pursuing these directions, future research can further elucidate the therapeutic potential of </w:t>
      </w:r>
      <w:r>
        <w:rPr>
          <w:rStyle w:val="style88"/>
          <w:color w:val="000000"/>
        </w:rPr>
        <w:t>Sida acuta</w:t>
      </w:r>
      <w:r>
        <w:rPr>
          <w:color w:val="000000"/>
        </w:rPr>
        <w:t>, support its safe application in traditional and modern medicine, and contribute to the development of novel plant-based interventions.</w:t>
      </w:r>
    </w:p>
    <w:p>
      <w:pPr>
        <w:pStyle w:val="style94"/>
        <w:spacing w:lineRule="auto" w:line="480"/>
        <w:jc w:val="both"/>
        <w:rPr>
          <w:color w:val="000000"/>
          <w:szCs w:val="26"/>
        </w:rPr>
      </w:pPr>
    </w:p>
    <w:p>
      <w:pPr>
        <w:pStyle w:val="style94"/>
        <w:spacing w:lineRule="auto" w:line="480"/>
        <w:jc w:val="both"/>
        <w:rPr>
          <w:color w:val="000000"/>
          <w:szCs w:val="26"/>
        </w:rPr>
      </w:pPr>
    </w:p>
    <w:p>
      <w:pPr>
        <w:pStyle w:val="style94"/>
        <w:spacing w:lineRule="auto" w:line="480"/>
        <w:jc w:val="both"/>
        <w:rPr>
          <w:b/>
          <w:color w:val="000000"/>
          <w:szCs w:val="26"/>
        </w:rPr>
      </w:pPr>
      <w:r>
        <w:rPr>
          <w:b/>
          <w:color w:val="000000"/>
          <w:szCs w:val="26"/>
        </w:rPr>
        <w:t>REFERENCE</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 xml:space="preserve">Adegboye, M. F., Akinpelu, D. A., &amp; Okoh, A. I. (2021). Antibacterial and antifungal activities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Journal of Medicinal Plants Research, 15</w:t>
      </w:r>
      <w:r>
        <w:rPr>
          <w:rFonts w:eastAsia="Times New Roman"/>
          <w:color w:val="000000"/>
          <w:sz w:val="24"/>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Adegboye, M. F., Akinpelu, D. A., &amp; Okoh, A. I. (2021). Antibacterial and antifungal activities of </w:t>
      </w:r>
      <w:r>
        <w:rPr>
          <w:rStyle w:val="style88"/>
          <w:color w:val="000000"/>
          <w:szCs w:val="26"/>
        </w:rPr>
        <w:t>Sida acuta</w:t>
      </w:r>
      <w:r>
        <w:rPr>
          <w:color w:val="000000"/>
          <w:szCs w:val="26"/>
        </w:rPr>
        <w:t xml:space="preserve"> extracts. </w:t>
      </w:r>
      <w:r>
        <w:rPr>
          <w:rStyle w:val="style88"/>
          <w:color w:val="000000"/>
          <w:szCs w:val="26"/>
        </w:rPr>
        <w:t>Journal of Medicinal Plants Research, 15</w:t>
      </w:r>
      <w:r>
        <w:rPr>
          <w:color w:val="000000"/>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Adegboye, M. F., Akinpelu, D. A., &amp; Okoh, A. I. (2021). </w:t>
      </w:r>
      <w:r>
        <w:rPr>
          <w:color w:val="000000"/>
          <w:szCs w:val="26"/>
        </w:rPr>
        <w:t xml:space="preserve">Mineral composition and nutritional evaluation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Medicinal Plants Research, 15</w:t>
      </w:r>
      <w:r>
        <w:rPr>
          <w:color w:val="000000"/>
          <w:szCs w:val="26"/>
        </w:rPr>
        <w:t>(3), 45-55.</w:t>
      </w:r>
    </w:p>
    <w:p>
      <w:pPr>
        <w:pStyle w:val="style94"/>
        <w:spacing w:before="0" w:beforeAutospacing="false" w:after="0" w:afterAutospacing="false" w:lineRule="auto" w:line="480"/>
        <w:ind w:left="720" w:hanging="720"/>
        <w:jc w:val="both"/>
        <w:rPr>
          <w:color w:val="000000"/>
          <w:szCs w:val="26"/>
        </w:rPr>
      </w:pPr>
      <w:r>
        <w:rPr>
          <w:color w:val="000000"/>
          <w:szCs w:val="26"/>
        </w:rPr>
        <w:t>Adegboye, M. F., Oladipo, J. O., &amp; Oloyede, F. A. (2021).</w:t>
      </w:r>
      <w:r>
        <w:rPr>
          <w:color w:val="000000"/>
          <w:szCs w:val="26"/>
        </w:rPr>
        <w:t xml:space="preserve"> Antibacterial activity of </w:t>
      </w:r>
      <w:r>
        <w:rPr>
          <w:rStyle w:val="style88"/>
          <w:color w:val="000000"/>
          <w:szCs w:val="26"/>
        </w:rPr>
        <w:t>Sida acuta</w:t>
      </w:r>
      <w:r>
        <w:rPr>
          <w:color w:val="000000"/>
          <w:szCs w:val="26"/>
        </w:rPr>
        <w:t xml:space="preserve"> extracts against clinical pathogens. </w:t>
      </w:r>
      <w:r>
        <w:rPr>
          <w:rStyle w:val="style88"/>
          <w:color w:val="000000"/>
          <w:szCs w:val="26"/>
        </w:rPr>
        <w:t>Journal of Medicinal Plants Research, 15</w:t>
      </w:r>
      <w:r>
        <w:rPr>
          <w:color w:val="000000"/>
          <w:szCs w:val="26"/>
        </w:rPr>
        <w:t>(3), 45-52.</w:t>
      </w:r>
    </w:p>
    <w:p>
      <w:pPr>
        <w:pStyle w:val="style0"/>
        <w:spacing w:after="0" w:lineRule="auto" w:line="480"/>
        <w:ind w:left="720" w:hanging="720"/>
        <w:jc w:val="both"/>
        <w:rPr>
          <w:color w:val="000000"/>
          <w:sz w:val="24"/>
          <w:szCs w:val="26"/>
        </w:rPr>
      </w:pPr>
      <w:r>
        <w:rPr>
          <w:color w:val="000000"/>
          <w:sz w:val="24"/>
          <w:szCs w:val="26"/>
        </w:rPr>
        <w:t>Adeniyi, S., Orjiekwe, C., Ehiagbonare, J. and Arimah, B. (2010).</w:t>
      </w:r>
      <w:r>
        <w:rPr>
          <w:color w:val="000000"/>
          <w:sz w:val="24"/>
          <w:szCs w:val="26"/>
        </w:rPr>
        <w:t xml:space="preserve"> </w:t>
      </w:r>
      <w:r>
        <w:rPr>
          <w:color w:val="000000"/>
          <w:sz w:val="24"/>
          <w:szCs w:val="26"/>
        </w:rPr>
        <w:t>Preliminary phytochemical analysis and insecticidal activity of ethanolic extracts of four tropical plants (</w:t>
      </w:r>
      <w:r>
        <w:rPr>
          <w:i/>
          <w:color w:val="000000"/>
          <w:sz w:val="24"/>
          <w:szCs w:val="26"/>
        </w:rPr>
        <w:t>Vernonia amygdalina, Sida acuta, Ocimum gratissimum</w:t>
      </w:r>
      <w:r>
        <w:rPr>
          <w:color w:val="000000"/>
          <w:sz w:val="24"/>
          <w:szCs w:val="26"/>
        </w:rPr>
        <w:t xml:space="preserve"> </w:t>
      </w:r>
      <w:r>
        <w:rPr>
          <w:i/>
          <w:color w:val="000000"/>
          <w:sz w:val="24"/>
          <w:szCs w:val="26"/>
        </w:rPr>
        <w:t>and Telfaria occidentalis</w:t>
      </w:r>
      <w:r>
        <w:rPr>
          <w:color w:val="000000"/>
          <w:sz w:val="24"/>
          <w:szCs w:val="26"/>
        </w:rPr>
        <w:t>) against beans weevil (</w:t>
      </w:r>
      <w:r>
        <w:rPr>
          <w:i/>
          <w:color w:val="000000"/>
          <w:sz w:val="24"/>
          <w:szCs w:val="26"/>
        </w:rPr>
        <w:t>Acanthscelides obtectus</w:t>
      </w:r>
      <w:r>
        <w:rPr>
          <w:color w:val="000000"/>
          <w:sz w:val="24"/>
          <w:szCs w:val="26"/>
        </w:rPr>
        <w:t>).</w:t>
      </w:r>
      <w:r>
        <w:rPr>
          <w:color w:val="000000"/>
          <w:sz w:val="24"/>
          <w:szCs w:val="26"/>
        </w:rPr>
        <w:t xml:space="preserve"> </w:t>
      </w:r>
      <w:r>
        <w:rPr>
          <w:i/>
          <w:color w:val="000000"/>
          <w:sz w:val="24"/>
          <w:szCs w:val="26"/>
        </w:rPr>
        <w:t>Int. J. Phys. Sci.,</w:t>
      </w:r>
      <w:r>
        <w:rPr>
          <w:color w:val="000000"/>
          <w:sz w:val="24"/>
          <w:szCs w:val="26"/>
        </w:rPr>
        <w:t xml:space="preserve"> 5(6):753-762.</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Adepoju, F. G., Tota-Bolarinwa, B. T., Abikoye, P. O., Okeke, G. O., &amp; Alafe, H. S.</w:t>
      </w:r>
      <w:r>
        <w:rPr>
          <w:rFonts w:eastAsia="Times New Roman"/>
          <w:color w:val="000000"/>
          <w:sz w:val="24"/>
          <w:szCs w:val="26"/>
        </w:rPr>
        <w:t xml:space="preserve"> (2023). </w:t>
      </w:r>
      <w:r>
        <w:rPr>
          <w:rFonts w:eastAsia="Times New Roman"/>
          <w:color w:val="000000"/>
          <w:sz w:val="24"/>
          <w:szCs w:val="26"/>
        </w:rPr>
        <w:t>Clinical and demographic review of corneal ulcers in University of Ilorin Teaching Hospital.</w:t>
      </w:r>
      <w:r>
        <w:rPr>
          <w:rFonts w:eastAsia="Times New Roman"/>
          <w:color w:val="000000"/>
          <w:sz w:val="24"/>
          <w:szCs w:val="26"/>
        </w:rPr>
        <w:t> </w:t>
      </w:r>
      <w:r>
        <w:rPr>
          <w:rFonts w:eastAsia="Times New Roman"/>
          <w:i/>
          <w:iCs/>
          <w:color w:val="000000"/>
          <w:sz w:val="24"/>
          <w:szCs w:val="26"/>
          <w:bdr w:val="single" w:sz="2" w:space="0" w:color="e5e7eb" w:frame="true"/>
        </w:rPr>
        <w:t>Nigerian Journal of Ophthalmology</w:t>
      </w:r>
      <w:r>
        <w:rPr>
          <w:rFonts w:eastAsia="Times New Roman"/>
          <w:color w:val="000000"/>
          <w:sz w:val="24"/>
          <w:szCs w:val="26"/>
        </w:rPr>
        <w:t>, 31, 2.</w:t>
      </w:r>
    </w:p>
    <w:p>
      <w:pPr>
        <w:pStyle w:val="style0"/>
        <w:spacing w:after="0" w:lineRule="auto" w:line="480"/>
        <w:ind w:left="720" w:hanging="720"/>
        <w:jc w:val="both"/>
        <w:rPr>
          <w:color w:val="000000"/>
          <w:sz w:val="24"/>
          <w:szCs w:val="26"/>
        </w:rPr>
      </w:pPr>
      <w:r>
        <w:rPr>
          <w:color w:val="000000"/>
          <w:sz w:val="24"/>
          <w:szCs w:val="26"/>
        </w:rPr>
        <w:t xml:space="preserve">Agréus L, Hellström PM, Talley NJ. (2016). </w:t>
      </w:r>
      <w:r>
        <w:rPr>
          <w:color w:val="000000"/>
          <w:sz w:val="24"/>
          <w:szCs w:val="26"/>
        </w:rPr>
        <w:t>Towards</w:t>
      </w:r>
      <w:r>
        <w:rPr>
          <w:color w:val="000000"/>
          <w:sz w:val="24"/>
          <w:szCs w:val="26"/>
        </w:rPr>
        <w:t xml:space="preserve"> a healthy stomach? Helicobacter pylori prevalence has dramatically decreased over 23 years in adults in a Swedish community. </w:t>
      </w:r>
      <w:r>
        <w:rPr>
          <w:i/>
          <w:color w:val="000000"/>
          <w:sz w:val="24"/>
          <w:szCs w:val="26"/>
        </w:rPr>
        <w:t>United European Gastroenterol.</w:t>
      </w:r>
      <w:r>
        <w:rPr>
          <w:color w:val="000000"/>
          <w:sz w:val="24"/>
          <w:szCs w:val="26"/>
        </w:rPr>
        <w:t xml:space="preserve"> 4:686-96.</w:t>
      </w:r>
    </w:p>
    <w:p>
      <w:pPr>
        <w:pStyle w:val="style94"/>
        <w:spacing w:before="0" w:beforeAutospacing="false" w:after="0" w:afterAutospacing="false" w:lineRule="auto" w:line="480"/>
        <w:ind w:left="720" w:hanging="720"/>
        <w:jc w:val="both"/>
        <w:rPr>
          <w:color w:val="000000"/>
          <w:szCs w:val="26"/>
        </w:rPr>
      </w:pPr>
      <w:r>
        <w:rPr>
          <w:color w:val="000000"/>
          <w:szCs w:val="26"/>
        </w:rPr>
        <w:t>Ajayi, T. O., Adebayo, O. A., &amp; Ojo, A. A. (2022).</w:t>
      </w:r>
      <w:r>
        <w:rPr>
          <w:color w:val="000000"/>
          <w:szCs w:val="26"/>
        </w:rPr>
        <w:t xml:space="preserve"> Toxicological evaluation of </w:t>
      </w:r>
      <w:r>
        <w:rPr>
          <w:rStyle w:val="style88"/>
          <w:color w:val="000000"/>
          <w:szCs w:val="26"/>
        </w:rPr>
        <w:t>Sida acuta</w:t>
      </w:r>
      <w:r>
        <w:rPr>
          <w:color w:val="000000"/>
          <w:szCs w:val="26"/>
        </w:rPr>
        <w:t xml:space="preserve"> leaf extract in rodents. </w:t>
      </w:r>
      <w:r>
        <w:rPr>
          <w:rStyle w:val="style88"/>
          <w:color w:val="000000"/>
          <w:szCs w:val="26"/>
        </w:rPr>
        <w:t>Toxicology Reports, 9</w:t>
      </w:r>
      <w:r>
        <w:rPr>
          <w:color w:val="000000"/>
          <w:szCs w:val="26"/>
        </w:rPr>
        <w:t>, 34-42.</w:t>
      </w:r>
    </w:p>
    <w:p>
      <w:pPr>
        <w:pStyle w:val="style0"/>
        <w:spacing w:after="0" w:lineRule="auto" w:line="480"/>
        <w:ind w:left="720" w:hanging="720"/>
        <w:jc w:val="both"/>
        <w:rPr>
          <w:color w:val="000000"/>
          <w:sz w:val="24"/>
          <w:szCs w:val="26"/>
        </w:rPr>
      </w:pPr>
      <w:r>
        <w:rPr>
          <w:color w:val="000000"/>
          <w:sz w:val="24"/>
          <w:szCs w:val="26"/>
        </w:rPr>
        <w:t xml:space="preserve">Akaneme, F.I. (2008) Identification and Preliminary Phytochemical Analysis of Herbs That Can Arrest Threatened Miscarriage in Orba and Nsukka Towns of Enugu State. </w:t>
      </w:r>
      <w:r>
        <w:rPr>
          <w:i/>
          <w:color w:val="000000"/>
          <w:sz w:val="24"/>
          <w:szCs w:val="26"/>
        </w:rPr>
        <w:t>African Journal of Biotechnology, 7</w:t>
      </w:r>
      <w:r>
        <w:rPr>
          <w:color w:val="000000"/>
          <w:sz w:val="24"/>
          <w:szCs w:val="26"/>
        </w:rPr>
        <w:t xml:space="preserve">, 6-11. </w:t>
      </w:r>
    </w:p>
    <w:p>
      <w:pPr>
        <w:pStyle w:val="style0"/>
        <w:spacing w:after="0" w:lineRule="auto" w:line="480"/>
        <w:ind w:left="720" w:hanging="720"/>
        <w:jc w:val="both"/>
        <w:rPr>
          <w:color w:val="000000"/>
          <w:sz w:val="24"/>
          <w:szCs w:val="26"/>
        </w:rPr>
      </w:pPr>
      <w:r>
        <w:rPr>
          <w:color w:val="000000"/>
          <w:sz w:val="24"/>
          <w:szCs w:val="26"/>
        </w:rPr>
        <w:t>Akilandeswari, S., Senthamarai, R., Valarmathi, R., Shanthi, S., Prema, S., (2010).</w:t>
      </w:r>
      <w:r>
        <w:rPr>
          <w:color w:val="000000"/>
          <w:sz w:val="24"/>
          <w:szCs w:val="26"/>
        </w:rPr>
        <w:t xml:space="preserve"> </w:t>
      </w:r>
      <w:r>
        <w:rPr>
          <w:color w:val="000000"/>
          <w:sz w:val="24"/>
          <w:szCs w:val="26"/>
        </w:rPr>
        <w:t>Screening of gastric antiulcer activity of Sida acuta Burm.</w:t>
      </w:r>
      <w:r>
        <w:rPr>
          <w:color w:val="000000"/>
          <w:sz w:val="24"/>
          <w:szCs w:val="26"/>
        </w:rPr>
        <w:t xml:space="preserve"> International Journal of Pharm Tech Research 2, 1644-1648.</w:t>
      </w:r>
    </w:p>
    <w:p>
      <w:pPr>
        <w:pStyle w:val="style94"/>
        <w:spacing w:before="0" w:beforeAutospacing="false" w:after="0" w:afterAutospacing="false" w:lineRule="auto" w:line="480"/>
        <w:ind w:left="720" w:hanging="720"/>
        <w:jc w:val="both"/>
        <w:rPr>
          <w:color w:val="000000"/>
          <w:szCs w:val="26"/>
        </w:rPr>
      </w:pPr>
      <w:r>
        <w:rPr>
          <w:color w:val="000000"/>
          <w:szCs w:val="26"/>
        </w:rPr>
        <w:t>Akinpelu, B. A., Odetunde, J. A., &amp; Adeyemi, F. O. (2021).</w:t>
      </w:r>
      <w:r>
        <w:rPr>
          <w:color w:val="000000"/>
          <w:szCs w:val="26"/>
        </w:rPr>
        <w:t xml:space="preserve"> Hypoglycemic effect of </w:t>
      </w:r>
      <w:r>
        <w:rPr>
          <w:rStyle w:val="style88"/>
          <w:color w:val="000000"/>
          <w:szCs w:val="26"/>
        </w:rPr>
        <w:t>Sida acuta</w:t>
      </w:r>
      <w:r>
        <w:rPr>
          <w:color w:val="000000"/>
          <w:szCs w:val="26"/>
        </w:rPr>
        <w:t xml:space="preserve"> leaf extract in diabetic rats. </w:t>
      </w:r>
      <w:r>
        <w:rPr>
          <w:rStyle w:val="style88"/>
          <w:color w:val="000000"/>
          <w:szCs w:val="26"/>
        </w:rPr>
        <w:t>African Journal of Traditional, Complementary, and Alternative Medicines, 18</w:t>
      </w:r>
      <w:r>
        <w:rPr>
          <w:color w:val="000000"/>
          <w:szCs w:val="26"/>
        </w:rPr>
        <w:t>(2), 121-130.</w:t>
      </w:r>
    </w:p>
    <w:p>
      <w:pPr>
        <w:pStyle w:val="style0"/>
        <w:spacing w:after="0" w:lineRule="auto" w:line="480"/>
        <w:ind w:left="720" w:hanging="720"/>
        <w:jc w:val="both"/>
        <w:rPr>
          <w:color w:val="000000"/>
          <w:sz w:val="24"/>
          <w:szCs w:val="26"/>
        </w:rPr>
      </w:pPr>
      <w:r>
        <w:rPr>
          <w:color w:val="000000"/>
          <w:sz w:val="24"/>
          <w:szCs w:val="26"/>
        </w:rPr>
        <w:t xml:space="preserve">Armstrong, D. G., Boulton, A. J., &amp; Bus, S. A. (2020). </w:t>
      </w:r>
      <w:r>
        <w:rPr>
          <w:color w:val="000000"/>
          <w:sz w:val="24"/>
          <w:szCs w:val="26"/>
        </w:rPr>
        <w:t>Diabetic foot ulcers and their recurrence.</w:t>
      </w:r>
      <w:r>
        <w:rPr>
          <w:color w:val="000000"/>
          <w:sz w:val="24"/>
          <w:szCs w:val="26"/>
        </w:rPr>
        <w:t xml:space="preserve"> The New England Journal of Medicine, 382(10), 982-992.</w:t>
      </w:r>
    </w:p>
    <w:p>
      <w:pPr>
        <w:pStyle w:val="style0"/>
        <w:spacing w:after="0" w:lineRule="auto" w:line="480"/>
        <w:ind w:left="720" w:hanging="720"/>
        <w:jc w:val="both"/>
        <w:rPr>
          <w:color w:val="000000"/>
          <w:sz w:val="24"/>
          <w:szCs w:val="26"/>
        </w:rPr>
      </w:pPr>
      <w:r>
        <w:rPr>
          <w:color w:val="000000"/>
          <w:sz w:val="24"/>
          <w:szCs w:val="26"/>
        </w:rPr>
        <w:t xml:space="preserve">Armstrong, D. G., Boulton, A. J., &amp; Bus, S. A. (2021). </w:t>
      </w:r>
      <w:r>
        <w:rPr>
          <w:color w:val="000000"/>
          <w:sz w:val="24"/>
          <w:szCs w:val="26"/>
        </w:rPr>
        <w:t>Diabetic foot ulcers and their recurrence.</w:t>
      </w:r>
      <w:r>
        <w:rPr>
          <w:color w:val="000000"/>
          <w:sz w:val="24"/>
          <w:szCs w:val="26"/>
        </w:rPr>
        <w:t xml:space="preserve"> New England Journal of Medicine, 376(24), 2367-2375.</w:t>
      </w:r>
    </w:p>
    <w:p>
      <w:pPr>
        <w:pStyle w:val="style0"/>
        <w:spacing w:after="0" w:lineRule="auto" w:line="480"/>
        <w:ind w:left="720" w:hanging="720"/>
        <w:jc w:val="both"/>
        <w:rPr>
          <w:color w:val="000000"/>
          <w:sz w:val="24"/>
          <w:szCs w:val="26"/>
        </w:rPr>
      </w:pPr>
      <w:r>
        <w:rPr>
          <w:color w:val="000000"/>
          <w:sz w:val="24"/>
          <w:szCs w:val="26"/>
        </w:rPr>
        <w:t>Asha A, Farsana S. and Baiju EC.</w:t>
      </w:r>
      <w:r>
        <w:rPr>
          <w:color w:val="000000"/>
          <w:sz w:val="24"/>
          <w:szCs w:val="26"/>
        </w:rPr>
        <w:t xml:space="preserve"> (2018). </w:t>
      </w:r>
      <w:r>
        <w:rPr>
          <w:color w:val="000000"/>
          <w:sz w:val="24"/>
          <w:szCs w:val="26"/>
        </w:rPr>
        <w:t>Phytochemical</w:t>
      </w:r>
      <w:r>
        <w:rPr>
          <w:color w:val="000000"/>
          <w:sz w:val="24"/>
          <w:szCs w:val="26"/>
        </w:rPr>
        <w:t xml:space="preserve"> profiling and antibacterial activity of selected Sida species against common human pathogenic bacteria: An in vitro study. </w:t>
      </w:r>
      <w:r>
        <w:rPr>
          <w:i/>
          <w:color w:val="000000"/>
          <w:sz w:val="24"/>
          <w:szCs w:val="26"/>
        </w:rPr>
        <w:t>Journal of Pharmacognosy and Phytochemistry.</w:t>
      </w:r>
      <w:r>
        <w:rPr>
          <w:color w:val="000000"/>
          <w:sz w:val="24"/>
          <w:szCs w:val="26"/>
        </w:rPr>
        <w:t xml:space="preserve"> 7(3):1201-5.</w:t>
      </w:r>
    </w:p>
    <w:p>
      <w:pPr>
        <w:pStyle w:val="style0"/>
        <w:spacing w:after="0" w:lineRule="auto" w:line="480"/>
        <w:ind w:left="720" w:hanging="720"/>
        <w:jc w:val="both"/>
        <w:rPr>
          <w:color w:val="000000"/>
          <w:sz w:val="24"/>
          <w:szCs w:val="26"/>
        </w:rPr>
      </w:pPr>
      <w:r>
        <w:rPr>
          <w:color w:val="000000"/>
          <w:sz w:val="24"/>
          <w:szCs w:val="26"/>
        </w:rPr>
        <w:t xml:space="preserve">Atkin, L. (2019). </w:t>
      </w:r>
      <w:r>
        <w:rPr>
          <w:color w:val="000000"/>
          <w:sz w:val="24"/>
          <w:szCs w:val="26"/>
        </w:rPr>
        <w:t>Understanding the role of dressings in pressure ulcer prevention and management.</w:t>
      </w:r>
      <w:r>
        <w:rPr>
          <w:color w:val="000000"/>
          <w:sz w:val="24"/>
          <w:szCs w:val="26"/>
        </w:rPr>
        <w:t xml:space="preserve"> </w:t>
      </w:r>
      <w:r>
        <w:rPr>
          <w:i/>
          <w:color w:val="000000"/>
          <w:sz w:val="24"/>
          <w:szCs w:val="26"/>
        </w:rPr>
        <w:t>British Journal of Community Nursing,</w:t>
      </w:r>
      <w:r>
        <w:rPr>
          <w:color w:val="000000"/>
          <w:sz w:val="24"/>
          <w:szCs w:val="26"/>
        </w:rPr>
        <w:t xml:space="preserve"> 24(6), S6-S10.</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Australian Journal of General Practice</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(2022). Corneal ulcers.</w:t>
      </w:r>
      <w:r>
        <w:rPr>
          <w:rFonts w:eastAsia="Times New Roman"/>
          <w:color w:val="000000"/>
          <w:sz w:val="24"/>
          <w:szCs w:val="26"/>
        </w:rPr>
        <w:t xml:space="preserve"> Retrieved from </w:t>
      </w:r>
      <w:r>
        <w:rPr/>
        <w:fldChar w:fldCharType="begin"/>
      </w:r>
      <w:r>
        <w:instrText xml:space="preserve"> HYPERLINK "https://www1.racgp.org.au/ajgp/2022/november/corneal-ulcers" \t "_blank" </w:instrText>
      </w:r>
      <w:r>
        <w:rPr/>
        <w:fldChar w:fldCharType="separate"/>
      </w:r>
      <w:r>
        <w:rPr>
          <w:rFonts w:eastAsia="Times New Roman"/>
          <w:color w:val="000000"/>
          <w:sz w:val="24"/>
          <w:szCs w:val="26"/>
          <w:bdr w:val="single" w:sz="2" w:space="0" w:color="e5e7eb" w:frame="true"/>
        </w:rPr>
        <w:t>https://www1.racgp.org.au/ajgp/2022/november/corneal-ulcers</w:t>
      </w:r>
      <w:r>
        <w:rPr/>
        <w:fldChar w:fldCharType="end"/>
      </w:r>
    </w:p>
    <w:p>
      <w:pPr>
        <w:pStyle w:val="style0"/>
        <w:spacing w:after="0" w:lineRule="auto" w:line="480"/>
        <w:ind w:left="720" w:hanging="720"/>
        <w:jc w:val="both"/>
        <w:rPr>
          <w:color w:val="000000"/>
          <w:sz w:val="24"/>
          <w:szCs w:val="26"/>
        </w:rPr>
      </w:pPr>
      <w:r>
        <w:rPr>
          <w:color w:val="000000"/>
          <w:sz w:val="24"/>
          <w:szCs w:val="26"/>
        </w:rPr>
        <w:t>Baranoski, S., &amp; Ayello, E. A. (2020).</w:t>
      </w:r>
      <w:r>
        <w:rPr>
          <w:color w:val="000000"/>
          <w:sz w:val="24"/>
          <w:szCs w:val="26"/>
        </w:rPr>
        <w:t xml:space="preserve"> Wound care essentials: Practice principles. </w:t>
      </w:r>
      <w:r>
        <w:rPr>
          <w:color w:val="000000"/>
          <w:sz w:val="24"/>
          <w:szCs w:val="26"/>
        </w:rPr>
        <w:t>Lippincott Williams &amp; Wilkins.</w:t>
      </w:r>
    </w:p>
    <w:p>
      <w:pPr>
        <w:pStyle w:val="style0"/>
        <w:spacing w:after="0" w:lineRule="auto" w:line="480"/>
        <w:ind w:left="720" w:hanging="720"/>
        <w:jc w:val="both"/>
        <w:rPr>
          <w:color w:val="000000"/>
          <w:sz w:val="24"/>
          <w:szCs w:val="26"/>
        </w:rPr>
      </w:pPr>
      <w:r>
        <w:rPr>
          <w:color w:val="000000"/>
          <w:sz w:val="24"/>
          <w:szCs w:val="26"/>
        </w:rPr>
        <w:t>Bella S, Luzzati R, Mearelli F, Papa G, Spazzapan L, Nunnari A, et al. (2024-06-01). "Antiinfective management of infected skin ulcers" (https://www.ncbi.nlm.nih.gov/pmc/articles/PM Specific typ See also References C11142418</w:t>
      </w:r>
      <w:r>
        <w:rPr>
          <w:color w:val="000000"/>
          <w:sz w:val="24"/>
          <w:szCs w:val="26"/>
        </w:rPr>
        <w:t>) .</w:t>
      </w:r>
      <w:r>
        <w:rPr>
          <w:color w:val="000000"/>
          <w:sz w:val="24"/>
          <w:szCs w:val="26"/>
        </w:rPr>
        <w:t xml:space="preserve"> </w:t>
      </w:r>
      <w:r>
        <w:rPr>
          <w:color w:val="000000"/>
          <w:sz w:val="24"/>
          <w:szCs w:val="26"/>
        </w:rPr>
        <w:t>Le Infezioni in Medicina.</w:t>
      </w:r>
      <w:r>
        <w:rPr>
          <w:color w:val="000000"/>
          <w:sz w:val="24"/>
          <w:szCs w:val="26"/>
        </w:rPr>
        <w:t xml:space="preserve"> 32 (2): 138–147.</w:t>
      </w:r>
    </w:p>
    <w:p>
      <w:pPr>
        <w:pStyle w:val="style94"/>
        <w:spacing w:before="0" w:beforeAutospacing="false" w:after="0" w:afterAutospacing="false" w:lineRule="auto" w:line="480"/>
        <w:ind w:left="720" w:hanging="720"/>
        <w:jc w:val="both"/>
        <w:rPr>
          <w:color w:val="000000"/>
          <w:szCs w:val="26"/>
        </w:rPr>
      </w:pPr>
      <w:r>
        <w:rPr>
          <w:color w:val="000000"/>
          <w:szCs w:val="26"/>
        </w:rPr>
        <w:t>Bennett, R. N., &amp; Wallsgrove, R. M. (2019).</w:t>
      </w:r>
      <w:r>
        <w:rPr>
          <w:color w:val="000000"/>
          <w:szCs w:val="26"/>
        </w:rPr>
        <w:t xml:space="preserve"> Secondary metabolites in plant defense mechanisms. </w:t>
      </w:r>
      <w:r>
        <w:rPr>
          <w:rStyle w:val="style88"/>
          <w:color w:val="000000"/>
          <w:szCs w:val="26"/>
        </w:rPr>
        <w:t>New Phytologist, 146</w:t>
      </w:r>
      <w:r>
        <w:rPr>
          <w:color w:val="000000"/>
          <w:szCs w:val="26"/>
        </w:rPr>
        <w:t>(2), 351-360.</w:t>
      </w:r>
    </w:p>
    <w:p>
      <w:pPr>
        <w:pStyle w:val="style0"/>
        <w:spacing w:after="0" w:lineRule="auto" w:line="480"/>
        <w:ind w:left="720" w:hanging="720"/>
        <w:jc w:val="both"/>
        <w:rPr>
          <w:color w:val="000000"/>
          <w:sz w:val="24"/>
          <w:szCs w:val="26"/>
        </w:rPr>
      </w:pPr>
      <w:r>
        <w:rPr>
          <w:color w:val="000000"/>
          <w:sz w:val="24"/>
          <w:szCs w:val="26"/>
        </w:rPr>
        <w:t>Bergstrom, N., Braden, B. J., &amp; Laguzza, A. (2018).</w:t>
      </w:r>
      <w:r>
        <w:rPr>
          <w:color w:val="000000"/>
          <w:sz w:val="24"/>
          <w:szCs w:val="26"/>
        </w:rPr>
        <w:t xml:space="preserve"> </w:t>
      </w:r>
      <w:r>
        <w:rPr>
          <w:color w:val="000000"/>
          <w:sz w:val="24"/>
          <w:szCs w:val="26"/>
        </w:rPr>
        <w:t>The Braden Scale for Predicting Pressure Sore Risk.</w:t>
      </w:r>
      <w:r>
        <w:rPr>
          <w:color w:val="000000"/>
          <w:sz w:val="24"/>
          <w:szCs w:val="26"/>
        </w:rPr>
        <w:t xml:space="preserve"> </w:t>
      </w:r>
      <w:r>
        <w:rPr>
          <w:color w:val="000000"/>
          <w:sz w:val="24"/>
          <w:szCs w:val="26"/>
        </w:rPr>
        <w:t>Nursing Research, 41(2), 77-84.</w:t>
      </w:r>
    </w:p>
    <w:p>
      <w:pPr>
        <w:pStyle w:val="style0"/>
        <w:spacing w:after="0" w:lineRule="auto" w:line="480"/>
        <w:ind w:left="720" w:hanging="720"/>
        <w:jc w:val="both"/>
        <w:rPr>
          <w:color w:val="000000"/>
          <w:sz w:val="24"/>
          <w:szCs w:val="26"/>
        </w:rPr>
      </w:pPr>
      <w:r>
        <w:rPr>
          <w:color w:val="000000"/>
          <w:sz w:val="24"/>
          <w:szCs w:val="26"/>
        </w:rPr>
        <w:t>Bjarnsholt, T., Kirketerp-Møller, K., Jensen, P. Ø., Madsen, K. G., Phipps, R., Krogfelt, K</w:t>
      </w:r>
      <w:r>
        <w:rPr>
          <w:color w:val="000000"/>
          <w:sz w:val="24"/>
          <w:szCs w:val="26"/>
        </w:rPr>
        <w:t>., ...</w:t>
      </w:r>
      <w:r>
        <w:rPr>
          <w:color w:val="000000"/>
          <w:sz w:val="24"/>
          <w:szCs w:val="26"/>
        </w:rPr>
        <w:t xml:space="preserve"> &amp; Høiby, N. (2008). Why chronic wounds will not heal: A novel hypothesis. Wound Repair and Regeneration, 16(1), 2-10.</w:t>
      </w:r>
    </w:p>
    <w:p>
      <w:pPr>
        <w:pStyle w:val="style0"/>
        <w:spacing w:after="0" w:lineRule="auto" w:line="480"/>
        <w:ind w:left="720" w:hanging="720"/>
        <w:jc w:val="both"/>
        <w:rPr>
          <w:color w:val="000000"/>
          <w:sz w:val="24"/>
          <w:szCs w:val="26"/>
        </w:rPr>
      </w:pPr>
      <w:r>
        <w:rPr>
          <w:color w:val="000000"/>
          <w:sz w:val="24"/>
          <w:szCs w:val="26"/>
        </w:rPr>
        <w:t>Boateng, J. S., &amp; Catanzano, O. (2015).</w:t>
      </w:r>
      <w:r>
        <w:rPr>
          <w:color w:val="000000"/>
          <w:sz w:val="24"/>
          <w:szCs w:val="26"/>
        </w:rPr>
        <w:t xml:space="preserve"> Advanced therapeutic dressings for effective wound healing—a review. Journal of Pharmaceutical Sciences, 104(11), 3653-3680.</w:t>
      </w:r>
    </w:p>
    <w:p>
      <w:pPr>
        <w:pStyle w:val="style0"/>
        <w:spacing w:after="0" w:lineRule="auto" w:line="480"/>
        <w:ind w:left="720" w:hanging="720"/>
        <w:jc w:val="both"/>
        <w:rPr>
          <w:rFonts w:eastAsia="Times New Roman"/>
          <w:color w:val="000000"/>
          <w:sz w:val="24"/>
          <w:szCs w:val="26"/>
        </w:rPr>
      </w:pPr>
      <w:r>
        <w:rPr>
          <w:color w:val="000000"/>
          <w:sz w:val="24"/>
          <w:szCs w:val="26"/>
        </w:rPr>
        <w:t>Chen J, Falla TJ, Liu H, et al. Development of protegrins for the treatment and prevention of oral mucositis: structure-activity relationships of synthetic protegrin analogues. Biopolymers 2000; 55: 88–98.</w:t>
      </w:r>
    </w:p>
    <w:p>
      <w:pPr>
        <w:pStyle w:val="style0"/>
        <w:spacing w:after="0" w:lineRule="auto" w:line="480"/>
        <w:ind w:left="720" w:hanging="720"/>
        <w:jc w:val="both"/>
        <w:rPr>
          <w:color w:val="000000"/>
          <w:sz w:val="24"/>
          <w:szCs w:val="26"/>
        </w:rPr>
      </w:pPr>
      <w:r>
        <w:rPr>
          <w:color w:val="000000"/>
          <w:sz w:val="24"/>
          <w:szCs w:val="26"/>
        </w:rPr>
        <w:t xml:space="preserve">Conte, M. S., Bradbury, A. W., Kolh, P., White, J. V., Dick, F., Fitridge, R., ... &amp; Mills, J. L. (2019). </w:t>
      </w:r>
      <w:r>
        <w:rPr>
          <w:color w:val="000000"/>
          <w:sz w:val="24"/>
          <w:szCs w:val="26"/>
        </w:rPr>
        <w:t>Global vascular guidelines on chronic limb-threatening ischemia.</w:t>
      </w:r>
      <w:r>
        <w:rPr>
          <w:color w:val="000000"/>
          <w:sz w:val="24"/>
          <w:szCs w:val="26"/>
        </w:rPr>
        <w:t xml:space="preserve"> </w:t>
      </w:r>
      <w:r>
        <w:rPr>
          <w:color w:val="000000"/>
          <w:sz w:val="24"/>
          <w:szCs w:val="26"/>
        </w:rPr>
        <w:t>European Journal of Vascular and Endovascular Surgery, 58(1), S1-S109.</w:t>
      </w:r>
    </w:p>
    <w:p>
      <w:pPr>
        <w:pStyle w:val="style0"/>
        <w:spacing w:after="0" w:lineRule="auto" w:line="480"/>
        <w:ind w:left="720" w:hanging="720"/>
        <w:jc w:val="both"/>
        <w:rPr>
          <w:color w:val="000000"/>
          <w:sz w:val="24"/>
          <w:szCs w:val="26"/>
        </w:rPr>
      </w:pPr>
      <w:r>
        <w:rPr>
          <w:color w:val="000000"/>
          <w:sz w:val="24"/>
          <w:szCs w:val="26"/>
        </w:rPr>
        <w:t>Crispian Scully and Rosemary Shotts (2000).</w:t>
      </w:r>
      <w:r>
        <w:rPr>
          <w:color w:val="000000"/>
          <w:sz w:val="24"/>
          <w:szCs w:val="26"/>
        </w:rPr>
        <w:t xml:space="preserve"> </w:t>
      </w:r>
      <w:r>
        <w:rPr>
          <w:color w:val="000000"/>
          <w:sz w:val="24"/>
          <w:szCs w:val="26"/>
        </w:rPr>
        <w:t>Mouth ulcers and other causes of orofacial soreness and pain.</w:t>
      </w:r>
      <w:r>
        <w:rPr>
          <w:color w:val="000000"/>
          <w:sz w:val="24"/>
          <w:szCs w:val="26"/>
        </w:rPr>
        <w:t xml:space="preserve"> BMJ 321:162-165.</w:t>
      </w:r>
    </w:p>
    <w:p>
      <w:pPr>
        <w:pStyle w:val="style94"/>
        <w:spacing w:before="0" w:beforeAutospacing="false" w:after="0" w:afterAutospacing="false" w:lineRule="auto" w:line="480"/>
        <w:ind w:left="720" w:hanging="720"/>
        <w:jc w:val="both"/>
        <w:rPr>
          <w:color w:val="000000"/>
          <w:szCs w:val="26"/>
        </w:rPr>
      </w:pPr>
      <w:r>
        <w:rPr>
          <w:color w:val="000000"/>
          <w:szCs w:val="26"/>
        </w:rPr>
        <w:t>Daglia, M. (2017).</w:t>
      </w:r>
      <w:r>
        <w:rPr>
          <w:color w:val="000000"/>
          <w:szCs w:val="26"/>
        </w:rPr>
        <w:t xml:space="preserve"> </w:t>
      </w:r>
      <w:r>
        <w:rPr>
          <w:color w:val="000000"/>
          <w:szCs w:val="26"/>
        </w:rPr>
        <w:t>Polyphenols as antimicrobial agents.</w:t>
      </w:r>
      <w:r>
        <w:rPr>
          <w:color w:val="000000"/>
          <w:szCs w:val="26"/>
        </w:rPr>
        <w:t xml:space="preserve"> </w:t>
      </w:r>
      <w:r>
        <w:rPr>
          <w:rStyle w:val="style88"/>
          <w:color w:val="000000"/>
          <w:szCs w:val="26"/>
        </w:rPr>
        <w:t>Current Opinion in Biotechnology, 23</w:t>
      </w:r>
      <w:r>
        <w:rPr>
          <w:color w:val="000000"/>
          <w:szCs w:val="26"/>
        </w:rPr>
        <w:t>(2), 174-181.</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Dinda, B., Das, N., Dinda, S., Dinda, M., &amp; SilSarma, I. (2015).</w:t>
      </w:r>
      <w:r>
        <w:rPr>
          <w:color w:val="000000"/>
          <w:sz w:val="24"/>
          <w:szCs w:val="26"/>
          <w:shd w:val="clear" w:color="auto" w:fill="ffffff"/>
        </w:rPr>
        <w:t> </w:t>
      </w:r>
      <w:r>
        <w:rPr>
          <w:i/>
          <w:iCs/>
          <w:color w:val="000000"/>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Phytochemical constituents of some Nigerian medicinal plants.</w:t>
      </w:r>
      <w:r>
        <w:rPr>
          <w:color w:val="000000"/>
          <w:szCs w:val="26"/>
        </w:rPr>
        <w:t xml:space="preserve"> </w:t>
      </w:r>
      <w:r>
        <w:rPr>
          <w:rStyle w:val="style88"/>
          <w:color w:val="000000"/>
          <w:szCs w:val="26"/>
        </w:rPr>
        <w:t>Journal of Medicinal Plants Research, 14</w:t>
      </w:r>
      <w:r>
        <w:rPr>
          <w:color w:val="000000"/>
          <w:szCs w:val="26"/>
        </w:rPr>
        <w:t>(1), 23-29.</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Phytochemical constituents of some Nigerian medicinal plants.</w:t>
      </w:r>
      <w:r>
        <w:rPr>
          <w:color w:val="000000"/>
          <w:szCs w:val="26"/>
        </w:rPr>
        <w:t xml:space="preserve"> </w:t>
      </w:r>
      <w:r>
        <w:rPr>
          <w:rStyle w:val="style88"/>
          <w:color w:val="000000"/>
          <w:szCs w:val="26"/>
        </w:rPr>
        <w:t>Journal of Medicinal Plants Research, 14</w:t>
      </w:r>
      <w:r>
        <w:rPr>
          <w:color w:val="000000"/>
          <w:szCs w:val="26"/>
        </w:rPr>
        <w:t>(1), 23-29.</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 xml:space="preserve">Edeoga, H. O., Okwu, D. E., &amp; Mbaebie, B. O. (2020). </w:t>
      </w:r>
      <w:r>
        <w:rPr>
          <w:rFonts w:eastAsia="Times New Roman"/>
          <w:color w:val="000000"/>
          <w:sz w:val="24"/>
          <w:szCs w:val="26"/>
        </w:rPr>
        <w:t xml:space="preserve">Phytochemical constituents of </w:t>
      </w:r>
      <w:r>
        <w:rPr>
          <w:rFonts w:eastAsia="Times New Roman"/>
          <w:i/>
          <w:iCs/>
          <w:color w:val="000000"/>
          <w:sz w:val="24"/>
          <w:szCs w:val="26"/>
        </w:rPr>
        <w:t>Sida acuta</w:t>
      </w:r>
      <w:r>
        <w:rPr>
          <w:rFonts w:eastAsia="Times New Roman"/>
          <w:color w:val="000000"/>
          <w:sz w:val="24"/>
          <w:szCs w:val="26"/>
        </w:rPr>
        <w:t xml:space="preserve"> and their antioxidant potential.</w:t>
      </w:r>
      <w:r>
        <w:rPr>
          <w:rFonts w:eastAsia="Times New Roman"/>
          <w:color w:val="000000"/>
          <w:sz w:val="24"/>
          <w:szCs w:val="26"/>
        </w:rPr>
        <w:t xml:space="preserve"> </w:t>
      </w:r>
      <w:r>
        <w:rPr>
          <w:rFonts w:eastAsia="Times New Roman"/>
          <w:i/>
          <w:iCs/>
          <w:color w:val="000000"/>
          <w:sz w:val="24"/>
          <w:szCs w:val="26"/>
        </w:rPr>
        <w:t>African Journal of Biotechnology, 19</w:t>
      </w:r>
      <w:r>
        <w:rPr>
          <w:rFonts w:eastAsia="Times New Roman"/>
          <w:color w:val="000000"/>
          <w:sz w:val="24"/>
          <w:szCs w:val="26"/>
        </w:rPr>
        <w:t>(2), 89-97.</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 xml:space="preserve">Phytochemical constituents of </w:t>
      </w:r>
      <w:r>
        <w:rPr>
          <w:rStyle w:val="style88"/>
          <w:color w:val="000000"/>
          <w:szCs w:val="26"/>
        </w:rPr>
        <w:t>Sida acuta</w:t>
      </w:r>
      <w:r>
        <w:rPr>
          <w:color w:val="000000"/>
          <w:szCs w:val="26"/>
        </w:rPr>
        <w:t xml:space="preserve"> and their antioxidant potential.</w:t>
      </w:r>
      <w:r>
        <w:rPr>
          <w:color w:val="000000"/>
          <w:szCs w:val="26"/>
        </w:rPr>
        <w:t xml:space="preserve"> </w:t>
      </w:r>
      <w:r>
        <w:rPr>
          <w:rStyle w:val="style88"/>
          <w:color w:val="000000"/>
          <w:szCs w:val="26"/>
        </w:rPr>
        <w:t>African Journal of Biotechnology, 19</w:t>
      </w:r>
      <w:r>
        <w:rPr>
          <w:color w:val="000000"/>
          <w:szCs w:val="26"/>
        </w:rPr>
        <w:t>(2), 89-97.</w:t>
      </w:r>
    </w:p>
    <w:p>
      <w:pPr>
        <w:pStyle w:val="style94"/>
        <w:spacing w:before="0" w:beforeAutospacing="false" w:after="0" w:afterAutospacing="false" w:lineRule="auto" w:line="480"/>
        <w:ind w:left="720" w:hanging="720"/>
        <w:jc w:val="both"/>
        <w:rPr>
          <w:color w:val="000000"/>
          <w:szCs w:val="26"/>
        </w:rPr>
      </w:pPr>
      <w:r>
        <w:rPr>
          <w:color w:val="000000"/>
          <w:szCs w:val="26"/>
        </w:rPr>
        <w:t xml:space="preserve">Edeoga, H. O., Okwu, D. E., &amp; Mbaebie, B. O. (2020). </w:t>
      </w:r>
      <w:r>
        <w:rPr>
          <w:color w:val="000000"/>
          <w:szCs w:val="26"/>
        </w:rPr>
        <w:t xml:space="preserve">Phytochemical constituents and mineral composition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African Journal of Biotechnology, 19</w:t>
      </w:r>
      <w:r>
        <w:rPr>
          <w:color w:val="000000"/>
          <w:szCs w:val="26"/>
        </w:rPr>
        <w:t>(2), 89-97.</w:t>
      </w:r>
    </w:p>
    <w:p>
      <w:pPr>
        <w:pStyle w:val="style0"/>
        <w:spacing w:after="0" w:lineRule="auto" w:line="480"/>
        <w:ind w:left="720" w:hanging="720"/>
        <w:jc w:val="both"/>
        <w:rPr>
          <w:color w:val="000000"/>
          <w:sz w:val="24"/>
          <w:szCs w:val="26"/>
        </w:rPr>
      </w:pPr>
      <w:r>
        <w:rPr>
          <w:color w:val="000000"/>
          <w:sz w:val="24"/>
          <w:szCs w:val="26"/>
        </w:rPr>
        <w:t>Edwards, R., &amp; Harding, K. G. (2020).</w:t>
      </w:r>
      <w:r>
        <w:rPr>
          <w:color w:val="000000"/>
          <w:sz w:val="24"/>
          <w:szCs w:val="26"/>
        </w:rPr>
        <w:t xml:space="preserve"> </w:t>
      </w:r>
      <w:r>
        <w:rPr>
          <w:color w:val="000000"/>
          <w:sz w:val="24"/>
          <w:szCs w:val="26"/>
        </w:rPr>
        <w:t>Bacteria and wound healing.</w:t>
      </w:r>
      <w:r>
        <w:rPr>
          <w:color w:val="000000"/>
          <w:sz w:val="24"/>
          <w:szCs w:val="26"/>
        </w:rPr>
        <w:t xml:space="preserve"> Current Opinion in Infectious Diseases, 17(2), 91-96.</w:t>
      </w:r>
    </w:p>
    <w:p>
      <w:pPr>
        <w:pStyle w:val="style0"/>
        <w:spacing w:after="0" w:lineRule="auto" w:line="480"/>
        <w:ind w:left="720" w:hanging="720"/>
        <w:jc w:val="both"/>
        <w:rPr>
          <w:color w:val="000000"/>
          <w:sz w:val="24"/>
          <w:szCs w:val="26"/>
        </w:rPr>
      </w:pPr>
      <w:r>
        <w:rPr>
          <w:color w:val="000000"/>
          <w:sz w:val="24"/>
          <w:szCs w:val="26"/>
        </w:rPr>
        <w:t>Ekpo MA, Etim PC. Antimicrobial activity of ethanolic and aqueous extracts of Sida acuta on microorganisms from skin infections. J Med Plants Res. 2009</w:t>
      </w:r>
      <w:r>
        <w:rPr>
          <w:color w:val="000000"/>
          <w:sz w:val="24"/>
          <w:szCs w:val="26"/>
        </w:rPr>
        <w:t>;3</w:t>
      </w:r>
      <w:r>
        <w:rPr>
          <w:color w:val="000000"/>
          <w:sz w:val="24"/>
          <w:szCs w:val="26"/>
        </w:rPr>
        <w:t>(9):621-24.</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Ekwealor, C. C., Okorie, C. C., Ukoha, C. C., &amp; Mba, A. N. (2020). In Vivo Study of Healing Effects of Sida acuta Leaf Extracts on Helicobacter pylori Induced Ulceration in Mice. </w:t>
      </w:r>
      <w:r>
        <w:rPr>
          <w:i/>
          <w:color w:val="000000"/>
          <w:sz w:val="24"/>
          <w:szCs w:val="26"/>
          <w:shd w:val="clear" w:color="auto" w:fill="ffffff"/>
        </w:rPr>
        <w:t>Journal of Biosciences and Medicines</w:t>
      </w:r>
      <w:r>
        <w:rPr>
          <w:color w:val="000000"/>
          <w:sz w:val="24"/>
          <w:szCs w:val="26"/>
          <w:shd w:val="clear" w:color="auto" w:fill="ffffff"/>
        </w:rPr>
        <w:t>, </w:t>
      </w:r>
      <w:r>
        <w:rPr>
          <w:i/>
          <w:color w:val="000000"/>
          <w:sz w:val="24"/>
          <w:szCs w:val="26"/>
          <w:shd w:val="clear" w:color="auto" w:fill="ffffff"/>
        </w:rPr>
        <w:t>8</w:t>
      </w:r>
      <w:r>
        <w:rPr>
          <w:color w:val="000000"/>
          <w:sz w:val="24"/>
          <w:szCs w:val="26"/>
          <w:shd w:val="clear" w:color="auto" w:fill="ffffff"/>
        </w:rPr>
        <w:t>(9), 1-14.</w:t>
      </w:r>
    </w:p>
    <w:p>
      <w:pPr>
        <w:pStyle w:val="style0"/>
        <w:spacing w:after="0" w:lineRule="auto" w:line="480"/>
        <w:ind w:left="720" w:hanging="720"/>
        <w:jc w:val="both"/>
        <w:rPr>
          <w:color w:val="000000"/>
          <w:sz w:val="24"/>
          <w:szCs w:val="26"/>
        </w:rPr>
      </w:pPr>
      <w:r>
        <w:rPr>
          <w:color w:val="000000"/>
          <w:sz w:val="24"/>
          <w:szCs w:val="26"/>
        </w:rPr>
        <w:t xml:space="preserve">Eming, S. A., Martin, P., &amp; Tomic-Canic, M. (2014). Wound repair and regeneration: Mechanisms, signaling, and translation. </w:t>
      </w:r>
      <w:r>
        <w:rPr>
          <w:color w:val="000000"/>
          <w:sz w:val="24"/>
          <w:szCs w:val="26"/>
        </w:rPr>
        <w:t>Science Translational Medicine, 6(265), 265sr6.</w:t>
      </w:r>
    </w:p>
    <w:p>
      <w:pPr>
        <w:pStyle w:val="style0"/>
        <w:spacing w:after="0" w:lineRule="auto" w:line="480"/>
        <w:ind w:left="720" w:hanging="720"/>
        <w:jc w:val="both"/>
        <w:rPr>
          <w:color w:val="000000"/>
          <w:sz w:val="24"/>
          <w:szCs w:val="26"/>
        </w:rPr>
      </w:pPr>
      <w:r>
        <w:rPr>
          <w:color w:val="000000"/>
          <w:sz w:val="24"/>
          <w:szCs w:val="26"/>
        </w:rPr>
        <w:t xml:space="preserve">Eming, S. A., Martin, P., &amp; Tomic-Canic, M. (2019). Wound repair and regeneration: Mechanisms, signaling, and translation. </w:t>
      </w:r>
      <w:r>
        <w:rPr>
          <w:color w:val="000000"/>
          <w:sz w:val="24"/>
          <w:szCs w:val="26"/>
        </w:rPr>
        <w:t>Science Translational Medicine, 6(265), 265sr6.</w:t>
      </w:r>
    </w:p>
    <w:p>
      <w:pPr>
        <w:pStyle w:val="style0"/>
        <w:spacing w:after="0" w:lineRule="auto" w:line="480"/>
        <w:ind w:left="720" w:hanging="720"/>
        <w:jc w:val="both"/>
        <w:rPr>
          <w:color w:val="000000"/>
          <w:sz w:val="24"/>
          <w:szCs w:val="26"/>
        </w:rPr>
      </w:pPr>
      <w:r>
        <w:rPr>
          <w:color w:val="000000"/>
          <w:sz w:val="24"/>
          <w:szCs w:val="26"/>
        </w:rPr>
        <w:t>Emwal A, Kumar MS. Development of quality control parameters for the standardization of Leaves and bark of Sida acuta Burm. f. Indian Journal of Pharmaceutical and Biological Research. 2014 Oct 1</w:t>
      </w:r>
      <w:r>
        <w:rPr>
          <w:color w:val="000000"/>
          <w:sz w:val="24"/>
          <w:szCs w:val="26"/>
        </w:rPr>
        <w:t>;2</w:t>
      </w:r>
      <w:r>
        <w:rPr>
          <w:color w:val="000000"/>
          <w:sz w:val="24"/>
          <w:szCs w:val="26"/>
        </w:rPr>
        <w:t>(4):89.</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Ezekwesili, C. N., Nwodo, O. F., Obidoa, O., &amp; Aboh, F. O. (2018).</w:t>
      </w:r>
      <w:r>
        <w:rPr>
          <w:rFonts w:eastAsia="Times New Roman"/>
          <w:color w:val="000000"/>
          <w:sz w:val="24"/>
          <w:szCs w:val="26"/>
        </w:rPr>
        <w:t xml:space="preserve"> Gastroprotective effects of </w:t>
      </w:r>
      <w:r>
        <w:rPr>
          <w:rFonts w:eastAsia="Times New Roman"/>
          <w:i/>
          <w:iCs/>
          <w:color w:val="000000"/>
          <w:sz w:val="24"/>
          <w:szCs w:val="26"/>
        </w:rPr>
        <w:t>Sida acuta</w:t>
      </w:r>
      <w:r>
        <w:rPr>
          <w:rFonts w:eastAsia="Times New Roman"/>
          <w:color w:val="000000"/>
          <w:sz w:val="24"/>
          <w:szCs w:val="26"/>
        </w:rPr>
        <w:t xml:space="preserve"> flavonoids. </w:t>
      </w:r>
      <w:r>
        <w:rPr>
          <w:rFonts w:eastAsia="Times New Roman"/>
          <w:i/>
          <w:iCs/>
          <w:color w:val="000000"/>
          <w:sz w:val="24"/>
          <w:szCs w:val="26"/>
        </w:rPr>
        <w:t>International Journal of Herbal Medicine, 10</w:t>
      </w:r>
      <w:r>
        <w:rPr>
          <w:rFonts w:eastAsia="Times New Roman"/>
          <w:color w:val="000000"/>
          <w:sz w:val="24"/>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Nwodo, O. F., Obidoa, O., &amp; Aboh, F. O. (2018).</w:t>
      </w:r>
      <w:r>
        <w:rPr>
          <w:color w:val="000000"/>
          <w:szCs w:val="26"/>
        </w:rPr>
        <w:t xml:space="preserve"> Gastroprotective effects of </w:t>
      </w:r>
      <w:r>
        <w:rPr>
          <w:rStyle w:val="style88"/>
          <w:color w:val="000000"/>
          <w:szCs w:val="26"/>
        </w:rPr>
        <w:t>Sida acuta</w:t>
      </w:r>
      <w:r>
        <w:rPr>
          <w:color w:val="000000"/>
          <w:szCs w:val="26"/>
        </w:rPr>
        <w:t xml:space="preserve"> phenols. </w:t>
      </w:r>
      <w:r>
        <w:rPr>
          <w:rStyle w:val="style88"/>
          <w:color w:val="000000"/>
          <w:szCs w:val="26"/>
        </w:rPr>
        <w:t>International Journal of Herbal Medicine, 10</w:t>
      </w:r>
      <w:r>
        <w:rPr>
          <w:color w:val="000000"/>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Nwodo, O. F., Obidoa, O., &amp; Aboh, F. O. (2018).</w:t>
      </w:r>
      <w:r>
        <w:rPr>
          <w:color w:val="000000"/>
          <w:szCs w:val="26"/>
        </w:rPr>
        <w:t xml:space="preserve"> </w:t>
      </w:r>
      <w:r>
        <w:rPr>
          <w:color w:val="000000"/>
          <w:szCs w:val="26"/>
        </w:rPr>
        <w:t xml:space="preserve">Selenium and antioxidant properties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International Journal of Herbal Medicine, 10</w:t>
      </w:r>
      <w:r>
        <w:rPr>
          <w:color w:val="000000"/>
          <w:szCs w:val="26"/>
        </w:rPr>
        <w:t>(4), 102-110.</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94"/>
        <w:spacing w:before="0" w:beforeAutospacing="false" w:after="0" w:afterAutospacing="false" w:lineRule="auto" w:line="480"/>
        <w:ind w:left="720" w:hanging="720"/>
        <w:jc w:val="both"/>
        <w:rPr>
          <w:color w:val="000000"/>
          <w:szCs w:val="26"/>
        </w:rPr>
      </w:pPr>
      <w:r>
        <w:rPr>
          <w:color w:val="000000"/>
          <w:szCs w:val="26"/>
        </w:rPr>
        <w:t>Ezekwesili, C. N., Okoli, J. C., &amp; Nwafor, P. A. (2018).</w:t>
      </w:r>
      <w:r>
        <w:rPr>
          <w:color w:val="000000"/>
          <w:szCs w:val="26"/>
        </w:rPr>
        <w:t xml:space="preserve"> Gastroprotective effects of </w:t>
      </w:r>
      <w:r>
        <w:rPr>
          <w:rStyle w:val="style88"/>
          <w:color w:val="000000"/>
          <w:szCs w:val="26"/>
        </w:rPr>
        <w:t>Sida acuta</w:t>
      </w:r>
      <w:r>
        <w:rPr>
          <w:color w:val="000000"/>
          <w:szCs w:val="26"/>
        </w:rPr>
        <w:t xml:space="preserve"> in experimental ulcer models. </w:t>
      </w:r>
      <w:r>
        <w:rPr>
          <w:rStyle w:val="style88"/>
          <w:color w:val="000000"/>
          <w:szCs w:val="26"/>
        </w:rPr>
        <w:t>Pharmacognosy Research, 10</w:t>
      </w:r>
      <w:r>
        <w:rPr>
          <w:color w:val="000000"/>
          <w:szCs w:val="26"/>
        </w:rPr>
        <w:t>(4), 311-317.</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Fitzpatrick, S. G., Cohen, D. M., &amp; Clark, A. N. (2019).</w:t>
      </w:r>
      <w:r>
        <w:rPr>
          <w:rFonts w:eastAsia="Times New Roman"/>
          <w:color w:val="000000"/>
          <w:sz w:val="24"/>
          <w:szCs w:val="26"/>
        </w:rPr>
        <w:t> </w:t>
      </w:r>
      <w:r>
        <w:rPr>
          <w:rFonts w:eastAsia="Times New Roman"/>
          <w:i/>
          <w:iCs/>
          <w:color w:val="000000"/>
          <w:sz w:val="24"/>
          <w:szCs w:val="26"/>
        </w:rPr>
        <w:t>Ulcerated Lesions of the Oral Mucosa: Clinical and Histologic Review. Head and Neck Pathology, 13(1), 91–102.</w:t>
      </w:r>
      <w:r>
        <w:rPr>
          <w:rFonts w:eastAsia="Times New Roman"/>
          <w:color w:val="000000"/>
          <w:sz w:val="24"/>
          <w:szCs w:val="26"/>
        </w:rPr>
        <w:t> </w:t>
      </w:r>
    </w:p>
    <w:p>
      <w:pPr>
        <w:pStyle w:val="style0"/>
        <w:spacing w:after="0" w:lineRule="auto" w:line="480"/>
        <w:ind w:left="720" w:hanging="720"/>
        <w:jc w:val="both"/>
        <w:rPr>
          <w:color w:val="000000"/>
          <w:sz w:val="24"/>
          <w:szCs w:val="26"/>
        </w:rPr>
      </w:pPr>
      <w:r>
        <w:rPr>
          <w:color w:val="000000"/>
          <w:sz w:val="24"/>
          <w:szCs w:val="26"/>
        </w:rPr>
        <w:t>Ford AC, Forman D, Hunt RH, Yuan Y, Moayyedi P. Helicobacter pylori eradication therapy to prevent gastric cancer in healthy asymptomatic infected individuals: systematic review and meta-analysis of randomised controlled trials. BMJ 2014</w:t>
      </w:r>
      <w:r>
        <w:rPr>
          <w:color w:val="000000"/>
          <w:sz w:val="24"/>
          <w:szCs w:val="26"/>
        </w:rPr>
        <w:t>;348:g3174</w:t>
      </w:r>
      <w:r>
        <w:rPr>
          <w:color w:val="000000"/>
          <w:sz w:val="24"/>
          <w:szCs w:val="26"/>
        </w:rPr>
        <w:t>.</w:t>
      </w:r>
    </w:p>
    <w:p>
      <w:pPr>
        <w:pStyle w:val="style0"/>
        <w:spacing w:after="0" w:lineRule="auto" w:line="480"/>
        <w:ind w:left="720" w:hanging="720"/>
        <w:jc w:val="both"/>
        <w:rPr>
          <w:color w:val="000000"/>
          <w:sz w:val="24"/>
          <w:szCs w:val="26"/>
        </w:rPr>
      </w:pPr>
      <w:r>
        <w:rPr>
          <w:color w:val="000000"/>
          <w:sz w:val="24"/>
          <w:szCs w:val="26"/>
        </w:rPr>
        <w:t>Fowkes, F. G., Rudan, D., Rudan, I., Aboyans, V., Denenberg, J. O., McDermott, M. M</w:t>
      </w:r>
      <w:r>
        <w:rPr>
          <w:color w:val="000000"/>
          <w:sz w:val="24"/>
          <w:szCs w:val="26"/>
        </w:rPr>
        <w:t>., ...</w:t>
      </w:r>
      <w:r>
        <w:rPr>
          <w:color w:val="000000"/>
          <w:sz w:val="24"/>
          <w:szCs w:val="26"/>
        </w:rPr>
        <w:t xml:space="preserve"> &amp; Criqui, M. H. (2020). </w:t>
      </w:r>
      <w:r>
        <w:rPr>
          <w:color w:val="000000"/>
          <w:sz w:val="24"/>
          <w:szCs w:val="26"/>
        </w:rPr>
        <w:t>Comparison of global estimates of prevalence and risk factors for peripheral artery disease.</w:t>
      </w:r>
      <w:r>
        <w:rPr>
          <w:color w:val="000000"/>
          <w:sz w:val="24"/>
          <w:szCs w:val="26"/>
        </w:rPr>
        <w:t xml:space="preserve"> Lancet, 382(9901), 1329-1340.</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&amp; Kennedy, D. O. (2019).</w:t>
      </w:r>
      <w:r>
        <w:rPr>
          <w:color w:val="000000"/>
          <w:szCs w:val="26"/>
        </w:rPr>
        <w:t xml:space="preserve"> </w:t>
      </w:r>
      <w:r>
        <w:rPr>
          <w:color w:val="000000"/>
          <w:szCs w:val="26"/>
        </w:rPr>
        <w:t>The role of tannins in health benefits.</w:t>
      </w:r>
      <w:r>
        <w:rPr>
          <w:color w:val="000000"/>
          <w:szCs w:val="26"/>
        </w:rPr>
        <w:t xml:space="preserve"> </w:t>
      </w:r>
      <w:r>
        <w:rPr>
          <w:rStyle w:val="style88"/>
          <w:color w:val="000000"/>
          <w:szCs w:val="26"/>
        </w:rPr>
        <w:t>Molecular Nutrition &amp; Food Research, 63</w:t>
      </w:r>
      <w:r>
        <w:rPr>
          <w:color w:val="000000"/>
          <w:szCs w:val="26"/>
        </w:rPr>
        <w:t>(8), 1801234.</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Fraga, C. G., Croft, K. D., Kennedy, D. O., &amp; Tomás-Barberán, F. A. (2019).</w:t>
      </w:r>
      <w:r>
        <w:rPr>
          <w:rFonts w:eastAsia="Times New Roman"/>
          <w:color w:val="000000"/>
          <w:sz w:val="24"/>
          <w:szCs w:val="26"/>
        </w:rPr>
        <w:t xml:space="preserve"> </w:t>
      </w:r>
      <w:r>
        <w:rPr>
          <w:rFonts w:eastAsia="Times New Roman"/>
          <w:color w:val="000000"/>
          <w:sz w:val="24"/>
          <w:szCs w:val="26"/>
        </w:rPr>
        <w:t>The role of flavonoids in disease prevention and health promotion.</w:t>
      </w:r>
      <w:r>
        <w:rPr>
          <w:rFonts w:eastAsia="Times New Roman"/>
          <w:color w:val="000000"/>
          <w:sz w:val="24"/>
          <w:szCs w:val="26"/>
        </w:rPr>
        <w:t xml:space="preserve"> </w:t>
      </w:r>
      <w:r>
        <w:rPr>
          <w:rFonts w:eastAsia="Times New Roman"/>
          <w:i/>
          <w:iCs/>
          <w:color w:val="000000"/>
          <w:sz w:val="24"/>
          <w:szCs w:val="26"/>
        </w:rPr>
        <w:t>BioFactors, 45</w:t>
      </w:r>
      <w:r>
        <w:rPr>
          <w:rFonts w:eastAsia="Times New Roman"/>
          <w:color w:val="000000"/>
          <w:sz w:val="24"/>
          <w:szCs w:val="26"/>
        </w:rPr>
        <w:t>(2), 205-217.</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Kennedy, D. O., &amp; Tomás-Barberán, F. A. (2019).</w:t>
      </w:r>
      <w:r>
        <w:rPr>
          <w:color w:val="000000"/>
          <w:szCs w:val="26"/>
        </w:rPr>
        <w:t xml:space="preserve"> </w:t>
      </w:r>
      <w:r>
        <w:rPr>
          <w:color w:val="000000"/>
          <w:szCs w:val="26"/>
        </w:rPr>
        <w:t>The role of phenolic compounds in disease prevention and health promotion.</w:t>
      </w:r>
      <w:r>
        <w:rPr>
          <w:color w:val="000000"/>
          <w:szCs w:val="26"/>
        </w:rPr>
        <w:t xml:space="preserve"> </w:t>
      </w:r>
      <w:r>
        <w:rPr>
          <w:rStyle w:val="style88"/>
          <w:color w:val="000000"/>
          <w:szCs w:val="26"/>
        </w:rPr>
        <w:t>BioFactors, 45</w:t>
      </w:r>
      <w:r>
        <w:rPr>
          <w:color w:val="000000"/>
          <w:szCs w:val="26"/>
        </w:rPr>
        <w:t>(2), 205-217.</w:t>
      </w:r>
    </w:p>
    <w:p>
      <w:pPr>
        <w:pStyle w:val="style94"/>
        <w:spacing w:before="0" w:beforeAutospacing="false" w:after="0" w:afterAutospacing="false" w:lineRule="auto" w:line="480"/>
        <w:ind w:left="720" w:hanging="720"/>
        <w:jc w:val="both"/>
        <w:rPr>
          <w:color w:val="000000"/>
          <w:szCs w:val="26"/>
        </w:rPr>
      </w:pPr>
      <w:r>
        <w:rPr>
          <w:color w:val="000000"/>
          <w:szCs w:val="26"/>
        </w:rPr>
        <w:t>Fraga, C. G., Croft, K. D., Kennedy, D. O., &amp; Tomás-Barberán, F. A. (2019).</w:t>
      </w:r>
      <w:r>
        <w:rPr>
          <w:color w:val="000000"/>
          <w:szCs w:val="26"/>
        </w:rPr>
        <w:t xml:space="preserve"> </w:t>
      </w:r>
      <w:r>
        <w:rPr>
          <w:color w:val="000000"/>
          <w:szCs w:val="26"/>
        </w:rPr>
        <w:t>Role of minerals in plant-derived nutrition and disease prevention.</w:t>
      </w:r>
      <w:r>
        <w:rPr>
          <w:color w:val="000000"/>
          <w:szCs w:val="26"/>
        </w:rPr>
        <w:t xml:space="preserve"> </w:t>
      </w:r>
      <w:r>
        <w:rPr>
          <w:rStyle w:val="style88"/>
          <w:color w:val="000000"/>
          <w:szCs w:val="26"/>
        </w:rPr>
        <w:t>BioFactors, 45</w:t>
      </w:r>
      <w:r>
        <w:rPr>
          <w:color w:val="000000"/>
          <w:szCs w:val="26"/>
        </w:rPr>
        <w:t>(2), 205-217.</w:t>
      </w:r>
    </w:p>
    <w:p>
      <w:pPr>
        <w:pStyle w:val="style0"/>
        <w:spacing w:after="0" w:lineRule="auto" w:line="480"/>
        <w:ind w:left="720" w:hanging="720"/>
        <w:jc w:val="both"/>
        <w:rPr>
          <w:color w:val="000000"/>
          <w:sz w:val="24"/>
          <w:szCs w:val="26"/>
        </w:rPr>
      </w:pPr>
      <w:r>
        <w:rPr>
          <w:color w:val="000000"/>
          <w:sz w:val="24"/>
          <w:szCs w:val="26"/>
        </w:rPr>
        <w:t>Gorecki, C., Closs, S. J., Nixon, J., &amp; Briggs, M. (2019).</w:t>
      </w:r>
      <w:r>
        <w:rPr>
          <w:color w:val="000000"/>
          <w:sz w:val="24"/>
          <w:szCs w:val="26"/>
        </w:rPr>
        <w:t xml:space="preserve"> Patient-reported pressure ulcer pain: A mixed-methods systematic review. Palliative Medicine, 33(4), 291-309.</w:t>
      </w:r>
    </w:p>
    <w:p>
      <w:pPr>
        <w:pStyle w:val="style0"/>
        <w:spacing w:after="0" w:lineRule="auto" w:line="480"/>
        <w:ind w:left="720" w:hanging="720"/>
        <w:jc w:val="both"/>
        <w:rPr>
          <w:color w:val="000000"/>
          <w:sz w:val="24"/>
          <w:szCs w:val="26"/>
        </w:rPr>
      </w:pPr>
      <w:r>
        <w:rPr>
          <w:color w:val="000000"/>
          <w:sz w:val="24"/>
          <w:szCs w:val="26"/>
        </w:rPr>
        <w:t>Gorecki, C., Closs, S. J., Nixon, J., &amp; Briggs, M. (2019).</w:t>
      </w:r>
      <w:r>
        <w:rPr>
          <w:color w:val="000000"/>
          <w:sz w:val="24"/>
          <w:szCs w:val="26"/>
        </w:rPr>
        <w:t xml:space="preserve"> Patient-reported pressure ulcer pain: A mixed-methods systematic review. Palliative Medicine, 33(4), 291-309.</w:t>
      </w:r>
    </w:p>
    <w:p>
      <w:pPr>
        <w:pStyle w:val="style0"/>
        <w:spacing w:after="0" w:lineRule="auto" w:line="480"/>
        <w:ind w:left="720" w:hanging="720"/>
        <w:jc w:val="both"/>
        <w:rPr>
          <w:color w:val="000000"/>
          <w:sz w:val="24"/>
          <w:szCs w:val="26"/>
        </w:rPr>
      </w:pPr>
      <w:r>
        <w:rPr>
          <w:color w:val="000000"/>
          <w:sz w:val="24"/>
          <w:szCs w:val="26"/>
        </w:rPr>
        <w:t>Goren, A., Ruppert, K., Degenholtz, H. B., &amp; Greer, N. (2019).</w:t>
      </w:r>
      <w:r>
        <w:rPr>
          <w:color w:val="000000"/>
          <w:sz w:val="24"/>
          <w:szCs w:val="26"/>
        </w:rPr>
        <w:t xml:space="preserve"> Smoking and wound healing. Advances in Wound Care, 4(7), 471-482.</w:t>
      </w:r>
    </w:p>
    <w:p>
      <w:pPr>
        <w:pStyle w:val="style0"/>
        <w:spacing w:after="0" w:lineRule="auto" w:line="480"/>
        <w:ind w:left="720" w:hanging="720"/>
        <w:jc w:val="both"/>
        <w:rPr>
          <w:color w:val="000000"/>
          <w:sz w:val="24"/>
          <w:szCs w:val="26"/>
        </w:rPr>
      </w:pPr>
      <w:r>
        <w:rPr>
          <w:color w:val="000000"/>
          <w:sz w:val="24"/>
          <w:szCs w:val="26"/>
        </w:rPr>
        <w:t>Guest, J. F., Ayoub, N., McIlwraith, T., Uchegbu, I., Gerrish, A., Weidlich, D</w:t>
      </w:r>
      <w:r>
        <w:rPr>
          <w:color w:val="000000"/>
          <w:sz w:val="24"/>
          <w:szCs w:val="26"/>
        </w:rPr>
        <w:t>., ...</w:t>
      </w:r>
      <w:r>
        <w:rPr>
          <w:color w:val="000000"/>
          <w:sz w:val="24"/>
          <w:szCs w:val="26"/>
        </w:rPr>
        <w:t xml:space="preserve"> &amp; Vowden, P. (2015). </w:t>
      </w:r>
      <w:r>
        <w:rPr>
          <w:color w:val="000000"/>
          <w:sz w:val="24"/>
          <w:szCs w:val="26"/>
        </w:rPr>
        <w:t>Health economic burden that wounds impose on the National Health Service in the UK.</w:t>
      </w:r>
      <w:r>
        <w:rPr>
          <w:color w:val="000000"/>
          <w:sz w:val="24"/>
          <w:szCs w:val="26"/>
        </w:rPr>
        <w:t xml:space="preserve"> </w:t>
      </w:r>
      <w:r>
        <w:rPr>
          <w:color w:val="000000"/>
          <w:sz w:val="24"/>
          <w:szCs w:val="26"/>
        </w:rPr>
        <w:t>BMJ Open, 5(12), e009283.</w:t>
      </w:r>
    </w:p>
    <w:p>
      <w:pPr>
        <w:pStyle w:val="style0"/>
        <w:spacing w:after="0" w:lineRule="auto" w:line="480"/>
        <w:ind w:left="720" w:hanging="720"/>
        <w:jc w:val="both"/>
        <w:rPr>
          <w:color w:val="000000"/>
          <w:sz w:val="24"/>
          <w:szCs w:val="26"/>
        </w:rPr>
      </w:pPr>
      <w:r>
        <w:rPr>
          <w:color w:val="000000"/>
          <w:sz w:val="24"/>
          <w:szCs w:val="26"/>
        </w:rPr>
        <w:t>Guo, S., &amp; DiPietro, L. A. (2010).</w:t>
      </w:r>
      <w:r>
        <w:rPr>
          <w:color w:val="000000"/>
          <w:sz w:val="24"/>
          <w:szCs w:val="26"/>
        </w:rPr>
        <w:t xml:space="preserve"> Factors affecting wound healing. Journal of Dental Research, 89(3), 219-229.</w:t>
      </w:r>
    </w:p>
    <w:p>
      <w:pPr>
        <w:pStyle w:val="style0"/>
        <w:spacing w:after="0" w:lineRule="auto" w:line="480"/>
        <w:ind w:left="720" w:hanging="720"/>
        <w:jc w:val="both"/>
        <w:rPr>
          <w:color w:val="000000"/>
          <w:sz w:val="24"/>
          <w:szCs w:val="26"/>
        </w:rPr>
      </w:pPr>
      <w:r>
        <w:rPr>
          <w:color w:val="000000"/>
          <w:sz w:val="24"/>
          <w:szCs w:val="26"/>
        </w:rPr>
        <w:t>Gupta, S., Baharestani, M. M., &amp; Baranoski, S. (2020). Skin ulcers and their treatment: A clinical perspective. Journal of Clinical Dermatology, 18(4), 523-533.</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Tannins and human health: A review. </w:t>
      </w:r>
      <w:r>
        <w:rPr>
          <w:rStyle w:val="style88"/>
          <w:color w:val="000000"/>
          <w:szCs w:val="26"/>
        </w:rPr>
        <w:t>Phytochemistry, 50</w:t>
      </w:r>
      <w:r>
        <w:rPr>
          <w:color w:val="000000"/>
          <w:szCs w:val="26"/>
        </w:rPr>
        <w:t>(5), 1105-1115.</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Hagerman, A. E., &amp; Butler, L. G. (2020).</w:t>
      </w:r>
      <w:r>
        <w:rPr>
          <w:rFonts w:eastAsia="Times New Roman"/>
          <w:color w:val="000000"/>
          <w:sz w:val="24"/>
          <w:szCs w:val="26"/>
        </w:rPr>
        <w:t xml:space="preserve"> </w:t>
      </w:r>
      <w:r>
        <w:rPr>
          <w:rFonts w:eastAsia="Times New Roman"/>
          <w:color w:val="000000"/>
          <w:sz w:val="24"/>
          <w:szCs w:val="26"/>
        </w:rPr>
        <w:t>The role of flavonoids in cardiovascular health.</w:t>
      </w:r>
      <w:r>
        <w:rPr>
          <w:rFonts w:eastAsia="Times New Roman"/>
          <w:color w:val="000000"/>
          <w:sz w:val="24"/>
          <w:szCs w:val="26"/>
        </w:rPr>
        <w:t xml:space="preserve"> </w:t>
      </w:r>
      <w:r>
        <w:rPr>
          <w:rFonts w:eastAsia="Times New Roman"/>
          <w:i/>
          <w:iCs/>
          <w:color w:val="000000"/>
          <w:sz w:val="24"/>
          <w:szCs w:val="26"/>
        </w:rPr>
        <w:t>Phytochemistry, 24</w:t>
      </w:r>
      <w:r>
        <w:rPr>
          <w:rFonts w:eastAsia="Times New Roman"/>
          <w:color w:val="000000"/>
          <w:sz w:val="24"/>
          <w:szCs w:val="26"/>
        </w:rPr>
        <w:t>(1), 45-59.</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w:t>
      </w:r>
      <w:r>
        <w:rPr>
          <w:color w:val="000000"/>
          <w:szCs w:val="26"/>
        </w:rPr>
        <w:t>The role of phenols in cardiovascular health.</w:t>
      </w:r>
      <w:r>
        <w:rPr>
          <w:color w:val="000000"/>
          <w:szCs w:val="26"/>
        </w:rPr>
        <w:t xml:space="preserve"> </w:t>
      </w:r>
      <w:r>
        <w:rPr>
          <w:rStyle w:val="style88"/>
          <w:color w:val="000000"/>
          <w:szCs w:val="26"/>
        </w:rPr>
        <w:t>Phytochemistry, 24</w:t>
      </w:r>
      <w:r>
        <w:rPr>
          <w:color w:val="000000"/>
          <w:szCs w:val="26"/>
        </w:rPr>
        <w:t>(1), 45-59.</w:t>
      </w:r>
    </w:p>
    <w:p>
      <w:pPr>
        <w:pStyle w:val="style94"/>
        <w:spacing w:before="0" w:beforeAutospacing="false" w:after="0" w:afterAutospacing="false" w:lineRule="auto" w:line="480"/>
        <w:ind w:left="720" w:hanging="720"/>
        <w:jc w:val="both"/>
        <w:rPr>
          <w:color w:val="000000"/>
          <w:szCs w:val="26"/>
        </w:rPr>
      </w:pPr>
      <w:r>
        <w:rPr>
          <w:color w:val="000000"/>
          <w:szCs w:val="26"/>
        </w:rPr>
        <w:t>Hagerman, A. E., &amp; Butler, L. G. (2020).</w:t>
      </w:r>
      <w:r>
        <w:rPr>
          <w:color w:val="000000"/>
          <w:szCs w:val="26"/>
        </w:rPr>
        <w:t xml:space="preserve"> Trace minerals in medicinal plants: The role of iron, zinc, and copper. </w:t>
      </w:r>
      <w:r>
        <w:rPr>
          <w:rStyle w:val="style88"/>
          <w:color w:val="000000"/>
          <w:szCs w:val="26"/>
        </w:rPr>
        <w:t>Phytochemistry, 24</w:t>
      </w:r>
      <w:r>
        <w:rPr>
          <w:color w:val="000000"/>
          <w:szCs w:val="26"/>
        </w:rPr>
        <w:t>(1), 45-59.</w:t>
      </w:r>
    </w:p>
    <w:p>
      <w:pPr>
        <w:pStyle w:val="style0"/>
        <w:spacing w:after="0" w:lineRule="auto" w:line="480"/>
        <w:ind w:left="720" w:hanging="720"/>
        <w:jc w:val="both"/>
        <w:rPr>
          <w:color w:val="000000"/>
          <w:sz w:val="24"/>
          <w:szCs w:val="26"/>
        </w:rPr>
      </w:pPr>
      <w:r>
        <w:rPr>
          <w:color w:val="000000"/>
          <w:sz w:val="24"/>
          <w:szCs w:val="26"/>
        </w:rPr>
        <w:t>Jaul, E., Barron, J., Rosenzweig, J. P., &amp; Menczel, J. (2018).</w:t>
      </w:r>
      <w:r>
        <w:rPr>
          <w:color w:val="000000"/>
          <w:sz w:val="24"/>
          <w:szCs w:val="26"/>
        </w:rPr>
        <w:t xml:space="preserve"> </w:t>
      </w:r>
      <w:r>
        <w:rPr>
          <w:color w:val="000000"/>
          <w:sz w:val="24"/>
          <w:szCs w:val="26"/>
        </w:rPr>
        <w:t>An overview of comorbidities and the development of pressure ulcers among older adults.</w:t>
      </w:r>
      <w:r>
        <w:rPr>
          <w:color w:val="000000"/>
          <w:sz w:val="24"/>
          <w:szCs w:val="26"/>
        </w:rPr>
        <w:t xml:space="preserve"> BMC Geriatrics, 18(1), 1-11.</w:t>
      </w:r>
    </w:p>
    <w:p>
      <w:pPr>
        <w:pStyle w:val="style0"/>
        <w:spacing w:after="0" w:lineRule="auto" w:line="480"/>
        <w:ind w:left="720" w:hanging="720"/>
        <w:jc w:val="both"/>
        <w:rPr>
          <w:color w:val="000000"/>
          <w:sz w:val="24"/>
          <w:szCs w:val="26"/>
        </w:rPr>
      </w:pPr>
      <w:r>
        <w:rPr>
          <w:rStyle w:val="style87"/>
          <w:b w:val="false"/>
          <w:color w:val="000000"/>
          <w:sz w:val="24"/>
          <w:szCs w:val="26"/>
          <w:bdr w:val="single" w:sz="2" w:space="0" w:color="e5e7eb" w:frame="true"/>
        </w:rPr>
        <w:t>Johnson T.R.,</w:t>
      </w:r>
      <w:r>
        <w:rPr>
          <w:rStyle w:val="style87"/>
          <w:color w:val="000000"/>
          <w:sz w:val="24"/>
          <w:szCs w:val="26"/>
          <w:bdr w:val="single" w:sz="2" w:space="0" w:color="e5e7eb" w:frame="true"/>
        </w:rPr>
        <w:t xml:space="preserve"> </w:t>
      </w:r>
      <w:r>
        <w:rPr>
          <w:color w:val="000000"/>
          <w:sz w:val="24"/>
          <w:szCs w:val="26"/>
        </w:rPr>
        <w:t>(2023). Fungal Corneal Ulcers: Epidemiology and Management. </w:t>
      </w:r>
      <w:r>
        <w:rPr>
          <w:rStyle w:val="style88"/>
          <w:color w:val="000000"/>
          <w:sz w:val="24"/>
          <w:szCs w:val="26"/>
          <w:bdr w:val="single" w:sz="2" w:space="0" w:color="e5e7eb" w:frame="true"/>
        </w:rPr>
        <w:t>International Journal of Ophthalmology</w:t>
      </w:r>
      <w:r>
        <w:rPr>
          <w:color w:val="000000"/>
          <w:sz w:val="24"/>
          <w:szCs w:val="26"/>
        </w:rPr>
        <w:t>, Volume 16, Issue 1, pp. 1-8.</w:t>
      </w:r>
    </w:p>
    <w:p>
      <w:pPr>
        <w:pStyle w:val="style0"/>
        <w:spacing w:after="0" w:lineRule="auto" w:line="480"/>
        <w:ind w:left="720" w:hanging="720"/>
        <w:jc w:val="both"/>
        <w:rPr>
          <w:color w:val="000000"/>
          <w:sz w:val="24"/>
          <w:szCs w:val="26"/>
        </w:rPr>
      </w:pPr>
      <w:r>
        <w:rPr>
          <w:color w:val="000000"/>
          <w:sz w:val="24"/>
          <w:szCs w:val="26"/>
        </w:rPr>
        <w:t>KALYANAKRISHNAN RAMAKRISHNAN, MD, FRCSE, and ROBERT C. SALINAS, MD (2007).</w:t>
      </w:r>
      <w:r>
        <w:rPr>
          <w:color w:val="000000"/>
          <w:sz w:val="24"/>
          <w:szCs w:val="26"/>
        </w:rPr>
        <w:t xml:space="preserve"> </w:t>
      </w:r>
      <w:r>
        <w:rPr>
          <w:color w:val="000000"/>
          <w:sz w:val="24"/>
          <w:szCs w:val="26"/>
        </w:rPr>
        <w:t>Peptic Ulcer Disease.</w:t>
      </w:r>
      <w:r>
        <w:rPr>
          <w:color w:val="000000"/>
          <w:sz w:val="24"/>
          <w:szCs w:val="26"/>
        </w:rPr>
        <w:t xml:space="preserve"> American Academy of Family Physicians, 76:1005-1013. </w:t>
      </w:r>
    </w:p>
    <w:p>
      <w:pPr>
        <w:pStyle w:val="style0"/>
        <w:spacing w:after="0" w:lineRule="auto" w:line="480"/>
        <w:ind w:left="720" w:hanging="720"/>
        <w:jc w:val="both"/>
        <w:rPr>
          <w:color w:val="000000"/>
          <w:sz w:val="24"/>
          <w:szCs w:val="26"/>
        </w:rPr>
      </w:pPr>
      <w:r>
        <w:rPr>
          <w:color w:val="000000"/>
          <w:sz w:val="24"/>
          <w:szCs w:val="26"/>
          <w:shd w:val="clear" w:color="auto" w:fill="ffffff"/>
          <w:lang w:val="fr-FR"/>
        </w:rPr>
        <w:t xml:space="preserve">Karou, S. D., Nadembega, W. M., Ilboudo, D. P., Ouermi, D., Gbeassor, M., De Souza, C., &amp; Simpore, J. (2007). </w:t>
      </w:r>
      <w:r>
        <w:rPr>
          <w:color w:val="000000"/>
          <w:sz w:val="24"/>
          <w:szCs w:val="26"/>
          <w:shd w:val="clear" w:color="auto" w:fill="ffffff"/>
        </w:rPr>
        <w:t>Sida acuta Burm.</w:t>
      </w:r>
      <w:r>
        <w:rPr>
          <w:color w:val="000000"/>
          <w:sz w:val="24"/>
          <w:szCs w:val="26"/>
          <w:shd w:val="clear" w:color="auto" w:fill="ffffff"/>
        </w:rPr>
        <w:t xml:space="preserve"> f.: a medicinal plant with numerous potencies. </w:t>
      </w:r>
      <w:r>
        <w:rPr>
          <w:i/>
          <w:color w:val="000000"/>
          <w:sz w:val="24"/>
          <w:szCs w:val="26"/>
          <w:shd w:val="clear" w:color="auto" w:fill="ffffff"/>
        </w:rPr>
        <w:t>African Journal of Biotechnology</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(25).</w:t>
      </w:r>
      <w:r>
        <w:rPr>
          <w:color w:val="000000"/>
          <w:sz w:val="24"/>
          <w:szCs w:val="26"/>
        </w:rPr>
        <w:t xml:space="preserve"> </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 xml:space="preserve">Kayode, J. (2006). </w:t>
      </w:r>
      <w:r>
        <w:rPr>
          <w:color w:val="000000"/>
          <w:sz w:val="24"/>
          <w:szCs w:val="26"/>
          <w:shd w:val="clear" w:color="auto" w:fill="ffffff"/>
        </w:rPr>
        <w:t>Conservation of indigenous medicinal botanicals in Ekiti State, Nigeria.</w:t>
      </w:r>
      <w:r>
        <w:rPr>
          <w:color w:val="000000"/>
          <w:sz w:val="24"/>
          <w:szCs w:val="26"/>
          <w:shd w:val="clear" w:color="auto" w:fill="ffffff"/>
        </w:rPr>
        <w:t> </w:t>
      </w:r>
      <w:r>
        <w:rPr>
          <w:i/>
          <w:color w:val="000000"/>
          <w:sz w:val="24"/>
          <w:szCs w:val="26"/>
          <w:shd w:val="clear" w:color="auto" w:fill="ffffff"/>
        </w:rPr>
        <w:t>Journal of Zhejiang University Science B</w:t>
      </w:r>
      <w:r>
        <w:rPr>
          <w:color w:val="000000"/>
          <w:sz w:val="24"/>
          <w:szCs w:val="26"/>
          <w:shd w:val="clear" w:color="auto" w:fill="ffffff"/>
        </w:rPr>
        <w:t>, </w:t>
      </w:r>
      <w:r>
        <w:rPr>
          <w:i/>
          <w:color w:val="000000"/>
          <w:sz w:val="24"/>
          <w:szCs w:val="26"/>
          <w:shd w:val="clear" w:color="auto" w:fill="ffffff"/>
        </w:rPr>
        <w:t>7</w:t>
      </w:r>
      <w:r>
        <w:rPr>
          <w:color w:val="000000"/>
          <w:sz w:val="24"/>
          <w:szCs w:val="26"/>
          <w:shd w:val="clear" w:color="auto" w:fill="ffffff"/>
        </w:rPr>
        <w:t>, 713-718.</w:t>
      </w:r>
    </w:p>
    <w:p>
      <w:pPr>
        <w:pStyle w:val="style0"/>
        <w:spacing w:after="0" w:lineRule="auto" w:line="480"/>
        <w:ind w:left="720" w:hanging="720"/>
        <w:jc w:val="both"/>
        <w:rPr>
          <w:color w:val="000000"/>
          <w:sz w:val="24"/>
          <w:szCs w:val="26"/>
        </w:rPr>
      </w:pPr>
      <w:r>
        <w:rPr>
          <w:color w:val="000000"/>
          <w:sz w:val="24"/>
          <w:szCs w:val="26"/>
        </w:rPr>
        <w:t xml:space="preserve">Khare, C.P. (2008). Indian medicinal plants: an illustrated dictionary (Vol. </w:t>
      </w:r>
      <w:r>
        <w:rPr>
          <w:color w:val="000000"/>
          <w:sz w:val="24"/>
          <w:szCs w:val="26"/>
        </w:rPr>
        <w:t>I). Springer Science and Business Media.</w:t>
      </w:r>
    </w:p>
    <w:p>
      <w:pPr>
        <w:pStyle w:val="style0"/>
        <w:spacing w:after="0" w:lineRule="auto" w:line="480"/>
        <w:ind w:left="720" w:hanging="720"/>
        <w:jc w:val="both"/>
        <w:rPr>
          <w:color w:val="000000"/>
          <w:sz w:val="24"/>
          <w:szCs w:val="26"/>
        </w:rPr>
      </w:pPr>
      <w:r>
        <w:rPr>
          <w:color w:val="000000"/>
          <w:sz w:val="24"/>
          <w:szCs w:val="26"/>
        </w:rPr>
        <w:t>Khare, M., Srivastava, S.K., Singh, A.K., 2002.</w:t>
      </w:r>
      <w:r>
        <w:rPr>
          <w:color w:val="000000"/>
          <w:sz w:val="24"/>
          <w:szCs w:val="26"/>
        </w:rPr>
        <w:t xml:space="preserve"> </w:t>
      </w:r>
      <w:r>
        <w:rPr>
          <w:color w:val="000000"/>
          <w:sz w:val="24"/>
          <w:szCs w:val="26"/>
        </w:rPr>
        <w:t>Chemistry and pharmacology of genus Sida (Malvaceae)—a review.</w:t>
      </w:r>
      <w:r>
        <w:rPr>
          <w:color w:val="000000"/>
          <w:sz w:val="24"/>
          <w:szCs w:val="26"/>
        </w:rPr>
        <w:t xml:space="preserve"> Journal of Medicinal and Aromatic Plant Science 24, 430–440.</w:t>
      </w:r>
    </w:p>
    <w:p>
      <w:pPr>
        <w:pStyle w:val="style0"/>
        <w:spacing w:after="0" w:lineRule="auto" w:line="480"/>
        <w:ind w:left="720" w:hanging="720"/>
        <w:jc w:val="both"/>
        <w:rPr>
          <w:color w:val="000000"/>
          <w:sz w:val="24"/>
          <w:szCs w:val="26"/>
        </w:rPr>
      </w:pPr>
      <w:r>
        <w:rPr>
          <w:color w:val="000000"/>
          <w:sz w:val="24"/>
          <w:szCs w:val="26"/>
        </w:rPr>
        <w:t>Kumar V, Fausto N, Abbas A (2004). Robbins &amp; Cotran Pathologic Basis of Disease (7th </w:t>
      </w:r>
      <w:r>
        <w:rPr>
          <w:color w:val="000000"/>
          <w:sz w:val="24"/>
          <w:szCs w:val="26"/>
        </w:rPr>
        <w:t>ed</w:t>
      </w:r>
      <w:r>
        <w:rPr>
          <w:color w:val="000000"/>
          <w:sz w:val="24"/>
          <w:szCs w:val="26"/>
        </w:rPr>
        <w:t xml:space="preserve">.). Saunders. </w:t>
      </w:r>
      <w:r>
        <w:rPr>
          <w:color w:val="000000"/>
          <w:sz w:val="24"/>
          <w:szCs w:val="26"/>
        </w:rPr>
        <w:t>p. 1230.</w:t>
      </w:r>
      <w:r>
        <w:rPr>
          <w:color w:val="000000"/>
          <w:sz w:val="24"/>
          <w:szCs w:val="26"/>
        </w:rPr>
        <w:t xml:space="preserve"> </w:t>
      </w:r>
      <w:r>
        <w:rPr>
          <w:color w:val="000000"/>
          <w:sz w:val="24"/>
          <w:szCs w:val="26"/>
        </w:rPr>
        <w:t>ISBN 0-7216-0187-1.</w:t>
      </w:r>
    </w:p>
    <w:p>
      <w:pPr>
        <w:pStyle w:val="style0"/>
        <w:spacing w:after="0" w:lineRule="auto" w:line="480"/>
        <w:ind w:left="720" w:hanging="720"/>
        <w:jc w:val="both"/>
        <w:rPr>
          <w:color w:val="000000"/>
          <w:sz w:val="24"/>
          <w:szCs w:val="26"/>
        </w:rPr>
      </w:pPr>
      <w:r>
        <w:rPr>
          <w:color w:val="000000"/>
          <w:sz w:val="24"/>
          <w:szCs w:val="26"/>
        </w:rPr>
        <w:t>Kumar V, Fausto N, Abbas A (2004). Robbins &amp; Cotran Pathologic Basis of Disease (7th </w:t>
      </w:r>
      <w:r>
        <w:rPr>
          <w:color w:val="000000"/>
          <w:sz w:val="24"/>
          <w:szCs w:val="26"/>
        </w:rPr>
        <w:t>ed</w:t>
      </w:r>
      <w:r>
        <w:rPr>
          <w:color w:val="000000"/>
          <w:sz w:val="24"/>
          <w:szCs w:val="26"/>
        </w:rPr>
        <w:t xml:space="preserve">.). Saunders. </w:t>
      </w:r>
      <w:r>
        <w:rPr>
          <w:color w:val="000000"/>
          <w:sz w:val="24"/>
          <w:szCs w:val="26"/>
        </w:rPr>
        <w:t>p. 1230.</w:t>
      </w:r>
      <w:r>
        <w:rPr>
          <w:color w:val="000000"/>
          <w:sz w:val="24"/>
          <w:szCs w:val="26"/>
        </w:rPr>
        <w:t xml:space="preserve"> </w:t>
      </w:r>
      <w:r>
        <w:rPr>
          <w:color w:val="000000"/>
          <w:sz w:val="24"/>
          <w:szCs w:val="26"/>
        </w:rPr>
        <w:t>ISBN 0-7216-0187-1.</w:t>
      </w:r>
    </w:p>
    <w:p>
      <w:pPr>
        <w:pStyle w:val="style0"/>
        <w:spacing w:after="0" w:lineRule="auto" w:line="480"/>
        <w:ind w:left="720" w:hanging="720"/>
        <w:jc w:val="both"/>
        <w:rPr>
          <w:color w:val="000000"/>
          <w:sz w:val="24"/>
          <w:szCs w:val="26"/>
        </w:rPr>
      </w:pPr>
      <w:r>
        <w:rPr>
          <w:color w:val="000000"/>
          <w:sz w:val="24"/>
          <w:szCs w:val="26"/>
        </w:rPr>
        <w:t>Kurata JH, Nogawa AN. Meta-analysis of risk factors for peptic ulcer. Nonsteroidal anti-inflammatory drugs, Helicobacter pylori, and smoking. J Clin Gastroenterol 1997</w:t>
      </w:r>
      <w:r>
        <w:rPr>
          <w:color w:val="000000"/>
          <w:sz w:val="24"/>
          <w:szCs w:val="26"/>
        </w:rPr>
        <w:t>;24:2</w:t>
      </w:r>
      <w:r>
        <w:rPr>
          <w:color w:val="000000"/>
          <w:sz w:val="24"/>
          <w:szCs w:val="26"/>
        </w:rPr>
        <w:t xml:space="preserve">-17. </w:t>
      </w:r>
    </w:p>
    <w:p>
      <w:pPr>
        <w:pStyle w:val="style0"/>
        <w:spacing w:after="0" w:lineRule="auto" w:line="480"/>
        <w:ind w:left="720" w:hanging="720"/>
        <w:jc w:val="both"/>
        <w:rPr>
          <w:color w:val="000000"/>
          <w:sz w:val="24"/>
          <w:szCs w:val="26"/>
        </w:rPr>
      </w:pPr>
      <w:r>
        <w:rPr>
          <w:color w:val="000000"/>
          <w:sz w:val="24"/>
          <w:szCs w:val="26"/>
        </w:rPr>
        <w:t>Laine, L., Jensen, D. M., &amp; Saini, S. D. (2021).</w:t>
      </w:r>
      <w:r>
        <w:rPr>
          <w:color w:val="000000"/>
          <w:sz w:val="24"/>
          <w:szCs w:val="26"/>
        </w:rPr>
        <w:t xml:space="preserve"> </w:t>
      </w:r>
      <w:r>
        <w:rPr>
          <w:color w:val="000000"/>
          <w:sz w:val="24"/>
          <w:szCs w:val="26"/>
        </w:rPr>
        <w:t>Clinical practice guidelines for the management of peptic ulcer disease.</w:t>
      </w:r>
      <w:r>
        <w:rPr>
          <w:color w:val="000000"/>
          <w:sz w:val="24"/>
          <w:szCs w:val="26"/>
        </w:rPr>
        <w:t xml:space="preserve"> Gastroenterology, 160(6), 1832-1851.</w:t>
      </w:r>
    </w:p>
    <w:p>
      <w:pPr>
        <w:pStyle w:val="style0"/>
        <w:spacing w:after="0" w:lineRule="auto" w:line="480"/>
        <w:ind w:left="720" w:hanging="720"/>
        <w:jc w:val="both"/>
        <w:rPr>
          <w:color w:val="000000"/>
          <w:sz w:val="24"/>
          <w:szCs w:val="26"/>
        </w:rPr>
      </w:pPr>
      <w:r>
        <w:rPr>
          <w:color w:val="000000"/>
          <w:sz w:val="24"/>
          <w:szCs w:val="26"/>
        </w:rPr>
        <w:t>Laine, L., Jensen, D. M., &amp; Saini, S. D. (2021).</w:t>
      </w:r>
      <w:r>
        <w:rPr>
          <w:color w:val="000000"/>
          <w:sz w:val="24"/>
          <w:szCs w:val="26"/>
        </w:rPr>
        <w:t xml:space="preserve"> </w:t>
      </w:r>
      <w:r>
        <w:rPr>
          <w:color w:val="000000"/>
          <w:sz w:val="24"/>
          <w:szCs w:val="26"/>
        </w:rPr>
        <w:t>Clinical practice guidelines for the management of peptic ulcer disease.</w:t>
      </w:r>
      <w:r>
        <w:rPr>
          <w:color w:val="000000"/>
          <w:sz w:val="24"/>
          <w:szCs w:val="26"/>
        </w:rPr>
        <w:t xml:space="preserve"> Gastroenterology, 160(6), 1832-1851.</w:t>
      </w:r>
    </w:p>
    <w:p>
      <w:pPr>
        <w:pStyle w:val="style0"/>
        <w:spacing w:after="0" w:lineRule="auto" w:line="480"/>
        <w:ind w:left="720" w:hanging="720"/>
        <w:jc w:val="both"/>
        <w:rPr>
          <w:color w:val="000000"/>
          <w:sz w:val="24"/>
          <w:szCs w:val="26"/>
        </w:rPr>
      </w:pPr>
      <w:r>
        <w:rPr>
          <w:color w:val="000000"/>
          <w:sz w:val="24"/>
          <w:szCs w:val="26"/>
        </w:rPr>
        <w:t>Lanas, A., &amp; Chan, F. K. (2017).</w:t>
      </w:r>
      <w:r>
        <w:rPr>
          <w:color w:val="000000"/>
          <w:sz w:val="24"/>
          <w:szCs w:val="26"/>
        </w:rPr>
        <w:t xml:space="preserve"> </w:t>
      </w:r>
      <w:r>
        <w:rPr>
          <w:color w:val="000000"/>
          <w:sz w:val="24"/>
          <w:szCs w:val="26"/>
        </w:rPr>
        <w:t>Peptic ulcer disease.</w:t>
      </w:r>
      <w:r>
        <w:rPr>
          <w:color w:val="000000"/>
          <w:sz w:val="24"/>
          <w:szCs w:val="26"/>
        </w:rPr>
        <w:t xml:space="preserve"> The Lancet, 390(10094), 613-624.</w:t>
      </w:r>
    </w:p>
    <w:p>
      <w:pPr>
        <w:pStyle w:val="style0"/>
        <w:spacing w:after="0" w:lineRule="auto" w:line="480"/>
        <w:ind w:left="720" w:hanging="720"/>
        <w:jc w:val="both"/>
        <w:rPr>
          <w:color w:val="000000"/>
          <w:sz w:val="24"/>
          <w:szCs w:val="26"/>
        </w:rPr>
      </w:pPr>
      <w:r>
        <w:rPr>
          <w:color w:val="000000"/>
          <w:sz w:val="24"/>
          <w:szCs w:val="26"/>
        </w:rPr>
        <w:t>Lanas, A., &amp; Chan, F. K. (2017).</w:t>
      </w:r>
      <w:r>
        <w:rPr>
          <w:color w:val="000000"/>
          <w:sz w:val="24"/>
          <w:szCs w:val="26"/>
        </w:rPr>
        <w:t xml:space="preserve"> </w:t>
      </w:r>
      <w:r>
        <w:rPr>
          <w:color w:val="000000"/>
          <w:sz w:val="24"/>
          <w:szCs w:val="26"/>
        </w:rPr>
        <w:t>Peptic ulcer disease.</w:t>
      </w:r>
      <w:r>
        <w:rPr>
          <w:color w:val="000000"/>
          <w:sz w:val="24"/>
          <w:szCs w:val="26"/>
        </w:rPr>
        <w:t xml:space="preserve"> The Lancet, 390(10094), 613-624.</w:t>
      </w:r>
    </w:p>
    <w:p>
      <w:pPr>
        <w:pStyle w:val="style0"/>
        <w:spacing w:after="0" w:lineRule="auto" w:line="480"/>
        <w:ind w:left="720" w:hanging="720"/>
        <w:jc w:val="both"/>
        <w:rPr>
          <w:color w:val="000000"/>
          <w:sz w:val="24"/>
          <w:szCs w:val="26"/>
        </w:rPr>
      </w:pPr>
      <w:r>
        <w:rPr>
          <w:color w:val="000000"/>
          <w:sz w:val="24"/>
          <w:szCs w:val="26"/>
        </w:rPr>
        <w:t>Lauret ME, Rodriguez-Pelaez M, Perez I, Rodrigo L (2015) Peptic Ulcer Disease.</w:t>
      </w:r>
      <w:r>
        <w:rPr>
          <w:color w:val="000000"/>
          <w:sz w:val="24"/>
          <w:szCs w:val="26"/>
        </w:rPr>
        <w:t xml:space="preserve"> J Gastro Hepato Dis 1(1): 105.</w:t>
      </w:r>
    </w:p>
    <w:p>
      <w:pPr>
        <w:pStyle w:val="style0"/>
        <w:spacing w:after="0" w:lineRule="auto" w:line="480"/>
        <w:ind w:left="720" w:hanging="720"/>
        <w:jc w:val="both"/>
        <w:rPr>
          <w:color w:val="000000"/>
          <w:sz w:val="24"/>
          <w:szCs w:val="26"/>
        </w:rPr>
      </w:pPr>
      <w:r>
        <w:rPr>
          <w:color w:val="000000"/>
          <w:sz w:val="24"/>
          <w:szCs w:val="26"/>
        </w:rPr>
        <w:t xml:space="preserve">Liesegang, T. J. (2019). </w:t>
      </w:r>
      <w:r>
        <w:rPr>
          <w:color w:val="000000"/>
          <w:sz w:val="24"/>
          <w:szCs w:val="26"/>
        </w:rPr>
        <w:t>Bacterial and fungal keratitis.</w:t>
      </w:r>
      <w:r>
        <w:rPr>
          <w:color w:val="000000"/>
          <w:sz w:val="24"/>
          <w:szCs w:val="26"/>
        </w:rPr>
        <w:t xml:space="preserve"> </w:t>
      </w:r>
      <w:r>
        <w:rPr>
          <w:color w:val="000000"/>
          <w:sz w:val="24"/>
          <w:szCs w:val="26"/>
        </w:rPr>
        <w:t>Clinical Microbiology Reviews, 32(3), e00103-18.</w:t>
      </w:r>
    </w:p>
    <w:p>
      <w:pPr>
        <w:pStyle w:val="style0"/>
        <w:spacing w:after="0" w:lineRule="auto" w:line="480"/>
        <w:ind w:left="720" w:hanging="720"/>
        <w:jc w:val="both"/>
        <w:rPr>
          <w:color w:val="000000"/>
          <w:sz w:val="24"/>
          <w:szCs w:val="26"/>
        </w:rPr>
      </w:pPr>
      <w:r>
        <w:rPr>
          <w:color w:val="000000"/>
          <w:sz w:val="24"/>
          <w:szCs w:val="26"/>
        </w:rPr>
        <w:t xml:space="preserve">Liesegang, T. J. (2019). </w:t>
      </w:r>
      <w:r>
        <w:rPr>
          <w:color w:val="000000"/>
          <w:sz w:val="24"/>
          <w:szCs w:val="26"/>
        </w:rPr>
        <w:t>Bacterial and fungal keratitis.</w:t>
      </w:r>
      <w:r>
        <w:rPr>
          <w:color w:val="000000"/>
          <w:sz w:val="24"/>
          <w:szCs w:val="26"/>
        </w:rPr>
        <w:t xml:space="preserve"> </w:t>
      </w:r>
      <w:r>
        <w:rPr>
          <w:color w:val="000000"/>
          <w:sz w:val="24"/>
          <w:szCs w:val="26"/>
        </w:rPr>
        <w:t>Clinical Microbiology Reviews, 32(3), e00103-18.</w:t>
      </w:r>
    </w:p>
    <w:p>
      <w:pPr>
        <w:pStyle w:val="style0"/>
        <w:spacing w:after="0" w:lineRule="auto" w:line="480"/>
        <w:ind w:left="720" w:hanging="720"/>
        <w:jc w:val="both"/>
        <w:rPr>
          <w:color w:val="000000"/>
          <w:sz w:val="24"/>
          <w:szCs w:val="26"/>
        </w:rPr>
      </w:pPr>
      <w:r>
        <w:rPr>
          <w:color w:val="000000"/>
          <w:sz w:val="24"/>
          <w:szCs w:val="26"/>
        </w:rPr>
        <w:t>Malairajan, P., Gopalakrishnan, G., Narasimhan, S., JessikalaVeni, K., 2006.</w:t>
      </w:r>
      <w:r>
        <w:rPr>
          <w:color w:val="000000"/>
          <w:sz w:val="24"/>
          <w:szCs w:val="26"/>
        </w:rPr>
        <w:t xml:space="preserve"> </w:t>
      </w:r>
      <w:r>
        <w:rPr>
          <w:color w:val="000000"/>
          <w:sz w:val="24"/>
          <w:szCs w:val="26"/>
        </w:rPr>
        <w:t>Antiulcer activity of Sida acuta Burm.</w:t>
      </w:r>
      <w:r>
        <w:rPr>
          <w:color w:val="000000"/>
          <w:sz w:val="24"/>
          <w:szCs w:val="26"/>
        </w:rPr>
        <w:t xml:space="preserve"> Natural Product Sciences 12, 150-152.</w:t>
      </w:r>
    </w:p>
    <w:p>
      <w:pPr>
        <w:pStyle w:val="style0"/>
        <w:spacing w:after="0" w:lineRule="auto" w:line="480"/>
        <w:ind w:left="720" w:hanging="720"/>
        <w:jc w:val="both"/>
        <w:rPr>
          <w:color w:val="000000"/>
          <w:sz w:val="24"/>
          <w:szCs w:val="26"/>
        </w:rPr>
      </w:pPr>
      <w:r>
        <w:rPr>
          <w:color w:val="000000"/>
          <w:sz w:val="24"/>
          <w:szCs w:val="26"/>
        </w:rPr>
        <w:t>Malfertheiner, P., Kandulski, A., &amp; Venerito, M. (2017).</w:t>
      </w:r>
      <w:r>
        <w:rPr>
          <w:color w:val="000000"/>
          <w:sz w:val="24"/>
          <w:szCs w:val="26"/>
        </w:rPr>
        <w:t xml:space="preserve"> </w:t>
      </w:r>
      <w:r>
        <w:rPr>
          <w:color w:val="000000"/>
          <w:sz w:val="24"/>
          <w:szCs w:val="26"/>
        </w:rPr>
        <w:t>Helicobacter pylori infection and the pathophysiology of peptic ulcer disease.</w:t>
      </w:r>
      <w:r>
        <w:rPr>
          <w:color w:val="000000"/>
          <w:sz w:val="24"/>
          <w:szCs w:val="26"/>
        </w:rPr>
        <w:t xml:space="preserve"> Nature Reviews Gastroenterology &amp; Hepatology, 14(3), 140-150.</w:t>
      </w:r>
    </w:p>
    <w:p>
      <w:pPr>
        <w:pStyle w:val="style0"/>
        <w:spacing w:after="0" w:lineRule="auto" w:line="480"/>
        <w:ind w:left="720" w:hanging="720"/>
        <w:jc w:val="both"/>
        <w:rPr>
          <w:color w:val="000000"/>
          <w:sz w:val="24"/>
          <w:szCs w:val="26"/>
        </w:rPr>
      </w:pPr>
      <w:r>
        <w:rPr>
          <w:color w:val="000000"/>
          <w:sz w:val="24"/>
          <w:szCs w:val="26"/>
        </w:rPr>
        <w:t>Malfertheiner, P., Kandulski, A., &amp; Venerito, M. (2017).</w:t>
      </w:r>
      <w:r>
        <w:rPr>
          <w:color w:val="000000"/>
          <w:sz w:val="24"/>
          <w:szCs w:val="26"/>
        </w:rPr>
        <w:t xml:space="preserve"> </w:t>
      </w:r>
      <w:r>
        <w:rPr>
          <w:color w:val="000000"/>
          <w:sz w:val="24"/>
          <w:szCs w:val="26"/>
        </w:rPr>
        <w:t>Helicobacter pylori infection and the pathophysiology of peptic ulcer disease.</w:t>
      </w:r>
      <w:r>
        <w:rPr>
          <w:color w:val="000000"/>
          <w:sz w:val="24"/>
          <w:szCs w:val="26"/>
        </w:rPr>
        <w:t xml:space="preserve"> Nature Reviews Gastroenterology &amp; Hepatology, 14(3), 140-150.</w:t>
      </w:r>
    </w:p>
    <w:p>
      <w:pPr>
        <w:pStyle w:val="style0"/>
        <w:spacing w:after="0" w:lineRule="auto" w:line="480"/>
        <w:ind w:left="720" w:hanging="720"/>
        <w:jc w:val="both"/>
        <w:rPr>
          <w:color w:val="000000"/>
          <w:sz w:val="24"/>
          <w:szCs w:val="26"/>
        </w:rPr>
      </w:pPr>
      <w:r>
        <w:rPr>
          <w:color w:val="000000"/>
          <w:sz w:val="24"/>
          <w:szCs w:val="26"/>
        </w:rPr>
        <w:t>Mann A, Gbate M, Umar AN (2003).</w:t>
      </w:r>
      <w:r>
        <w:rPr>
          <w:color w:val="000000"/>
          <w:sz w:val="24"/>
          <w:szCs w:val="26"/>
        </w:rPr>
        <w:t xml:space="preserve"> </w:t>
      </w:r>
      <w:r>
        <w:rPr>
          <w:color w:val="000000"/>
          <w:sz w:val="24"/>
          <w:szCs w:val="26"/>
        </w:rPr>
        <w:t>Sida acuta subspecie acuta.</w:t>
      </w:r>
      <w:r>
        <w:rPr>
          <w:color w:val="000000"/>
          <w:sz w:val="24"/>
          <w:szCs w:val="26"/>
        </w:rPr>
        <w:t xml:space="preserve"> </w:t>
      </w:r>
      <w:r>
        <w:rPr>
          <w:color w:val="000000"/>
          <w:sz w:val="24"/>
          <w:szCs w:val="26"/>
        </w:rPr>
        <w:t>Medicinal and economic palnt of Nupeland, Jube Evans Books and Publication, p. 241.</w:t>
      </w:r>
    </w:p>
    <w:p>
      <w:pPr>
        <w:pStyle w:val="style0"/>
        <w:spacing w:after="0" w:lineRule="auto" w:line="480"/>
        <w:ind w:left="720" w:hanging="720"/>
        <w:jc w:val="both"/>
        <w:rPr>
          <w:color w:val="000000"/>
          <w:sz w:val="24"/>
          <w:szCs w:val="26"/>
        </w:rPr>
      </w:pPr>
      <w:r>
        <w:rPr>
          <w:color w:val="000000"/>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pPr>
        <w:pStyle w:val="style0"/>
        <w:spacing w:after="0" w:lineRule="auto" w:line="480"/>
        <w:ind w:left="720" w:hanging="720"/>
        <w:jc w:val="both"/>
        <w:rPr>
          <w:color w:val="000000"/>
          <w:sz w:val="24"/>
          <w:szCs w:val="26"/>
        </w:rPr>
      </w:pPr>
      <w:r>
        <w:rPr>
          <w:color w:val="000000"/>
          <w:sz w:val="24"/>
          <w:szCs w:val="26"/>
        </w:rPr>
        <w:t xml:space="preserve">Martin, P. (1997). </w:t>
      </w:r>
      <w:r>
        <w:rPr>
          <w:color w:val="000000"/>
          <w:sz w:val="24"/>
          <w:szCs w:val="26"/>
        </w:rPr>
        <w:t>Wound healing—aiming for perfect skin regeneration.</w:t>
      </w:r>
      <w:r>
        <w:rPr>
          <w:color w:val="000000"/>
          <w:sz w:val="24"/>
          <w:szCs w:val="26"/>
        </w:rPr>
        <w:t xml:space="preserve"> Science, 276(5309), 75-81.</w:t>
      </w:r>
    </w:p>
    <w:p>
      <w:pPr>
        <w:pStyle w:val="style0"/>
        <w:spacing w:after="0" w:lineRule="auto" w:line="480"/>
        <w:ind w:left="720" w:hanging="720"/>
        <w:jc w:val="both"/>
        <w:rPr>
          <w:color w:val="000000"/>
          <w:sz w:val="24"/>
          <w:szCs w:val="26"/>
        </w:rPr>
      </w:pPr>
      <w:r>
        <w:rPr>
          <w:color w:val="000000"/>
          <w:sz w:val="24"/>
          <w:szCs w:val="26"/>
        </w:rPr>
        <w:t>Máthé, Á. and Khan, I.A. (2022).</w:t>
      </w:r>
      <w:r>
        <w:rPr>
          <w:color w:val="000000"/>
          <w:sz w:val="24"/>
          <w:szCs w:val="26"/>
        </w:rPr>
        <w:t xml:space="preserve"> </w:t>
      </w:r>
      <w:r>
        <w:rPr>
          <w:color w:val="000000"/>
          <w:sz w:val="24"/>
          <w:szCs w:val="26"/>
        </w:rPr>
        <w:t>Introduction to Medicinal and Aromatic Plants in India.</w:t>
      </w:r>
      <w:r>
        <w:rPr>
          <w:color w:val="000000"/>
          <w:sz w:val="24"/>
          <w:szCs w:val="26"/>
        </w:rPr>
        <w:t xml:space="preserve"> In Á. Máthé &amp; I. A. Khan (Eds.), </w:t>
      </w:r>
      <w:r>
        <w:rPr>
          <w:i/>
          <w:color w:val="000000"/>
          <w:sz w:val="24"/>
          <w:szCs w:val="26"/>
        </w:rPr>
        <w:t>Springer International Publishing, 1</w:t>
      </w:r>
      <w:r>
        <w:rPr>
          <w:color w:val="000000"/>
          <w:sz w:val="24"/>
          <w:szCs w:val="26"/>
        </w:rPr>
        <w:t>, 1-34.</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Mbagwu, F. N., &amp; Okoro, U. M. (2017).</w:t>
      </w:r>
      <w:r>
        <w:rPr>
          <w:rFonts w:eastAsia="Times New Roman"/>
          <w:color w:val="000000"/>
          <w:sz w:val="24"/>
          <w:szCs w:val="26"/>
        </w:rPr>
        <w:t xml:space="preserve"> </w:t>
      </w:r>
      <w:r>
        <w:rPr>
          <w:rFonts w:eastAsia="Times New Roman"/>
          <w:color w:val="000000"/>
          <w:sz w:val="24"/>
          <w:szCs w:val="26"/>
        </w:rPr>
        <w:t xml:space="preserve">Anti-inflammatory and analgesic effects of </w:t>
      </w:r>
      <w:r>
        <w:rPr>
          <w:rFonts w:eastAsia="Times New Roman"/>
          <w:i/>
          <w:iCs/>
          <w:color w:val="000000"/>
          <w:sz w:val="24"/>
          <w:szCs w:val="26"/>
        </w:rPr>
        <w:t>Sida acuta</w:t>
      </w:r>
      <w:r>
        <w:rPr>
          <w:rFonts w:eastAsia="Times New Roman"/>
          <w:color w:val="000000"/>
          <w:sz w:val="24"/>
          <w:szCs w:val="26"/>
        </w:rPr>
        <w:t>.</w:t>
      </w:r>
      <w:r>
        <w:rPr>
          <w:rFonts w:eastAsia="Times New Roman"/>
          <w:color w:val="000000"/>
          <w:sz w:val="24"/>
          <w:szCs w:val="26"/>
        </w:rPr>
        <w:t xml:space="preserve"> </w:t>
      </w:r>
      <w:r>
        <w:rPr>
          <w:rFonts w:eastAsia="Times New Roman"/>
          <w:i/>
          <w:iCs/>
          <w:color w:val="000000"/>
          <w:sz w:val="24"/>
          <w:szCs w:val="26"/>
        </w:rPr>
        <w:t>Pharmacognosy Research, 9</w:t>
      </w:r>
      <w:r>
        <w:rPr>
          <w:rFonts w:eastAsia="Times New Roman"/>
          <w:color w:val="000000"/>
          <w:sz w:val="24"/>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F. N., &amp; Okoro, U. M. (2017).</w:t>
      </w:r>
      <w:r>
        <w:rPr>
          <w:color w:val="000000"/>
          <w:szCs w:val="26"/>
        </w:rPr>
        <w:t xml:space="preserve"> </w:t>
      </w:r>
      <w:r>
        <w:rPr>
          <w:color w:val="000000"/>
          <w:szCs w:val="26"/>
        </w:rPr>
        <w:t xml:space="preserve">Anti-inflammatory and analgesic effects of </w:t>
      </w:r>
      <w:r>
        <w:rPr>
          <w:rStyle w:val="style88"/>
          <w:color w:val="000000"/>
          <w:szCs w:val="26"/>
        </w:rPr>
        <w:t>Sida acuta</w:t>
      </w:r>
      <w:r>
        <w:rPr>
          <w:color w:val="000000"/>
          <w:szCs w:val="26"/>
        </w:rPr>
        <w:t xml:space="preserve"> phenols.</w:t>
      </w:r>
      <w:r>
        <w:rPr>
          <w:color w:val="000000"/>
          <w:szCs w:val="26"/>
        </w:rPr>
        <w:t xml:space="preserve"> </w:t>
      </w:r>
      <w:r>
        <w:rPr>
          <w:rStyle w:val="style88"/>
          <w:color w:val="000000"/>
          <w:szCs w:val="26"/>
        </w:rPr>
        <w:t>Pharmacognosy Research, 9</w:t>
      </w:r>
      <w:r>
        <w:rPr>
          <w:color w:val="000000"/>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F. N., &amp; Okoro, U. M. (2017).</w:t>
      </w:r>
      <w:r>
        <w:rPr>
          <w:color w:val="000000"/>
          <w:szCs w:val="26"/>
        </w:rPr>
        <w:t xml:space="preserve"> Iron content and nutritional significance of </w:t>
      </w:r>
      <w:r>
        <w:rPr>
          <w:rStyle w:val="style88"/>
          <w:color w:val="000000"/>
          <w:szCs w:val="26"/>
        </w:rPr>
        <w:t>Sida acuta</w:t>
      </w:r>
      <w:r>
        <w:rPr>
          <w:color w:val="000000"/>
          <w:szCs w:val="26"/>
        </w:rPr>
        <w:t xml:space="preserve">. </w:t>
      </w:r>
      <w:r>
        <w:rPr>
          <w:rStyle w:val="style88"/>
          <w:color w:val="000000"/>
          <w:szCs w:val="26"/>
        </w:rPr>
        <w:t>Pharmacognosy Research, 9</w:t>
      </w:r>
      <w:r>
        <w:rPr>
          <w:color w:val="000000"/>
          <w:szCs w:val="26"/>
        </w:rPr>
        <w:t>(1), 20-28.</w:t>
      </w:r>
    </w:p>
    <w:p>
      <w:pPr>
        <w:pStyle w:val="style94"/>
        <w:spacing w:before="0" w:beforeAutospacing="false" w:after="0" w:afterAutospacing="false" w:lineRule="auto" w:line="480"/>
        <w:ind w:left="720" w:hanging="720"/>
        <w:jc w:val="both"/>
        <w:rPr>
          <w:color w:val="000000"/>
          <w:szCs w:val="26"/>
        </w:rPr>
      </w:pPr>
      <w:r>
        <w:rPr>
          <w:color w:val="000000"/>
          <w:szCs w:val="26"/>
        </w:rPr>
        <w:t>Mbagwu, H. O., &amp; Okoro, F. A. (2017).</w:t>
      </w:r>
      <w:r>
        <w:rPr>
          <w:color w:val="000000"/>
          <w:szCs w:val="26"/>
        </w:rPr>
        <w:t xml:space="preserve"> </w:t>
      </w:r>
      <w:r>
        <w:rPr>
          <w:color w:val="000000"/>
          <w:szCs w:val="26"/>
        </w:rPr>
        <w:t xml:space="preserve">Anti-inflammatory and analgesic activities of </w:t>
      </w:r>
      <w:r>
        <w:rPr>
          <w:rStyle w:val="style88"/>
          <w:color w:val="000000"/>
          <w:szCs w:val="26"/>
        </w:rPr>
        <w:t>Sida acuta</w:t>
      </w:r>
      <w:r>
        <w:rPr>
          <w:color w:val="000000"/>
          <w:szCs w:val="26"/>
        </w:rPr>
        <w:t xml:space="preserve"> in Wistar rats.</w:t>
      </w:r>
      <w:r>
        <w:rPr>
          <w:color w:val="000000"/>
          <w:szCs w:val="26"/>
        </w:rPr>
        <w:t xml:space="preserve"> </w:t>
      </w:r>
      <w:r>
        <w:rPr>
          <w:rStyle w:val="style88"/>
          <w:color w:val="000000"/>
          <w:szCs w:val="26"/>
        </w:rPr>
        <w:t>Journal of Ethnopharmacology, 12</w:t>
      </w:r>
      <w:r>
        <w:rPr>
          <w:color w:val="000000"/>
          <w:szCs w:val="26"/>
        </w:rPr>
        <w:t>(5), 167-174.</w:t>
      </w:r>
    </w:p>
    <w:p>
      <w:pPr>
        <w:pStyle w:val="style94"/>
        <w:spacing w:before="0" w:beforeAutospacing="false" w:after="0" w:afterAutospacing="false" w:lineRule="auto" w:line="480"/>
        <w:ind w:left="720" w:hanging="720"/>
        <w:jc w:val="both"/>
        <w:rPr>
          <w:color w:val="000000"/>
          <w:szCs w:val="26"/>
        </w:rPr>
      </w:pPr>
      <w:r>
        <w:rPr>
          <w:color w:val="000000"/>
          <w:szCs w:val="26"/>
        </w:rPr>
        <w:t>Mbagwu, H. O., &amp; Okoro, F. A. (2017).</w:t>
      </w:r>
      <w:r>
        <w:rPr>
          <w:color w:val="000000"/>
          <w:szCs w:val="26"/>
        </w:rPr>
        <w:t xml:space="preserve"> </w:t>
      </w:r>
      <w:r>
        <w:rPr>
          <w:color w:val="000000"/>
          <w:szCs w:val="26"/>
        </w:rPr>
        <w:t xml:space="preserve">Anti-inflammatory and analgesic activities of </w:t>
      </w:r>
      <w:r>
        <w:rPr>
          <w:rStyle w:val="style88"/>
          <w:color w:val="000000"/>
          <w:szCs w:val="26"/>
        </w:rPr>
        <w:t>Sida acuta</w:t>
      </w:r>
      <w:r>
        <w:rPr>
          <w:color w:val="000000"/>
          <w:szCs w:val="26"/>
        </w:rPr>
        <w:t xml:space="preserve"> in Wistar rats.</w:t>
      </w:r>
      <w:r>
        <w:rPr>
          <w:color w:val="000000"/>
          <w:szCs w:val="26"/>
        </w:rPr>
        <w:t xml:space="preserve"> </w:t>
      </w:r>
      <w:r>
        <w:rPr>
          <w:rStyle w:val="style88"/>
          <w:color w:val="000000"/>
          <w:szCs w:val="26"/>
        </w:rPr>
        <w:t>Journal of Ethnopharmacology, 12</w:t>
      </w:r>
      <w:r>
        <w:rPr>
          <w:color w:val="000000"/>
          <w:szCs w:val="26"/>
        </w:rPr>
        <w:t>(5), 167-174.</w:t>
      </w:r>
    </w:p>
    <w:p>
      <w:pPr>
        <w:pStyle w:val="style0"/>
        <w:spacing w:after="0" w:lineRule="auto" w:line="480"/>
        <w:ind w:left="720" w:hanging="720"/>
        <w:jc w:val="both"/>
        <w:rPr>
          <w:color w:val="000000"/>
          <w:sz w:val="24"/>
          <w:szCs w:val="26"/>
        </w:rPr>
      </w:pPr>
      <w:r>
        <w:rPr>
          <w:color w:val="000000"/>
          <w:sz w:val="24"/>
          <w:szCs w:val="26"/>
        </w:rPr>
        <w:t>Mohan M, Natarajan R, Kaur K, Gurnani B. Treatment approach to corneal ulcer. TNOA J Ophthalmic Sci Res 2023</w:t>
      </w:r>
      <w:r>
        <w:rPr>
          <w:color w:val="000000"/>
          <w:sz w:val="24"/>
          <w:szCs w:val="26"/>
        </w:rPr>
        <w:t>;61:396</w:t>
      </w:r>
      <w:r>
        <w:rPr>
          <w:color w:val="000000"/>
          <w:sz w:val="24"/>
          <w:szCs w:val="26"/>
        </w:rPr>
        <w:t>-407.</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Mohideen, S., Sasikala, E., &amp; Gopal, V. (2002).</w:t>
      </w:r>
      <w:r>
        <w:rPr>
          <w:color w:val="000000"/>
          <w:sz w:val="24"/>
          <w:szCs w:val="26"/>
          <w:shd w:val="clear" w:color="auto" w:fill="ffffff"/>
        </w:rPr>
        <w:t xml:space="preserve"> Pharmacognostic studies on Sida acuta burm. f. </w:t>
      </w:r>
      <w:r>
        <w:rPr>
          <w:i/>
          <w:color w:val="000000"/>
          <w:sz w:val="24"/>
          <w:szCs w:val="26"/>
          <w:shd w:val="clear" w:color="auto" w:fill="ffffff"/>
        </w:rPr>
        <w:t>Ancient science of life</w:t>
      </w:r>
      <w:r>
        <w:rPr>
          <w:color w:val="000000"/>
          <w:sz w:val="24"/>
          <w:szCs w:val="26"/>
          <w:shd w:val="clear" w:color="auto" w:fill="ffffff"/>
        </w:rPr>
        <w:t>, </w:t>
      </w:r>
      <w:r>
        <w:rPr>
          <w:i/>
          <w:color w:val="000000"/>
          <w:sz w:val="24"/>
          <w:szCs w:val="26"/>
          <w:shd w:val="clear" w:color="auto" w:fill="ffffff"/>
        </w:rPr>
        <w:t>22</w:t>
      </w:r>
      <w:r>
        <w:rPr>
          <w:color w:val="000000"/>
          <w:sz w:val="24"/>
          <w:szCs w:val="26"/>
          <w:shd w:val="clear" w:color="auto" w:fill="ffffff"/>
        </w:rPr>
        <w:t>(1), 57-66.</w:t>
      </w:r>
    </w:p>
    <w:p>
      <w:pPr>
        <w:pStyle w:val="style0"/>
        <w:spacing w:after="0" w:lineRule="auto" w:line="480"/>
        <w:ind w:left="720" w:hanging="720"/>
        <w:jc w:val="both"/>
        <w:rPr>
          <w:color w:val="000000"/>
          <w:sz w:val="24"/>
          <w:szCs w:val="26"/>
        </w:rPr>
      </w:pPr>
      <w:r>
        <w:rPr>
          <w:color w:val="000000"/>
          <w:sz w:val="24"/>
          <w:szCs w:val="26"/>
        </w:rPr>
        <w:t>Mustoe, T. A., O’Shaughnessy, K., &amp; Kloeters, O. (2006).</w:t>
      </w:r>
      <w:r>
        <w:rPr>
          <w:color w:val="000000"/>
          <w:sz w:val="24"/>
          <w:szCs w:val="26"/>
        </w:rPr>
        <w:t xml:space="preserve"> Chronic wound pathogenesis and current treatment strategies: A unifying hypothesis. </w:t>
      </w:r>
      <w:r>
        <w:rPr>
          <w:color w:val="000000"/>
          <w:sz w:val="24"/>
          <w:szCs w:val="26"/>
        </w:rPr>
        <w:t>Plastic and Reconstructive Surgery, 117(7S), 35S-41S.</w:t>
      </w:r>
    </w:p>
    <w:p>
      <w:pPr>
        <w:pStyle w:val="style0"/>
        <w:spacing w:after="0" w:lineRule="auto" w:line="480"/>
        <w:ind w:left="720" w:hanging="720"/>
        <w:jc w:val="both"/>
        <w:rPr>
          <w:color w:val="000000"/>
          <w:sz w:val="24"/>
          <w:szCs w:val="26"/>
        </w:rPr>
      </w:pPr>
      <w:r>
        <w:rPr>
          <w:color w:val="000000"/>
          <w:sz w:val="24"/>
          <w:szCs w:val="26"/>
        </w:rPr>
        <w:t>Nilsson C, Sillen A, Eriksson L, Strand ML, Enroth H, Normark S, et al. Correlation between cag pathogenicity island composition and Helicobacter pylori-associated gastroduodenal disease. Infect Immun 2003</w:t>
      </w:r>
      <w:r>
        <w:rPr>
          <w:color w:val="000000"/>
          <w:sz w:val="24"/>
          <w:szCs w:val="26"/>
        </w:rPr>
        <w:t>;71:6573</w:t>
      </w:r>
      <w:r>
        <w:rPr>
          <w:color w:val="000000"/>
          <w:sz w:val="24"/>
          <w:szCs w:val="26"/>
        </w:rPr>
        <w:t>-81.</w:t>
      </w:r>
    </w:p>
    <w:p>
      <w:pPr>
        <w:pStyle w:val="style0"/>
        <w:spacing w:after="0" w:lineRule="auto" w:line="480"/>
        <w:ind w:left="720" w:hanging="720"/>
        <w:jc w:val="both"/>
        <w:rPr>
          <w:color w:val="000000"/>
          <w:sz w:val="24"/>
          <w:szCs w:val="26"/>
        </w:rPr>
      </w:pPr>
      <w:r>
        <w:rPr>
          <w:color w:val="000000"/>
          <w:sz w:val="24"/>
          <w:szCs w:val="26"/>
        </w:rPr>
        <w:t>Nussbaum, S. R., Carter, M. J., Fife, C. E., DaVanzo, J., Haught, R., Nusgart, M., &amp; Cartwright, D. (2018).</w:t>
      </w:r>
      <w:r>
        <w:rPr>
          <w:color w:val="000000"/>
          <w:sz w:val="24"/>
          <w:szCs w:val="26"/>
        </w:rPr>
        <w:t xml:space="preserve"> </w:t>
      </w:r>
      <w:r>
        <w:rPr>
          <w:color w:val="000000"/>
          <w:sz w:val="24"/>
          <w:szCs w:val="26"/>
        </w:rPr>
        <w:t>An economic evaluation of the impact, cost, and Medicare policy implications of chronic nonhealing wounds.</w:t>
      </w:r>
      <w:r>
        <w:rPr>
          <w:color w:val="000000"/>
          <w:sz w:val="24"/>
          <w:szCs w:val="26"/>
        </w:rPr>
        <w:t xml:space="preserve"> Value in Health, 21(1), 27-32.</w:t>
      </w:r>
    </w:p>
    <w:p>
      <w:pPr>
        <w:pStyle w:val="style94"/>
        <w:spacing w:before="0" w:beforeAutospacing="false" w:after="0" w:afterAutospacing="false" w:lineRule="auto" w:line="480"/>
        <w:ind w:left="720" w:hanging="720"/>
        <w:jc w:val="both"/>
        <w:rPr>
          <w:color w:val="000000"/>
          <w:szCs w:val="26"/>
        </w:rPr>
      </w:pPr>
      <w:r>
        <w:rPr>
          <w:color w:val="000000"/>
          <w:szCs w:val="26"/>
        </w:rPr>
        <w:t>Ogunyemi, E. A., Salawu, O. T., &amp; Adebayo, A. M. (2019).</w:t>
      </w:r>
      <w:r>
        <w:rPr>
          <w:color w:val="000000"/>
          <w:szCs w:val="26"/>
        </w:rPr>
        <w:t xml:space="preserve"> </w:t>
      </w:r>
      <w:r>
        <w:rPr>
          <w:color w:val="000000"/>
          <w:szCs w:val="26"/>
        </w:rPr>
        <w:t xml:space="preserve">Chemical composition and medicinal potentials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Phytotherapy Research, 33</w:t>
      </w:r>
      <w:r>
        <w:rPr>
          <w:color w:val="000000"/>
          <w:szCs w:val="26"/>
        </w:rPr>
        <w:t>(9), 1435-1442.</w:t>
      </w:r>
    </w:p>
    <w:p>
      <w:pPr>
        <w:pStyle w:val="style94"/>
        <w:spacing w:before="0" w:beforeAutospacing="false" w:after="0" w:afterAutospacing="false" w:lineRule="auto" w:line="480"/>
        <w:ind w:left="720" w:hanging="720"/>
        <w:jc w:val="both"/>
        <w:rPr>
          <w:color w:val="000000"/>
          <w:szCs w:val="26"/>
        </w:rPr>
      </w:pPr>
      <w:r>
        <w:rPr>
          <w:color w:val="000000"/>
          <w:szCs w:val="26"/>
        </w:rPr>
        <w:t>Ogunyemi, E. A., Salawu, O. T., &amp; Adebayo, A. M. (2019).</w:t>
      </w:r>
      <w:r>
        <w:rPr>
          <w:color w:val="000000"/>
          <w:szCs w:val="26"/>
        </w:rPr>
        <w:t xml:space="preserve"> </w:t>
      </w:r>
      <w:r>
        <w:rPr>
          <w:color w:val="000000"/>
          <w:szCs w:val="26"/>
        </w:rPr>
        <w:t xml:space="preserve">Chemical composition and medicinal potentials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Phytotherapy Research, 33</w:t>
      </w:r>
      <w:r>
        <w:rPr>
          <w:color w:val="000000"/>
          <w:szCs w:val="26"/>
        </w:rPr>
        <w:t>(9), 1435-1442.</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Ogunyemi, O. M., Adewoyin, F. B., &amp; Olukemi, O. A. (2019).</w:t>
      </w:r>
      <w:r>
        <w:rPr>
          <w:rFonts w:eastAsia="Times New Roman"/>
          <w:color w:val="000000"/>
          <w:sz w:val="24"/>
          <w:szCs w:val="26"/>
        </w:rPr>
        <w:t xml:space="preserve"> </w:t>
      </w:r>
      <w:r>
        <w:rPr>
          <w:rFonts w:eastAsia="Times New Roman"/>
          <w:color w:val="000000"/>
          <w:sz w:val="24"/>
          <w:szCs w:val="26"/>
        </w:rPr>
        <w:t xml:space="preserve">Phytochemical screening and biological activities of </w:t>
      </w:r>
      <w:r>
        <w:rPr>
          <w:rFonts w:eastAsia="Times New Roman"/>
          <w:i/>
          <w:iCs/>
          <w:color w:val="000000"/>
          <w:sz w:val="24"/>
          <w:szCs w:val="26"/>
        </w:rPr>
        <w:t>Sida acuta</w:t>
      </w:r>
      <w:r>
        <w:rPr>
          <w:rFonts w:eastAsia="Times New Roman"/>
          <w:color w:val="000000"/>
          <w:sz w:val="24"/>
          <w:szCs w:val="26"/>
        </w:rPr>
        <w:t>.</w:t>
      </w:r>
      <w:r>
        <w:rPr>
          <w:rFonts w:eastAsia="Times New Roman"/>
          <w:color w:val="000000"/>
          <w:sz w:val="24"/>
          <w:szCs w:val="26"/>
        </w:rPr>
        <w:t xml:space="preserve"> </w:t>
      </w:r>
      <w:r>
        <w:rPr>
          <w:rFonts w:eastAsia="Times New Roman"/>
          <w:i/>
          <w:iCs/>
          <w:color w:val="000000"/>
          <w:sz w:val="24"/>
          <w:szCs w:val="26"/>
        </w:rPr>
        <w:t>Journal of Ethnopharmacology, 25</w:t>
      </w:r>
      <w:r>
        <w:rPr>
          <w:rFonts w:eastAsia="Times New Roman"/>
          <w:color w:val="000000"/>
          <w:sz w:val="24"/>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Ogunyemi, O. M., Adewoyin, F. B., &amp; Olukemi, O. A. (2019).</w:t>
      </w:r>
      <w:r>
        <w:rPr>
          <w:color w:val="000000"/>
          <w:szCs w:val="26"/>
        </w:rPr>
        <w:t xml:space="preserve"> </w:t>
      </w:r>
      <w:r>
        <w:rPr>
          <w:color w:val="000000"/>
          <w:szCs w:val="26"/>
        </w:rPr>
        <w:t xml:space="preserve">Phytochemical screening and biological activities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Ethnopharmacology, 25</w:t>
      </w:r>
      <w:r>
        <w:rPr>
          <w:color w:val="000000"/>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Ogunyemi, O. M., Adewoyin, F. B., &amp; Olukemi, O. A. (2019).</w:t>
      </w:r>
      <w:r>
        <w:rPr>
          <w:color w:val="000000"/>
          <w:szCs w:val="26"/>
        </w:rPr>
        <w:t xml:space="preserve"> </w:t>
      </w:r>
      <w:r>
        <w:rPr>
          <w:color w:val="000000"/>
          <w:szCs w:val="26"/>
        </w:rPr>
        <w:t xml:space="preserve">Phytochemical screening and mineral analysis of </w:t>
      </w:r>
      <w:r>
        <w:rPr>
          <w:rStyle w:val="style88"/>
          <w:color w:val="000000"/>
          <w:szCs w:val="26"/>
        </w:rPr>
        <w:t>Sida acuta</w:t>
      </w:r>
      <w:r>
        <w:rPr>
          <w:color w:val="000000"/>
          <w:szCs w:val="26"/>
        </w:rPr>
        <w:t>.</w:t>
      </w:r>
      <w:r>
        <w:rPr>
          <w:color w:val="000000"/>
          <w:szCs w:val="26"/>
        </w:rPr>
        <w:t xml:space="preserve"> </w:t>
      </w:r>
      <w:r>
        <w:rPr>
          <w:rStyle w:val="style88"/>
          <w:color w:val="000000"/>
          <w:szCs w:val="26"/>
        </w:rPr>
        <w:t>Journal of Ethnopharmacology, 25</w:t>
      </w:r>
      <w:r>
        <w:rPr>
          <w:color w:val="000000"/>
          <w:szCs w:val="26"/>
        </w:rPr>
        <w:t>(3), 65-74.</w:t>
      </w:r>
    </w:p>
    <w:p>
      <w:pPr>
        <w:pStyle w:val="style94"/>
        <w:spacing w:before="0" w:beforeAutospacing="false" w:after="0" w:afterAutospacing="false" w:lineRule="auto" w:line="480"/>
        <w:ind w:left="720" w:hanging="720"/>
        <w:jc w:val="both"/>
        <w:rPr>
          <w:color w:val="000000"/>
          <w:szCs w:val="26"/>
        </w:rPr>
      </w:pPr>
      <w:r>
        <w:rPr>
          <w:color w:val="000000"/>
          <w:szCs w:val="26"/>
        </w:rPr>
        <w:t>Okokon, J. E., Udoh, A. M., &amp; Akpan, A. B. (2018).</w:t>
      </w:r>
      <w:r>
        <w:rPr>
          <w:color w:val="000000"/>
          <w:szCs w:val="26"/>
        </w:rPr>
        <w:t xml:space="preserve"> Medicinal properties of </w:t>
      </w:r>
      <w:r>
        <w:rPr>
          <w:rStyle w:val="style88"/>
          <w:color w:val="000000"/>
          <w:szCs w:val="26"/>
        </w:rPr>
        <w:t>Sida acuta</w:t>
      </w:r>
      <w:r>
        <w:rPr>
          <w:color w:val="000000"/>
          <w:szCs w:val="26"/>
        </w:rPr>
        <w:t xml:space="preserve">: A review. </w:t>
      </w:r>
      <w:r>
        <w:rPr>
          <w:rStyle w:val="style88"/>
          <w:color w:val="000000"/>
          <w:szCs w:val="26"/>
        </w:rPr>
        <w:t>Journal of Natural Products, 81</w:t>
      </w:r>
      <w:r>
        <w:rPr>
          <w:color w:val="000000"/>
          <w:szCs w:val="26"/>
        </w:rPr>
        <w:t>(2), 74-88.</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Olajide, O. A., Awe, S. O., &amp; Makinde, J. M. (2019).</w:t>
      </w:r>
      <w:r>
        <w:rPr>
          <w:rFonts w:eastAsia="Times New Roman"/>
          <w:color w:val="000000"/>
          <w:sz w:val="24"/>
          <w:szCs w:val="26"/>
        </w:rPr>
        <w:t xml:space="preserve"> Antimicrobial activity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Planta Medica, 85</w:t>
      </w:r>
      <w:r>
        <w:rPr>
          <w:rFonts w:eastAsia="Times New Roman"/>
          <w:color w:val="000000"/>
          <w:sz w:val="24"/>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O. A., Awe, S. O., &amp; Makinde, J. M. (2019).</w:t>
      </w:r>
      <w:r>
        <w:rPr>
          <w:color w:val="000000"/>
          <w:szCs w:val="26"/>
        </w:rPr>
        <w:t xml:space="preserve"> Antimicrobial activity of </w:t>
      </w:r>
      <w:r>
        <w:rPr>
          <w:rStyle w:val="style88"/>
          <w:color w:val="000000"/>
          <w:szCs w:val="26"/>
        </w:rPr>
        <w:t>Sida acuta</w:t>
      </w:r>
      <w:r>
        <w:rPr>
          <w:color w:val="000000"/>
          <w:szCs w:val="26"/>
        </w:rPr>
        <w:t xml:space="preserve"> extracts. </w:t>
      </w:r>
      <w:r>
        <w:rPr>
          <w:rStyle w:val="style88"/>
          <w:color w:val="000000"/>
          <w:szCs w:val="26"/>
        </w:rPr>
        <w:t>Planta Medica, 85</w:t>
      </w:r>
      <w:r>
        <w:rPr>
          <w:color w:val="000000"/>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O. A., Awe, S. O., &amp; Makinde, J. M. (2019).</w:t>
      </w:r>
      <w:r>
        <w:rPr>
          <w:color w:val="000000"/>
          <w:szCs w:val="26"/>
        </w:rPr>
        <w:t xml:space="preserve"> Sodium and potassium balance in medicinal plants: The case of </w:t>
      </w:r>
      <w:r>
        <w:rPr>
          <w:rStyle w:val="style88"/>
          <w:color w:val="000000"/>
          <w:szCs w:val="26"/>
        </w:rPr>
        <w:t>Sida acuta</w:t>
      </w:r>
      <w:r>
        <w:rPr>
          <w:color w:val="000000"/>
          <w:szCs w:val="26"/>
        </w:rPr>
        <w:t xml:space="preserve">. </w:t>
      </w:r>
      <w:r>
        <w:rPr>
          <w:rStyle w:val="style88"/>
          <w:color w:val="000000"/>
          <w:szCs w:val="26"/>
        </w:rPr>
        <w:t>Planta Medica, 85</w:t>
      </w:r>
      <w:r>
        <w:rPr>
          <w:color w:val="000000"/>
          <w:szCs w:val="26"/>
        </w:rPr>
        <w:t>(4), 56-62.</w:t>
      </w:r>
    </w:p>
    <w:p>
      <w:pPr>
        <w:pStyle w:val="style94"/>
        <w:spacing w:before="0" w:beforeAutospacing="false" w:after="0" w:afterAutospacing="false" w:lineRule="auto" w:line="480"/>
        <w:ind w:left="720" w:hanging="720"/>
        <w:jc w:val="both"/>
        <w:rPr>
          <w:color w:val="000000"/>
          <w:szCs w:val="26"/>
        </w:rPr>
      </w:pPr>
      <w:r>
        <w:rPr>
          <w:color w:val="000000"/>
          <w:szCs w:val="26"/>
        </w:rPr>
        <w:t>Olajide, S. O., Balogun, A. G., &amp; Adeyeye, O. T. (2019).</w:t>
      </w:r>
      <w:r>
        <w:rPr>
          <w:color w:val="000000"/>
          <w:szCs w:val="26"/>
        </w:rPr>
        <w:t xml:space="preserve"> </w:t>
      </w:r>
      <w:r>
        <w:rPr>
          <w:color w:val="000000"/>
          <w:szCs w:val="26"/>
        </w:rPr>
        <w:t xml:space="preserve">Antifungal activity of </w:t>
      </w:r>
      <w:r>
        <w:rPr>
          <w:rStyle w:val="style88"/>
          <w:color w:val="000000"/>
          <w:szCs w:val="26"/>
        </w:rPr>
        <w:t>Sida acuta</w:t>
      </w:r>
      <w:r>
        <w:rPr>
          <w:color w:val="000000"/>
          <w:szCs w:val="26"/>
        </w:rPr>
        <w:t xml:space="preserve"> against pathogenic fungi.</w:t>
      </w:r>
      <w:r>
        <w:rPr>
          <w:color w:val="000000"/>
          <w:szCs w:val="26"/>
        </w:rPr>
        <w:t xml:space="preserve"> </w:t>
      </w:r>
      <w:r>
        <w:rPr>
          <w:rStyle w:val="style88"/>
          <w:color w:val="000000"/>
          <w:szCs w:val="26"/>
        </w:rPr>
        <w:t>International Journal of Phytomedicine, 12</w:t>
      </w:r>
      <w:r>
        <w:rPr>
          <w:color w:val="000000"/>
          <w:szCs w:val="26"/>
        </w:rPr>
        <w:t>(1), 56-65.</w:t>
      </w:r>
    </w:p>
    <w:p>
      <w:pPr>
        <w:pStyle w:val="style94"/>
        <w:spacing w:before="0" w:beforeAutospacing="false" w:after="0" w:afterAutospacing="false" w:lineRule="auto" w:line="480"/>
        <w:ind w:left="720" w:hanging="720"/>
        <w:jc w:val="both"/>
        <w:rPr>
          <w:color w:val="000000"/>
          <w:szCs w:val="26"/>
        </w:rPr>
      </w:pPr>
      <w:r>
        <w:rPr>
          <w:color w:val="000000"/>
          <w:szCs w:val="26"/>
        </w:rPr>
        <w:t>Olajide, S. O., Balogun, A. G., &amp; Adeyeye, O. T. (2019).</w:t>
      </w:r>
      <w:r>
        <w:rPr>
          <w:color w:val="000000"/>
          <w:szCs w:val="26"/>
        </w:rPr>
        <w:t xml:space="preserve"> </w:t>
      </w:r>
      <w:r>
        <w:rPr>
          <w:color w:val="000000"/>
          <w:szCs w:val="26"/>
        </w:rPr>
        <w:t xml:space="preserve">Antifungal activity of </w:t>
      </w:r>
      <w:r>
        <w:rPr>
          <w:rStyle w:val="style88"/>
          <w:color w:val="000000"/>
          <w:szCs w:val="26"/>
        </w:rPr>
        <w:t>Sida acuta</w:t>
      </w:r>
      <w:r>
        <w:rPr>
          <w:color w:val="000000"/>
          <w:szCs w:val="26"/>
        </w:rPr>
        <w:t xml:space="preserve"> against pathogenic fungi.</w:t>
      </w:r>
      <w:r>
        <w:rPr>
          <w:color w:val="000000"/>
          <w:szCs w:val="26"/>
        </w:rPr>
        <w:t xml:space="preserve"> </w:t>
      </w:r>
      <w:r>
        <w:rPr>
          <w:rStyle w:val="style88"/>
          <w:color w:val="000000"/>
          <w:szCs w:val="26"/>
        </w:rPr>
        <w:t>International Journal of Phytomedicine, 12</w:t>
      </w:r>
      <w:r>
        <w:rPr>
          <w:color w:val="000000"/>
          <w:szCs w:val="26"/>
        </w:rPr>
        <w:t>(1), 56-65.</w:t>
      </w:r>
    </w:p>
    <w:p>
      <w:pPr>
        <w:pStyle w:val="style0"/>
        <w:spacing w:after="0" w:lineRule="auto" w:line="480"/>
        <w:ind w:left="720" w:hanging="720"/>
        <w:jc w:val="both"/>
        <w:rPr>
          <w:color w:val="000000"/>
          <w:sz w:val="24"/>
          <w:szCs w:val="26"/>
        </w:rPr>
      </w:pPr>
      <w:r>
        <w:rPr>
          <w:color w:val="000000"/>
          <w:sz w:val="24"/>
          <w:szCs w:val="26"/>
        </w:rPr>
        <w:t>Pastar, I., Stojadinovic, O., Yin, N. C., Ramirez, H., Nusbaum, A. G., Sawaya, A</w:t>
      </w:r>
      <w:r>
        <w:rPr>
          <w:color w:val="000000"/>
          <w:sz w:val="24"/>
          <w:szCs w:val="26"/>
        </w:rPr>
        <w:t>., ...</w:t>
      </w:r>
      <w:r>
        <w:rPr>
          <w:color w:val="000000"/>
          <w:sz w:val="24"/>
          <w:szCs w:val="26"/>
        </w:rPr>
        <w:t xml:space="preserve"> &amp; Tomic-Canic, M. (2014). Epithelialization in wound healing: A comprehensive review. Advances in Wound Care, 3(7), 445-464.</w:t>
      </w:r>
    </w:p>
    <w:p>
      <w:pPr>
        <w:pStyle w:val="style0"/>
        <w:spacing w:after="0" w:lineRule="auto" w:line="480"/>
        <w:ind w:left="720" w:hanging="720"/>
        <w:jc w:val="both"/>
        <w:rPr>
          <w:color w:val="000000"/>
          <w:sz w:val="24"/>
          <w:szCs w:val="26"/>
        </w:rPr>
      </w:pPr>
      <w:r>
        <w:rPr>
          <w:color w:val="000000"/>
          <w:sz w:val="24"/>
          <w:szCs w:val="26"/>
        </w:rPr>
        <w:t>Philip, B. K., Muralidharan, A., Natarajan, B., Varadamurthy, S., Venkataraman, S., 2008.</w:t>
      </w:r>
      <w:r>
        <w:rPr>
          <w:color w:val="000000"/>
          <w:sz w:val="24"/>
          <w:szCs w:val="26"/>
        </w:rPr>
        <w:t xml:space="preserve"> </w:t>
      </w:r>
      <w:r>
        <w:rPr>
          <w:color w:val="000000"/>
          <w:sz w:val="24"/>
          <w:szCs w:val="26"/>
        </w:rPr>
        <w:t>Preliminary evaluation of anti-pyretic and anti-ulcerogenic activities of Sida cordifolia methanolic extract.</w:t>
      </w:r>
      <w:r>
        <w:rPr>
          <w:color w:val="000000"/>
          <w:sz w:val="24"/>
          <w:szCs w:val="26"/>
        </w:rPr>
        <w:t xml:space="preserve"> Fitoterapia 79, 229-231.</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PMC</w:t>
      </w:r>
      <w:r>
        <w:rPr>
          <w:rFonts w:eastAsia="Times New Roman"/>
          <w:color w:val="000000"/>
          <w:sz w:val="24"/>
          <w:szCs w:val="26"/>
        </w:rPr>
        <w:t>.</w:t>
      </w:r>
      <w:r>
        <w:rPr>
          <w:rFonts w:eastAsia="Times New Roman"/>
          <w:color w:val="000000"/>
          <w:sz w:val="24"/>
          <w:szCs w:val="26"/>
        </w:rPr>
        <w:t xml:space="preserve"> (2007). Corneal Ulcer: Diagnosis and Management. Retrieved from </w:t>
      </w:r>
      <w:r>
        <w:rPr/>
        <w:fldChar w:fldCharType="begin"/>
      </w:r>
      <w:r>
        <w:instrText xml:space="preserve"> HYPERLINK "https://pmc.ncbi.nlm.nih.gov/articles/PMC1706003/" \t "_blank" </w:instrText>
      </w:r>
      <w:r>
        <w:rPr/>
        <w:fldChar w:fldCharType="separate"/>
      </w:r>
      <w:r>
        <w:rPr>
          <w:rFonts w:eastAsia="Times New Roman"/>
          <w:color w:val="000000"/>
          <w:sz w:val="24"/>
          <w:szCs w:val="26"/>
          <w:bdr w:val="single" w:sz="2" w:space="0" w:color="e5e7eb" w:frame="true"/>
        </w:rPr>
        <w:t>https://pmc.ncbi.nlm.nih.gov/articles/PMC1706003/</w:t>
      </w:r>
      <w:r>
        <w:rPr/>
        <w:fldChar w:fldCharType="end"/>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Porter, S. R., &amp; Leao, J. C. (2005).</w:t>
      </w:r>
      <w:r>
        <w:rPr>
          <w:rFonts w:eastAsia="Times New Roman"/>
          <w:color w:val="000000"/>
          <w:sz w:val="24"/>
          <w:szCs w:val="26"/>
        </w:rPr>
        <w:t> </w:t>
      </w:r>
      <w:r>
        <w:rPr>
          <w:rFonts w:eastAsia="Times New Roman"/>
          <w:i/>
          <w:iCs/>
          <w:color w:val="000000"/>
          <w:sz w:val="24"/>
          <w:szCs w:val="26"/>
        </w:rPr>
        <w:t>Review article: oral ulcers and its relevance to systemic disorders. Alimentary Pharmacology and Therapeutics, 21(4), 295–306.</w:t>
      </w:r>
      <w:r>
        <w:rPr>
          <w:rFonts w:eastAsia="Times New Roman"/>
          <w:color w:val="000000"/>
          <w:sz w:val="24"/>
          <w:szCs w:val="26"/>
        </w:rPr>
        <w:t> </w:t>
      </w:r>
    </w:p>
    <w:p>
      <w:pPr>
        <w:pStyle w:val="style0"/>
        <w:spacing w:after="0" w:lineRule="auto" w:line="480"/>
        <w:ind w:left="720" w:hanging="720"/>
        <w:jc w:val="both"/>
        <w:rPr>
          <w:color w:val="000000"/>
          <w:sz w:val="24"/>
          <w:szCs w:val="26"/>
        </w:rPr>
      </w:pPr>
      <w:r>
        <w:rPr>
          <w:color w:val="000000"/>
          <w:sz w:val="24"/>
          <w:szCs w:val="26"/>
        </w:rPr>
        <w:t>Raimi, M.M.; Oyekanmi, A.M. and Adegoke, B.M. (2014).</w:t>
      </w:r>
      <w:r>
        <w:rPr>
          <w:color w:val="000000"/>
          <w:sz w:val="24"/>
          <w:szCs w:val="26"/>
        </w:rPr>
        <w:t xml:space="preserve"> </w:t>
      </w:r>
      <w:r>
        <w:rPr>
          <w:color w:val="000000"/>
          <w:sz w:val="24"/>
          <w:szCs w:val="26"/>
        </w:rPr>
        <w:t>Proximate, phytochemical and micronutrient composition of Sida acuta.</w:t>
      </w:r>
      <w:r>
        <w:rPr>
          <w:color w:val="000000"/>
          <w:sz w:val="24"/>
          <w:szCs w:val="26"/>
        </w:rPr>
        <w:t xml:space="preserve"> IOSR J. Appl. Chem., 7(2):93-98.</w:t>
      </w:r>
    </w:p>
    <w:p>
      <w:pPr>
        <w:pStyle w:val="style0"/>
        <w:spacing w:after="0" w:lineRule="auto" w:line="480"/>
        <w:ind w:left="720" w:hanging="720"/>
        <w:jc w:val="both"/>
        <w:rPr>
          <w:color w:val="000000"/>
          <w:sz w:val="24"/>
          <w:szCs w:val="26"/>
        </w:rPr>
      </w:pPr>
      <w:r>
        <w:rPr>
          <w:color w:val="000000"/>
          <w:sz w:val="24"/>
          <w:szCs w:val="26"/>
        </w:rPr>
        <w:t>Raja JM, Maturana MA, Kayali S, Khouzam A, Efeovbokhan N. Diabetic foot ulcer: A comprehensive review of pathophysiology and management modalities. </w:t>
      </w:r>
      <w:r>
        <w:rPr>
          <w:rStyle w:val="style88"/>
          <w:color w:val="000000"/>
          <w:sz w:val="24"/>
          <w:szCs w:val="26"/>
        </w:rPr>
        <w:t>World J Clin Cases</w:t>
      </w:r>
      <w:r>
        <w:rPr>
          <w:color w:val="000000"/>
          <w:sz w:val="24"/>
          <w:szCs w:val="26"/>
        </w:rPr>
        <w:t xml:space="preserve"> 2023; 11(8): 1684-1693 </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ResearchGate</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(2023). Treatment approach to corneal ulcer- Major Review.</w:t>
      </w:r>
      <w:r>
        <w:rPr>
          <w:rFonts w:eastAsia="Times New Roman"/>
          <w:color w:val="000000"/>
          <w:sz w:val="24"/>
          <w:szCs w:val="26"/>
        </w:rPr>
        <w:t xml:space="preserve"> Retrieved from </w:t>
      </w:r>
      <w:r>
        <w:rPr/>
        <w:fldChar w:fldCharType="begin"/>
      </w:r>
      <w:r>
        <w:instrText xml:space="preserve"> HYPERLINK "https://www.researchgate.net/publication/376854727_Treatment_approach_to_corneal_ulcer-_Major_Review" \t "_blank" </w:instrText>
      </w:r>
      <w:r>
        <w:rPr/>
        <w:fldChar w:fldCharType="separate"/>
      </w:r>
      <w:r>
        <w:rPr>
          <w:rFonts w:eastAsia="Times New Roman"/>
          <w:color w:val="000000"/>
          <w:sz w:val="24"/>
          <w:szCs w:val="26"/>
          <w:bdr w:val="single" w:sz="2" w:space="0" w:color="e5e7eb" w:frame="true"/>
        </w:rPr>
        <w:t>https://www.researchgate.net/publication/376854727_Treatment_approach_to_corneal_ulcer-_Major_Review</w:t>
      </w:r>
      <w:r>
        <w:rPr/>
        <w:fldChar w:fldCharType="end"/>
      </w:r>
    </w:p>
    <w:p>
      <w:pPr>
        <w:pStyle w:val="style0"/>
        <w:spacing w:after="0" w:lineRule="auto" w:line="480"/>
        <w:ind w:left="720" w:hanging="720"/>
        <w:jc w:val="both"/>
        <w:rPr>
          <w:color w:val="000000"/>
          <w:sz w:val="24"/>
          <w:szCs w:val="26"/>
        </w:rPr>
      </w:pPr>
      <w:r>
        <w:rPr>
          <w:color w:val="000000"/>
          <w:sz w:val="24"/>
          <w:szCs w:val="26"/>
        </w:rPr>
        <w:t>Sadeghian, G., Ziaei, H., &amp; Nilforoushzadeh, M. A. (2020).</w:t>
      </w:r>
      <w:r>
        <w:rPr>
          <w:color w:val="000000"/>
          <w:sz w:val="24"/>
          <w:szCs w:val="26"/>
        </w:rPr>
        <w:t xml:space="preserve"> </w:t>
      </w:r>
      <w:r>
        <w:rPr>
          <w:color w:val="000000"/>
          <w:sz w:val="24"/>
          <w:szCs w:val="26"/>
        </w:rPr>
        <w:t>Cutaneous infections leading to ulceration.</w:t>
      </w:r>
      <w:r>
        <w:rPr>
          <w:color w:val="000000"/>
          <w:sz w:val="24"/>
          <w:szCs w:val="26"/>
        </w:rPr>
        <w:t xml:space="preserve"> Journal of Cutaneous Medicine and Surgery, 24(1), 12-21.</w:t>
      </w:r>
    </w:p>
    <w:p>
      <w:pPr>
        <w:pStyle w:val="style0"/>
        <w:spacing w:after="0" w:lineRule="auto" w:line="480"/>
        <w:ind w:left="720" w:hanging="720"/>
        <w:jc w:val="both"/>
        <w:rPr>
          <w:color w:val="000000"/>
          <w:sz w:val="24"/>
          <w:szCs w:val="26"/>
        </w:rPr>
      </w:pPr>
      <w:r>
        <w:rPr>
          <w:color w:val="000000"/>
          <w:sz w:val="24"/>
          <w:szCs w:val="26"/>
        </w:rPr>
        <w:t xml:space="preserve">Scully C, Epstein J, Sonis S. Oral mucositis: a challenging complication of radiotherapy, chemotherapy, and radiochemotherapy: Part 2. </w:t>
      </w:r>
      <w:r>
        <w:rPr>
          <w:color w:val="000000"/>
          <w:sz w:val="24"/>
          <w:szCs w:val="26"/>
        </w:rPr>
        <w:t>diagnosis</w:t>
      </w:r>
      <w:r>
        <w:rPr>
          <w:color w:val="000000"/>
          <w:sz w:val="24"/>
          <w:szCs w:val="26"/>
        </w:rPr>
        <w:t xml:space="preserve"> and management of mucositis. Head Neck 2004; 26: 77–84.</w:t>
      </w:r>
    </w:p>
    <w:p>
      <w:pPr>
        <w:pStyle w:val="style0"/>
        <w:spacing w:after="0" w:lineRule="auto" w:line="480"/>
        <w:ind w:left="720" w:hanging="720"/>
        <w:jc w:val="both"/>
        <w:rPr>
          <w:color w:val="000000"/>
          <w:sz w:val="24"/>
          <w:szCs w:val="26"/>
        </w:rPr>
      </w:pPr>
      <w:r>
        <w:rPr>
          <w:color w:val="000000"/>
          <w:sz w:val="24"/>
          <w:szCs w:val="26"/>
        </w:rPr>
        <w:t>Scully C, Felix D H. Oral medicine – update for the dental practitioner. 2. Mouth ulcers of more serious connotation. Br Dent J 2005; 199: 339-343.</w:t>
      </w:r>
    </w:p>
    <w:p>
      <w:pPr>
        <w:pStyle w:val="style0"/>
        <w:spacing w:after="0" w:lineRule="auto" w:line="480"/>
        <w:ind w:left="720" w:hanging="720"/>
        <w:jc w:val="both"/>
        <w:rPr>
          <w:color w:val="000000"/>
          <w:sz w:val="24"/>
          <w:szCs w:val="26"/>
        </w:rPr>
      </w:pPr>
      <w:r>
        <w:rPr>
          <w:color w:val="000000"/>
          <w:sz w:val="24"/>
          <w:szCs w:val="26"/>
        </w:rPr>
        <w:t>Sen, C. K., Gordillo, G. M., Roy, S., Kirsner, R., Lambert, L., Hunt, T. K</w:t>
      </w:r>
      <w:r>
        <w:rPr>
          <w:color w:val="000000"/>
          <w:sz w:val="24"/>
          <w:szCs w:val="26"/>
        </w:rPr>
        <w:t>., ...</w:t>
      </w:r>
      <w:r>
        <w:rPr>
          <w:color w:val="000000"/>
          <w:sz w:val="24"/>
          <w:szCs w:val="26"/>
        </w:rPr>
        <w:t xml:space="preserve"> &amp; Longaker, M. T. (2009). Human skin wounds: A major and snowballing threat to public health and the economy. Wound Repair and Regeneration, 17(6), 763-771.</w:t>
      </w:r>
    </w:p>
    <w:p>
      <w:pPr>
        <w:pStyle w:val="style0"/>
        <w:spacing w:after="0" w:lineRule="auto" w:line="480"/>
        <w:ind w:left="720" w:hanging="720"/>
        <w:jc w:val="both"/>
        <w:rPr>
          <w:color w:val="000000"/>
          <w:sz w:val="24"/>
          <w:szCs w:val="26"/>
        </w:rPr>
      </w:pPr>
      <w:r>
        <w:rPr>
          <w:color w:val="000000"/>
          <w:sz w:val="24"/>
          <w:szCs w:val="26"/>
        </w:rPr>
        <w:t>Shittu, Alagbe JO. Phyto-Nutritional Profiles of Broom Weed (Sida acuta) Leaf Extract. Ann Clin Toxicol. 2020; 3(2): 1032.</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Simplice, D. K., Wendyam, M. N., Denise, P. I., Djeneba, O., Messanvi, G., Comlan, D. S., &amp; Jacques, S. (2007). </w:t>
      </w:r>
      <w:r>
        <w:rPr>
          <w:i/>
          <w:iCs/>
          <w:color w:val="000000"/>
          <w:sz w:val="24"/>
          <w:szCs w:val="26"/>
          <w:shd w:val="clear" w:color="auto" w:fill="ffffff"/>
        </w:rPr>
        <w:t>Sida acuta Burm.</w:t>
      </w:r>
      <w:r>
        <w:rPr>
          <w:i/>
          <w:iCs/>
          <w:color w:val="000000"/>
          <w:sz w:val="24"/>
          <w:szCs w:val="26"/>
          <w:shd w:val="clear" w:color="auto" w:fill="ffffff"/>
        </w:rPr>
        <w:t xml:space="preserve"> f.: a medicinal plant with numerous potencies. African Journal of Biotechnology, 6(25), 2953–2959.</w:t>
      </w:r>
    </w:p>
    <w:p>
      <w:pPr>
        <w:pStyle w:val="style0"/>
        <w:spacing w:after="0" w:lineRule="auto" w:line="480"/>
        <w:ind w:left="720" w:hanging="720"/>
        <w:jc w:val="both"/>
        <w:rPr>
          <w:i/>
          <w:iCs/>
          <w:color w:val="000000"/>
          <w:sz w:val="24"/>
          <w:szCs w:val="26"/>
          <w:shd w:val="clear" w:color="auto" w:fill="ffffff"/>
        </w:rPr>
      </w:pPr>
      <w:r>
        <w:rPr>
          <w:color w:val="000000"/>
          <w:sz w:val="24"/>
          <w:szCs w:val="26"/>
          <w:shd w:val="clear" w:color="auto" w:fill="ffffff"/>
        </w:rPr>
        <w:t>Sreedevi, C. D., Latha, P. G., Ancy, P., Suja, S. R., Shyamal, S., Shine, V. J</w:t>
      </w:r>
      <w:r>
        <w:rPr>
          <w:color w:val="000000"/>
          <w:sz w:val="24"/>
          <w:szCs w:val="26"/>
          <w:shd w:val="clear" w:color="auto" w:fill="ffffff"/>
        </w:rPr>
        <w:t>., …</w:t>
      </w:r>
      <w:r>
        <w:rPr>
          <w:color w:val="000000"/>
          <w:sz w:val="24"/>
          <w:szCs w:val="26"/>
          <w:shd w:val="clear" w:color="auto" w:fill="ffffff"/>
        </w:rPr>
        <w:t xml:space="preserve"> Rajasekharan, S. (2009). </w:t>
      </w:r>
      <w:r>
        <w:rPr>
          <w:i/>
          <w:iCs/>
          <w:color w:val="000000"/>
          <w:sz w:val="24"/>
          <w:szCs w:val="26"/>
          <w:shd w:val="clear" w:color="auto" w:fill="ffffff"/>
        </w:rPr>
        <w:t>Hepatoprotective studies on Sida acuta Burm. f. Journal of Ethnopharmacology, 124(2), 171–175.</w:t>
      </w:r>
    </w:p>
    <w:p>
      <w:pPr>
        <w:pStyle w:val="style0"/>
        <w:spacing w:after="0" w:lineRule="auto" w:line="480"/>
        <w:ind w:left="720" w:hanging="720"/>
        <w:jc w:val="both"/>
        <w:rPr>
          <w:color w:val="000000"/>
          <w:sz w:val="24"/>
          <w:szCs w:val="26"/>
        </w:rPr>
      </w:pPr>
      <w:r>
        <w:rPr>
          <w:color w:val="000000"/>
          <w:sz w:val="24"/>
          <w:szCs w:val="26"/>
          <w:shd w:val="clear" w:color="auto" w:fill="ffffff"/>
        </w:rPr>
        <w:t>Srinivasan, N., &amp; Murali, R. (2022).</w:t>
      </w:r>
      <w:r>
        <w:rPr>
          <w:color w:val="000000"/>
          <w:sz w:val="24"/>
          <w:szCs w:val="26"/>
          <w:shd w:val="clear" w:color="auto" w:fill="ffffff"/>
        </w:rPr>
        <w:t xml:space="preserve"> </w:t>
      </w:r>
      <w:r>
        <w:rPr>
          <w:color w:val="000000"/>
          <w:sz w:val="24"/>
          <w:szCs w:val="26"/>
          <w:shd w:val="clear" w:color="auto" w:fill="ffffff"/>
        </w:rPr>
        <w:t>An overview of the traditional importance, phytochemistry, and pharmacological properties of Sida acuta Burm.</w:t>
      </w:r>
      <w:r>
        <w:rPr>
          <w:color w:val="000000"/>
          <w:sz w:val="24"/>
          <w:szCs w:val="26"/>
          <w:shd w:val="clear" w:color="auto" w:fill="ffffff"/>
        </w:rPr>
        <w:t xml:space="preserve"> f. </w:t>
      </w:r>
      <w:r>
        <w:rPr>
          <w:i/>
          <w:color w:val="000000"/>
          <w:sz w:val="24"/>
          <w:szCs w:val="26"/>
          <w:shd w:val="clear" w:color="auto" w:fill="ffffff"/>
        </w:rPr>
        <w:t>Annals of Phytomedicine</w:t>
      </w:r>
      <w:r>
        <w:rPr>
          <w:color w:val="000000"/>
          <w:sz w:val="24"/>
          <w:szCs w:val="26"/>
          <w:shd w:val="clear" w:color="auto" w:fill="ffffff"/>
        </w:rPr>
        <w:t>, </w:t>
      </w:r>
      <w:r>
        <w:rPr>
          <w:i/>
          <w:color w:val="000000"/>
          <w:sz w:val="24"/>
          <w:szCs w:val="26"/>
          <w:shd w:val="clear" w:color="auto" w:fill="ffffff"/>
        </w:rPr>
        <w:t>11</w:t>
      </w:r>
      <w:r>
        <w:rPr>
          <w:color w:val="000000"/>
          <w:sz w:val="24"/>
          <w:szCs w:val="26"/>
          <w:shd w:val="clear" w:color="auto" w:fill="ffffff"/>
        </w:rPr>
        <w:t>(2), 245-54.</w:t>
      </w:r>
      <w:r>
        <w:rPr>
          <w:color w:val="000000"/>
          <w:sz w:val="24"/>
          <w:szCs w:val="26"/>
        </w:rPr>
        <w:t xml:space="preserve"> </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StatPearls - NCBI Bookshelf</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(2023). Corneal Ulcer.</w:t>
      </w:r>
      <w:r>
        <w:rPr>
          <w:rFonts w:eastAsia="Times New Roman"/>
          <w:color w:val="000000"/>
          <w:sz w:val="24"/>
          <w:szCs w:val="26"/>
        </w:rPr>
        <w:t xml:space="preserve"> Retrieved from </w:t>
      </w:r>
      <w:r>
        <w:rPr/>
        <w:fldChar w:fldCharType="begin"/>
      </w:r>
      <w:r>
        <w:instrText xml:space="preserve"> HYPERLINK "https://www.ncbi.nlm.nih.gov/books/NBK539689/" \t "_blank" </w:instrText>
      </w:r>
      <w:r>
        <w:rPr/>
        <w:fldChar w:fldCharType="separate"/>
      </w:r>
      <w:r>
        <w:rPr>
          <w:rFonts w:eastAsia="Times New Roman"/>
          <w:color w:val="000000"/>
          <w:sz w:val="24"/>
          <w:szCs w:val="26"/>
          <w:bdr w:val="single" w:sz="2" w:space="0" w:color="e5e7eb" w:frame="true"/>
        </w:rPr>
        <w:t>https://www.ncbi.nlm.nih.gov/books/NBK539689/</w:t>
      </w:r>
      <w:r>
        <w:rPr/>
        <w:fldChar w:fldCharType="end"/>
      </w:r>
    </w:p>
    <w:p>
      <w:pPr>
        <w:pStyle w:val="style0"/>
        <w:spacing w:after="0" w:lineRule="auto" w:line="480"/>
        <w:ind w:left="720" w:hanging="720"/>
        <w:jc w:val="both"/>
        <w:rPr>
          <w:color w:val="000000"/>
          <w:sz w:val="24"/>
          <w:szCs w:val="26"/>
        </w:rPr>
      </w:pPr>
      <w:r>
        <w:rPr>
          <w:color w:val="000000"/>
          <w:sz w:val="24"/>
          <w:szCs w:val="26"/>
        </w:rPr>
        <w:t>Stern, A., &amp; Neuman, M. (2019).</w:t>
      </w:r>
      <w:r>
        <w:rPr>
          <w:color w:val="000000"/>
          <w:sz w:val="24"/>
          <w:szCs w:val="26"/>
        </w:rPr>
        <w:t xml:space="preserve"> </w:t>
      </w:r>
      <w:r>
        <w:rPr>
          <w:color w:val="000000"/>
          <w:sz w:val="24"/>
          <w:szCs w:val="26"/>
        </w:rPr>
        <w:t>Pathophysiology and prevention of pressure ulcers.</w:t>
      </w:r>
      <w:r>
        <w:rPr>
          <w:color w:val="000000"/>
          <w:sz w:val="24"/>
          <w:szCs w:val="26"/>
        </w:rPr>
        <w:t xml:space="preserve"> International Journal of Nursing Studies, 97, 19-28.</w:t>
      </w:r>
    </w:p>
    <w:p>
      <w:pPr>
        <w:pStyle w:val="style0"/>
        <w:spacing w:after="0" w:lineRule="auto" w:line="480"/>
        <w:ind w:left="720" w:hanging="720"/>
        <w:jc w:val="both"/>
        <w:rPr>
          <w:rFonts w:eastAsia="Times New Roman"/>
          <w:color w:val="000000"/>
          <w:sz w:val="24"/>
          <w:szCs w:val="26"/>
        </w:rPr>
      </w:pPr>
      <w:r>
        <w:rPr>
          <w:color w:val="000000"/>
          <w:sz w:val="24"/>
          <w:szCs w:val="26"/>
        </w:rPr>
        <w:t>Stokman MA, Spijkervet FK, Burlage FR, et al. Oral mucositis and selective elimination of oral flora in head and neck cancer patients receiving radiotherapy: a double-blind randomised clinical trial. Br J Cancer 2003; 88: 1012–6.</w:t>
      </w:r>
    </w:p>
    <w:p>
      <w:pPr>
        <w:pStyle w:val="style0"/>
        <w:spacing w:after="0" w:lineRule="auto" w:line="480"/>
        <w:ind w:left="720" w:hanging="720"/>
        <w:jc w:val="both"/>
        <w:rPr>
          <w:color w:val="000000"/>
          <w:sz w:val="24"/>
          <w:szCs w:val="26"/>
        </w:rPr>
      </w:pPr>
      <w:r>
        <w:rPr>
          <w:color w:val="000000"/>
          <w:sz w:val="24"/>
          <w:szCs w:val="26"/>
        </w:rPr>
        <w:t>Sung JJ, Kuipers EJ, El-Serag HB.</w:t>
      </w:r>
      <w:r>
        <w:rPr>
          <w:color w:val="000000"/>
          <w:sz w:val="24"/>
          <w:szCs w:val="26"/>
        </w:rPr>
        <w:t xml:space="preserve"> Systematic review: the global incidence and prevalence of peptic ulcer disease. Aliment Pharmacol Ther 2009</w:t>
      </w:r>
      <w:r>
        <w:rPr>
          <w:color w:val="000000"/>
          <w:sz w:val="24"/>
          <w:szCs w:val="26"/>
        </w:rPr>
        <w:t>;29:938</w:t>
      </w:r>
      <w:r>
        <w:rPr>
          <w:color w:val="000000"/>
          <w:sz w:val="24"/>
          <w:szCs w:val="26"/>
        </w:rPr>
        <w:t>-46.</w:t>
      </w:r>
    </w:p>
    <w:p>
      <w:pPr>
        <w:pStyle w:val="style0"/>
        <w:spacing w:after="0" w:lineRule="auto" w:line="480"/>
        <w:ind w:left="720" w:hanging="720"/>
        <w:jc w:val="both"/>
        <w:rPr>
          <w:color w:val="000000"/>
          <w:sz w:val="24"/>
          <w:szCs w:val="26"/>
        </w:rPr>
      </w:pPr>
      <w:r>
        <w:rPr>
          <w:color w:val="000000"/>
          <w:sz w:val="24"/>
          <w:szCs w:val="26"/>
        </w:rPr>
        <w:t>Sung, J. J. Y., Kuipers, E. J., &amp; El-Serag, H. B. (2020).</w:t>
      </w:r>
      <w:r>
        <w:rPr>
          <w:color w:val="000000"/>
          <w:sz w:val="24"/>
          <w:szCs w:val="26"/>
        </w:rPr>
        <w:t xml:space="preserve"> Systematic review: The global incidence and prevalence of peptic ulcer disease. Alimentary Pharmacology &amp; Therapeutics, 51(7), 713-729.</w:t>
      </w:r>
    </w:p>
    <w:p>
      <w:pPr>
        <w:pStyle w:val="style0"/>
        <w:spacing w:after="0" w:lineRule="auto" w:line="480"/>
        <w:ind w:left="720" w:hanging="720"/>
        <w:jc w:val="both"/>
        <w:rPr>
          <w:color w:val="000000"/>
          <w:sz w:val="24"/>
          <w:szCs w:val="26"/>
        </w:rPr>
      </w:pPr>
      <w:r>
        <w:rPr>
          <w:color w:val="000000"/>
          <w:sz w:val="24"/>
          <w:szCs w:val="26"/>
        </w:rPr>
        <w:t>Sung, J. J. Y., Kuipers, E. J., &amp; El-Serag, H. B. (2020).</w:t>
      </w:r>
      <w:r>
        <w:rPr>
          <w:color w:val="000000"/>
          <w:sz w:val="24"/>
          <w:szCs w:val="26"/>
        </w:rPr>
        <w:t xml:space="preserve"> Systematic review: The global incidence and prevalence of peptic ulcer disease. Alimentary Pharmacology &amp; Therapeutics, 51(7), 713-729.</w:t>
      </w:r>
    </w:p>
    <w:p>
      <w:pPr>
        <w:pStyle w:val="style0"/>
        <w:spacing w:after="0" w:lineRule="auto" w:line="480"/>
        <w:ind w:left="720" w:hanging="720"/>
        <w:jc w:val="both"/>
        <w:rPr>
          <w:color w:val="000000"/>
          <w:sz w:val="24"/>
          <w:szCs w:val="26"/>
          <w:shd w:val="clear" w:color="auto" w:fill="ffffff"/>
        </w:rPr>
      </w:pPr>
      <w:r>
        <w:rPr>
          <w:color w:val="000000"/>
          <w:sz w:val="24"/>
          <w:szCs w:val="26"/>
          <w:shd w:val="clear" w:color="auto" w:fill="ffffff"/>
        </w:rPr>
        <w:t>Tcheghebe, O. T., Seukep, A. J., &amp; Tatong, F. N. (2017).</w:t>
      </w:r>
      <w:r>
        <w:rPr>
          <w:color w:val="000000"/>
          <w:sz w:val="24"/>
          <w:szCs w:val="26"/>
          <w:shd w:val="clear" w:color="auto" w:fill="ffffff"/>
        </w:rPr>
        <w:t xml:space="preserve"> Ethnomedicinal uses, phytochemical and pharmacological profiles, and toxicity of Sida acuta Burm. F.: a review article. </w:t>
      </w:r>
      <w:r>
        <w:rPr>
          <w:i/>
          <w:color w:val="000000"/>
          <w:sz w:val="24"/>
          <w:szCs w:val="26"/>
          <w:shd w:val="clear" w:color="auto" w:fill="ffffff"/>
        </w:rPr>
        <w:t>The Pharma Innovation</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(6, Part A), 1.</w:t>
      </w:r>
    </w:p>
    <w:p>
      <w:pPr>
        <w:pStyle w:val="style0"/>
        <w:spacing w:after="0" w:lineRule="auto" w:line="480"/>
        <w:ind w:left="720" w:hanging="720"/>
        <w:jc w:val="both"/>
        <w:rPr>
          <w:color w:val="000000"/>
          <w:sz w:val="24"/>
          <w:szCs w:val="26"/>
        </w:rPr>
      </w:pPr>
      <w:r>
        <w:rPr>
          <w:color w:val="000000"/>
          <w:sz w:val="24"/>
          <w:szCs w:val="26"/>
        </w:rPr>
        <w:t>Tejas D. Pimple*</w:t>
      </w:r>
      <w:r>
        <w:rPr>
          <w:color w:val="000000"/>
          <w:sz w:val="24"/>
          <w:szCs w:val="26"/>
        </w:rPr>
        <w:t>1 ,</w:t>
      </w:r>
      <w:r>
        <w:rPr>
          <w:color w:val="000000"/>
          <w:sz w:val="24"/>
          <w:szCs w:val="26"/>
        </w:rPr>
        <w:t xml:space="preserve"> Sakshi N. Nagre1 , Bhushan R. Gandhare2 , Sadhana P. Gautam3 , Pooja P. Hulke4 (2024). A Systematic Review </w:t>
      </w:r>
      <w:r>
        <w:rPr>
          <w:color w:val="000000"/>
          <w:sz w:val="24"/>
          <w:szCs w:val="26"/>
        </w:rPr>
        <w:t>On</w:t>
      </w:r>
      <w:r>
        <w:rPr>
          <w:color w:val="000000"/>
          <w:sz w:val="24"/>
          <w:szCs w:val="26"/>
        </w:rPr>
        <w:t xml:space="preserve"> Sida Acuta Burm F.: Morphological Characteristics, Phytoconstituents And Pharmacological Activities. Int. J. of Pharm. Sci., 2024, Vol 2, Issue 2, 256-266.</w:t>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Uche, C. Z., Nwafor, I. G., &amp; Ekong, U. S. (2020).</w:t>
      </w:r>
      <w:r>
        <w:rPr>
          <w:rFonts w:eastAsia="Times New Roman"/>
          <w:color w:val="000000"/>
          <w:sz w:val="24"/>
          <w:szCs w:val="26"/>
        </w:rPr>
        <w:t xml:space="preserve"> </w:t>
      </w:r>
      <w:r>
        <w:rPr>
          <w:rFonts w:eastAsia="Times New Roman"/>
          <w:color w:val="000000"/>
          <w:sz w:val="24"/>
          <w:szCs w:val="26"/>
        </w:rPr>
        <w:t xml:space="preserve">Antioxidant properties of flavonoid-rich </w:t>
      </w:r>
      <w:r>
        <w:rPr>
          <w:rFonts w:eastAsia="Times New Roman"/>
          <w:i/>
          <w:iCs/>
          <w:color w:val="000000"/>
          <w:sz w:val="24"/>
          <w:szCs w:val="26"/>
        </w:rPr>
        <w:t>Sida acuta</w:t>
      </w:r>
      <w:r>
        <w:rPr>
          <w:rFonts w:eastAsia="Times New Roman"/>
          <w:color w:val="000000"/>
          <w:sz w:val="24"/>
          <w:szCs w:val="26"/>
        </w:rPr>
        <w:t xml:space="preserve"> extracts.</w:t>
      </w:r>
      <w:r>
        <w:rPr>
          <w:rFonts w:eastAsia="Times New Roman"/>
          <w:color w:val="000000"/>
          <w:sz w:val="24"/>
          <w:szCs w:val="26"/>
        </w:rPr>
        <w:t xml:space="preserve"> </w:t>
      </w:r>
      <w:r>
        <w:rPr>
          <w:rFonts w:eastAsia="Times New Roman"/>
          <w:i/>
          <w:iCs/>
          <w:color w:val="000000"/>
          <w:sz w:val="24"/>
          <w:szCs w:val="26"/>
        </w:rPr>
        <w:t>Biochemical Pharmacology, 28</w:t>
      </w:r>
      <w:r>
        <w:rPr>
          <w:rFonts w:eastAsia="Times New Roman"/>
          <w:color w:val="000000"/>
          <w:sz w:val="24"/>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C. Z., Nwafor, I. G., &amp; Ekong, U. S. (2020).</w:t>
      </w:r>
      <w:r>
        <w:rPr>
          <w:color w:val="000000"/>
          <w:szCs w:val="26"/>
        </w:rPr>
        <w:t xml:space="preserve"> </w:t>
      </w:r>
      <w:r>
        <w:rPr>
          <w:color w:val="000000"/>
          <w:szCs w:val="26"/>
        </w:rPr>
        <w:t xml:space="preserve">Antioxidant properties of phenol-rich </w:t>
      </w:r>
      <w:r>
        <w:rPr>
          <w:rStyle w:val="style88"/>
          <w:color w:val="000000"/>
          <w:szCs w:val="26"/>
        </w:rPr>
        <w:t>Sida acuta</w:t>
      </w:r>
      <w:r>
        <w:rPr>
          <w:color w:val="000000"/>
          <w:szCs w:val="26"/>
        </w:rPr>
        <w:t xml:space="preserve"> extracts.</w:t>
      </w:r>
      <w:r>
        <w:rPr>
          <w:color w:val="000000"/>
          <w:szCs w:val="26"/>
        </w:rPr>
        <w:t xml:space="preserve"> </w:t>
      </w:r>
      <w:r>
        <w:rPr>
          <w:rStyle w:val="style88"/>
          <w:color w:val="000000"/>
          <w:szCs w:val="26"/>
        </w:rPr>
        <w:t>Biochemical Pharmacology, 28</w:t>
      </w:r>
      <w:r>
        <w:rPr>
          <w:color w:val="000000"/>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C. Z., Nwafor, I. G., &amp; Ekong, U. S. (2020).</w:t>
      </w:r>
      <w:r>
        <w:rPr>
          <w:color w:val="000000"/>
          <w:szCs w:val="26"/>
        </w:rPr>
        <w:t xml:space="preserve"> Magnesium and calcium content of </w:t>
      </w:r>
      <w:r>
        <w:rPr>
          <w:rStyle w:val="style88"/>
          <w:color w:val="000000"/>
          <w:szCs w:val="26"/>
        </w:rPr>
        <w:t>Sida acuta</w:t>
      </w:r>
      <w:r>
        <w:rPr>
          <w:color w:val="000000"/>
          <w:szCs w:val="26"/>
        </w:rPr>
        <w:t xml:space="preserve"> and their health implications. </w:t>
      </w:r>
      <w:r>
        <w:rPr>
          <w:rStyle w:val="style88"/>
          <w:color w:val="000000"/>
          <w:szCs w:val="26"/>
        </w:rPr>
        <w:t>Biochemical Pharmacology, 28</w:t>
      </w:r>
      <w:r>
        <w:rPr>
          <w:color w:val="000000"/>
          <w:szCs w:val="26"/>
        </w:rPr>
        <w:t>(3), 112-123.</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94"/>
        <w:spacing w:before="0" w:beforeAutospacing="false" w:after="0" w:afterAutospacing="false" w:lineRule="auto" w:line="480"/>
        <w:ind w:left="720" w:hanging="720"/>
        <w:jc w:val="both"/>
        <w:rPr>
          <w:color w:val="000000"/>
          <w:szCs w:val="26"/>
        </w:rPr>
      </w:pPr>
      <w:r>
        <w:rPr>
          <w:color w:val="000000"/>
          <w:szCs w:val="26"/>
        </w:rPr>
        <w:t>Uche, I. C., Ezenwosu, F. I., &amp; Chukwuma, I. A. (2020).</w:t>
      </w:r>
      <w:r>
        <w:rPr>
          <w:color w:val="000000"/>
          <w:szCs w:val="26"/>
        </w:rPr>
        <w:t xml:space="preserve"> Antioxidant potential of </w:t>
      </w:r>
      <w:r>
        <w:rPr>
          <w:rStyle w:val="style88"/>
          <w:color w:val="000000"/>
          <w:szCs w:val="26"/>
        </w:rPr>
        <w:t>Sida acuta</w:t>
      </w:r>
      <w:r>
        <w:rPr>
          <w:color w:val="000000"/>
          <w:szCs w:val="26"/>
        </w:rPr>
        <w:t xml:space="preserve"> extracts. </w:t>
      </w:r>
      <w:r>
        <w:rPr>
          <w:rStyle w:val="style88"/>
          <w:color w:val="000000"/>
          <w:szCs w:val="26"/>
        </w:rPr>
        <w:t>Biomedicine &amp; Pharmacotherapy, 125</w:t>
      </w:r>
      <w:r>
        <w:rPr>
          <w:color w:val="000000"/>
          <w:szCs w:val="26"/>
        </w:rPr>
        <w:t>, 109-115.</w:t>
      </w:r>
    </w:p>
    <w:p>
      <w:pPr>
        <w:pStyle w:val="style0"/>
        <w:pBdr>
          <w:left w:val="single" w:sz="2" w:space="0" w:color="e5e7eb"/>
          <w:right w:val="single" w:sz="2" w:space="0" w:color="e5e7eb"/>
          <w:top w:val="single" w:sz="2" w:space="0" w:color="e5e7eb"/>
          <w:bottom w:val="single" w:sz="2" w:space="0" w:color="e5e7eb"/>
        </w:pBdr>
        <w:spacing w:after="0" w:lineRule="auto" w:line="480"/>
        <w:ind w:left="720" w:hanging="720"/>
        <w:jc w:val="both"/>
        <w:rPr>
          <w:rFonts w:eastAsia="Times New Roman"/>
          <w:color w:val="000000"/>
          <w:sz w:val="24"/>
          <w:szCs w:val="26"/>
        </w:rPr>
      </w:pPr>
      <w:r>
        <w:rPr>
          <w:rFonts w:eastAsia="Times New Roman"/>
          <w:bCs/>
          <w:color w:val="000000"/>
          <w:sz w:val="24"/>
          <w:szCs w:val="26"/>
          <w:bdr w:val="single" w:sz="2" w:space="0" w:color="e5e7eb" w:frame="true"/>
        </w:rPr>
        <w:t>World Health Organization</w:t>
      </w:r>
      <w:r>
        <w:rPr>
          <w:rFonts w:eastAsia="Times New Roman"/>
          <w:color w:val="000000"/>
          <w:sz w:val="24"/>
          <w:szCs w:val="26"/>
        </w:rPr>
        <w:t>.</w:t>
      </w:r>
      <w:r>
        <w:rPr>
          <w:rFonts w:eastAsia="Times New Roman"/>
          <w:color w:val="000000"/>
          <w:sz w:val="24"/>
          <w:szCs w:val="26"/>
        </w:rPr>
        <w:t xml:space="preserve"> </w:t>
      </w:r>
      <w:r>
        <w:rPr>
          <w:rFonts w:eastAsia="Times New Roman"/>
          <w:color w:val="000000"/>
          <w:sz w:val="24"/>
          <w:szCs w:val="26"/>
        </w:rPr>
        <w:t>(2015). Guidelines for the Management of Corneal Ulcer.</w:t>
      </w:r>
      <w:r>
        <w:rPr>
          <w:rFonts w:eastAsia="Times New Roman"/>
          <w:color w:val="000000"/>
          <w:sz w:val="24"/>
          <w:szCs w:val="26"/>
        </w:rPr>
        <w:t xml:space="preserve"> Retrieved from </w:t>
      </w:r>
      <w:r>
        <w:rPr/>
        <w:fldChar w:fldCharType="begin"/>
      </w:r>
      <w:r>
        <w:instrText xml:space="preserve"> HYPERLINK "https://apps.who.int/iris/bitstream/10665/205174/1/B3516.pdf" \t "_blank" </w:instrText>
      </w:r>
      <w:r>
        <w:rPr/>
        <w:fldChar w:fldCharType="separate"/>
      </w:r>
      <w:r>
        <w:rPr>
          <w:rFonts w:eastAsia="Times New Roman"/>
          <w:color w:val="000000"/>
          <w:sz w:val="24"/>
          <w:szCs w:val="26"/>
          <w:bdr w:val="single" w:sz="2" w:space="0" w:color="e5e7eb" w:frame="true"/>
        </w:rPr>
        <w:t>https://apps.who.int/iris/bitstream/10665/205174/1/B3516.pdf</w:t>
      </w:r>
      <w:r>
        <w:rPr/>
        <w:fldChar w:fldCharType="end"/>
      </w:r>
    </w:p>
    <w:p>
      <w:pPr>
        <w:pStyle w:val="style0"/>
        <w:spacing w:after="0" w:lineRule="auto" w:line="480"/>
        <w:ind w:left="720" w:hanging="720"/>
        <w:jc w:val="both"/>
        <w:rPr>
          <w:rFonts w:eastAsia="Times New Roman"/>
          <w:color w:val="000000"/>
          <w:sz w:val="24"/>
          <w:szCs w:val="26"/>
        </w:rPr>
      </w:pPr>
      <w:r>
        <w:rPr>
          <w:rFonts w:eastAsia="Times New Roman"/>
          <w:color w:val="000000"/>
          <w:sz w:val="24"/>
          <w:szCs w:val="26"/>
        </w:rPr>
        <w:t>Yogarajah, S., &amp; Setterfield, J. (2021).</w:t>
      </w:r>
      <w:r>
        <w:rPr>
          <w:rFonts w:eastAsia="Times New Roman"/>
          <w:color w:val="000000"/>
          <w:sz w:val="24"/>
          <w:szCs w:val="26"/>
        </w:rPr>
        <w:t> </w:t>
      </w:r>
      <w:r>
        <w:rPr>
          <w:rFonts w:eastAsia="Times New Roman"/>
          <w:i/>
          <w:iCs/>
          <w:color w:val="000000"/>
          <w:sz w:val="24"/>
          <w:szCs w:val="26"/>
        </w:rPr>
        <w:t>Mouth ulcers and diseases of the oral cavity.</w:t>
      </w:r>
      <w:r>
        <w:rPr>
          <w:rFonts w:eastAsia="Times New Roman"/>
          <w:i/>
          <w:iCs/>
          <w:color w:val="000000"/>
          <w:sz w:val="24"/>
          <w:szCs w:val="26"/>
        </w:rPr>
        <w:t xml:space="preserve"> </w:t>
      </w:r>
      <w:r>
        <w:rPr>
          <w:rFonts w:eastAsia="Times New Roman"/>
          <w:i/>
          <w:iCs/>
          <w:color w:val="000000"/>
          <w:sz w:val="24"/>
          <w:szCs w:val="26"/>
        </w:rPr>
        <w:t>Medicine.</w:t>
      </w:r>
      <w:r>
        <w:rPr>
          <w:rFonts w:eastAsia="Times New Roman"/>
          <w:color w:val="000000"/>
          <w:sz w:val="24"/>
          <w:szCs w:val="26"/>
        </w:rPr>
        <w:t> doi:10.1016/j.mpmed.2021.04.003 </w:t>
      </w:r>
    </w:p>
    <w:p>
      <w:pPr>
        <w:pStyle w:val="style0"/>
        <w:spacing w:after="0" w:lineRule="auto" w:line="480"/>
        <w:ind w:left="720" w:hanging="720"/>
        <w:jc w:val="both"/>
        <w:rPr>
          <w:color w:val="000000"/>
          <w:sz w:val="24"/>
          <w:szCs w:val="26"/>
        </w:rPr>
      </w:pPr>
      <w:r>
        <w:rPr>
          <w:color w:val="000000"/>
          <w:sz w:val="24"/>
          <w:szCs w:val="26"/>
        </w:rPr>
        <w:t>Zeouk, I. and Bekhti, K. (2020).</w:t>
      </w:r>
      <w:r>
        <w:rPr>
          <w:color w:val="000000"/>
          <w:sz w:val="24"/>
          <w:szCs w:val="26"/>
        </w:rPr>
        <w:t xml:space="preserve"> A critical overview of the traditional, phytochemical and pharmacological aspects of Rhamnus alaternus: A Mediterranean shrub. Adv. Trad. Med., 20(1):1-11.</w:t>
      </w: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both"/>
        <w:rPr>
          <w:b/>
          <w:color w:val="000000"/>
          <w:szCs w:val="26"/>
        </w:rPr>
      </w:pPr>
    </w:p>
    <w:p>
      <w:pPr>
        <w:pStyle w:val="style94"/>
        <w:spacing w:lineRule="auto" w:line="480"/>
        <w:jc w:val="center"/>
        <w:rPr>
          <w:b/>
          <w:color w:val="000000"/>
          <w:szCs w:val="26"/>
        </w:rPr>
      </w:pPr>
      <w:r>
        <w:rPr>
          <w:b/>
          <w:color w:val="000000"/>
          <w:szCs w:val="26"/>
        </w:rPr>
        <w:t>APPENDIX</w:t>
      </w:r>
    </w:p>
    <w:p>
      <w:pPr>
        <w:pStyle w:val="style94"/>
        <w:spacing w:lineRule="auto" w:line="480"/>
        <w:rPr>
          <w:b/>
          <w:color w:val="000000"/>
          <w:szCs w:val="26"/>
        </w:rPr>
      </w:pPr>
      <w:r>
        <w:rPr>
          <w:color w:val="000000"/>
          <w:szCs w:val="26"/>
          <w:shd w:val="clear" w:color="auto" w:fill="ffffff"/>
        </w:rPr>
        <w:t>English Name is common wireweed. It's also sometimes referred to as broom weed.</w:t>
      </w:r>
      <w:r>
        <w:rPr>
          <w:rStyle w:val="style4110"/>
          <w:color w:val="000000"/>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3"/>
        <w:gridCol w:w="5886"/>
      </w:tblGrid>
      <w:tr>
        <w:trPr>
          <w:tblHeader/>
        </w:trPr>
        <w:tc>
          <w:tcPr>
            <w:tcW w:w="0" w:type="auto"/>
            <w:tcBorders>
              <w:bottom w:val="single" w:sz="4" w:space="0" w:color="auto"/>
            </w:tcBorders>
            <w:shd w:val="clear" w:color="auto" w:fill="f0f0f0"/>
            <w:vAlign w:val="center"/>
            <w:hideMark/>
          </w:tcPr>
          <w:p>
            <w:pPr>
              <w:pStyle w:val="style0"/>
              <w:spacing w:after="0" w:lineRule="auto" w:line="480"/>
              <w:jc w:val="both"/>
              <w:rPr>
                <w:rFonts w:eastAsia="Times New Roman"/>
                <w:b/>
                <w:bCs/>
                <w:color w:val="000000"/>
                <w:sz w:val="24"/>
                <w:szCs w:val="26"/>
              </w:rPr>
            </w:pPr>
            <w:r>
              <w:rPr>
                <w:rFonts w:eastAsia="Times New Roman"/>
                <w:b/>
                <w:bCs/>
                <w:color w:val="000000"/>
                <w:sz w:val="24"/>
                <w:szCs w:val="26"/>
              </w:rPr>
              <w:t>Rank</w:t>
            </w:r>
          </w:p>
        </w:tc>
        <w:tc>
          <w:tcPr>
            <w:tcW w:w="0" w:type="auto"/>
            <w:tcBorders>
              <w:bottom w:val="single" w:sz="4" w:space="0" w:color="auto"/>
            </w:tcBorders>
            <w:shd w:val="clear" w:color="auto" w:fill="f0f0f0"/>
            <w:vAlign w:val="center"/>
            <w:hideMark/>
          </w:tcPr>
          <w:p>
            <w:pPr>
              <w:pStyle w:val="style0"/>
              <w:spacing w:after="0" w:lineRule="auto" w:line="480"/>
              <w:jc w:val="both"/>
              <w:rPr>
                <w:rFonts w:eastAsia="Times New Roman"/>
                <w:b/>
                <w:bCs/>
                <w:color w:val="000000"/>
                <w:sz w:val="24"/>
                <w:szCs w:val="26"/>
              </w:rPr>
            </w:pPr>
            <w:r>
              <w:rPr>
                <w:rFonts w:eastAsia="Times New Roman"/>
                <w:b/>
                <w:bCs/>
                <w:color w:val="000000"/>
                <w:sz w:val="24"/>
                <w:szCs w:val="26"/>
              </w:rPr>
              <w:t xml:space="preserve">                            Scientific Name and Common Name</w:t>
            </w:r>
          </w:p>
        </w:tc>
      </w:tr>
      <w:tr>
        <w:tblPrEx/>
        <w:trPr/>
        <w:tc>
          <w:tcPr>
            <w:tcW w:w="0" w:type="auto"/>
            <w:tcBorders>
              <w:top w:val="single" w:sz="4" w:space="0" w:color="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Kingdom</w:t>
            </w:r>
          </w:p>
        </w:tc>
        <w:tc>
          <w:tcPr>
            <w:tcW w:w="0" w:type="auto"/>
            <w:tcBorders>
              <w:top w:val="single" w:sz="4" w:space="0" w:color="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Plantae</w:t>
            </w:r>
            <w:r>
              <w:rPr>
                <w:rFonts w:eastAsia="Times New Roman"/>
                <w:color w:val="000000"/>
                <w:sz w:val="24"/>
                <w:szCs w:val="26"/>
              </w:rPr>
              <w:t> </w:t>
            </w:r>
            <w:r>
              <w:rPr>
                <w:rFonts w:eastAsia="Times New Roman"/>
                <w:color w:val="000000"/>
                <w:sz w:val="24"/>
                <w:szCs w:val="26"/>
              </w:rPr>
              <w:t>–</w:t>
            </w:r>
            <w:r>
              <w:rPr>
                <w:rFonts w:eastAsia="Times New Roman"/>
                <w:color w:val="000000"/>
                <w:sz w:val="24"/>
                <w:szCs w:val="26"/>
              </w:rPr>
              <w:t xml:space="preserve">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Subkingdom</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Tracheobionta</w:t>
            </w:r>
            <w:r>
              <w:rPr>
                <w:rFonts w:eastAsia="Times New Roman"/>
                <w:color w:val="000000"/>
                <w:sz w:val="24"/>
                <w:szCs w:val="26"/>
              </w:rPr>
              <w:t> - Vascular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Superdivision</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Spermatophyta</w:t>
            </w:r>
            <w:r>
              <w:rPr>
                <w:rFonts w:eastAsia="Times New Roman"/>
                <w:color w:val="000000"/>
                <w:sz w:val="24"/>
                <w:szCs w:val="26"/>
              </w:rPr>
              <w:t> - Seed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Division</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Magnoliophyta</w:t>
            </w:r>
            <w:r>
              <w:rPr>
                <w:rFonts w:eastAsia="Times New Roman"/>
                <w:color w:val="000000"/>
                <w:sz w:val="24"/>
                <w:szCs w:val="26"/>
              </w:rPr>
              <w:t> - Flowering plants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Class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Magnoliopsida</w:t>
            </w:r>
            <w:r>
              <w:rPr>
                <w:rFonts w:eastAsia="Times New Roman"/>
                <w:color w:val="000000"/>
                <w:sz w:val="24"/>
                <w:szCs w:val="26"/>
              </w:rPr>
              <w:t> </w:t>
            </w:r>
            <w:r>
              <w:rPr>
                <w:rFonts w:eastAsia="Times New Roman"/>
                <w:color w:val="000000"/>
                <w:sz w:val="24"/>
                <w:szCs w:val="26"/>
              </w:rPr>
              <w:t>–</w:t>
            </w:r>
            <w:r>
              <w:rPr>
                <w:rFonts w:eastAsia="Times New Roman"/>
                <w:color w:val="000000"/>
                <w:sz w:val="24"/>
                <w:szCs w:val="26"/>
              </w:rPr>
              <w:t xml:space="preserve"> Dicotyledons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Subclass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Dilleniidae</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Order</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Malvales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Family</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Malvaceae</w:t>
            </w:r>
            <w:r>
              <w:rPr>
                <w:rFonts w:eastAsia="Times New Roman"/>
                <w:color w:val="000000"/>
                <w:sz w:val="24"/>
                <w:szCs w:val="26"/>
              </w:rPr>
              <w:t> Juss. - Mallow family</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Genus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Sida</w:t>
            </w:r>
            <w:r>
              <w:rPr>
                <w:rFonts w:eastAsia="Times New Roman"/>
                <w:color w:val="000000"/>
                <w:sz w:val="24"/>
                <w:szCs w:val="26"/>
              </w:rPr>
              <w:t> L. </w:t>
            </w:r>
            <w:r>
              <w:rPr>
                <w:rFonts w:eastAsia="Times New Roman"/>
                <w:color w:val="000000"/>
                <w:sz w:val="24"/>
                <w:szCs w:val="26"/>
              </w:rPr>
              <w:t>–</w:t>
            </w:r>
            <w:r>
              <w:rPr>
                <w:rFonts w:eastAsia="Times New Roman"/>
                <w:color w:val="000000"/>
                <w:sz w:val="24"/>
                <w:szCs w:val="26"/>
              </w:rPr>
              <w:t xml:space="preserve"> fanpetals</w:t>
            </w:r>
          </w:p>
        </w:tc>
      </w:tr>
      <w:tr>
        <w:tblPrEx/>
        <w:trPr/>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color w:val="000000"/>
                <w:sz w:val="24"/>
                <w:szCs w:val="26"/>
              </w:rPr>
              <w:t>Species</w:t>
            </w:r>
          </w:p>
        </w:tc>
        <w:tc>
          <w:tcPr>
            <w:tcW w:w="0" w:type="auto"/>
            <w:tcBorders/>
            <w:shd w:val="clear" w:color="auto" w:fill="ffffff"/>
            <w:vAlign w:val="center"/>
            <w:hideMark/>
          </w:tcPr>
          <w:p>
            <w:pPr>
              <w:pStyle w:val="style0"/>
              <w:spacing w:after="0" w:lineRule="auto" w:line="480"/>
              <w:jc w:val="both"/>
              <w:rPr>
                <w:rFonts w:eastAsia="Times New Roman"/>
                <w:color w:val="000000"/>
                <w:sz w:val="24"/>
                <w:szCs w:val="26"/>
              </w:rPr>
            </w:pPr>
            <w:r>
              <w:rPr>
                <w:rFonts w:eastAsia="Times New Roman"/>
                <w:iCs/>
                <w:color w:val="000000"/>
                <w:sz w:val="24"/>
                <w:szCs w:val="26"/>
              </w:rPr>
              <w:t xml:space="preserve">                           Sida acuta</w:t>
            </w:r>
            <w:r>
              <w:rPr>
                <w:rFonts w:eastAsia="Times New Roman"/>
                <w:color w:val="000000"/>
                <w:sz w:val="24"/>
                <w:szCs w:val="26"/>
              </w:rPr>
              <w:t> Burm. f. - common wireweed</w:t>
            </w:r>
          </w:p>
        </w:tc>
      </w:tr>
    </w:tbl>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p>
    <w:p>
      <w:pPr>
        <w:pStyle w:val="style94"/>
        <w:spacing w:lineRule="auto" w:line="480"/>
        <w:rPr>
          <w:b/>
          <w:color w:val="000000"/>
          <w:szCs w:val="26"/>
        </w:rPr>
      </w:pPr>
      <w:r>
        <w:rPr>
          <w:b/>
          <w:color w:val="000000"/>
          <w:szCs w:val="26"/>
        </w:rPr>
        <w:t>English Name is Wi</w:t>
      </w:r>
      <w:r>
        <w:rPr>
          <w:b/>
          <w:color w:val="000000"/>
          <w:szCs w:val="26"/>
        </w:rPr>
        <w:t>star Albino Rat</w:t>
      </w:r>
    </w:p>
    <w:p>
      <w:pPr>
        <w:pStyle w:val="style94"/>
        <w:pBdr>
          <w:top w:val="single" w:sz="4" w:space="1" w:color="auto"/>
          <w:bottom w:val="single" w:sz="4" w:space="1" w:color="auto"/>
        </w:pBdr>
        <w:spacing w:lineRule="auto" w:line="480"/>
        <w:rPr>
          <w:b/>
          <w:color w:val="000000"/>
          <w:szCs w:val="26"/>
        </w:rPr>
      </w:pPr>
      <w:r>
        <w:rPr>
          <w:b/>
          <w:bCs/>
          <w:color w:val="000000"/>
          <w:szCs w:val="26"/>
        </w:rPr>
        <w:t>Rank</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Scientific Name and Common Name</w:t>
      </w:r>
    </w:p>
    <w:p>
      <w:pPr>
        <w:pStyle w:val="style94"/>
        <w:spacing w:lineRule="auto" w:line="480"/>
        <w:rPr>
          <w:color w:val="000000"/>
          <w:sz w:val="22"/>
        </w:rPr>
      </w:pPr>
      <w:r>
        <w:rPr>
          <w:color w:val="000000"/>
          <w:sz w:val="22"/>
        </w:rPr>
        <w:t xml:space="preserve">Kingdom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Animalia </w:t>
      </w:r>
    </w:p>
    <w:p>
      <w:pPr>
        <w:pStyle w:val="style94"/>
        <w:spacing w:lineRule="auto" w:line="480"/>
        <w:rPr>
          <w:color w:val="000000"/>
          <w:sz w:val="22"/>
        </w:rPr>
      </w:pPr>
      <w:r>
        <w:rPr>
          <w:color w:val="000000"/>
          <w:sz w:val="22"/>
        </w:rPr>
        <w:t xml:space="preserve">Phylum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Chordata</w:t>
      </w:r>
    </w:p>
    <w:p>
      <w:pPr>
        <w:pStyle w:val="style94"/>
        <w:spacing w:lineRule="auto" w:line="480"/>
        <w:rPr>
          <w:color w:val="000000"/>
          <w:sz w:val="22"/>
        </w:rPr>
      </w:pPr>
      <w:r>
        <w:rPr>
          <w:color w:val="000000"/>
          <w:sz w:val="22"/>
        </w:rPr>
        <w:t xml:space="preserve">Class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Mammalia </w:t>
      </w:r>
    </w:p>
    <w:p>
      <w:pPr>
        <w:pStyle w:val="style94"/>
        <w:spacing w:lineRule="auto" w:line="480"/>
        <w:rPr>
          <w:color w:val="000000"/>
          <w:sz w:val="22"/>
        </w:rPr>
      </w:pPr>
      <w:r>
        <w:rPr>
          <w:color w:val="000000"/>
          <w:sz w:val="22"/>
        </w:rPr>
        <w:t>Order</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Rodentia </w:t>
      </w:r>
    </w:p>
    <w:p>
      <w:pPr>
        <w:pStyle w:val="style94"/>
        <w:spacing w:lineRule="auto" w:line="480"/>
        <w:rPr>
          <w:color w:val="000000"/>
          <w:sz w:val="22"/>
        </w:rPr>
      </w:pPr>
      <w:r>
        <w:rPr>
          <w:color w:val="000000"/>
          <w:sz w:val="22"/>
        </w:rPr>
        <w:t>Family</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Muridae </w:t>
      </w:r>
    </w:p>
    <w:p>
      <w:pPr>
        <w:pStyle w:val="style94"/>
        <w:spacing w:lineRule="auto" w:line="480"/>
        <w:rPr>
          <w:color w:val="000000"/>
          <w:sz w:val="22"/>
        </w:rPr>
      </w:pPr>
      <w:r>
        <w:rPr>
          <w:color w:val="000000"/>
          <w:sz w:val="22"/>
        </w:rPr>
        <w:t>Genus</w:t>
      </w:r>
      <w:r>
        <w:rPr>
          <w:color w:val="000000"/>
          <w:sz w:val="22"/>
        </w:rPr>
        <w:tab/>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 xml:space="preserve">Rattus </w:t>
      </w:r>
    </w:p>
    <w:p>
      <w:pPr>
        <w:pStyle w:val="style94"/>
        <w:pBdr>
          <w:bottom w:val="single" w:sz="4" w:space="1" w:color="auto"/>
        </w:pBdr>
        <w:spacing w:lineRule="auto" w:line="480"/>
        <w:rPr>
          <w:color w:val="000000"/>
          <w:sz w:val="22"/>
        </w:rPr>
      </w:pPr>
      <w:r>
        <w:rPr>
          <w:color w:val="000000"/>
          <w:sz w:val="22"/>
        </w:rPr>
        <w:t>Species</w:t>
      </w:r>
      <w:r>
        <w:rPr>
          <w:color w:val="000000"/>
          <w:sz w:val="22"/>
        </w:rPr>
        <w:t xml:space="preserve">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Rattus norvegicus</w:t>
      </w:r>
    </w:p>
    <w:p>
      <w:pPr>
        <w:pStyle w:val="style94"/>
        <w:spacing w:lineRule="auto" w:line="480"/>
        <w:rPr>
          <w:color w:val="000000"/>
          <w:sz w:val="22"/>
        </w:rPr>
      </w:pPr>
    </w:p>
    <w:p>
      <w:pPr>
        <w:pStyle w:val="style94"/>
        <w:spacing w:lineRule="auto" w:line="480"/>
        <w:rPr>
          <w:color w:val="000000"/>
          <w:sz w:val="22"/>
        </w:rPr>
      </w:pPr>
      <w:r>
        <w:rPr>
          <w:noProof/>
          <w:color w:val="000000"/>
          <w:sz w:val="22"/>
        </w:rPr>
        <w:drawing>
          <wp:inline distL="0" distT="0" distB="0" distR="0">
            <wp:extent cx="4486275" cy="3228975"/>
            <wp:effectExtent l="0" t="0" r="9525" b="9525"/>
            <wp:docPr id="1104" name="Picture 6" descr="C:\Users\HP\Downloads\Albino rat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Picture 6"/>
                    <pic:cNvPicPr/>
                  </pic:nvPicPr>
                  <pic:blipFill>
                    <a:blip r:embed="rId78" cstate="print"/>
                    <a:srcRect l="0" t="0" r="0" b="0"/>
                    <a:stretch/>
                  </pic:blipFill>
                  <pic:spPr>
                    <a:xfrm rot="0">
                      <a:off x="0" y="0"/>
                      <a:ext cx="4486275" cy="3228975"/>
                    </a:xfrm>
                    <a:prstGeom prst="rect"/>
                    <a:ln>
                      <a:noFill/>
                    </a:ln>
                  </pic:spPr>
                </pic:pic>
              </a:graphicData>
            </a:graphic>
          </wp:inline>
        </w:drawing>
      </w:r>
    </w:p>
    <w:p>
      <w:pPr>
        <w:pStyle w:val="style94"/>
        <w:spacing w:lineRule="auto" w:line="480"/>
        <w:rPr>
          <w:color w:val="000000"/>
          <w:sz w:val="22"/>
        </w:rPr>
      </w:pPr>
      <w:r>
        <w:rPr>
          <w:noProof/>
          <w:color w:val="000000"/>
          <w:sz w:val="22"/>
        </w:rPr>
        <w:drawing>
          <wp:inline distL="0" distT="0" distB="0" distR="0">
            <wp:extent cx="4572000" cy="3114675"/>
            <wp:effectExtent l="0" t="0" r="0" b="9525"/>
            <wp:docPr id="1105" name="Picture 4" descr="C:\Users\HP\Downloads\albino rat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4"/>
                    <pic:cNvPicPr/>
                  </pic:nvPicPr>
                  <pic:blipFill>
                    <a:blip r:embed="rId79" cstate="print"/>
                    <a:srcRect l="0" t="0" r="0" b="0"/>
                    <a:stretch/>
                  </pic:blipFill>
                  <pic:spPr>
                    <a:xfrm rot="0">
                      <a:off x="0" y="0"/>
                      <a:ext cx="4572000" cy="3114675"/>
                    </a:xfrm>
                    <a:prstGeom prst="rect"/>
                    <a:ln>
                      <a:noFill/>
                    </a:ln>
                  </pic:spPr>
                </pic:pic>
              </a:graphicData>
            </a:graphic>
          </wp:inline>
        </w:drawing>
      </w:r>
    </w:p>
    <w:p>
      <w:pPr>
        <w:pStyle w:val="style94"/>
        <w:spacing w:lineRule="auto" w:line="480"/>
        <w:rPr>
          <w:color w:val="000000"/>
          <w:sz w:val="22"/>
        </w:rPr>
      </w:pPr>
    </w:p>
    <w:p>
      <w:pPr>
        <w:pStyle w:val="style94"/>
        <w:spacing w:lineRule="auto" w:line="480"/>
        <w:jc w:val="center"/>
        <w:rPr>
          <w:b/>
          <w:color w:val="000000"/>
          <w:sz w:val="22"/>
        </w:rPr>
      </w:pPr>
      <w:r>
        <w:rPr>
          <w:b/>
          <w:noProof/>
          <w:color w:val="000000"/>
          <w:sz w:val="22"/>
        </w:rPr>
        <w:drawing>
          <wp:inline distL="0" distT="0" distB="0" distR="0">
            <wp:extent cx="4581525" cy="6667500"/>
            <wp:effectExtent l="0" t="0" r="9525" b="0"/>
            <wp:docPr id="1106" name="Picture 21" descr="C:\Users\HP\Downloads\q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Picture 21"/>
                    <pic:cNvPicPr/>
                  </pic:nvPicPr>
                  <pic:blipFill>
                    <a:blip r:embed="rId80" cstate="print"/>
                    <a:srcRect l="0" t="0" r="0" b="0"/>
                    <a:stretch/>
                  </pic:blipFill>
                  <pic:spPr>
                    <a:xfrm rot="0">
                      <a:off x="0" y="0"/>
                      <a:ext cx="4581525" cy="6667500"/>
                    </a:xfrm>
                    <a:prstGeom prst="rect"/>
                    <a:ln>
                      <a:noFill/>
                    </a:ln>
                  </pic:spPr>
                </pic:pic>
              </a:graphicData>
            </a:graphic>
          </wp:inline>
        </w:drawing>
      </w:r>
    </w:p>
    <w:p>
      <w:pPr>
        <w:pStyle w:val="style94"/>
        <w:spacing w:lineRule="auto" w:line="480"/>
        <w:jc w:val="center"/>
        <w:rPr>
          <w:b/>
          <w:color w:val="000000"/>
          <w:sz w:val="22"/>
        </w:rPr>
      </w:pPr>
    </w:p>
    <w:p>
      <w:pPr>
        <w:pStyle w:val="style94"/>
        <w:spacing w:lineRule="auto" w:line="480"/>
        <w:jc w:val="center"/>
        <w:rPr>
          <w:b/>
          <w:color w:val="000000"/>
          <w:sz w:val="22"/>
        </w:rPr>
      </w:pPr>
      <w:r>
        <w:rPr>
          <w:b/>
          <w:color w:val="000000"/>
          <w:sz w:val="22"/>
        </w:rPr>
        <w:t>MATERIAL USED</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Weighing balance</w:t>
      </w:r>
      <w:r>
        <w:rPr>
          <w:rFonts w:eastAsia="Times New Roman"/>
          <w:color w:val="000000"/>
          <w:sz w:val="24"/>
          <w:szCs w:val="24"/>
        </w:rPr>
        <w:t xml:space="preserve"> was employed for accurate </w:t>
      </w:r>
      <w:r>
        <w:rPr>
          <w:rFonts w:eastAsia="Times New Roman"/>
          <w:color w:val="000000"/>
          <w:sz w:val="24"/>
          <w:szCs w:val="24"/>
        </w:rPr>
        <w:t>measurement of solid substances.</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color w:val="000000"/>
          <w:sz w:val="24"/>
          <w:szCs w:val="24"/>
        </w:rPr>
        <w:t>B</w:t>
      </w:r>
      <w:r>
        <w:rPr>
          <w:rFonts w:eastAsia="Times New Roman"/>
          <w:b/>
          <w:bCs/>
          <w:color w:val="000000"/>
          <w:sz w:val="24"/>
          <w:szCs w:val="24"/>
        </w:rPr>
        <w:t>lender</w:t>
      </w:r>
      <w:r>
        <w:rPr>
          <w:rFonts w:eastAsia="Times New Roman"/>
          <w:color w:val="000000"/>
          <w:sz w:val="24"/>
          <w:szCs w:val="24"/>
        </w:rPr>
        <w:t xml:space="preserve"> facilitated sample homogenization.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Standard measuring cylinders</w:t>
      </w:r>
      <w:r>
        <w:rPr>
          <w:rFonts w:eastAsia="Times New Roman"/>
          <w:color w:val="000000"/>
          <w:sz w:val="24"/>
          <w:szCs w:val="24"/>
        </w:rPr>
        <w:t xml:space="preserve"> (100 ml and 200 ml).</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Beakers</w:t>
      </w:r>
      <w:r>
        <w:rPr>
          <w:rFonts w:eastAsia="Times New Roman"/>
          <w:color w:val="000000"/>
          <w:sz w:val="24"/>
          <w:szCs w:val="24"/>
        </w:rPr>
        <w:t>,</w:t>
      </w:r>
      <w:r>
        <w:rPr>
          <w:rFonts w:eastAsia="Times New Roman"/>
          <w:color w:val="000000"/>
          <w:sz w:val="24"/>
          <w:szCs w:val="24"/>
        </w:rPr>
        <w:t xml:space="preserve"> and </w:t>
      </w:r>
      <w:r>
        <w:rPr>
          <w:rFonts w:eastAsia="Times New Roman"/>
          <w:b/>
          <w:bCs/>
          <w:color w:val="000000"/>
          <w:sz w:val="24"/>
          <w:szCs w:val="24"/>
        </w:rPr>
        <w:t>conical flasks</w:t>
      </w:r>
      <w:r>
        <w:rPr>
          <w:rFonts w:eastAsia="Times New Roman"/>
          <w:color w:val="000000"/>
          <w:sz w:val="24"/>
          <w:szCs w:val="24"/>
        </w:rPr>
        <w:t xml:space="preserve"> were used for measuring and preparing solutions.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Test tubes</w:t>
      </w:r>
      <w:r>
        <w:rPr>
          <w:rFonts w:eastAsia="Times New Roman"/>
          <w:color w:val="000000"/>
          <w:sz w:val="24"/>
          <w:szCs w:val="24"/>
        </w:rPr>
        <w:t xml:space="preserve">, along with </w:t>
      </w:r>
      <w:r>
        <w:rPr>
          <w:rFonts w:eastAsia="Times New Roman"/>
          <w:b/>
          <w:bCs/>
          <w:color w:val="000000"/>
          <w:sz w:val="24"/>
          <w:szCs w:val="24"/>
        </w:rPr>
        <w:t>racks</w:t>
      </w:r>
      <w:r>
        <w:rPr>
          <w:rFonts w:eastAsia="Times New Roman"/>
          <w:color w:val="000000"/>
          <w:sz w:val="24"/>
          <w:szCs w:val="24"/>
        </w:rPr>
        <w:t xml:space="preserve"> and </w:t>
      </w:r>
      <w:r>
        <w:rPr>
          <w:rFonts w:eastAsia="Times New Roman"/>
          <w:b/>
          <w:bCs/>
          <w:color w:val="000000"/>
          <w:sz w:val="24"/>
          <w:szCs w:val="24"/>
        </w:rPr>
        <w:t>holders</w:t>
      </w:r>
      <w:r>
        <w:rPr>
          <w:rFonts w:eastAsia="Times New Roman"/>
          <w:color w:val="000000"/>
          <w:sz w:val="24"/>
          <w:szCs w:val="24"/>
        </w:rPr>
        <w:t>, supported sample handling and reaction observations.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color w:val="000000"/>
          <w:sz w:val="24"/>
          <w:szCs w:val="24"/>
        </w:rPr>
        <w:t>C</w:t>
      </w:r>
      <w:r>
        <w:rPr>
          <w:rFonts w:eastAsia="Times New Roman"/>
          <w:b/>
          <w:bCs/>
          <w:color w:val="000000"/>
          <w:sz w:val="24"/>
          <w:szCs w:val="24"/>
        </w:rPr>
        <w:t>entrifuge</w:t>
      </w:r>
      <w:r>
        <w:rPr>
          <w:rFonts w:eastAsia="Times New Roman"/>
          <w:color w:val="000000"/>
          <w:sz w:val="24"/>
          <w:szCs w:val="24"/>
        </w:rPr>
        <w:t xml:space="preserve"> was used to separate com</w:t>
      </w:r>
      <w:r>
        <w:rPr>
          <w:rFonts w:eastAsia="Times New Roman"/>
          <w:color w:val="000000"/>
          <w:sz w:val="24"/>
          <w:szCs w:val="24"/>
        </w:rPr>
        <w:t>ponents based on density.</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Oven</w:t>
      </w:r>
      <w:r>
        <w:rPr>
          <w:rFonts w:eastAsia="Times New Roman"/>
          <w:color w:val="000000"/>
          <w:sz w:val="24"/>
          <w:szCs w:val="24"/>
        </w:rPr>
        <w:t xml:space="preserve"> assisted in drying and sample preparation.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Filter paper</w:t>
      </w:r>
      <w:r>
        <w:rPr>
          <w:rFonts w:eastAsia="Times New Roman"/>
          <w:color w:val="000000"/>
          <w:sz w:val="24"/>
          <w:szCs w:val="24"/>
        </w:rPr>
        <w:t xml:space="preserve"> was used for filtration.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Glass slides</w:t>
      </w:r>
      <w:r>
        <w:rPr>
          <w:rFonts w:eastAsia="Times New Roman"/>
          <w:color w:val="000000"/>
          <w:sz w:val="24"/>
          <w:szCs w:val="24"/>
        </w:rPr>
        <w:t xml:space="preserve"> aided in microscopic analysis.</w:t>
      </w:r>
      <w:r>
        <w:rPr>
          <w:rFonts w:eastAsia="Times New Roman"/>
          <w:color w:val="000000"/>
          <w:sz w:val="24"/>
          <w:szCs w:val="24"/>
        </w:rPr>
        <w:t xml:space="preserve">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Spatula</w:t>
      </w:r>
      <w:r>
        <w:rPr>
          <w:rFonts w:eastAsia="Times New Roman"/>
          <w:color w:val="000000"/>
          <w:sz w:val="24"/>
          <w:szCs w:val="24"/>
        </w:rPr>
        <w:t xml:space="preserve"> was used for transferring powders.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Spectrophotometer</w:t>
      </w:r>
      <w:r>
        <w:rPr>
          <w:rFonts w:eastAsia="Times New Roman"/>
          <w:color w:val="000000"/>
          <w:sz w:val="24"/>
          <w:szCs w:val="24"/>
        </w:rPr>
        <w:t xml:space="preserve"> measured absorbance during phytochemical analysis.</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Reagent bottles</w:t>
      </w:r>
      <w:r>
        <w:rPr>
          <w:rFonts w:eastAsia="Times New Roman"/>
          <w:color w:val="000000"/>
          <w:sz w:val="24"/>
          <w:szCs w:val="24"/>
        </w:rPr>
        <w:t xml:space="preserve">, </w:t>
      </w:r>
      <w:r>
        <w:rPr>
          <w:rFonts w:eastAsia="Times New Roman"/>
          <w:b/>
          <w:bCs/>
          <w:color w:val="000000"/>
          <w:sz w:val="24"/>
          <w:szCs w:val="24"/>
        </w:rPr>
        <w:t>Petri dishes</w:t>
      </w:r>
      <w:r>
        <w:rPr>
          <w:rFonts w:eastAsia="Times New Roman"/>
          <w:color w:val="000000"/>
          <w:sz w:val="24"/>
          <w:szCs w:val="24"/>
        </w:rPr>
        <w:t xml:space="preserve">, </w:t>
      </w:r>
      <w:r>
        <w:rPr>
          <w:rFonts w:eastAsia="Times New Roman"/>
          <w:b/>
          <w:bCs/>
          <w:color w:val="000000"/>
          <w:sz w:val="24"/>
          <w:szCs w:val="24"/>
        </w:rPr>
        <w:t>cotton wool</w:t>
      </w:r>
      <w:r>
        <w:rPr>
          <w:rFonts w:eastAsia="Times New Roman"/>
          <w:color w:val="000000"/>
          <w:sz w:val="24"/>
          <w:szCs w:val="24"/>
        </w:rPr>
        <w:t xml:space="preserve">, </w:t>
      </w:r>
      <w:r>
        <w:rPr>
          <w:rFonts w:eastAsia="Times New Roman"/>
          <w:b/>
          <w:bCs/>
          <w:color w:val="000000"/>
          <w:sz w:val="24"/>
          <w:szCs w:val="24"/>
        </w:rPr>
        <w:t>foil</w:t>
      </w:r>
      <w:r>
        <w:rPr>
          <w:rFonts w:eastAsia="Times New Roman"/>
          <w:color w:val="000000"/>
          <w:sz w:val="24"/>
          <w:szCs w:val="24"/>
        </w:rPr>
        <w:t xml:space="preserve">, and </w:t>
      </w:r>
      <w:r>
        <w:rPr>
          <w:rFonts w:eastAsia="Times New Roman"/>
          <w:b/>
          <w:bCs/>
          <w:color w:val="000000"/>
          <w:sz w:val="24"/>
          <w:szCs w:val="24"/>
        </w:rPr>
        <w:t>pH paper</w:t>
      </w:r>
      <w:r>
        <w:rPr>
          <w:rFonts w:eastAsia="Times New Roman"/>
          <w:color w:val="000000"/>
          <w:sz w:val="24"/>
          <w:szCs w:val="24"/>
        </w:rPr>
        <w:t xml:space="preserve"> supported storage, culture, and pH monitoring.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Hand gloves</w:t>
      </w:r>
      <w:r>
        <w:rPr>
          <w:rFonts w:eastAsia="Times New Roman"/>
          <w:color w:val="000000"/>
          <w:sz w:val="24"/>
          <w:szCs w:val="24"/>
        </w:rPr>
        <w:t xml:space="preserve"> ensured safety during handling of samples and reagents.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Sample bottles</w:t>
      </w:r>
      <w:r>
        <w:rPr>
          <w:rFonts w:eastAsia="Times New Roman"/>
          <w:color w:val="000000"/>
          <w:sz w:val="24"/>
          <w:szCs w:val="24"/>
        </w:rPr>
        <w:t xml:space="preserve"> including </w:t>
      </w:r>
      <w:r>
        <w:rPr>
          <w:rFonts w:eastAsia="Times New Roman"/>
          <w:b/>
          <w:bCs/>
          <w:color w:val="000000"/>
          <w:sz w:val="24"/>
          <w:szCs w:val="24"/>
        </w:rPr>
        <w:t>EDTA and universal bottles</w:t>
      </w:r>
      <w:r>
        <w:rPr>
          <w:rFonts w:eastAsia="Times New Roman"/>
          <w:color w:val="000000"/>
          <w:sz w:val="24"/>
          <w:szCs w:val="24"/>
        </w:rPr>
        <w:t xml:space="preserve"> were used for blood and liquid sample collection.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Micropipettes</w:t>
      </w:r>
      <w:r>
        <w:rPr>
          <w:rFonts w:eastAsia="Times New Roman"/>
          <w:color w:val="000000"/>
          <w:sz w:val="24"/>
          <w:szCs w:val="24"/>
        </w:rPr>
        <w:t xml:space="preserve">, </w:t>
      </w:r>
      <w:r>
        <w:rPr>
          <w:rFonts w:eastAsia="Times New Roman"/>
          <w:b/>
          <w:bCs/>
          <w:color w:val="000000"/>
          <w:sz w:val="24"/>
          <w:szCs w:val="24"/>
        </w:rPr>
        <w:t>syringes</w:t>
      </w:r>
      <w:r>
        <w:rPr>
          <w:rFonts w:eastAsia="Times New Roman"/>
          <w:color w:val="000000"/>
          <w:sz w:val="24"/>
          <w:szCs w:val="24"/>
        </w:rPr>
        <w:t xml:space="preserve">, and </w:t>
      </w:r>
      <w:r>
        <w:rPr>
          <w:rFonts w:eastAsia="Times New Roman"/>
          <w:b/>
          <w:bCs/>
          <w:color w:val="000000"/>
          <w:sz w:val="24"/>
          <w:szCs w:val="24"/>
        </w:rPr>
        <w:t>needles</w:t>
      </w:r>
      <w:r>
        <w:rPr>
          <w:rFonts w:eastAsia="Times New Roman"/>
          <w:color w:val="000000"/>
          <w:sz w:val="24"/>
          <w:szCs w:val="24"/>
        </w:rPr>
        <w:t xml:space="preserve"> allowed for precise liquid handling.</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37°C water bath</w:t>
      </w:r>
      <w:r>
        <w:rPr>
          <w:rFonts w:eastAsia="Times New Roman"/>
          <w:color w:val="000000"/>
          <w:sz w:val="24"/>
          <w:szCs w:val="24"/>
        </w:rPr>
        <w:t xml:space="preserve"> maintained required incubation temperatures.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color w:val="000000"/>
          <w:sz w:val="24"/>
          <w:szCs w:val="24"/>
        </w:rPr>
        <w:t xml:space="preserve">General </w:t>
      </w:r>
      <w:r>
        <w:rPr>
          <w:rFonts w:eastAsia="Times New Roman"/>
          <w:b/>
          <w:bCs/>
          <w:color w:val="000000"/>
          <w:sz w:val="24"/>
          <w:szCs w:val="24"/>
        </w:rPr>
        <w:t>laboratory glassware</w:t>
      </w:r>
      <w:r>
        <w:rPr>
          <w:rFonts w:eastAsia="Times New Roman"/>
          <w:color w:val="000000"/>
          <w:sz w:val="24"/>
          <w:szCs w:val="24"/>
        </w:rPr>
        <w:t xml:space="preserve">, </w:t>
      </w:r>
      <w:r>
        <w:rPr>
          <w:rFonts w:eastAsia="Times New Roman"/>
          <w:b/>
          <w:bCs/>
          <w:color w:val="000000"/>
          <w:sz w:val="24"/>
          <w:szCs w:val="24"/>
        </w:rPr>
        <w:t>dissecting sets</w:t>
      </w:r>
      <w:r>
        <w:rPr>
          <w:rFonts w:eastAsia="Times New Roman"/>
          <w:color w:val="000000"/>
          <w:sz w:val="24"/>
          <w:szCs w:val="24"/>
        </w:rPr>
        <w:t xml:space="preserve">, </w:t>
      </w:r>
      <w:r>
        <w:rPr>
          <w:rFonts w:eastAsia="Times New Roman"/>
          <w:b/>
          <w:bCs/>
          <w:color w:val="000000"/>
          <w:sz w:val="24"/>
          <w:szCs w:val="24"/>
        </w:rPr>
        <w:t>thermometers</w:t>
      </w:r>
      <w:r>
        <w:rPr>
          <w:rFonts w:eastAsia="Times New Roman"/>
          <w:color w:val="000000"/>
          <w:sz w:val="24"/>
          <w:szCs w:val="24"/>
        </w:rPr>
        <w:t xml:space="preserve">, and </w:t>
      </w:r>
      <w:r>
        <w:rPr>
          <w:rFonts w:eastAsia="Times New Roman"/>
          <w:b/>
          <w:bCs/>
          <w:color w:val="000000"/>
          <w:sz w:val="24"/>
          <w:szCs w:val="24"/>
        </w:rPr>
        <w:t>measuring cylinders</w:t>
      </w:r>
      <w:r>
        <w:rPr>
          <w:rFonts w:eastAsia="Times New Roman"/>
          <w:color w:val="000000"/>
          <w:sz w:val="24"/>
          <w:szCs w:val="24"/>
        </w:rPr>
        <w:t xml:space="preserve"> supported a variety of analytical tasks. </w:t>
      </w:r>
    </w:p>
    <w:p>
      <w:pPr>
        <w:pStyle w:val="style0"/>
        <w:spacing w:before="100" w:beforeAutospacing="true" w:after="100" w:afterAutospacing="true" w:lineRule="auto" w:line="480"/>
        <w:jc w:val="both"/>
        <w:rPr>
          <w:rFonts w:eastAsia="Times New Roman"/>
          <w:color w:val="000000"/>
          <w:sz w:val="24"/>
          <w:szCs w:val="24"/>
        </w:rPr>
      </w:pPr>
      <w:r>
        <w:rPr>
          <w:rFonts w:eastAsia="Times New Roman"/>
          <w:b/>
          <w:bCs/>
          <w:color w:val="000000"/>
          <w:sz w:val="24"/>
          <w:szCs w:val="24"/>
        </w:rPr>
        <w:t>Animal cages</w:t>
      </w:r>
      <w:r>
        <w:rPr>
          <w:rFonts w:eastAsia="Times New Roman"/>
          <w:color w:val="000000"/>
          <w:sz w:val="24"/>
          <w:szCs w:val="24"/>
        </w:rPr>
        <w:t xml:space="preserve"> and </w:t>
      </w:r>
      <w:r>
        <w:rPr>
          <w:rFonts w:eastAsia="Times New Roman"/>
          <w:b/>
          <w:bCs/>
          <w:color w:val="000000"/>
          <w:sz w:val="24"/>
          <w:szCs w:val="24"/>
        </w:rPr>
        <w:t>grower’s mash</w:t>
      </w:r>
      <w:r>
        <w:rPr>
          <w:rFonts w:eastAsia="Times New Roman"/>
          <w:color w:val="000000"/>
          <w:sz w:val="24"/>
          <w:szCs w:val="24"/>
        </w:rPr>
        <w:t xml:space="preserve"> were essential for the housing and feeding of experimental animals.</w:t>
      </w:r>
    </w:p>
    <w:p>
      <w:pPr>
        <w:pStyle w:val="style94"/>
        <w:spacing w:lineRule="auto" w:line="480"/>
        <w:jc w:val="both"/>
        <w:rPr>
          <w:b/>
          <w:color w:val="000000"/>
        </w:rPr>
      </w:pPr>
    </w:p>
    <w:sectPr>
      <w:pgSz w:w="11520" w:h="1440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Trebuchet MS">
    <w:altName w:val="Trebuchet MS"/>
    <w:panose1 w:val="020b0603020002020204"/>
    <w:charset w:val="00"/>
    <w:family w:val="swiss"/>
    <w:pitch w:val="variable"/>
    <w:sig w:usb0="00000287" w:usb1="00000000" w:usb2="00000000" w:usb3="00000000" w:csb0="0000009F" w:csb1="00000000"/>
  </w:font>
  <w:font w:name="Cambria Math">
    <w:altName w:val="Cambria Math"/>
    <w:panose1 w:val="02040503050004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0000002"/>
    <w:multiLevelType w:val="multilevel"/>
    <w:tmpl w:val="9E8A8A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B7B4FB8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0000005"/>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hybridMultilevel"/>
    <w:tmpl w:val="EA2C5B82"/>
    <w:lvl w:ilvl="0" w:tplc="E3FA8972">
      <w:start w:val="1"/>
      <w:numFmt w:val="lowerRoman"/>
      <w:lvlText w:val="%1."/>
      <w:lvlJc w:val="right"/>
      <w:pPr>
        <w:ind w:left="720" w:hanging="360"/>
      </w:pPr>
      <w:rPr>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667871E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ED348DE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B8448BB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multilevel"/>
    <w:tmpl w:val="BB4E25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5CA469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8"/>
  </w:num>
  <w:num w:numId="5">
    <w:abstractNumId w:val="12"/>
  </w:num>
  <w:num w:numId="6">
    <w:abstractNumId w:val="7"/>
  </w:num>
  <w:num w:numId="7">
    <w:abstractNumId w:val="3"/>
  </w:num>
  <w:num w:numId="8">
    <w:abstractNumId w:val="6"/>
  </w:num>
  <w:num w:numId="9">
    <w:abstractNumId w:val="1"/>
  </w:num>
  <w:num w:numId="10">
    <w:abstractNumId w:val="4"/>
  </w:num>
  <w:num w:numId="11">
    <w:abstractNumId w:val="11"/>
  </w:num>
  <w:num w:numId="12">
    <w:abstractNumId w:val="10"/>
  </w:num>
  <w:num w:numId="13">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ascii="Times New Roman" w:cs="Times New Roman" w:hAnsi="Times New Roman"/>
      <w:sz w:val="28"/>
      <w:szCs w:val="28"/>
    </w:rPr>
  </w:style>
  <w:style w:type="paragraph" w:styleId="style3">
    <w:name w:val="heading 3"/>
    <w:basedOn w:val="style0"/>
    <w:next w:val="style0"/>
    <w:link w:val="style410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eastAsia="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rFonts w:ascii="Times New Roman" w:cs="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katex-mathml"/>
    <w:basedOn w:val="style65"/>
    <w:next w:val="style4097"/>
  </w:style>
  <w:style w:type="paragraph" w:customStyle="1" w:styleId="style4098">
    <w:name w:val="Default"/>
    <w:next w:val="style4098"/>
    <w:pPr>
      <w:autoSpaceDE w:val="false"/>
      <w:autoSpaceDN w:val="false"/>
      <w:adjustRightInd w:val="false"/>
      <w:spacing w:after="0" w:lineRule="auto" w:line="240"/>
    </w:pPr>
    <w:rPr>
      <w:rFonts w:ascii="Times New Roman" w:cs="Times New Roman" w:eastAsia="Calibri" w:hAnsi="Times New Roman"/>
      <w:color w:val="000000"/>
      <w:sz w:val="24"/>
      <w:szCs w:val="24"/>
      <w:lang w:val="en-CA"/>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eastAsia="Times New Roman"/>
      <w:sz w:val="24"/>
      <w:szCs w:val="24"/>
    </w:rPr>
  </w:style>
  <w:style w:type="character" w:styleId="style88">
    <w:name w:val="Emphasis"/>
    <w:basedOn w:val="style65"/>
    <w:next w:val="style88"/>
    <w:qFormat/>
    <w:uiPriority w:val="20"/>
    <w:rPr>
      <w:i/>
      <w:iCs/>
    </w:rPr>
  </w:style>
  <w:style w:type="character" w:customStyle="1" w:styleId="style4100">
    <w:name w:val="Heading 4 Char_93068396-f218-4e27-97fa-55df76590841"/>
    <w:basedOn w:val="style65"/>
    <w:next w:val="style4100"/>
    <w:link w:val="style4"/>
    <w:uiPriority w:val="9"/>
    <w:rPr>
      <w:rFonts w:ascii="Times New Roman" w:cs="Times New Roman" w:eastAsia="Times New Roman" w:hAnsi="Times New Roman"/>
      <w:b/>
      <w:bCs/>
      <w:sz w:val="24"/>
      <w:szCs w:val="24"/>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2a5a9646-5f97-42a2-b9c4-0167519ba705"/>
    <w:basedOn w:val="style65"/>
    <w:next w:val="style4101"/>
    <w:link w:val="style31"/>
    <w:uiPriority w:val="99"/>
    <w:rPr>
      <w:rFonts w:ascii="Times New Roman" w:cs="Times New Roman" w:hAnsi="Times New Roman"/>
      <w:sz w:val="28"/>
      <w:szCs w:val="28"/>
    </w:rPr>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a2013467-53cf-45f6-a66f-5e4e0c284f99"/>
    <w:basedOn w:val="style65"/>
    <w:next w:val="style4102"/>
    <w:link w:val="style32"/>
    <w:uiPriority w:val="99"/>
    <w:rPr>
      <w:rFonts w:ascii="Times New Roman" w:cs="Times New Roman" w:hAnsi="Times New Roman"/>
      <w:sz w:val="28"/>
      <w:szCs w:val="28"/>
    </w:rPr>
  </w:style>
  <w:style w:type="character" w:styleId="style85">
    <w:name w:val="Hyperlink"/>
    <w:basedOn w:val="style65"/>
    <w:next w:val="style85"/>
    <w:uiPriority w:val="99"/>
    <w:rPr>
      <w:color w:val="0000ff"/>
      <w:u w:val="single"/>
    </w:rPr>
  </w:style>
  <w:style w:type="character" w:customStyle="1" w:styleId="style4103">
    <w:name w:val="mord"/>
    <w:basedOn w:val="style65"/>
    <w:next w:val="style4103"/>
  </w:style>
  <w:style w:type="character" w:customStyle="1" w:styleId="style4104">
    <w:name w:val="vlist-s"/>
    <w:basedOn w:val="style65"/>
    <w:next w:val="style4104"/>
  </w:style>
  <w:style w:type="character" w:customStyle="1" w:styleId="style4105">
    <w:name w:val="mrel"/>
    <w:basedOn w:val="style65"/>
    <w:next w:val="style4105"/>
  </w:style>
  <w:style w:type="character" w:customStyle="1" w:styleId="style4106">
    <w:name w:val="mbin"/>
    <w:basedOn w:val="style65"/>
    <w:next w:val="style4106"/>
  </w:style>
  <w:style w:type="character" w:customStyle="1" w:styleId="style4107">
    <w:name w:val="A0"/>
    <w:next w:val="style4107"/>
    <w:uiPriority w:val="99"/>
    <w:rPr>
      <w:rFonts w:cs="Trebuchet MS"/>
      <w:color w:val="000000"/>
      <w:sz w:val="20"/>
      <w:szCs w:val="20"/>
    </w:rPr>
  </w:style>
  <w:style w:type="character" w:customStyle="1" w:styleId="style4108">
    <w:name w:val="A6"/>
    <w:next w:val="style4108"/>
    <w:uiPriority w:val="99"/>
    <w:rPr>
      <w:rFonts w:cs="Trebuchet MS"/>
      <w:color w:val="000000"/>
      <w:sz w:val="11"/>
      <w:szCs w:val="11"/>
    </w:rPr>
  </w:style>
  <w:style w:type="character" w:customStyle="1" w:styleId="style4109">
    <w:name w:val="Heading 3 Char_7297c1bc-7772-4580-b7f3-2f5e3c817e8b"/>
    <w:basedOn w:val="style65"/>
    <w:next w:val="style4109"/>
    <w:link w:val="style3"/>
    <w:uiPriority w:val="9"/>
    <w:rPr>
      <w:rFonts w:ascii="Cambria" w:cs="宋体" w:eastAsia="宋体" w:hAnsi="Cambria"/>
      <w:b/>
      <w:bCs/>
      <w:color w:val="4f81bd"/>
      <w:sz w:val="28"/>
      <w:szCs w:val="28"/>
    </w:rPr>
  </w:style>
  <w:style w:type="character" w:customStyle="1" w:styleId="style4110">
    <w:name w:val="uv3um"/>
    <w:basedOn w:val="style65"/>
    <w:next w:val="style4110"/>
  </w:style>
</w:styles>
</file>

<file path=word/_rels/document.xml.rels><?xml version="1.0" encoding="UTF-8"?>
<Relationships xmlns="http://schemas.openxmlformats.org/package/2006/relationships"><Relationship Id="rId40" Type="http://schemas.openxmlformats.org/officeDocument/2006/relationships/oleObject" Target="embeddings/oleObject8.bin"/><Relationship Id="rId84" Type="http://schemas.openxmlformats.org/officeDocument/2006/relationships/theme" Target="theme/theme1.xml"/><Relationship Id="rId83" Type="http://schemas.openxmlformats.org/officeDocument/2006/relationships/settings" Target="settings.xml"/><Relationship Id="rId42" Type="http://schemas.openxmlformats.org/officeDocument/2006/relationships/oleObject" Target="embeddings/oleObject9.bin"/><Relationship Id="rId41" Type="http://schemas.openxmlformats.org/officeDocument/2006/relationships/image" Target="media/image10.emf"/><Relationship Id="rId85" Type="http://schemas.openxmlformats.org/officeDocument/2006/relationships/customXml" Target="../customXml/item1.xml"/><Relationship Id="rId44" Type="http://schemas.openxmlformats.org/officeDocument/2006/relationships/oleObject" Target="embeddings/oleObject10.bin"/><Relationship Id="rId43" Type="http://schemas.openxmlformats.org/officeDocument/2006/relationships/image" Target="media/image11.emf"/><Relationship Id="rId46" Type="http://schemas.openxmlformats.org/officeDocument/2006/relationships/oleObject" Target="embeddings/oleObject11.bin"/><Relationship Id="rId45" Type="http://schemas.openxmlformats.org/officeDocument/2006/relationships/image" Target="media/image12.emf"/><Relationship Id="rId80" Type="http://schemas.openxmlformats.org/officeDocument/2006/relationships/image" Target="media/image12.jpeg"/><Relationship Id="rId82" Type="http://schemas.openxmlformats.org/officeDocument/2006/relationships/fontTable" Target="fontTable.xml"/><Relationship Id="rId81"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3.png"/><Relationship Id="rId48" Type="http://schemas.openxmlformats.org/officeDocument/2006/relationships/oleObject" Target="embeddings/oleObject12.bin"/><Relationship Id="rId47" Type="http://schemas.openxmlformats.org/officeDocument/2006/relationships/image" Target="media/image13.emf"/><Relationship Id="rId49" Type="http://schemas.openxmlformats.org/officeDocument/2006/relationships/image" Target="media/image14.emf"/><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73" Type="http://schemas.openxmlformats.org/officeDocument/2006/relationships/oleObject" Target="embeddings/oleObject25.bin"/><Relationship Id="rId72" Type="http://schemas.openxmlformats.org/officeDocument/2006/relationships/image" Target="media/image25.emf"/><Relationship Id="rId31" Type="http://schemas.openxmlformats.org/officeDocument/2006/relationships/image" Target="media/image5.emf"/><Relationship Id="rId75" Type="http://schemas.openxmlformats.org/officeDocument/2006/relationships/oleObject" Target="embeddings/oleObject26.bin"/><Relationship Id="rId30" Type="http://schemas.openxmlformats.org/officeDocument/2006/relationships/oleObject" Target="embeddings/oleObject3.bin"/><Relationship Id="rId74" Type="http://schemas.openxmlformats.org/officeDocument/2006/relationships/image" Target="media/image26.emf"/><Relationship Id="rId33" Type="http://schemas.openxmlformats.org/officeDocument/2006/relationships/image" Target="media/image6.emf"/><Relationship Id="rId77" Type="http://schemas.openxmlformats.org/officeDocument/2006/relationships/oleObject" Target="embeddings/oleObject27.bin"/><Relationship Id="rId32" Type="http://schemas.openxmlformats.org/officeDocument/2006/relationships/oleObject" Target="embeddings/oleObject4.bin"/><Relationship Id="rId76" Type="http://schemas.openxmlformats.org/officeDocument/2006/relationships/image" Target="media/image27.emf"/><Relationship Id="rId35" Type="http://schemas.openxmlformats.org/officeDocument/2006/relationships/image" Target="media/image7.emf"/><Relationship Id="rId79" Type="http://schemas.openxmlformats.org/officeDocument/2006/relationships/image" Target="media/image11.jpeg"/><Relationship Id="rId34" Type="http://schemas.openxmlformats.org/officeDocument/2006/relationships/oleObject" Target="embeddings/oleObject5.bin"/><Relationship Id="rId78" Type="http://schemas.openxmlformats.org/officeDocument/2006/relationships/image" Target="media/image10.jpeg"/><Relationship Id="rId71" Type="http://schemas.openxmlformats.org/officeDocument/2006/relationships/oleObject" Target="embeddings/oleObject24.bin"/><Relationship Id="rId70" Type="http://schemas.openxmlformats.org/officeDocument/2006/relationships/image" Target="media/image24.emf"/><Relationship Id="rId37" Type="http://schemas.openxmlformats.org/officeDocument/2006/relationships/image" Target="media/image8.emf"/><Relationship Id="rId36" Type="http://schemas.openxmlformats.org/officeDocument/2006/relationships/oleObject" Target="embeddings/oleObject6.bin"/><Relationship Id="rId39" Type="http://schemas.openxmlformats.org/officeDocument/2006/relationships/image" Target="media/image9.emf"/><Relationship Id="rId38" Type="http://schemas.openxmlformats.org/officeDocument/2006/relationships/oleObject" Target="embeddings/oleObject7.bin"/><Relationship Id="rId62" Type="http://schemas.openxmlformats.org/officeDocument/2006/relationships/oleObject" Target="embeddings/oleObject19.bin"/><Relationship Id="rId61" Type="http://schemas.openxmlformats.org/officeDocument/2006/relationships/image" Target="media/image20.emf"/><Relationship Id="rId20" Type="http://schemas.openxmlformats.org/officeDocument/2006/relationships/image" Target="media/image10.png"/><Relationship Id="rId64" Type="http://schemas.openxmlformats.org/officeDocument/2006/relationships/oleObject" Target="embeddings/oleObject20.bin"/><Relationship Id="rId63" Type="http://schemas.openxmlformats.org/officeDocument/2006/relationships/image" Target="media/image21.emf"/><Relationship Id="rId22" Type="http://schemas.openxmlformats.org/officeDocument/2006/relationships/image" Target="media/image12.png"/><Relationship Id="rId66" Type="http://schemas.openxmlformats.org/officeDocument/2006/relationships/image" Target="media/image22.emf"/><Relationship Id="rId21" Type="http://schemas.openxmlformats.org/officeDocument/2006/relationships/image" Target="media/image11.png"/><Relationship Id="rId65" Type="http://schemas.openxmlformats.org/officeDocument/2006/relationships/oleObject" Target="embeddings/oleObject21.bin"/><Relationship Id="rId24" Type="http://schemas.openxmlformats.org/officeDocument/2006/relationships/chart" Target="charts/chart1.xml"/><Relationship Id="rId68" Type="http://schemas.openxmlformats.org/officeDocument/2006/relationships/image" Target="media/image23.emf"/><Relationship Id="rId23" Type="http://schemas.openxmlformats.org/officeDocument/2006/relationships/image" Target="media/image13.png"/><Relationship Id="rId67" Type="http://schemas.openxmlformats.org/officeDocument/2006/relationships/oleObject" Target="embeddings/oleObject22.bin"/><Relationship Id="rId60" Type="http://schemas.openxmlformats.org/officeDocument/2006/relationships/oleObject" Target="embeddings/oleObject18.bin"/><Relationship Id="rId26" Type="http://schemas.openxmlformats.org/officeDocument/2006/relationships/oleObject" Target="embeddings/oleObject1.bin"/><Relationship Id="rId25" Type="http://schemas.openxmlformats.org/officeDocument/2006/relationships/image" Target="media/image2.emf"/><Relationship Id="rId69" Type="http://schemas.openxmlformats.org/officeDocument/2006/relationships/oleObject" Target="embeddings/oleObject23.bin"/><Relationship Id="rId28" Type="http://schemas.openxmlformats.org/officeDocument/2006/relationships/oleObject" Target="embeddings/oleObject2.bin"/><Relationship Id="rId27" Type="http://schemas.openxmlformats.org/officeDocument/2006/relationships/image" Target="media/image3.emf"/><Relationship Id="rId29" Type="http://schemas.openxmlformats.org/officeDocument/2006/relationships/image" Target="media/image4.emf"/><Relationship Id="rId51" Type="http://schemas.openxmlformats.org/officeDocument/2006/relationships/image" Target="media/image15.emf"/><Relationship Id="rId50" Type="http://schemas.openxmlformats.org/officeDocument/2006/relationships/oleObject" Target="embeddings/oleObject13.bin"/><Relationship Id="rId53" Type="http://schemas.openxmlformats.org/officeDocument/2006/relationships/image" Target="media/image16.emf"/><Relationship Id="rId52" Type="http://schemas.openxmlformats.org/officeDocument/2006/relationships/oleObject" Target="embeddings/oleObject14.bin"/><Relationship Id="rId11" Type="http://schemas.openxmlformats.org/officeDocument/2006/relationships/image" Target="media/image6.jpeg"/><Relationship Id="rId55" Type="http://schemas.openxmlformats.org/officeDocument/2006/relationships/image" Target="media/image17.emf"/><Relationship Id="rId10" Type="http://schemas.openxmlformats.org/officeDocument/2006/relationships/image" Target="media/image4.png"/><Relationship Id="rId54" Type="http://schemas.openxmlformats.org/officeDocument/2006/relationships/oleObject" Target="embeddings/oleObject15.bin"/><Relationship Id="rId13" Type="http://schemas.openxmlformats.org/officeDocument/2006/relationships/image" Target="media/image8.jpeg"/><Relationship Id="rId57" Type="http://schemas.openxmlformats.org/officeDocument/2006/relationships/image" Target="media/image18.emf"/><Relationship Id="rId12" Type="http://schemas.openxmlformats.org/officeDocument/2006/relationships/image" Target="media/image7.jpeg"/><Relationship Id="rId56" Type="http://schemas.openxmlformats.org/officeDocument/2006/relationships/oleObject" Target="embeddings/oleObject16.bin"/><Relationship Id="rId15" Type="http://schemas.openxmlformats.org/officeDocument/2006/relationships/image" Target="media/image6.png"/><Relationship Id="rId59" Type="http://schemas.openxmlformats.org/officeDocument/2006/relationships/image" Target="media/image19.emf"/><Relationship Id="rId14" Type="http://schemas.openxmlformats.org/officeDocument/2006/relationships/image" Target="media/image5.png"/><Relationship Id="rId58" Type="http://schemas.openxmlformats.org/officeDocument/2006/relationships/oleObject" Target="embeddings/oleObject17.bin"/><Relationship Id="rId17" Type="http://schemas.openxmlformats.org/officeDocument/2006/relationships/image" Target="media/image9.jpeg"/><Relationship Id="rId16" Type="http://schemas.openxmlformats.org/officeDocument/2006/relationships/image" Target="media/image7.png"/><Relationship Id="rId19" Type="http://schemas.openxmlformats.org/officeDocument/2006/relationships/image" Target="media/image9.png"/><Relationship Id="rId18" Type="http://schemas.openxmlformats.org/officeDocument/2006/relationships/image" Target="media/image8.png"/></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HP/Downloads/UCRL0305032025%20Dr.%20HASSAN%20(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1.0</c:v>
                </c:pt>
                <c:pt idx="1">
                  <c:v>2.0</c:v>
                </c:pt>
                <c:pt idx="2">
                  <c:v>3.0</c:v>
                </c:pt>
                <c:pt idx="3">
                  <c:v>4.0</c:v>
                </c:pt>
              </c:numCache>
            </c:numRef>
          </c:xVal>
          <c:yVal>
            <c:numRef>
              <c:f>'[UCRL0305032025 Dr. HASSAN (2).xlsx]Sheet2'!$B$11:$B$14</c:f>
              <c:numCache>
                <c:formatCode>General</c:formatCode>
                <c:ptCount val="4"/>
                <c:pt idx="0">
                  <c:v>0.0804</c:v>
                </c:pt>
                <c:pt idx="1">
                  <c:v>0.1896</c:v>
                </c:pt>
                <c:pt idx="2">
                  <c:v>0.271</c:v>
                </c:pt>
                <c:pt idx="3">
                  <c:v>0.4113</c:v>
                </c:pt>
              </c:numCache>
            </c:numRef>
          </c:yVal>
          <c:smooth val="0"/>
        </c:ser>
        <c:dLbls>
          <c:showLegendKey val="0"/>
          <c:showVal val="0"/>
          <c:showCatName val="0"/>
          <c:showSerName val="0"/>
          <c:showPercent val="0"/>
          <c:showBubbleSize val="0"/>
        </c:dLbls>
        <c:axId val="1133126400"/>
        <c:axId val="1133128320"/>
      </c:scatterChart>
      <c:valAx>
        <c:axId val="1133126400"/>
        <c:scaling>
          <c:orientation val="minMax"/>
        </c:scaling>
        <c:delete val="0"/>
        <c:axPos val="b"/>
        <c:numFmt formatCode="General" sourceLinked="1"/>
        <c:majorTickMark val="out"/>
        <c:minorTickMark val="none"/>
        <c:tickLblPos val="nextTo"/>
        <c:crossAx val="1133128320"/>
        <c:crosses val="autoZero"/>
        <c:crossBetween val="midCat"/>
      </c:valAx>
      <c:valAx>
        <c:axId val="1133128320"/>
        <c:scaling>
          <c:orientation val="minMax"/>
        </c:scaling>
        <c:delete val="0"/>
        <c:axPos val="l"/>
        <c:majorGridlines/>
        <c:numFmt formatCode="General" sourceLinked="1"/>
        <c:majorTickMark val="out"/>
        <c:minorTickMark val="none"/>
        <c:tickLblPos val="nextTo"/>
        <c:crossAx val="113312640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A3047-F706-4330-993A-6D3A3733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Words>27182</Words>
  <Pages>168</Pages>
  <Characters>157040</Characters>
  <Application>WPS Office</Application>
  <DocSecurity>0</DocSecurity>
  <Paragraphs>1747</Paragraphs>
  <ScaleCrop>false</ScaleCrop>
  <LinksUpToDate>false</LinksUpToDate>
  <CharactersWithSpaces>185120</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2025-07-09T10:08:00Z</dcterms:created>
  <dc:creator>HP</dc:creator>
  <lastModifiedBy>2409BRN2CA</lastModifiedBy>
  <lastPrinted>2025-07-10T10:36:00Z</lastPrinted>
  <dcterms:modified xsi:type="dcterms:W3CDTF">2025-07-14T19:26:59Z</dcterms:modified>
  <revision>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f13445e827554e82805ecfc0c6881d25</vt:lpwstr>
  </property>
</Properties>
</file>