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5876" w:rsidRPr="00125876" w:rsidRDefault="00D3393D" w:rsidP="00125876">
      <w:pPr>
        <w:spacing w:after="0"/>
        <w:ind w:left="90"/>
        <w:jc w:val="center"/>
        <w:rPr>
          <w:rFonts w:ascii="Arial Black" w:hAnsi="Arial Black"/>
          <w:b/>
          <w:bCs/>
          <w:kern w:val="36"/>
          <w:sz w:val="28"/>
          <w:szCs w:val="28"/>
        </w:rPr>
      </w:pPr>
      <w:bookmarkStart w:id="0" w:name="_Hlk167909061"/>
      <w:r w:rsidRPr="00125876">
        <w:rPr>
          <w:rFonts w:ascii="Arial Black" w:hAnsi="Arial Black"/>
          <w:b/>
          <w:bCs/>
          <w:kern w:val="36"/>
          <w:sz w:val="28"/>
          <w:szCs w:val="28"/>
        </w:rPr>
        <w:t xml:space="preserve">EFFECTS OF RISK MANAGEMENT ON NIGERIAN DEPOSIT MONEY BANKS (DMBS) PROFITABILITY </w:t>
      </w:r>
    </w:p>
    <w:p w:rsidR="007E136C" w:rsidRPr="003602D9" w:rsidRDefault="00D3393D" w:rsidP="007E136C">
      <w:pPr>
        <w:spacing w:after="0"/>
        <w:ind w:left="90"/>
        <w:jc w:val="center"/>
        <w:rPr>
          <w:rFonts w:ascii="Arial Black" w:hAnsi="Arial Black"/>
          <w:b/>
          <w:bCs/>
          <w:kern w:val="36"/>
        </w:rPr>
      </w:pPr>
      <w:r w:rsidRPr="003602D9">
        <w:rPr>
          <w:rFonts w:ascii="Arial Black" w:hAnsi="Arial Black"/>
          <w:b/>
          <w:bCs/>
          <w:kern w:val="36"/>
        </w:rPr>
        <w:t>(</w:t>
      </w:r>
      <w:r w:rsidRPr="00125876">
        <w:rPr>
          <w:rFonts w:ascii="Arial Black" w:hAnsi="Arial Black"/>
          <w:b/>
          <w:bCs/>
          <w:kern w:val="36"/>
        </w:rPr>
        <w:t>A CASE STUDY OF FIRST CITY MONUMENT BANK PLC</w:t>
      </w:r>
      <w:r w:rsidRPr="003602D9">
        <w:rPr>
          <w:rFonts w:ascii="Arial Black" w:hAnsi="Arial Black"/>
          <w:b/>
          <w:bCs/>
          <w:kern w:val="36"/>
        </w:rPr>
        <w:t>)</w:t>
      </w:r>
    </w:p>
    <w:bookmarkEnd w:id="0"/>
    <w:p w:rsidR="007E136C" w:rsidRDefault="007E136C" w:rsidP="007E136C">
      <w:pPr>
        <w:spacing w:after="0" w:line="480" w:lineRule="auto"/>
        <w:ind w:left="90"/>
        <w:jc w:val="center"/>
        <w:rPr>
          <w:b/>
          <w:sz w:val="26"/>
        </w:rPr>
      </w:pPr>
    </w:p>
    <w:p w:rsidR="007E136C" w:rsidRPr="00D67E0B" w:rsidRDefault="007E136C" w:rsidP="007E136C">
      <w:pPr>
        <w:spacing w:after="0" w:line="480" w:lineRule="auto"/>
        <w:ind w:left="90"/>
        <w:jc w:val="center"/>
        <w:rPr>
          <w:b/>
          <w:sz w:val="26"/>
        </w:rPr>
      </w:pPr>
    </w:p>
    <w:p w:rsidR="007E136C" w:rsidRPr="00A64E2E" w:rsidRDefault="007E136C" w:rsidP="007E136C">
      <w:pPr>
        <w:autoSpaceDE w:val="0"/>
        <w:autoSpaceDN w:val="0"/>
        <w:adjustRightInd w:val="0"/>
        <w:spacing w:after="0" w:line="360" w:lineRule="auto"/>
        <w:jc w:val="center"/>
        <w:rPr>
          <w:rFonts w:ascii="Arial Black" w:hAnsi="Arial Black" w:cs="Times New Roman"/>
          <w:b/>
        </w:rPr>
      </w:pPr>
      <w:r w:rsidRPr="00A64E2E">
        <w:rPr>
          <w:rFonts w:ascii="Arial Black" w:hAnsi="Arial Black" w:cs="Times New Roman"/>
          <w:b/>
        </w:rPr>
        <w:t>BY</w:t>
      </w:r>
    </w:p>
    <w:p w:rsidR="00D3393D" w:rsidRPr="00A64E2E" w:rsidRDefault="00D3393D" w:rsidP="00D3393D">
      <w:pPr>
        <w:autoSpaceDE w:val="0"/>
        <w:autoSpaceDN w:val="0"/>
        <w:adjustRightInd w:val="0"/>
        <w:spacing w:after="0" w:line="360" w:lineRule="auto"/>
        <w:jc w:val="center"/>
        <w:rPr>
          <w:rFonts w:ascii="Arial Black" w:hAnsi="Arial Black" w:cs="Times New Roman"/>
          <w:b/>
        </w:rPr>
      </w:pPr>
      <w:r w:rsidRPr="00D3393D">
        <w:rPr>
          <w:rFonts w:ascii="Arial Black" w:hAnsi="Arial Black" w:cs="Times New Roman"/>
          <w:b/>
          <w:sz w:val="32"/>
          <w:szCs w:val="32"/>
        </w:rPr>
        <w:t>ABDULWASIU MARYAM OLUWAFUNMILAYO</w:t>
      </w:r>
    </w:p>
    <w:p w:rsidR="00D3393D" w:rsidRPr="00D3393D" w:rsidRDefault="00D3393D" w:rsidP="00D3393D">
      <w:pPr>
        <w:autoSpaceDE w:val="0"/>
        <w:autoSpaceDN w:val="0"/>
        <w:adjustRightInd w:val="0"/>
        <w:spacing w:after="0" w:line="360" w:lineRule="auto"/>
        <w:jc w:val="center"/>
        <w:rPr>
          <w:rFonts w:ascii="Arial Black" w:hAnsi="Arial Black" w:cs="Times New Roman"/>
          <w:b/>
          <w:sz w:val="32"/>
          <w:szCs w:val="32"/>
        </w:rPr>
      </w:pPr>
      <w:r w:rsidRPr="00D3393D">
        <w:rPr>
          <w:rFonts w:ascii="Arial Black" w:hAnsi="Arial Black" w:cs="Times New Roman"/>
          <w:b/>
          <w:sz w:val="32"/>
          <w:szCs w:val="32"/>
        </w:rPr>
        <w:t>ND/23/BFN/PT/0044</w:t>
      </w:r>
    </w:p>
    <w:p w:rsidR="007E136C" w:rsidRDefault="007E136C" w:rsidP="007E136C">
      <w:pPr>
        <w:autoSpaceDE w:val="0"/>
        <w:autoSpaceDN w:val="0"/>
        <w:adjustRightInd w:val="0"/>
        <w:spacing w:after="0" w:line="480" w:lineRule="auto"/>
        <w:jc w:val="center"/>
        <w:rPr>
          <w:rFonts w:ascii="Times New Roman" w:hAnsi="Times New Roman" w:cs="Times New Roman"/>
          <w:b/>
        </w:rPr>
      </w:pPr>
    </w:p>
    <w:p w:rsidR="00D3393D" w:rsidRPr="00B77D8F" w:rsidRDefault="00D3393D" w:rsidP="007E136C">
      <w:pPr>
        <w:autoSpaceDE w:val="0"/>
        <w:autoSpaceDN w:val="0"/>
        <w:adjustRightInd w:val="0"/>
        <w:spacing w:after="0" w:line="480" w:lineRule="auto"/>
        <w:jc w:val="center"/>
        <w:rPr>
          <w:rFonts w:ascii="Times New Roman" w:hAnsi="Times New Roman" w:cs="Times New Roman"/>
          <w:b/>
        </w:rPr>
      </w:pPr>
    </w:p>
    <w:p w:rsidR="007E136C" w:rsidRPr="00D3393D" w:rsidRDefault="007E136C" w:rsidP="007E136C">
      <w:pPr>
        <w:spacing w:before="240" w:line="480" w:lineRule="auto"/>
        <w:jc w:val="center"/>
        <w:rPr>
          <w:rStyle w:val="Emphasis"/>
          <w:rFonts w:ascii="Times New Roman" w:hAnsi="Times New Roman" w:cs="Times New Roman"/>
          <w:b/>
          <w:bCs/>
          <w:i w:val="0"/>
          <w:iCs w:val="0"/>
        </w:rPr>
      </w:pPr>
      <w:r w:rsidRPr="00D3393D">
        <w:rPr>
          <w:rStyle w:val="Emphasis"/>
          <w:rFonts w:ascii="Times New Roman" w:hAnsi="Times New Roman" w:cs="Times New Roman"/>
          <w:b/>
          <w:bCs/>
          <w:i w:val="0"/>
          <w:iCs w:val="0"/>
        </w:rPr>
        <w:t>BEING A RESEARCH PROJECT SUBMITTED TO THE DEPARTMENT OF BANKING AND FINANCE, INSTITUTE OF FINANCE AND MANAGEMENT (IFMS), KWARA STATE POLYTECHNIC, ILORIN.</w:t>
      </w:r>
    </w:p>
    <w:p w:rsidR="007E136C" w:rsidRPr="00D3393D" w:rsidRDefault="007E136C" w:rsidP="007E136C">
      <w:pPr>
        <w:spacing w:before="240" w:line="480" w:lineRule="auto"/>
        <w:jc w:val="center"/>
        <w:rPr>
          <w:rStyle w:val="Emphasis"/>
          <w:rFonts w:ascii="Times New Roman" w:hAnsi="Times New Roman" w:cs="Times New Roman"/>
          <w:b/>
          <w:bCs/>
          <w:i w:val="0"/>
          <w:iCs w:val="0"/>
        </w:rPr>
      </w:pPr>
      <w:r w:rsidRPr="00D3393D">
        <w:rPr>
          <w:rStyle w:val="Emphasis"/>
          <w:rFonts w:ascii="Times New Roman" w:hAnsi="Times New Roman" w:cs="Times New Roman"/>
          <w:b/>
          <w:bCs/>
          <w:i w:val="0"/>
          <w:iCs w:val="0"/>
        </w:rPr>
        <w:t>IN PARTIAL FULFILMENT OF THE REQUIRMENT FOR THE AWARD OF NATIONAL DIPLOMA (ND) IN BANKING AND FINANCE.</w:t>
      </w:r>
    </w:p>
    <w:p w:rsidR="007E136C" w:rsidRPr="00D3393D" w:rsidRDefault="007E136C" w:rsidP="007E136C">
      <w:pPr>
        <w:spacing w:before="240" w:line="480" w:lineRule="auto"/>
        <w:rPr>
          <w:rStyle w:val="Emphasis"/>
          <w:rFonts w:ascii="Times New Roman" w:hAnsi="Times New Roman" w:cs="Times New Roman"/>
          <w:b/>
          <w:i w:val="0"/>
          <w:iCs w:val="0"/>
        </w:rPr>
      </w:pPr>
    </w:p>
    <w:p w:rsidR="007E136C" w:rsidRPr="00D3393D" w:rsidRDefault="007E136C" w:rsidP="007E136C">
      <w:pPr>
        <w:spacing w:before="240" w:line="480" w:lineRule="auto"/>
        <w:ind w:left="5040" w:firstLine="720"/>
        <w:rPr>
          <w:rStyle w:val="Emphasis"/>
          <w:rFonts w:ascii="Times New Roman" w:hAnsi="Times New Roman" w:cs="Times New Roman"/>
          <w:b/>
          <w:bCs/>
          <w:i w:val="0"/>
          <w:iCs w:val="0"/>
        </w:rPr>
      </w:pPr>
    </w:p>
    <w:p w:rsidR="007E136C" w:rsidRPr="00D3393D" w:rsidRDefault="007E136C" w:rsidP="007E136C">
      <w:pPr>
        <w:spacing w:before="240" w:line="480" w:lineRule="auto"/>
        <w:ind w:left="5760" w:firstLine="720"/>
        <w:rPr>
          <w:rStyle w:val="Emphasis"/>
          <w:rFonts w:ascii="Times New Roman" w:hAnsi="Times New Roman" w:cs="Times New Roman"/>
          <w:b/>
          <w:bCs/>
          <w:i w:val="0"/>
          <w:iCs w:val="0"/>
        </w:rPr>
      </w:pPr>
      <w:r w:rsidRPr="00D3393D">
        <w:rPr>
          <w:rStyle w:val="Emphasis"/>
          <w:rFonts w:ascii="Times New Roman" w:hAnsi="Times New Roman" w:cs="Times New Roman"/>
          <w:b/>
          <w:bCs/>
          <w:i w:val="0"/>
          <w:iCs w:val="0"/>
        </w:rPr>
        <w:t>JU</w:t>
      </w:r>
      <w:r w:rsidR="00D3393D">
        <w:rPr>
          <w:rStyle w:val="Emphasis"/>
          <w:rFonts w:ascii="Times New Roman" w:hAnsi="Times New Roman" w:cs="Times New Roman"/>
          <w:b/>
          <w:bCs/>
          <w:i w:val="0"/>
          <w:iCs w:val="0"/>
        </w:rPr>
        <w:t>LY</w:t>
      </w:r>
      <w:r w:rsidRPr="00D3393D">
        <w:rPr>
          <w:rStyle w:val="Emphasis"/>
          <w:rFonts w:ascii="Times New Roman" w:hAnsi="Times New Roman" w:cs="Times New Roman"/>
          <w:b/>
          <w:bCs/>
          <w:i w:val="0"/>
          <w:iCs w:val="0"/>
        </w:rPr>
        <w:t>, 2025.</w:t>
      </w:r>
    </w:p>
    <w:p w:rsidR="00125876" w:rsidRDefault="00125876" w:rsidP="007E136C">
      <w:pPr>
        <w:spacing w:before="100" w:beforeAutospacing="1" w:after="100" w:afterAutospacing="1" w:line="360" w:lineRule="auto"/>
        <w:jc w:val="center"/>
        <w:rPr>
          <w:rFonts w:ascii="Times New Roman" w:hAnsi="Times New Roman" w:cs="Times New Roman"/>
          <w:b/>
        </w:rPr>
      </w:pPr>
    </w:p>
    <w:p w:rsidR="00D3393D" w:rsidRPr="00D3393D" w:rsidRDefault="00D3393D" w:rsidP="007E136C">
      <w:pPr>
        <w:spacing w:before="100" w:beforeAutospacing="1" w:after="100" w:afterAutospacing="1" w:line="360" w:lineRule="auto"/>
        <w:jc w:val="center"/>
        <w:rPr>
          <w:rFonts w:ascii="Times New Roman" w:hAnsi="Times New Roman" w:cs="Times New Roman"/>
          <w:b/>
        </w:rPr>
      </w:pPr>
    </w:p>
    <w:p w:rsidR="007E136C" w:rsidRPr="005D008A" w:rsidRDefault="007E136C" w:rsidP="007E136C">
      <w:pPr>
        <w:spacing w:before="100" w:beforeAutospacing="1" w:after="100" w:afterAutospacing="1" w:line="360" w:lineRule="auto"/>
        <w:jc w:val="center"/>
        <w:rPr>
          <w:rFonts w:ascii="Times New Roman" w:eastAsia="Times New Roman" w:hAnsi="Times New Roman" w:cs="Times New Roman"/>
          <w:b/>
          <w:bCs/>
        </w:rPr>
      </w:pPr>
      <w:r w:rsidRPr="005D008A">
        <w:rPr>
          <w:rFonts w:ascii="Times New Roman" w:hAnsi="Times New Roman" w:cs="Times New Roman"/>
          <w:b/>
        </w:rPr>
        <w:lastRenderedPageBreak/>
        <w:t>CERTIFICATION</w:t>
      </w:r>
    </w:p>
    <w:p w:rsidR="007E136C" w:rsidRPr="00A75A36" w:rsidRDefault="007E136C" w:rsidP="007E136C">
      <w:pPr>
        <w:spacing w:line="480" w:lineRule="auto"/>
        <w:jc w:val="both"/>
        <w:rPr>
          <w:rFonts w:ascii="Times New Roman" w:hAnsi="Times New Roman" w:cs="Times New Roman"/>
          <w:b/>
        </w:rPr>
      </w:pPr>
      <w:r w:rsidRPr="005D008A">
        <w:rPr>
          <w:rFonts w:ascii="Times New Roman" w:hAnsi="Times New Roman" w:cs="Times New Roman"/>
        </w:rPr>
        <w:t xml:space="preserve">This is to certify that this research project </w:t>
      </w:r>
      <w:r>
        <w:rPr>
          <w:rFonts w:ascii="Times New Roman" w:hAnsi="Times New Roman" w:cs="Times New Roman"/>
        </w:rPr>
        <w:t xml:space="preserve">was conducted by </w:t>
      </w:r>
      <w:r w:rsidR="00A75A36" w:rsidRPr="00A75A36">
        <w:rPr>
          <w:rFonts w:ascii="Times New Roman" w:hAnsi="Times New Roman" w:cs="Times New Roman"/>
          <w:b/>
        </w:rPr>
        <w:t>ABDULWASIU MARYAM OLUWAFUNMILAYO</w:t>
      </w:r>
      <w:r w:rsidR="00A75A36">
        <w:rPr>
          <w:rFonts w:ascii="Times New Roman" w:hAnsi="Times New Roman" w:cs="Times New Roman"/>
          <w:b/>
        </w:rPr>
        <w:t xml:space="preserve"> </w:t>
      </w:r>
      <w:r>
        <w:rPr>
          <w:rFonts w:ascii="Times New Roman" w:hAnsi="Times New Roman" w:cs="Times New Roman"/>
        </w:rPr>
        <w:t>with Matric No. ND/23/BFN/</w:t>
      </w:r>
      <w:r w:rsidR="00A75A36">
        <w:rPr>
          <w:rFonts w:ascii="Times New Roman" w:hAnsi="Times New Roman" w:cs="Times New Roman"/>
        </w:rPr>
        <w:t>P</w:t>
      </w:r>
      <w:r>
        <w:rPr>
          <w:rFonts w:ascii="Times New Roman" w:hAnsi="Times New Roman" w:cs="Times New Roman"/>
        </w:rPr>
        <w:t>T/00</w:t>
      </w:r>
      <w:r w:rsidR="00A75A36">
        <w:rPr>
          <w:rFonts w:ascii="Times New Roman" w:hAnsi="Times New Roman" w:cs="Times New Roman"/>
        </w:rPr>
        <w:t>44</w:t>
      </w:r>
      <w:r>
        <w:rPr>
          <w:rFonts w:ascii="Times New Roman" w:hAnsi="Times New Roman" w:cs="Times New Roman"/>
        </w:rPr>
        <w:t xml:space="preserve"> and </w:t>
      </w:r>
      <w:r w:rsidRPr="005D008A">
        <w:rPr>
          <w:rFonts w:ascii="Times New Roman" w:hAnsi="Times New Roman" w:cs="Times New Roman"/>
        </w:rPr>
        <w:t xml:space="preserve">has been read and approved as meeting the requirements in partial fulfillment for the award of National Diploma (ND) in </w:t>
      </w:r>
      <w:r>
        <w:rPr>
          <w:rFonts w:ascii="Times New Roman" w:hAnsi="Times New Roman" w:cs="Times New Roman"/>
        </w:rPr>
        <w:t>Banking and Finance</w:t>
      </w:r>
      <w:r w:rsidRPr="005D008A">
        <w:rPr>
          <w:rFonts w:ascii="Times New Roman" w:hAnsi="Times New Roman" w:cs="Times New Roman"/>
        </w:rPr>
        <w:t xml:space="preserve"> Department Institute of Finance and Management Studies Kwara State Polytechnic Ilorin. (IFMS)</w:t>
      </w:r>
    </w:p>
    <w:p w:rsidR="007E136C" w:rsidRDefault="007E136C" w:rsidP="007E136C">
      <w:pPr>
        <w:spacing w:after="0" w:line="360" w:lineRule="auto"/>
        <w:jc w:val="both"/>
        <w:rPr>
          <w:rFonts w:ascii="Times New Roman" w:hAnsi="Times New Roman" w:cs="Times New Roman"/>
          <w:b/>
        </w:rPr>
      </w:pPr>
    </w:p>
    <w:p w:rsidR="007E136C" w:rsidRPr="005D008A" w:rsidRDefault="007E136C" w:rsidP="007E136C">
      <w:pPr>
        <w:spacing w:after="0" w:line="360" w:lineRule="auto"/>
        <w:jc w:val="both"/>
        <w:rPr>
          <w:rFonts w:ascii="Times New Roman" w:hAnsi="Times New Roman" w:cs="Times New Roman"/>
          <w:b/>
        </w:rPr>
      </w:pPr>
      <w:r>
        <w:rPr>
          <w:rFonts w:ascii="Times New Roman" w:hAnsi="Times New Roman" w:cs="Times New Roman"/>
          <w:b/>
        </w:rPr>
        <w:t>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_______________________</w:t>
      </w:r>
    </w:p>
    <w:p w:rsidR="007E136C" w:rsidRPr="005D008A" w:rsidRDefault="00125876" w:rsidP="007E136C">
      <w:pPr>
        <w:spacing w:after="0" w:line="360" w:lineRule="auto"/>
        <w:jc w:val="both"/>
        <w:rPr>
          <w:rFonts w:ascii="Times New Roman" w:hAnsi="Times New Roman" w:cs="Times New Roman"/>
          <w:b/>
        </w:rPr>
      </w:pPr>
      <w:r>
        <w:rPr>
          <w:rFonts w:ascii="Times New Roman" w:hAnsi="Times New Roman" w:cs="Times New Roman"/>
          <w:b/>
        </w:rPr>
        <w:t>MRS. OTAYHIKE E.Y.</w:t>
      </w:r>
      <w:r w:rsidR="007E136C" w:rsidRPr="005D008A">
        <w:rPr>
          <w:rFonts w:ascii="Times New Roman" w:hAnsi="Times New Roman" w:cs="Times New Roman"/>
          <w:b/>
        </w:rPr>
        <w:tab/>
      </w:r>
      <w:r w:rsidR="007E136C" w:rsidRPr="005D008A">
        <w:rPr>
          <w:rFonts w:ascii="Times New Roman" w:hAnsi="Times New Roman" w:cs="Times New Roman"/>
          <w:b/>
        </w:rPr>
        <w:tab/>
      </w:r>
      <w:r w:rsidR="007E136C" w:rsidRPr="005D008A">
        <w:rPr>
          <w:rFonts w:ascii="Times New Roman" w:hAnsi="Times New Roman" w:cs="Times New Roman"/>
          <w:b/>
        </w:rPr>
        <w:tab/>
      </w:r>
      <w:r w:rsidR="007E136C" w:rsidRPr="005D008A">
        <w:rPr>
          <w:rFonts w:ascii="Times New Roman" w:hAnsi="Times New Roman" w:cs="Times New Roman"/>
          <w:b/>
        </w:rPr>
        <w:tab/>
      </w:r>
      <w:r w:rsidR="007E136C" w:rsidRPr="005D008A">
        <w:rPr>
          <w:rFonts w:ascii="Times New Roman" w:hAnsi="Times New Roman" w:cs="Times New Roman"/>
          <w:b/>
        </w:rPr>
        <w:tab/>
      </w:r>
      <w:r w:rsidR="007E136C">
        <w:rPr>
          <w:rFonts w:ascii="Times New Roman" w:hAnsi="Times New Roman" w:cs="Times New Roman"/>
          <w:b/>
        </w:rPr>
        <w:tab/>
      </w:r>
      <w:r w:rsidR="007E136C" w:rsidRPr="005D008A">
        <w:rPr>
          <w:rFonts w:ascii="Times New Roman" w:hAnsi="Times New Roman" w:cs="Times New Roman"/>
          <w:b/>
        </w:rPr>
        <w:t xml:space="preserve">DATE </w:t>
      </w:r>
    </w:p>
    <w:p w:rsidR="007E136C" w:rsidRPr="005D008A" w:rsidRDefault="007E136C" w:rsidP="007E136C">
      <w:pPr>
        <w:spacing w:after="0" w:line="360" w:lineRule="auto"/>
        <w:jc w:val="both"/>
        <w:rPr>
          <w:rFonts w:ascii="Times New Roman" w:hAnsi="Times New Roman" w:cs="Times New Roman"/>
          <w:b/>
        </w:rPr>
      </w:pPr>
      <w:r w:rsidRPr="005D008A">
        <w:rPr>
          <w:rFonts w:ascii="Times New Roman" w:hAnsi="Times New Roman" w:cs="Times New Roman"/>
          <w:b/>
        </w:rPr>
        <w:t>(</w:t>
      </w:r>
      <w:r w:rsidRPr="00D14718">
        <w:rPr>
          <w:rFonts w:ascii="Times New Roman" w:hAnsi="Times New Roman" w:cs="Times New Roman"/>
          <w:b/>
          <w:i/>
          <w:iCs/>
        </w:rPr>
        <w:t>Project</w:t>
      </w:r>
      <w:r>
        <w:rPr>
          <w:rFonts w:ascii="Times New Roman" w:hAnsi="Times New Roman" w:cs="Times New Roman"/>
          <w:b/>
          <w:i/>
          <w:iCs/>
        </w:rPr>
        <w:t xml:space="preserve"> </w:t>
      </w:r>
      <w:r w:rsidRPr="00D14718">
        <w:rPr>
          <w:rFonts w:ascii="Times New Roman" w:hAnsi="Times New Roman" w:cs="Times New Roman"/>
          <w:b/>
          <w:i/>
          <w:iCs/>
        </w:rPr>
        <w:t>supervisor</w:t>
      </w:r>
      <w:r w:rsidRPr="005D008A">
        <w:rPr>
          <w:rFonts w:ascii="Times New Roman" w:hAnsi="Times New Roman" w:cs="Times New Roman"/>
          <w:b/>
        </w:rPr>
        <w:t>)</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p>
    <w:p w:rsidR="007E136C" w:rsidRDefault="007E136C" w:rsidP="007E136C">
      <w:pPr>
        <w:spacing w:after="0" w:line="360" w:lineRule="auto"/>
        <w:jc w:val="both"/>
        <w:rPr>
          <w:rFonts w:ascii="Times New Roman" w:hAnsi="Times New Roman" w:cs="Times New Roman"/>
          <w:b/>
        </w:rPr>
      </w:pPr>
    </w:p>
    <w:p w:rsidR="007E136C" w:rsidRPr="005D008A" w:rsidRDefault="007E136C" w:rsidP="007E136C">
      <w:pPr>
        <w:spacing w:after="0" w:line="360" w:lineRule="auto"/>
        <w:jc w:val="both"/>
        <w:rPr>
          <w:rFonts w:ascii="Times New Roman" w:hAnsi="Times New Roman" w:cs="Times New Roman"/>
          <w:b/>
        </w:rPr>
      </w:pPr>
    </w:p>
    <w:p w:rsidR="007E136C" w:rsidRPr="005D008A" w:rsidRDefault="007E136C" w:rsidP="007E136C">
      <w:pPr>
        <w:spacing w:after="0" w:line="360" w:lineRule="auto"/>
        <w:jc w:val="both"/>
        <w:rPr>
          <w:rFonts w:ascii="Times New Roman" w:hAnsi="Times New Roman" w:cs="Times New Roman"/>
          <w:b/>
        </w:rPr>
      </w:pPr>
      <w:r w:rsidRPr="005D008A">
        <w:rPr>
          <w:rFonts w:ascii="Times New Roman" w:hAnsi="Times New Roman" w:cs="Times New Roman"/>
          <w:b/>
        </w:rPr>
        <w:t>________________________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t>_______________________</w:t>
      </w:r>
    </w:p>
    <w:p w:rsidR="007E136C" w:rsidRPr="005D008A" w:rsidRDefault="00125876" w:rsidP="007E136C">
      <w:pPr>
        <w:spacing w:after="0" w:line="360" w:lineRule="auto"/>
        <w:jc w:val="both"/>
        <w:rPr>
          <w:rFonts w:ascii="Times New Roman" w:hAnsi="Times New Roman" w:cs="Times New Roman"/>
          <w:b/>
        </w:rPr>
      </w:pPr>
      <w:r>
        <w:rPr>
          <w:rFonts w:ascii="Times New Roman" w:hAnsi="Times New Roman" w:cs="Times New Roman"/>
          <w:b/>
        </w:rPr>
        <w:t>MR. JIMOH I.</w:t>
      </w:r>
      <w:r w:rsidR="007E136C" w:rsidRPr="005D008A">
        <w:rPr>
          <w:rFonts w:ascii="Times New Roman" w:hAnsi="Times New Roman" w:cs="Times New Roman"/>
          <w:b/>
        </w:rPr>
        <w:tab/>
      </w:r>
      <w:r w:rsidR="007E136C" w:rsidRPr="005D008A">
        <w:rPr>
          <w:rFonts w:ascii="Times New Roman" w:hAnsi="Times New Roman" w:cs="Times New Roman"/>
          <w:b/>
        </w:rPr>
        <w:tab/>
      </w:r>
      <w:r w:rsidR="007E136C">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7E136C" w:rsidRPr="005D008A">
        <w:rPr>
          <w:rFonts w:ascii="Times New Roman" w:hAnsi="Times New Roman" w:cs="Times New Roman"/>
          <w:b/>
        </w:rPr>
        <w:t>DATE</w:t>
      </w:r>
    </w:p>
    <w:p w:rsidR="007E136C" w:rsidRPr="005D008A" w:rsidRDefault="007E136C" w:rsidP="007E136C">
      <w:pPr>
        <w:spacing w:after="0" w:line="360" w:lineRule="auto"/>
        <w:jc w:val="both"/>
        <w:rPr>
          <w:rFonts w:ascii="Times New Roman" w:hAnsi="Times New Roman" w:cs="Times New Roman"/>
          <w:b/>
        </w:rPr>
      </w:pPr>
      <w:r w:rsidRPr="005D008A">
        <w:rPr>
          <w:rFonts w:ascii="Times New Roman" w:hAnsi="Times New Roman" w:cs="Times New Roman"/>
          <w:b/>
        </w:rPr>
        <w:t>(</w:t>
      </w:r>
      <w:r w:rsidRPr="00D14718">
        <w:rPr>
          <w:rFonts w:ascii="Times New Roman" w:hAnsi="Times New Roman" w:cs="Times New Roman"/>
          <w:b/>
          <w:i/>
          <w:iCs/>
        </w:rPr>
        <w:t>Project Coordinator</w:t>
      </w:r>
      <w:r w:rsidRPr="005D008A">
        <w:rPr>
          <w:rFonts w:ascii="Times New Roman" w:hAnsi="Times New Roman" w:cs="Times New Roman"/>
          <w:b/>
        </w:rPr>
        <w:t>)</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p>
    <w:p w:rsidR="007E136C" w:rsidRDefault="007E136C" w:rsidP="007E136C">
      <w:pPr>
        <w:spacing w:after="0" w:line="360" w:lineRule="auto"/>
        <w:jc w:val="both"/>
        <w:rPr>
          <w:rFonts w:ascii="Times New Roman" w:hAnsi="Times New Roman" w:cs="Times New Roman"/>
          <w:b/>
        </w:rPr>
      </w:pPr>
    </w:p>
    <w:p w:rsidR="007E136C" w:rsidRDefault="007E136C" w:rsidP="007E136C">
      <w:pPr>
        <w:spacing w:after="0" w:line="360" w:lineRule="auto"/>
        <w:jc w:val="both"/>
        <w:rPr>
          <w:rFonts w:ascii="Times New Roman" w:hAnsi="Times New Roman" w:cs="Times New Roman"/>
          <w:b/>
        </w:rPr>
      </w:pPr>
    </w:p>
    <w:p w:rsidR="007E136C" w:rsidRPr="005D008A" w:rsidRDefault="007E136C" w:rsidP="007E136C">
      <w:pPr>
        <w:spacing w:after="0" w:line="360" w:lineRule="auto"/>
        <w:jc w:val="both"/>
        <w:rPr>
          <w:rFonts w:ascii="Times New Roman" w:hAnsi="Times New Roman" w:cs="Times New Roman"/>
          <w:b/>
        </w:rPr>
      </w:pPr>
      <w:r w:rsidRPr="005D008A">
        <w:rPr>
          <w:rFonts w:ascii="Times New Roman" w:hAnsi="Times New Roman" w:cs="Times New Roman"/>
          <w:b/>
        </w:rPr>
        <w:t>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t>_______________________</w:t>
      </w:r>
    </w:p>
    <w:p w:rsidR="007E136C" w:rsidRPr="005D008A" w:rsidRDefault="007E136C" w:rsidP="007E136C">
      <w:pPr>
        <w:spacing w:after="0" w:line="360" w:lineRule="auto"/>
        <w:jc w:val="both"/>
        <w:rPr>
          <w:rFonts w:ascii="Times New Roman" w:hAnsi="Times New Roman" w:cs="Times New Roman"/>
          <w:b/>
        </w:rPr>
      </w:pPr>
      <w:r>
        <w:rPr>
          <w:rFonts w:ascii="Times New Roman" w:hAnsi="Times New Roman" w:cs="Times New Roman"/>
          <w:b/>
        </w:rPr>
        <w:t>MR. AJIBOYE W.T.</w:t>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DATE</w:t>
      </w:r>
    </w:p>
    <w:p w:rsidR="007E136C" w:rsidRPr="00D14718" w:rsidRDefault="007E136C" w:rsidP="007E136C">
      <w:pPr>
        <w:spacing w:after="0" w:line="360" w:lineRule="auto"/>
        <w:jc w:val="both"/>
        <w:rPr>
          <w:rFonts w:ascii="Times New Roman" w:hAnsi="Times New Roman" w:cs="Times New Roman"/>
          <w:b/>
          <w:i/>
          <w:iCs/>
        </w:rPr>
      </w:pPr>
      <w:r w:rsidRPr="005D008A">
        <w:rPr>
          <w:rFonts w:ascii="Times New Roman" w:hAnsi="Times New Roman" w:cs="Times New Roman"/>
          <w:b/>
        </w:rPr>
        <w:t>(</w:t>
      </w:r>
      <w:r w:rsidRPr="00D14718">
        <w:rPr>
          <w:rFonts w:ascii="Times New Roman" w:hAnsi="Times New Roman" w:cs="Times New Roman"/>
          <w:b/>
          <w:i/>
          <w:iCs/>
        </w:rPr>
        <w:t>Head Of D</w:t>
      </w:r>
      <w:r>
        <w:rPr>
          <w:rFonts w:ascii="Times New Roman" w:hAnsi="Times New Roman" w:cs="Times New Roman"/>
          <w:b/>
          <w:i/>
          <w:iCs/>
        </w:rPr>
        <w:t>e</w:t>
      </w:r>
      <w:r w:rsidRPr="00D14718">
        <w:rPr>
          <w:rFonts w:ascii="Times New Roman" w:hAnsi="Times New Roman" w:cs="Times New Roman"/>
          <w:b/>
          <w:i/>
          <w:iCs/>
        </w:rPr>
        <w:t>partment)</w:t>
      </w:r>
    </w:p>
    <w:p w:rsidR="007E136C" w:rsidRPr="005D008A" w:rsidRDefault="007E136C" w:rsidP="007E136C">
      <w:pPr>
        <w:spacing w:after="0" w:line="360" w:lineRule="auto"/>
        <w:jc w:val="both"/>
        <w:rPr>
          <w:rFonts w:ascii="Times New Roman" w:hAnsi="Times New Roman" w:cs="Times New Roman"/>
          <w:b/>
        </w:rPr>
      </w:pPr>
    </w:p>
    <w:p w:rsidR="007E136C" w:rsidRDefault="007E136C" w:rsidP="007E136C">
      <w:pPr>
        <w:spacing w:after="0" w:line="360" w:lineRule="auto"/>
        <w:jc w:val="both"/>
        <w:rPr>
          <w:rFonts w:ascii="Times New Roman" w:hAnsi="Times New Roman" w:cs="Times New Roman"/>
          <w:b/>
        </w:rPr>
      </w:pPr>
    </w:p>
    <w:p w:rsidR="007E136C" w:rsidRPr="005D008A" w:rsidRDefault="007E136C" w:rsidP="007E136C">
      <w:pPr>
        <w:spacing w:after="0" w:line="360" w:lineRule="auto"/>
        <w:jc w:val="both"/>
        <w:rPr>
          <w:rFonts w:ascii="Times New Roman" w:hAnsi="Times New Roman" w:cs="Times New Roman"/>
          <w:b/>
        </w:rPr>
      </w:pPr>
      <w:r w:rsidRPr="005D008A">
        <w:rPr>
          <w:rFonts w:ascii="Times New Roman" w:hAnsi="Times New Roman" w:cs="Times New Roman"/>
          <w:b/>
        </w:rPr>
        <w:t>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________________________</w:t>
      </w:r>
    </w:p>
    <w:p w:rsidR="007E136C" w:rsidRPr="005D008A" w:rsidRDefault="00125876" w:rsidP="007E136C">
      <w:pPr>
        <w:spacing w:after="0" w:line="360" w:lineRule="auto"/>
        <w:jc w:val="both"/>
        <w:rPr>
          <w:rFonts w:ascii="Times New Roman" w:hAnsi="Times New Roman" w:cs="Times New Roman"/>
          <w:b/>
        </w:rPr>
      </w:pPr>
      <w:r>
        <w:rPr>
          <w:rFonts w:ascii="Times New Roman" w:hAnsi="Times New Roman" w:cs="Times New Roman"/>
          <w:b/>
        </w:rPr>
        <w:t>MR. SAFURA A.S.</w:t>
      </w:r>
      <w:r>
        <w:rPr>
          <w:rFonts w:ascii="Times New Roman" w:hAnsi="Times New Roman" w:cs="Times New Roman"/>
          <w:b/>
        </w:rPr>
        <w:tab/>
      </w:r>
      <w:r w:rsidR="007E136C">
        <w:rPr>
          <w:rFonts w:ascii="Times New Roman" w:hAnsi="Times New Roman" w:cs="Times New Roman"/>
          <w:b/>
        </w:rPr>
        <w:tab/>
      </w:r>
      <w:r w:rsidR="007E136C">
        <w:rPr>
          <w:rFonts w:ascii="Times New Roman" w:hAnsi="Times New Roman" w:cs="Times New Roman"/>
          <w:b/>
        </w:rPr>
        <w:tab/>
      </w:r>
      <w:r w:rsidR="007E136C">
        <w:rPr>
          <w:rFonts w:ascii="Times New Roman" w:hAnsi="Times New Roman" w:cs="Times New Roman"/>
          <w:b/>
        </w:rPr>
        <w:tab/>
      </w:r>
      <w:r w:rsidR="007E136C">
        <w:rPr>
          <w:rFonts w:ascii="Times New Roman" w:hAnsi="Times New Roman" w:cs="Times New Roman"/>
          <w:b/>
        </w:rPr>
        <w:tab/>
      </w:r>
      <w:r w:rsidR="007E136C">
        <w:rPr>
          <w:rFonts w:ascii="Times New Roman" w:hAnsi="Times New Roman" w:cs="Times New Roman"/>
          <w:b/>
        </w:rPr>
        <w:tab/>
      </w:r>
      <w:r w:rsidR="007E136C">
        <w:rPr>
          <w:rFonts w:ascii="Times New Roman" w:hAnsi="Times New Roman" w:cs="Times New Roman"/>
          <w:b/>
        </w:rPr>
        <w:tab/>
      </w:r>
      <w:r w:rsidR="007E136C" w:rsidRPr="005D008A">
        <w:rPr>
          <w:rFonts w:ascii="Times New Roman" w:hAnsi="Times New Roman" w:cs="Times New Roman"/>
          <w:b/>
        </w:rPr>
        <w:t>DATE</w:t>
      </w:r>
    </w:p>
    <w:p w:rsidR="007E136C" w:rsidRDefault="00125876" w:rsidP="007E136C">
      <w:pPr>
        <w:tabs>
          <w:tab w:val="left" w:pos="3300"/>
        </w:tabs>
        <w:spacing w:line="480" w:lineRule="auto"/>
        <w:rPr>
          <w:rFonts w:ascii="Times New Roman" w:hAnsi="Times New Roman" w:cs="Times New Roman"/>
          <w:b/>
          <w:bCs/>
        </w:rPr>
      </w:pPr>
      <w:r w:rsidRPr="00D14718">
        <w:rPr>
          <w:rFonts w:ascii="Times New Roman" w:hAnsi="Times New Roman" w:cs="Times New Roman"/>
          <w:b/>
          <w:i/>
          <w:iCs/>
        </w:rPr>
        <w:t>External Supervisor</w:t>
      </w:r>
      <w:r w:rsidRPr="005D008A">
        <w:rPr>
          <w:rFonts w:ascii="Times New Roman" w:hAnsi="Times New Roman" w:cs="Times New Roman"/>
          <w:b/>
        </w:rPr>
        <w:tab/>
      </w:r>
    </w:p>
    <w:p w:rsidR="007E136C" w:rsidRDefault="007E136C" w:rsidP="007E136C">
      <w:pPr>
        <w:tabs>
          <w:tab w:val="left" w:pos="3300"/>
        </w:tabs>
        <w:spacing w:line="480" w:lineRule="auto"/>
        <w:jc w:val="center"/>
        <w:rPr>
          <w:rFonts w:ascii="Times New Roman" w:hAnsi="Times New Roman" w:cs="Times New Roman"/>
          <w:b/>
          <w:bCs/>
        </w:rPr>
      </w:pPr>
    </w:p>
    <w:p w:rsidR="00125876" w:rsidRDefault="00125876" w:rsidP="007E136C">
      <w:pPr>
        <w:tabs>
          <w:tab w:val="left" w:pos="3300"/>
        </w:tabs>
        <w:spacing w:line="480" w:lineRule="auto"/>
        <w:jc w:val="center"/>
        <w:rPr>
          <w:rFonts w:ascii="Times New Roman" w:hAnsi="Times New Roman" w:cs="Times New Roman"/>
          <w:b/>
          <w:bCs/>
        </w:rPr>
      </w:pPr>
    </w:p>
    <w:p w:rsidR="007E136C" w:rsidRPr="00A64E2E" w:rsidRDefault="007E136C" w:rsidP="007E136C">
      <w:pPr>
        <w:tabs>
          <w:tab w:val="left" w:pos="3300"/>
        </w:tabs>
        <w:spacing w:line="480" w:lineRule="auto"/>
        <w:jc w:val="center"/>
        <w:rPr>
          <w:rFonts w:ascii="Times New Roman" w:hAnsi="Times New Roman" w:cs="Times New Roman"/>
          <w:b/>
          <w:bCs/>
        </w:rPr>
      </w:pPr>
      <w:r w:rsidRPr="00A64E2E">
        <w:rPr>
          <w:rFonts w:ascii="Times New Roman" w:hAnsi="Times New Roman" w:cs="Times New Roman"/>
          <w:b/>
          <w:bCs/>
        </w:rPr>
        <w:lastRenderedPageBreak/>
        <w:t>DEDICATION</w:t>
      </w:r>
    </w:p>
    <w:p w:rsidR="00125876" w:rsidRPr="00125876" w:rsidRDefault="00125876" w:rsidP="00125876">
      <w:pPr>
        <w:spacing w:line="480" w:lineRule="auto"/>
        <w:jc w:val="both"/>
        <w:rPr>
          <w:rFonts w:ascii="Times New Roman" w:hAnsi="Times New Roman" w:cs="Times New Roman"/>
        </w:rPr>
      </w:pPr>
      <w:r w:rsidRPr="00125876">
        <w:rPr>
          <w:rFonts w:ascii="Times New Roman" w:hAnsi="Times New Roman" w:cs="Times New Roman"/>
        </w:rPr>
        <w:t>I dedicate this report first and foremost to Almighty Allah who made it possible for me to go through this project program safely and soundly and who hat bees there from the beginning to this very point also for the opportunity given to me to be in banking and finance department for this citadel of learning and to complete my project</w:t>
      </w:r>
      <w:r>
        <w:rPr>
          <w:rFonts w:ascii="Times New Roman" w:hAnsi="Times New Roman" w:cs="Times New Roman"/>
        </w:rPr>
        <w:t>.</w:t>
      </w:r>
    </w:p>
    <w:p w:rsidR="007E136C" w:rsidRPr="00A64E2E" w:rsidRDefault="00125876" w:rsidP="00125876">
      <w:pPr>
        <w:spacing w:line="480" w:lineRule="auto"/>
        <w:jc w:val="both"/>
        <w:rPr>
          <w:rFonts w:ascii="Times New Roman" w:hAnsi="Times New Roman" w:cs="Times New Roman"/>
        </w:rPr>
      </w:pPr>
      <w:r w:rsidRPr="00125876">
        <w:rPr>
          <w:rFonts w:ascii="Times New Roman" w:hAnsi="Times New Roman" w:cs="Times New Roman"/>
        </w:rPr>
        <w:t>To God be the glory</w:t>
      </w:r>
    </w:p>
    <w:p w:rsidR="007E136C" w:rsidRDefault="007E136C" w:rsidP="007E136C">
      <w:pPr>
        <w:tabs>
          <w:tab w:val="left" w:pos="1260"/>
          <w:tab w:val="left" w:pos="5363"/>
        </w:tabs>
        <w:spacing w:line="480" w:lineRule="auto"/>
        <w:jc w:val="center"/>
        <w:rPr>
          <w:rFonts w:ascii="Times New Roman" w:hAnsi="Times New Roman" w:cs="Times New Roman"/>
          <w:b/>
          <w:bCs/>
        </w:rPr>
      </w:pPr>
    </w:p>
    <w:p w:rsidR="007E136C" w:rsidRDefault="007E136C" w:rsidP="007E136C">
      <w:pPr>
        <w:tabs>
          <w:tab w:val="left" w:pos="1260"/>
          <w:tab w:val="left" w:pos="5363"/>
        </w:tabs>
        <w:spacing w:line="480" w:lineRule="auto"/>
        <w:jc w:val="center"/>
        <w:rPr>
          <w:rFonts w:ascii="Times New Roman" w:hAnsi="Times New Roman" w:cs="Times New Roman"/>
          <w:b/>
          <w:bCs/>
        </w:rPr>
      </w:pPr>
    </w:p>
    <w:p w:rsidR="007E136C" w:rsidRDefault="007E136C" w:rsidP="007E136C">
      <w:pPr>
        <w:tabs>
          <w:tab w:val="left" w:pos="1260"/>
          <w:tab w:val="left" w:pos="5363"/>
        </w:tabs>
        <w:spacing w:line="480" w:lineRule="auto"/>
        <w:jc w:val="center"/>
        <w:rPr>
          <w:rFonts w:ascii="Times New Roman" w:hAnsi="Times New Roman" w:cs="Times New Roman"/>
          <w:b/>
          <w:bCs/>
        </w:rPr>
      </w:pPr>
    </w:p>
    <w:p w:rsidR="007E136C" w:rsidRDefault="007E136C" w:rsidP="007E136C">
      <w:pPr>
        <w:tabs>
          <w:tab w:val="left" w:pos="1260"/>
          <w:tab w:val="left" w:pos="5363"/>
        </w:tabs>
        <w:spacing w:line="480" w:lineRule="auto"/>
        <w:jc w:val="center"/>
        <w:rPr>
          <w:rFonts w:ascii="Times New Roman" w:hAnsi="Times New Roman" w:cs="Times New Roman"/>
          <w:b/>
          <w:bCs/>
        </w:rPr>
      </w:pPr>
    </w:p>
    <w:p w:rsidR="007E136C" w:rsidRDefault="007E136C" w:rsidP="007E136C">
      <w:pPr>
        <w:tabs>
          <w:tab w:val="left" w:pos="1260"/>
          <w:tab w:val="left" w:pos="5363"/>
        </w:tabs>
        <w:spacing w:line="480" w:lineRule="auto"/>
        <w:jc w:val="center"/>
        <w:rPr>
          <w:rFonts w:ascii="Times New Roman" w:hAnsi="Times New Roman" w:cs="Times New Roman"/>
          <w:b/>
          <w:bCs/>
        </w:rPr>
      </w:pPr>
    </w:p>
    <w:p w:rsidR="007E136C" w:rsidRDefault="007E136C" w:rsidP="007E136C">
      <w:pPr>
        <w:tabs>
          <w:tab w:val="left" w:pos="1260"/>
          <w:tab w:val="left" w:pos="5363"/>
        </w:tabs>
        <w:spacing w:line="480" w:lineRule="auto"/>
        <w:jc w:val="center"/>
        <w:rPr>
          <w:rFonts w:ascii="Times New Roman" w:hAnsi="Times New Roman" w:cs="Times New Roman"/>
          <w:b/>
          <w:bCs/>
        </w:rPr>
      </w:pPr>
    </w:p>
    <w:p w:rsidR="007E136C" w:rsidRDefault="007E136C" w:rsidP="007E136C">
      <w:pPr>
        <w:tabs>
          <w:tab w:val="left" w:pos="1260"/>
          <w:tab w:val="left" w:pos="5363"/>
        </w:tabs>
        <w:spacing w:line="480" w:lineRule="auto"/>
        <w:jc w:val="center"/>
        <w:rPr>
          <w:rFonts w:ascii="Times New Roman" w:hAnsi="Times New Roman" w:cs="Times New Roman"/>
          <w:b/>
          <w:bCs/>
        </w:rPr>
      </w:pPr>
    </w:p>
    <w:p w:rsidR="007E136C" w:rsidRDefault="007E136C" w:rsidP="007E136C">
      <w:pPr>
        <w:tabs>
          <w:tab w:val="left" w:pos="1260"/>
          <w:tab w:val="left" w:pos="5363"/>
        </w:tabs>
        <w:spacing w:line="480" w:lineRule="auto"/>
        <w:jc w:val="center"/>
        <w:rPr>
          <w:rFonts w:ascii="Times New Roman" w:hAnsi="Times New Roman" w:cs="Times New Roman"/>
          <w:b/>
          <w:bCs/>
        </w:rPr>
      </w:pPr>
    </w:p>
    <w:p w:rsidR="007E136C" w:rsidRDefault="007E136C" w:rsidP="007E136C">
      <w:pPr>
        <w:tabs>
          <w:tab w:val="left" w:pos="1260"/>
          <w:tab w:val="left" w:pos="5363"/>
        </w:tabs>
        <w:spacing w:line="480" w:lineRule="auto"/>
        <w:jc w:val="center"/>
        <w:rPr>
          <w:rFonts w:ascii="Times New Roman" w:hAnsi="Times New Roman" w:cs="Times New Roman"/>
          <w:b/>
          <w:bCs/>
        </w:rPr>
      </w:pPr>
    </w:p>
    <w:p w:rsidR="007E136C" w:rsidRDefault="007E136C" w:rsidP="007E136C">
      <w:pPr>
        <w:tabs>
          <w:tab w:val="left" w:pos="1260"/>
          <w:tab w:val="left" w:pos="5363"/>
        </w:tabs>
        <w:spacing w:line="480" w:lineRule="auto"/>
        <w:jc w:val="center"/>
        <w:rPr>
          <w:rFonts w:ascii="Times New Roman" w:hAnsi="Times New Roman" w:cs="Times New Roman"/>
          <w:b/>
          <w:bCs/>
        </w:rPr>
      </w:pPr>
    </w:p>
    <w:p w:rsidR="007E136C" w:rsidRDefault="007E136C" w:rsidP="007E136C">
      <w:pPr>
        <w:tabs>
          <w:tab w:val="left" w:pos="1260"/>
          <w:tab w:val="left" w:pos="5363"/>
        </w:tabs>
        <w:spacing w:line="480" w:lineRule="auto"/>
        <w:jc w:val="center"/>
        <w:rPr>
          <w:rFonts w:ascii="Times New Roman" w:hAnsi="Times New Roman" w:cs="Times New Roman"/>
          <w:b/>
          <w:bCs/>
        </w:rPr>
      </w:pPr>
    </w:p>
    <w:p w:rsidR="007E136C" w:rsidRDefault="007E136C" w:rsidP="007E136C">
      <w:pPr>
        <w:tabs>
          <w:tab w:val="left" w:pos="1260"/>
          <w:tab w:val="left" w:pos="5363"/>
        </w:tabs>
        <w:spacing w:line="480" w:lineRule="auto"/>
        <w:jc w:val="center"/>
        <w:rPr>
          <w:rFonts w:ascii="Times New Roman" w:hAnsi="Times New Roman" w:cs="Times New Roman"/>
          <w:b/>
          <w:bCs/>
        </w:rPr>
      </w:pPr>
    </w:p>
    <w:p w:rsidR="007E136C" w:rsidRDefault="007E136C" w:rsidP="007E136C">
      <w:pPr>
        <w:tabs>
          <w:tab w:val="left" w:pos="1260"/>
          <w:tab w:val="left" w:pos="5363"/>
        </w:tabs>
        <w:spacing w:line="480" w:lineRule="auto"/>
        <w:jc w:val="center"/>
        <w:rPr>
          <w:rFonts w:ascii="Times New Roman" w:hAnsi="Times New Roman" w:cs="Times New Roman"/>
          <w:b/>
          <w:bCs/>
        </w:rPr>
      </w:pPr>
    </w:p>
    <w:p w:rsidR="007E136C" w:rsidRPr="00A64E2E" w:rsidRDefault="007E136C" w:rsidP="007E136C">
      <w:pPr>
        <w:tabs>
          <w:tab w:val="left" w:pos="1260"/>
          <w:tab w:val="left" w:pos="5363"/>
        </w:tabs>
        <w:spacing w:line="480" w:lineRule="auto"/>
        <w:jc w:val="center"/>
        <w:rPr>
          <w:rFonts w:ascii="Times New Roman" w:hAnsi="Times New Roman" w:cs="Times New Roman"/>
          <w:b/>
          <w:bCs/>
        </w:rPr>
      </w:pPr>
      <w:r w:rsidRPr="00A64E2E">
        <w:rPr>
          <w:rFonts w:ascii="Times New Roman" w:hAnsi="Times New Roman" w:cs="Times New Roman"/>
          <w:b/>
          <w:bCs/>
        </w:rPr>
        <w:lastRenderedPageBreak/>
        <w:t>ACKNOWLEDGEMENT</w:t>
      </w:r>
    </w:p>
    <w:p w:rsidR="00125876" w:rsidRPr="00125876" w:rsidRDefault="00125876" w:rsidP="00125876">
      <w:pPr>
        <w:spacing w:before="240" w:line="480" w:lineRule="auto"/>
        <w:jc w:val="both"/>
        <w:rPr>
          <w:rFonts w:ascii="Times New Roman" w:hAnsi="Times New Roman" w:cs="Times New Roman"/>
        </w:rPr>
      </w:pPr>
      <w:r w:rsidRPr="00125876">
        <w:rPr>
          <w:rFonts w:ascii="Times New Roman" w:hAnsi="Times New Roman" w:cs="Times New Roman"/>
        </w:rPr>
        <w:t>My deeper appreciation goes to supreme God for granting me life, health favor, wisdom knowledge and understanding all through the period of my project program.</w:t>
      </w:r>
    </w:p>
    <w:p w:rsidR="00125876" w:rsidRPr="00125876" w:rsidRDefault="00125876" w:rsidP="00125876">
      <w:pPr>
        <w:spacing w:before="240" w:line="480" w:lineRule="auto"/>
        <w:jc w:val="both"/>
        <w:rPr>
          <w:rFonts w:ascii="Times New Roman" w:hAnsi="Times New Roman" w:cs="Times New Roman"/>
        </w:rPr>
      </w:pPr>
      <w:r w:rsidRPr="00125876">
        <w:rPr>
          <w:rFonts w:ascii="Times New Roman" w:hAnsi="Times New Roman" w:cs="Times New Roman"/>
        </w:rPr>
        <w:t>I will like to express my gratitude to my project supervisor MRS OTAYOKHE E.Y,</w:t>
      </w:r>
      <w:r>
        <w:rPr>
          <w:rFonts w:ascii="Times New Roman" w:hAnsi="Times New Roman" w:cs="Times New Roman"/>
        </w:rPr>
        <w:t xml:space="preserve"> for her mentorship and guidance</w:t>
      </w:r>
      <w:r w:rsidRPr="00125876">
        <w:rPr>
          <w:rFonts w:ascii="Times New Roman" w:hAnsi="Times New Roman" w:cs="Times New Roman"/>
        </w:rPr>
        <w:t xml:space="preserve"> </w:t>
      </w:r>
      <w:r>
        <w:rPr>
          <w:rFonts w:ascii="Times New Roman" w:hAnsi="Times New Roman" w:cs="Times New Roman"/>
        </w:rPr>
        <w:t xml:space="preserve">and to my </w:t>
      </w:r>
      <w:r w:rsidRPr="00125876">
        <w:rPr>
          <w:rFonts w:ascii="Times New Roman" w:hAnsi="Times New Roman" w:cs="Times New Roman"/>
        </w:rPr>
        <w:t>Honorable MR AJIBOYE, W.T and also to the entire staff of the department of banking and finance, Kwara state polytechnic Ilorin, I say more grace to your elbow all.</w:t>
      </w:r>
    </w:p>
    <w:p w:rsidR="00125876" w:rsidRPr="00125876" w:rsidRDefault="00125876" w:rsidP="00125876">
      <w:pPr>
        <w:spacing w:before="240" w:line="480" w:lineRule="auto"/>
        <w:jc w:val="both"/>
        <w:rPr>
          <w:rFonts w:ascii="Times New Roman" w:hAnsi="Times New Roman" w:cs="Times New Roman"/>
        </w:rPr>
      </w:pPr>
      <w:r w:rsidRPr="00125876">
        <w:rPr>
          <w:rFonts w:ascii="Times New Roman" w:hAnsi="Times New Roman" w:cs="Times New Roman"/>
        </w:rPr>
        <w:t>With a deep some of appreciate, respect a ND gratitude,</w:t>
      </w:r>
      <w:r>
        <w:rPr>
          <w:rFonts w:ascii="Times New Roman" w:hAnsi="Times New Roman" w:cs="Times New Roman"/>
        </w:rPr>
        <w:t xml:space="preserve"> </w:t>
      </w:r>
      <w:r w:rsidRPr="00125876">
        <w:rPr>
          <w:rFonts w:ascii="Times New Roman" w:hAnsi="Times New Roman" w:cs="Times New Roman"/>
        </w:rPr>
        <w:t xml:space="preserve">I want to say a big thank you to my parents,Mr and Mrs Ibrahim Abdulwasiu, brother and sister other relatives and </w:t>
      </w:r>
      <w:r w:rsidR="008B51EF" w:rsidRPr="00125876">
        <w:rPr>
          <w:rFonts w:ascii="Times New Roman" w:hAnsi="Times New Roman" w:cs="Times New Roman"/>
        </w:rPr>
        <w:t>nonrelatives</w:t>
      </w:r>
      <w:r w:rsidRPr="00125876">
        <w:rPr>
          <w:rFonts w:ascii="Times New Roman" w:hAnsi="Times New Roman" w:cs="Times New Roman"/>
        </w:rPr>
        <w:t xml:space="preserve"> friends for their caring attitude and support from the lie ginning of my ND program Banking and finance to this point.</w:t>
      </w:r>
    </w:p>
    <w:p w:rsidR="00125876" w:rsidRPr="00125876" w:rsidRDefault="00125876" w:rsidP="00125876">
      <w:pPr>
        <w:spacing w:before="240" w:line="480" w:lineRule="auto"/>
        <w:jc w:val="both"/>
        <w:rPr>
          <w:rFonts w:ascii="Times New Roman" w:hAnsi="Times New Roman" w:cs="Times New Roman"/>
        </w:rPr>
      </w:pPr>
      <w:r w:rsidRPr="00125876">
        <w:rPr>
          <w:rFonts w:ascii="Times New Roman" w:hAnsi="Times New Roman" w:cs="Times New Roman"/>
        </w:rPr>
        <w:t>My sincere appreciation also goes to everyone that has been by me all this while.</w:t>
      </w:r>
    </w:p>
    <w:p w:rsidR="007E136C" w:rsidRPr="005D008A" w:rsidRDefault="00125876" w:rsidP="00125876">
      <w:pPr>
        <w:spacing w:before="240" w:line="480" w:lineRule="auto"/>
        <w:jc w:val="both"/>
        <w:rPr>
          <w:rFonts w:ascii="Arial Black" w:hAnsi="Arial Black" w:cs="Times New Roman"/>
          <w:b/>
          <w:iCs/>
        </w:rPr>
      </w:pPr>
      <w:r w:rsidRPr="00125876">
        <w:rPr>
          <w:rFonts w:ascii="Times New Roman" w:hAnsi="Times New Roman" w:cs="Times New Roman"/>
        </w:rPr>
        <w:t> Thanks To All.</w:t>
      </w:r>
    </w:p>
    <w:p w:rsidR="007E136C" w:rsidRDefault="007E136C" w:rsidP="007E136C"/>
    <w:p w:rsidR="007E136C" w:rsidRDefault="007E136C" w:rsidP="007E136C">
      <w:pPr>
        <w:spacing w:before="100" w:beforeAutospacing="1" w:after="100" w:afterAutospacing="1" w:line="360" w:lineRule="auto"/>
        <w:jc w:val="center"/>
        <w:rPr>
          <w:rFonts w:ascii="Times New Roman" w:eastAsia="Times New Roman" w:hAnsi="Times New Roman" w:cs="Times New Roman"/>
          <w:b/>
        </w:rPr>
      </w:pPr>
    </w:p>
    <w:p w:rsidR="007E136C" w:rsidRDefault="007E136C" w:rsidP="007E136C">
      <w:pPr>
        <w:spacing w:before="100" w:beforeAutospacing="1" w:after="100" w:afterAutospacing="1" w:line="360" w:lineRule="auto"/>
        <w:jc w:val="center"/>
        <w:rPr>
          <w:rFonts w:ascii="Times New Roman" w:eastAsia="Times New Roman" w:hAnsi="Times New Roman" w:cs="Times New Roman"/>
          <w:b/>
        </w:rPr>
      </w:pPr>
    </w:p>
    <w:p w:rsidR="007E136C" w:rsidRDefault="007E136C" w:rsidP="007E136C">
      <w:pPr>
        <w:spacing w:before="100" w:beforeAutospacing="1" w:after="100" w:afterAutospacing="1" w:line="360" w:lineRule="auto"/>
        <w:jc w:val="center"/>
        <w:rPr>
          <w:rFonts w:ascii="Times New Roman" w:eastAsia="Times New Roman" w:hAnsi="Times New Roman" w:cs="Times New Roman"/>
          <w:b/>
        </w:rPr>
      </w:pPr>
    </w:p>
    <w:p w:rsidR="007E136C" w:rsidRDefault="007E136C" w:rsidP="007E136C">
      <w:pPr>
        <w:spacing w:before="100" w:beforeAutospacing="1" w:after="100" w:afterAutospacing="1" w:line="360" w:lineRule="auto"/>
        <w:jc w:val="center"/>
        <w:rPr>
          <w:rFonts w:ascii="Times New Roman" w:eastAsia="Times New Roman" w:hAnsi="Times New Roman" w:cs="Times New Roman"/>
          <w:b/>
        </w:rPr>
      </w:pPr>
    </w:p>
    <w:p w:rsidR="007E136C" w:rsidRDefault="007E136C" w:rsidP="007E136C">
      <w:pPr>
        <w:spacing w:before="100" w:beforeAutospacing="1" w:after="100" w:afterAutospacing="1" w:line="360" w:lineRule="auto"/>
        <w:jc w:val="center"/>
        <w:rPr>
          <w:rFonts w:ascii="Times New Roman" w:eastAsia="Times New Roman" w:hAnsi="Times New Roman" w:cs="Times New Roman"/>
          <w:b/>
        </w:rPr>
      </w:pPr>
    </w:p>
    <w:p w:rsidR="00F71C1F" w:rsidRDefault="00F71C1F" w:rsidP="007E136C">
      <w:pPr>
        <w:spacing w:after="100" w:afterAutospacing="1" w:line="360" w:lineRule="auto"/>
        <w:jc w:val="center"/>
        <w:rPr>
          <w:rFonts w:ascii="Times New Roman" w:eastAsia="Times New Roman" w:hAnsi="Times New Roman" w:cs="Times New Roman"/>
          <w:b/>
        </w:rPr>
      </w:pPr>
    </w:p>
    <w:p w:rsidR="007E136C" w:rsidRPr="00A64E2E" w:rsidRDefault="007E136C" w:rsidP="007E136C">
      <w:pPr>
        <w:spacing w:after="100" w:afterAutospacing="1" w:line="360" w:lineRule="auto"/>
        <w:jc w:val="center"/>
        <w:rPr>
          <w:rFonts w:ascii="Times New Roman" w:eastAsia="Times New Roman" w:hAnsi="Times New Roman" w:cs="Times New Roman"/>
          <w:b/>
        </w:rPr>
      </w:pPr>
      <w:r w:rsidRPr="00A64E2E">
        <w:rPr>
          <w:rFonts w:ascii="Times New Roman" w:eastAsia="Times New Roman" w:hAnsi="Times New Roman" w:cs="Times New Roman"/>
          <w:b/>
        </w:rPr>
        <w:lastRenderedPageBreak/>
        <w:t>TABLE OF CONTENT</w:t>
      </w:r>
    </w:p>
    <w:p w:rsidR="007E136C" w:rsidRPr="00A64E2E" w:rsidRDefault="00630A7F" w:rsidP="007E136C">
      <w:pPr>
        <w:spacing w:after="100" w:afterAutospacing="1" w:line="360" w:lineRule="auto"/>
        <w:jc w:val="both"/>
        <w:rPr>
          <w:rFonts w:ascii="Times New Roman" w:eastAsia="Times New Roman" w:hAnsi="Times New Roman" w:cs="Times New Roman"/>
        </w:rPr>
      </w:pPr>
      <w:r w:rsidRPr="00A64E2E">
        <w:rPr>
          <w:rFonts w:ascii="Times New Roman" w:eastAsia="Times New Roman" w:hAnsi="Times New Roman" w:cs="Times New Roman"/>
        </w:rPr>
        <w:t>Title Page</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Pr>
          <w:rFonts w:ascii="Times New Roman" w:eastAsia="Times New Roman" w:hAnsi="Times New Roman" w:cs="Times New Roman"/>
        </w:rPr>
        <w:t>i</w:t>
      </w:r>
    </w:p>
    <w:p w:rsidR="007E136C" w:rsidRPr="00A64E2E" w:rsidRDefault="00630A7F" w:rsidP="007E136C">
      <w:pPr>
        <w:spacing w:after="100" w:afterAutospacing="1" w:line="360" w:lineRule="auto"/>
        <w:jc w:val="both"/>
        <w:rPr>
          <w:rFonts w:ascii="Times New Roman" w:eastAsia="Times New Roman" w:hAnsi="Times New Roman" w:cs="Times New Roman"/>
        </w:rPr>
      </w:pPr>
      <w:r w:rsidRPr="00A64E2E">
        <w:rPr>
          <w:rFonts w:ascii="Times New Roman" w:eastAsia="Times New Roman" w:hAnsi="Times New Roman" w:cs="Times New Roman"/>
        </w:rPr>
        <w:t>Certification</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Pr>
          <w:rFonts w:ascii="Times New Roman" w:eastAsia="Times New Roman" w:hAnsi="Times New Roman" w:cs="Times New Roman"/>
        </w:rPr>
        <w:tab/>
        <w:t>ii</w:t>
      </w:r>
    </w:p>
    <w:p w:rsidR="007E136C" w:rsidRPr="00A64E2E" w:rsidRDefault="00630A7F" w:rsidP="007E136C">
      <w:pPr>
        <w:spacing w:after="100" w:afterAutospacing="1" w:line="360" w:lineRule="auto"/>
        <w:jc w:val="both"/>
        <w:rPr>
          <w:rFonts w:ascii="Times New Roman" w:eastAsia="Times New Roman" w:hAnsi="Times New Roman" w:cs="Times New Roman"/>
        </w:rPr>
      </w:pPr>
      <w:r w:rsidRPr="00A64E2E">
        <w:rPr>
          <w:rFonts w:ascii="Times New Roman" w:eastAsia="Times New Roman" w:hAnsi="Times New Roman" w:cs="Times New Roman"/>
        </w:rPr>
        <w:t xml:space="preserve">Dedication </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Pr>
          <w:rFonts w:ascii="Times New Roman" w:eastAsia="Times New Roman" w:hAnsi="Times New Roman" w:cs="Times New Roman"/>
        </w:rPr>
        <w:tab/>
        <w:t>iii</w:t>
      </w:r>
    </w:p>
    <w:p w:rsidR="007E136C" w:rsidRPr="00A64E2E" w:rsidRDefault="00630A7F" w:rsidP="007E136C">
      <w:pPr>
        <w:spacing w:after="100" w:afterAutospacing="1" w:line="360" w:lineRule="auto"/>
        <w:jc w:val="both"/>
        <w:rPr>
          <w:rFonts w:ascii="Times New Roman" w:eastAsia="Times New Roman" w:hAnsi="Times New Roman" w:cs="Times New Roman"/>
        </w:rPr>
      </w:pPr>
      <w:r w:rsidRPr="00A64E2E">
        <w:rPr>
          <w:rFonts w:ascii="Times New Roman" w:eastAsia="Times New Roman" w:hAnsi="Times New Roman" w:cs="Times New Roman"/>
        </w:rPr>
        <w:t>Acknowledgement</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Pr>
          <w:rFonts w:ascii="Times New Roman" w:eastAsia="Times New Roman" w:hAnsi="Times New Roman" w:cs="Times New Roman"/>
        </w:rPr>
        <w:tab/>
        <w:t>iv</w:t>
      </w:r>
    </w:p>
    <w:p w:rsidR="007E136C" w:rsidRDefault="00630A7F" w:rsidP="007E136C">
      <w:pPr>
        <w:spacing w:after="100" w:afterAutospacing="1" w:line="360" w:lineRule="auto"/>
        <w:jc w:val="both"/>
        <w:rPr>
          <w:rFonts w:ascii="Times New Roman" w:eastAsia="Times New Roman" w:hAnsi="Times New Roman" w:cs="Times New Roman"/>
        </w:rPr>
      </w:pPr>
      <w:r w:rsidRPr="00A64E2E">
        <w:rPr>
          <w:rFonts w:ascii="Times New Roman" w:eastAsia="Times New Roman" w:hAnsi="Times New Roman" w:cs="Times New Roman"/>
        </w:rPr>
        <w:t>Table Of Content</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Pr>
          <w:rFonts w:ascii="Times New Roman" w:eastAsia="Times New Roman" w:hAnsi="Times New Roman" w:cs="Times New Roman"/>
        </w:rPr>
        <w:tab/>
        <w:t>v</w:t>
      </w:r>
    </w:p>
    <w:p w:rsidR="00630A7F" w:rsidRPr="007C38BC" w:rsidRDefault="00630A7F" w:rsidP="007E136C">
      <w:pPr>
        <w:spacing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 xml:space="preserve">Abstract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vii</w:t>
      </w:r>
    </w:p>
    <w:p w:rsidR="007E136C" w:rsidRPr="0003373C" w:rsidRDefault="007E136C" w:rsidP="0003373C">
      <w:pPr>
        <w:spacing w:after="0" w:line="360" w:lineRule="auto"/>
        <w:jc w:val="both"/>
        <w:outlineLvl w:val="3"/>
        <w:rPr>
          <w:rFonts w:ascii="Times New Roman" w:eastAsia="Times New Roman" w:hAnsi="Times New Roman" w:cs="Times New Roman"/>
          <w:b/>
          <w:bCs/>
          <w:kern w:val="0"/>
        </w:rPr>
      </w:pPr>
    </w:p>
    <w:p w:rsidR="000B54B7" w:rsidRPr="0003373C" w:rsidRDefault="000B54B7" w:rsidP="0003373C">
      <w:pPr>
        <w:spacing w:after="0" w:line="360" w:lineRule="auto"/>
        <w:jc w:val="both"/>
        <w:outlineLvl w:val="3"/>
        <w:rPr>
          <w:rFonts w:ascii="Times New Roman" w:eastAsia="Times New Roman" w:hAnsi="Times New Roman" w:cs="Times New Roman"/>
          <w:b/>
          <w:bCs/>
          <w:kern w:val="0"/>
        </w:rPr>
      </w:pPr>
      <w:r w:rsidRPr="0003373C">
        <w:rPr>
          <w:rFonts w:ascii="Times New Roman" w:eastAsia="Times New Roman" w:hAnsi="Times New Roman" w:cs="Times New Roman"/>
          <w:b/>
          <w:bCs/>
          <w:kern w:val="0"/>
        </w:rPr>
        <w:t>Chapter One</w:t>
      </w:r>
    </w:p>
    <w:p w:rsidR="000B54B7" w:rsidRPr="0003373C" w:rsidRDefault="000B54B7" w:rsidP="0003373C">
      <w:pPr>
        <w:spacing w:after="0" w:line="360" w:lineRule="auto"/>
        <w:jc w:val="both"/>
        <w:outlineLvl w:val="3"/>
        <w:rPr>
          <w:rFonts w:ascii="Times New Roman" w:eastAsia="Times New Roman" w:hAnsi="Times New Roman" w:cs="Times New Roman"/>
          <w:kern w:val="0"/>
        </w:rPr>
      </w:pPr>
      <w:r w:rsidRPr="0003373C">
        <w:rPr>
          <w:rFonts w:ascii="Times New Roman" w:eastAsia="Times New Roman" w:hAnsi="Times New Roman" w:cs="Times New Roman"/>
          <w:kern w:val="0"/>
        </w:rPr>
        <w:t>1.1 Background of the Study</w:t>
      </w:r>
    </w:p>
    <w:p w:rsidR="000B54B7" w:rsidRPr="0003373C" w:rsidRDefault="000B54B7" w:rsidP="0003373C">
      <w:pPr>
        <w:spacing w:after="0" w:line="360" w:lineRule="auto"/>
        <w:jc w:val="both"/>
        <w:outlineLvl w:val="3"/>
        <w:rPr>
          <w:rFonts w:ascii="Times New Roman" w:eastAsia="Times New Roman" w:hAnsi="Times New Roman" w:cs="Times New Roman"/>
          <w:kern w:val="0"/>
        </w:rPr>
      </w:pPr>
      <w:r w:rsidRPr="0003373C">
        <w:rPr>
          <w:rFonts w:ascii="Times New Roman" w:eastAsia="Times New Roman" w:hAnsi="Times New Roman" w:cs="Times New Roman"/>
          <w:kern w:val="0"/>
        </w:rPr>
        <w:t>1.2 Statement of the Problem</w:t>
      </w:r>
    </w:p>
    <w:p w:rsidR="000B54B7" w:rsidRPr="0003373C" w:rsidRDefault="000B54B7" w:rsidP="0003373C">
      <w:pPr>
        <w:spacing w:after="0" w:line="360" w:lineRule="auto"/>
        <w:jc w:val="both"/>
        <w:outlineLvl w:val="3"/>
        <w:rPr>
          <w:rFonts w:ascii="Times New Roman" w:eastAsia="Times New Roman" w:hAnsi="Times New Roman" w:cs="Times New Roman"/>
          <w:kern w:val="0"/>
        </w:rPr>
      </w:pPr>
      <w:r w:rsidRPr="0003373C">
        <w:rPr>
          <w:rFonts w:ascii="Times New Roman" w:eastAsia="Times New Roman" w:hAnsi="Times New Roman" w:cs="Times New Roman"/>
          <w:kern w:val="0"/>
        </w:rPr>
        <w:t>1.3 Objectives of the Study</w:t>
      </w:r>
    </w:p>
    <w:p w:rsidR="000B54B7" w:rsidRPr="0003373C" w:rsidRDefault="000B54B7" w:rsidP="0003373C">
      <w:pPr>
        <w:spacing w:after="0" w:line="360" w:lineRule="auto"/>
        <w:jc w:val="both"/>
        <w:outlineLvl w:val="3"/>
        <w:rPr>
          <w:rFonts w:ascii="Times New Roman" w:eastAsia="Times New Roman" w:hAnsi="Times New Roman" w:cs="Times New Roman"/>
          <w:kern w:val="0"/>
        </w:rPr>
      </w:pPr>
      <w:r w:rsidRPr="0003373C">
        <w:rPr>
          <w:rFonts w:ascii="Times New Roman" w:eastAsia="Times New Roman" w:hAnsi="Times New Roman" w:cs="Times New Roman"/>
          <w:kern w:val="0"/>
        </w:rPr>
        <w:t>1.4 Research Questions</w:t>
      </w:r>
    </w:p>
    <w:p w:rsidR="000B54B7" w:rsidRPr="0003373C" w:rsidRDefault="000B54B7" w:rsidP="0003373C">
      <w:pPr>
        <w:spacing w:after="0" w:line="360" w:lineRule="auto"/>
        <w:jc w:val="both"/>
        <w:outlineLvl w:val="3"/>
        <w:rPr>
          <w:rFonts w:ascii="Times New Roman" w:eastAsia="Times New Roman" w:hAnsi="Times New Roman" w:cs="Times New Roman"/>
          <w:kern w:val="0"/>
        </w:rPr>
      </w:pPr>
      <w:r w:rsidRPr="0003373C">
        <w:rPr>
          <w:rFonts w:ascii="Times New Roman" w:eastAsia="Times New Roman" w:hAnsi="Times New Roman" w:cs="Times New Roman"/>
          <w:kern w:val="0"/>
        </w:rPr>
        <w:t>1.5 Research Hypotheses</w:t>
      </w:r>
    </w:p>
    <w:p w:rsidR="000B54B7" w:rsidRPr="0003373C" w:rsidRDefault="000B54B7" w:rsidP="0003373C">
      <w:pPr>
        <w:spacing w:after="0" w:line="360" w:lineRule="auto"/>
        <w:jc w:val="both"/>
        <w:outlineLvl w:val="3"/>
        <w:rPr>
          <w:rFonts w:ascii="Times New Roman" w:eastAsia="Times New Roman" w:hAnsi="Times New Roman" w:cs="Times New Roman"/>
          <w:kern w:val="0"/>
        </w:rPr>
      </w:pPr>
      <w:r w:rsidRPr="0003373C">
        <w:rPr>
          <w:rFonts w:ascii="Times New Roman" w:eastAsia="Times New Roman" w:hAnsi="Times New Roman" w:cs="Times New Roman"/>
          <w:kern w:val="0"/>
        </w:rPr>
        <w:t>1.6 Significance of the Study</w:t>
      </w:r>
    </w:p>
    <w:p w:rsidR="000B54B7" w:rsidRPr="0003373C" w:rsidRDefault="000B54B7" w:rsidP="0003373C">
      <w:pPr>
        <w:spacing w:after="0" w:line="360" w:lineRule="auto"/>
        <w:jc w:val="both"/>
        <w:outlineLvl w:val="3"/>
        <w:rPr>
          <w:rFonts w:ascii="Times New Roman" w:eastAsia="Times New Roman" w:hAnsi="Times New Roman" w:cs="Times New Roman"/>
          <w:kern w:val="0"/>
        </w:rPr>
      </w:pPr>
      <w:r w:rsidRPr="0003373C">
        <w:rPr>
          <w:rFonts w:ascii="Times New Roman" w:eastAsia="Times New Roman" w:hAnsi="Times New Roman" w:cs="Times New Roman"/>
          <w:kern w:val="0"/>
        </w:rPr>
        <w:t>1.7 Scope and limitations of the Study</w:t>
      </w:r>
    </w:p>
    <w:p w:rsidR="000B54B7" w:rsidRPr="0003373C" w:rsidRDefault="000B54B7" w:rsidP="0003373C">
      <w:pPr>
        <w:spacing w:after="0" w:line="360" w:lineRule="auto"/>
        <w:jc w:val="both"/>
        <w:outlineLvl w:val="3"/>
        <w:rPr>
          <w:rFonts w:ascii="Times New Roman" w:eastAsia="Times New Roman" w:hAnsi="Times New Roman" w:cs="Times New Roman"/>
          <w:kern w:val="0"/>
        </w:rPr>
      </w:pPr>
      <w:r w:rsidRPr="0003373C">
        <w:rPr>
          <w:rFonts w:ascii="Times New Roman" w:eastAsia="Times New Roman" w:hAnsi="Times New Roman" w:cs="Times New Roman"/>
          <w:kern w:val="0"/>
        </w:rPr>
        <w:t>1.8 Definition of the key term</w:t>
      </w:r>
    </w:p>
    <w:p w:rsidR="000B54B7" w:rsidRPr="0003373C" w:rsidRDefault="000B54B7" w:rsidP="0003373C">
      <w:pPr>
        <w:spacing w:after="0" w:line="360" w:lineRule="auto"/>
        <w:jc w:val="both"/>
        <w:outlineLvl w:val="3"/>
        <w:rPr>
          <w:rFonts w:ascii="Times New Roman" w:eastAsia="Times New Roman" w:hAnsi="Times New Roman" w:cs="Times New Roman"/>
          <w:kern w:val="0"/>
        </w:rPr>
      </w:pPr>
      <w:r w:rsidRPr="0003373C">
        <w:rPr>
          <w:rFonts w:ascii="Times New Roman" w:eastAsia="Times New Roman" w:hAnsi="Times New Roman" w:cs="Times New Roman"/>
          <w:kern w:val="0"/>
        </w:rPr>
        <w:t>1.9 Plan of the study</w:t>
      </w:r>
    </w:p>
    <w:p w:rsidR="000B54B7" w:rsidRPr="0003373C" w:rsidRDefault="000B54B7" w:rsidP="0003373C">
      <w:pPr>
        <w:spacing w:after="0" w:line="360" w:lineRule="auto"/>
        <w:jc w:val="both"/>
        <w:outlineLvl w:val="3"/>
        <w:rPr>
          <w:rFonts w:ascii="Times New Roman" w:eastAsia="Times New Roman" w:hAnsi="Times New Roman" w:cs="Times New Roman"/>
          <w:b/>
          <w:bCs/>
          <w:kern w:val="0"/>
        </w:rPr>
      </w:pPr>
    </w:p>
    <w:p w:rsidR="000B54B7" w:rsidRPr="0003373C" w:rsidRDefault="000B54B7" w:rsidP="0003373C">
      <w:pPr>
        <w:spacing w:after="0" w:line="360" w:lineRule="auto"/>
        <w:jc w:val="both"/>
        <w:outlineLvl w:val="3"/>
        <w:rPr>
          <w:rFonts w:ascii="Times New Roman" w:eastAsia="Times New Roman" w:hAnsi="Times New Roman" w:cs="Times New Roman"/>
          <w:b/>
          <w:bCs/>
          <w:kern w:val="0"/>
        </w:rPr>
      </w:pPr>
      <w:r w:rsidRPr="0003373C">
        <w:rPr>
          <w:rFonts w:ascii="Times New Roman" w:eastAsia="Times New Roman" w:hAnsi="Times New Roman" w:cs="Times New Roman"/>
          <w:b/>
          <w:bCs/>
          <w:kern w:val="0"/>
        </w:rPr>
        <w:t>Chapter Two</w:t>
      </w:r>
    </w:p>
    <w:p w:rsidR="000B54B7" w:rsidRPr="0003373C" w:rsidRDefault="000B54B7" w:rsidP="0003373C">
      <w:pPr>
        <w:spacing w:after="0" w:line="360" w:lineRule="auto"/>
        <w:jc w:val="both"/>
        <w:outlineLvl w:val="3"/>
        <w:rPr>
          <w:rFonts w:ascii="Times New Roman" w:eastAsia="Times New Roman" w:hAnsi="Times New Roman" w:cs="Times New Roman"/>
          <w:b/>
          <w:bCs/>
          <w:kern w:val="0"/>
        </w:rPr>
      </w:pPr>
      <w:r w:rsidRPr="0003373C">
        <w:rPr>
          <w:rFonts w:ascii="Times New Roman" w:eastAsia="Times New Roman" w:hAnsi="Times New Roman" w:cs="Times New Roman"/>
          <w:b/>
          <w:bCs/>
          <w:kern w:val="0"/>
        </w:rPr>
        <w:t>2.0 Literature Review</w:t>
      </w:r>
    </w:p>
    <w:p w:rsidR="000B54B7" w:rsidRPr="0003373C" w:rsidRDefault="000B54B7" w:rsidP="0003373C">
      <w:pPr>
        <w:spacing w:after="0" w:line="360" w:lineRule="auto"/>
        <w:jc w:val="both"/>
        <w:rPr>
          <w:rFonts w:ascii="Times New Roman" w:eastAsia="Times New Roman" w:hAnsi="Times New Roman" w:cs="Times New Roman"/>
          <w:kern w:val="0"/>
        </w:rPr>
      </w:pPr>
      <w:r w:rsidRPr="0003373C">
        <w:rPr>
          <w:rFonts w:ascii="Times New Roman" w:eastAsia="Times New Roman" w:hAnsi="Times New Roman" w:cs="Times New Roman"/>
          <w:kern w:val="0"/>
        </w:rPr>
        <w:t>2.1 Conceptual review</w:t>
      </w:r>
    </w:p>
    <w:p w:rsidR="000B54B7" w:rsidRPr="0003373C" w:rsidRDefault="000B54B7" w:rsidP="0003373C">
      <w:pPr>
        <w:spacing w:after="0" w:line="360" w:lineRule="auto"/>
        <w:jc w:val="both"/>
        <w:rPr>
          <w:rFonts w:ascii="Times New Roman" w:eastAsia="Times New Roman" w:hAnsi="Times New Roman" w:cs="Times New Roman"/>
          <w:kern w:val="0"/>
        </w:rPr>
      </w:pPr>
      <w:r w:rsidRPr="0003373C">
        <w:rPr>
          <w:rFonts w:ascii="Times New Roman" w:eastAsia="Times New Roman" w:hAnsi="Times New Roman" w:cs="Times New Roman"/>
          <w:kern w:val="0"/>
        </w:rPr>
        <w:t>2.2 Theoretical framework</w:t>
      </w:r>
    </w:p>
    <w:p w:rsidR="000B54B7" w:rsidRPr="0003373C" w:rsidRDefault="000B54B7" w:rsidP="0003373C">
      <w:pPr>
        <w:spacing w:after="0" w:line="360" w:lineRule="auto"/>
        <w:jc w:val="both"/>
        <w:rPr>
          <w:rFonts w:ascii="Times New Roman" w:eastAsia="Times New Roman" w:hAnsi="Times New Roman" w:cs="Times New Roman"/>
          <w:kern w:val="0"/>
        </w:rPr>
      </w:pPr>
      <w:r w:rsidRPr="0003373C">
        <w:rPr>
          <w:rFonts w:ascii="Times New Roman" w:eastAsia="Times New Roman" w:hAnsi="Times New Roman" w:cs="Times New Roman"/>
          <w:kern w:val="0"/>
        </w:rPr>
        <w:t>2.3 Empirical Review</w:t>
      </w:r>
    </w:p>
    <w:p w:rsidR="000B54B7" w:rsidRPr="0003373C" w:rsidRDefault="000B54B7" w:rsidP="0003373C">
      <w:pPr>
        <w:spacing w:after="0" w:line="360" w:lineRule="auto"/>
        <w:jc w:val="both"/>
        <w:rPr>
          <w:rFonts w:ascii="Times New Roman" w:eastAsia="Times New Roman" w:hAnsi="Times New Roman" w:cs="Times New Roman"/>
          <w:kern w:val="0"/>
        </w:rPr>
      </w:pPr>
      <w:r w:rsidRPr="0003373C">
        <w:rPr>
          <w:rFonts w:ascii="Times New Roman" w:eastAsia="Times New Roman" w:hAnsi="Times New Roman" w:cs="Times New Roman"/>
          <w:kern w:val="0"/>
        </w:rPr>
        <w:t>2.4 Gap in literature</w:t>
      </w:r>
    </w:p>
    <w:p w:rsidR="000B54B7" w:rsidRPr="0003373C" w:rsidRDefault="000B54B7" w:rsidP="0003373C">
      <w:pPr>
        <w:spacing w:after="0" w:line="360" w:lineRule="auto"/>
        <w:jc w:val="both"/>
        <w:rPr>
          <w:rFonts w:ascii="Times New Roman" w:eastAsia="Times New Roman" w:hAnsi="Times New Roman" w:cs="Times New Roman"/>
          <w:kern w:val="0"/>
        </w:rPr>
      </w:pPr>
    </w:p>
    <w:p w:rsidR="000B54B7" w:rsidRPr="0003373C" w:rsidRDefault="000B54B7" w:rsidP="0003373C">
      <w:pPr>
        <w:spacing w:after="0" w:line="360" w:lineRule="auto"/>
        <w:jc w:val="both"/>
        <w:outlineLvl w:val="3"/>
        <w:rPr>
          <w:rFonts w:ascii="Times New Roman" w:eastAsia="Times New Roman" w:hAnsi="Times New Roman" w:cs="Times New Roman"/>
          <w:b/>
          <w:bCs/>
          <w:kern w:val="0"/>
        </w:rPr>
      </w:pPr>
      <w:r w:rsidRPr="0003373C">
        <w:rPr>
          <w:rFonts w:ascii="Times New Roman" w:eastAsia="Times New Roman" w:hAnsi="Times New Roman" w:cs="Times New Roman"/>
          <w:b/>
          <w:bCs/>
          <w:kern w:val="0"/>
        </w:rPr>
        <w:lastRenderedPageBreak/>
        <w:t xml:space="preserve">Chapter Three </w:t>
      </w:r>
    </w:p>
    <w:p w:rsidR="000B54B7" w:rsidRPr="0003373C" w:rsidRDefault="000B54B7" w:rsidP="0003373C">
      <w:pPr>
        <w:spacing w:after="0" w:line="360" w:lineRule="auto"/>
        <w:jc w:val="both"/>
        <w:outlineLvl w:val="3"/>
        <w:rPr>
          <w:rFonts w:ascii="Times New Roman" w:eastAsia="Times New Roman" w:hAnsi="Times New Roman" w:cs="Times New Roman"/>
          <w:b/>
          <w:bCs/>
          <w:kern w:val="0"/>
        </w:rPr>
      </w:pPr>
      <w:r w:rsidRPr="0003373C">
        <w:rPr>
          <w:rFonts w:ascii="Times New Roman" w:eastAsia="Times New Roman" w:hAnsi="Times New Roman" w:cs="Times New Roman"/>
          <w:b/>
          <w:bCs/>
          <w:kern w:val="0"/>
        </w:rPr>
        <w:t>3.0 Research Methodology</w:t>
      </w:r>
    </w:p>
    <w:p w:rsidR="000B54B7" w:rsidRPr="0003373C" w:rsidRDefault="000B54B7" w:rsidP="0003373C">
      <w:pPr>
        <w:spacing w:after="0" w:line="360" w:lineRule="auto"/>
        <w:jc w:val="both"/>
        <w:rPr>
          <w:rFonts w:ascii="Times New Roman" w:eastAsia="Times New Roman" w:hAnsi="Times New Roman" w:cs="Times New Roman"/>
          <w:kern w:val="0"/>
        </w:rPr>
      </w:pPr>
      <w:r w:rsidRPr="0003373C">
        <w:rPr>
          <w:rFonts w:ascii="Times New Roman" w:eastAsia="Times New Roman" w:hAnsi="Times New Roman" w:cs="Times New Roman"/>
          <w:kern w:val="0"/>
        </w:rPr>
        <w:t>3.1 Introduction to methodology</w:t>
      </w:r>
    </w:p>
    <w:p w:rsidR="000B54B7" w:rsidRPr="0003373C" w:rsidRDefault="000B54B7" w:rsidP="0003373C">
      <w:pPr>
        <w:spacing w:after="0" w:line="360" w:lineRule="auto"/>
        <w:jc w:val="both"/>
        <w:rPr>
          <w:rFonts w:ascii="Times New Roman" w:eastAsia="Times New Roman" w:hAnsi="Times New Roman" w:cs="Times New Roman"/>
          <w:kern w:val="0"/>
        </w:rPr>
      </w:pPr>
      <w:r w:rsidRPr="0003373C">
        <w:rPr>
          <w:rFonts w:ascii="Times New Roman" w:eastAsia="Times New Roman" w:hAnsi="Times New Roman" w:cs="Times New Roman"/>
          <w:kern w:val="0"/>
        </w:rPr>
        <w:t>3.2 Research Design</w:t>
      </w:r>
    </w:p>
    <w:p w:rsidR="000B54B7" w:rsidRPr="0003373C" w:rsidRDefault="000B54B7" w:rsidP="0003373C">
      <w:pPr>
        <w:spacing w:after="0" w:line="360" w:lineRule="auto"/>
        <w:jc w:val="both"/>
        <w:rPr>
          <w:rFonts w:ascii="Times New Roman" w:eastAsia="Times New Roman" w:hAnsi="Times New Roman" w:cs="Times New Roman"/>
          <w:kern w:val="0"/>
        </w:rPr>
      </w:pPr>
      <w:r w:rsidRPr="0003373C">
        <w:rPr>
          <w:rFonts w:ascii="Times New Roman" w:eastAsia="Times New Roman" w:hAnsi="Times New Roman" w:cs="Times New Roman"/>
          <w:kern w:val="0"/>
        </w:rPr>
        <w:t>3.3 Population of the Study</w:t>
      </w:r>
    </w:p>
    <w:p w:rsidR="000B54B7" w:rsidRPr="0003373C" w:rsidRDefault="000B54B7" w:rsidP="0003373C">
      <w:pPr>
        <w:spacing w:after="0" w:line="360" w:lineRule="auto"/>
        <w:jc w:val="both"/>
        <w:rPr>
          <w:rFonts w:ascii="Times New Roman" w:eastAsia="Times New Roman" w:hAnsi="Times New Roman" w:cs="Times New Roman"/>
          <w:kern w:val="0"/>
        </w:rPr>
      </w:pPr>
      <w:r w:rsidRPr="0003373C">
        <w:rPr>
          <w:rFonts w:ascii="Times New Roman" w:eastAsia="Times New Roman" w:hAnsi="Times New Roman" w:cs="Times New Roman"/>
          <w:kern w:val="0"/>
        </w:rPr>
        <w:t>3.4 Sample Size and Sampling Techniques</w:t>
      </w:r>
    </w:p>
    <w:p w:rsidR="000B54B7" w:rsidRPr="0003373C" w:rsidRDefault="000B54B7" w:rsidP="0003373C">
      <w:pPr>
        <w:spacing w:after="0" w:line="360" w:lineRule="auto"/>
        <w:jc w:val="both"/>
        <w:rPr>
          <w:rFonts w:ascii="Times New Roman" w:eastAsia="Times New Roman" w:hAnsi="Times New Roman" w:cs="Times New Roman"/>
          <w:kern w:val="0"/>
        </w:rPr>
      </w:pPr>
      <w:r w:rsidRPr="0003373C">
        <w:rPr>
          <w:rFonts w:ascii="Times New Roman" w:eastAsia="Times New Roman" w:hAnsi="Times New Roman" w:cs="Times New Roman"/>
          <w:kern w:val="0"/>
        </w:rPr>
        <w:t>3.5 Method of Data Collection</w:t>
      </w:r>
    </w:p>
    <w:p w:rsidR="000B54B7" w:rsidRPr="0003373C" w:rsidRDefault="000B54B7" w:rsidP="0003373C">
      <w:pPr>
        <w:spacing w:after="0" w:line="360" w:lineRule="auto"/>
        <w:jc w:val="both"/>
        <w:rPr>
          <w:rFonts w:ascii="Times New Roman" w:eastAsia="Times New Roman" w:hAnsi="Times New Roman" w:cs="Times New Roman"/>
          <w:kern w:val="0"/>
        </w:rPr>
      </w:pPr>
      <w:r w:rsidRPr="0003373C">
        <w:rPr>
          <w:rFonts w:ascii="Times New Roman" w:eastAsia="Times New Roman" w:hAnsi="Times New Roman" w:cs="Times New Roman"/>
          <w:kern w:val="0"/>
        </w:rPr>
        <w:t>3.6 Method of Data Analysis</w:t>
      </w:r>
    </w:p>
    <w:p w:rsidR="000B54B7" w:rsidRPr="0003373C" w:rsidRDefault="000B54B7" w:rsidP="0003373C">
      <w:pPr>
        <w:spacing w:after="0" w:line="360" w:lineRule="auto"/>
        <w:jc w:val="both"/>
        <w:rPr>
          <w:rFonts w:ascii="Times New Roman" w:eastAsia="Times New Roman" w:hAnsi="Times New Roman" w:cs="Times New Roman"/>
          <w:kern w:val="0"/>
        </w:rPr>
      </w:pPr>
      <w:r w:rsidRPr="0003373C">
        <w:rPr>
          <w:rFonts w:ascii="Times New Roman" w:eastAsia="Times New Roman" w:hAnsi="Times New Roman" w:cs="Times New Roman"/>
          <w:kern w:val="0"/>
        </w:rPr>
        <w:t xml:space="preserve">3.7 Limitations to methodology </w:t>
      </w:r>
    </w:p>
    <w:p w:rsidR="000B54B7" w:rsidRPr="0003373C" w:rsidRDefault="000B54B7" w:rsidP="0003373C">
      <w:pPr>
        <w:spacing w:after="0" w:line="360" w:lineRule="auto"/>
        <w:jc w:val="both"/>
        <w:rPr>
          <w:rFonts w:ascii="Times New Roman" w:eastAsia="Times New Roman" w:hAnsi="Times New Roman" w:cs="Times New Roman"/>
          <w:kern w:val="0"/>
        </w:rPr>
      </w:pPr>
    </w:p>
    <w:p w:rsidR="000B54B7" w:rsidRPr="0003373C" w:rsidRDefault="000B54B7" w:rsidP="0003373C">
      <w:pPr>
        <w:spacing w:after="0" w:line="360" w:lineRule="auto"/>
        <w:jc w:val="both"/>
        <w:outlineLvl w:val="3"/>
        <w:rPr>
          <w:rFonts w:ascii="Times New Roman" w:eastAsia="Times New Roman" w:hAnsi="Times New Roman" w:cs="Times New Roman"/>
          <w:b/>
          <w:bCs/>
          <w:kern w:val="0"/>
        </w:rPr>
      </w:pPr>
      <w:r w:rsidRPr="0003373C">
        <w:rPr>
          <w:rFonts w:ascii="Times New Roman" w:eastAsia="Times New Roman" w:hAnsi="Times New Roman" w:cs="Times New Roman"/>
          <w:b/>
          <w:bCs/>
          <w:kern w:val="0"/>
        </w:rPr>
        <w:t>Chapter 4: Data Analysis and Interpretation</w:t>
      </w:r>
    </w:p>
    <w:p w:rsidR="000B54B7" w:rsidRPr="0003373C" w:rsidRDefault="000B54B7" w:rsidP="0003373C">
      <w:pPr>
        <w:spacing w:after="0" w:line="360" w:lineRule="auto"/>
        <w:jc w:val="both"/>
        <w:rPr>
          <w:rFonts w:ascii="Times New Roman" w:eastAsia="Times New Roman" w:hAnsi="Times New Roman" w:cs="Times New Roman"/>
          <w:kern w:val="0"/>
        </w:rPr>
      </w:pPr>
      <w:r w:rsidRPr="0003373C">
        <w:rPr>
          <w:rFonts w:ascii="Times New Roman" w:eastAsia="Times New Roman" w:hAnsi="Times New Roman" w:cs="Times New Roman"/>
          <w:kern w:val="0"/>
        </w:rPr>
        <w:t>4.0 Data presentation, analysis and interpretation</w:t>
      </w:r>
    </w:p>
    <w:p w:rsidR="000B54B7" w:rsidRPr="0003373C" w:rsidRDefault="000B54B7" w:rsidP="0003373C">
      <w:pPr>
        <w:spacing w:after="0" w:line="360" w:lineRule="auto"/>
        <w:jc w:val="both"/>
        <w:outlineLvl w:val="3"/>
        <w:rPr>
          <w:rFonts w:ascii="Times New Roman" w:eastAsia="Times New Roman" w:hAnsi="Times New Roman" w:cs="Times New Roman"/>
          <w:kern w:val="0"/>
        </w:rPr>
      </w:pPr>
      <w:r w:rsidRPr="0003373C">
        <w:rPr>
          <w:rFonts w:ascii="Times New Roman" w:eastAsia="Times New Roman" w:hAnsi="Times New Roman" w:cs="Times New Roman"/>
          <w:kern w:val="0"/>
        </w:rPr>
        <w:t>4.1 Data presentation</w:t>
      </w:r>
    </w:p>
    <w:p w:rsidR="000B54B7" w:rsidRPr="0003373C" w:rsidRDefault="000B54B7" w:rsidP="0003373C">
      <w:pPr>
        <w:spacing w:after="0" w:line="360" w:lineRule="auto"/>
        <w:jc w:val="both"/>
        <w:outlineLvl w:val="3"/>
        <w:rPr>
          <w:rFonts w:ascii="Times New Roman" w:eastAsia="Times New Roman" w:hAnsi="Times New Roman" w:cs="Times New Roman"/>
          <w:kern w:val="0"/>
        </w:rPr>
      </w:pPr>
      <w:r w:rsidRPr="0003373C">
        <w:rPr>
          <w:rFonts w:ascii="Times New Roman" w:eastAsia="Times New Roman" w:hAnsi="Times New Roman" w:cs="Times New Roman"/>
          <w:kern w:val="0"/>
        </w:rPr>
        <w:t>4.2 Data analysis</w:t>
      </w:r>
    </w:p>
    <w:p w:rsidR="000B54B7" w:rsidRPr="0003373C" w:rsidRDefault="000B54B7" w:rsidP="0003373C">
      <w:pPr>
        <w:spacing w:after="0" w:line="360" w:lineRule="auto"/>
        <w:jc w:val="both"/>
        <w:outlineLvl w:val="3"/>
        <w:rPr>
          <w:rFonts w:ascii="Times New Roman" w:eastAsia="Times New Roman" w:hAnsi="Times New Roman" w:cs="Times New Roman"/>
          <w:kern w:val="0"/>
        </w:rPr>
      </w:pPr>
      <w:r w:rsidRPr="0003373C">
        <w:rPr>
          <w:rFonts w:ascii="Times New Roman" w:eastAsia="Times New Roman" w:hAnsi="Times New Roman" w:cs="Times New Roman"/>
          <w:kern w:val="0"/>
        </w:rPr>
        <w:t>4.3 Data interpretation</w:t>
      </w:r>
    </w:p>
    <w:p w:rsidR="000B54B7" w:rsidRPr="0003373C" w:rsidRDefault="000B54B7" w:rsidP="0003373C">
      <w:pPr>
        <w:spacing w:after="0" w:line="360" w:lineRule="auto"/>
        <w:jc w:val="both"/>
        <w:outlineLvl w:val="3"/>
        <w:rPr>
          <w:rFonts w:ascii="Times New Roman" w:eastAsia="Times New Roman" w:hAnsi="Times New Roman" w:cs="Times New Roman"/>
          <w:b/>
          <w:bCs/>
          <w:kern w:val="0"/>
        </w:rPr>
      </w:pPr>
    </w:p>
    <w:p w:rsidR="000B54B7" w:rsidRPr="0003373C" w:rsidRDefault="000B54B7" w:rsidP="0003373C">
      <w:pPr>
        <w:spacing w:after="0" w:line="360" w:lineRule="auto"/>
        <w:jc w:val="both"/>
        <w:outlineLvl w:val="3"/>
        <w:rPr>
          <w:rFonts w:ascii="Times New Roman" w:eastAsia="Times New Roman" w:hAnsi="Times New Roman" w:cs="Times New Roman"/>
          <w:b/>
          <w:bCs/>
          <w:kern w:val="0"/>
        </w:rPr>
      </w:pPr>
      <w:r w:rsidRPr="0003373C">
        <w:rPr>
          <w:rFonts w:ascii="Times New Roman" w:eastAsia="Times New Roman" w:hAnsi="Times New Roman" w:cs="Times New Roman"/>
          <w:b/>
          <w:bCs/>
          <w:kern w:val="0"/>
        </w:rPr>
        <w:t>Chapter five</w:t>
      </w:r>
    </w:p>
    <w:p w:rsidR="000B54B7" w:rsidRPr="0003373C" w:rsidRDefault="000B54B7" w:rsidP="0003373C">
      <w:pPr>
        <w:spacing w:after="0" w:line="360" w:lineRule="auto"/>
        <w:jc w:val="both"/>
        <w:outlineLvl w:val="3"/>
        <w:rPr>
          <w:rFonts w:ascii="Times New Roman" w:eastAsia="Times New Roman" w:hAnsi="Times New Roman" w:cs="Times New Roman"/>
          <w:b/>
          <w:bCs/>
          <w:kern w:val="0"/>
        </w:rPr>
      </w:pPr>
      <w:r w:rsidRPr="0003373C">
        <w:rPr>
          <w:rFonts w:ascii="Times New Roman" w:eastAsia="Times New Roman" w:hAnsi="Times New Roman" w:cs="Times New Roman"/>
          <w:b/>
          <w:bCs/>
          <w:kern w:val="0"/>
        </w:rPr>
        <w:t>5.0 Summary, Conclusion and Recommendations</w:t>
      </w:r>
    </w:p>
    <w:p w:rsidR="000B54B7" w:rsidRPr="0003373C" w:rsidRDefault="000B54B7" w:rsidP="0003373C">
      <w:pPr>
        <w:spacing w:after="0" w:line="360" w:lineRule="auto"/>
        <w:jc w:val="both"/>
        <w:rPr>
          <w:rFonts w:ascii="Times New Roman" w:eastAsia="Times New Roman" w:hAnsi="Times New Roman" w:cs="Times New Roman"/>
          <w:kern w:val="0"/>
        </w:rPr>
      </w:pPr>
      <w:r w:rsidRPr="0003373C">
        <w:rPr>
          <w:rFonts w:ascii="Times New Roman" w:eastAsia="Times New Roman" w:hAnsi="Times New Roman" w:cs="Times New Roman"/>
          <w:kern w:val="0"/>
        </w:rPr>
        <w:t>5.1 Summary of Findings</w:t>
      </w:r>
    </w:p>
    <w:p w:rsidR="000B54B7" w:rsidRPr="0003373C" w:rsidRDefault="000B54B7" w:rsidP="0003373C">
      <w:pPr>
        <w:spacing w:after="0" w:line="360" w:lineRule="auto"/>
        <w:jc w:val="both"/>
        <w:rPr>
          <w:rFonts w:ascii="Times New Roman" w:eastAsia="Times New Roman" w:hAnsi="Times New Roman" w:cs="Times New Roman"/>
          <w:kern w:val="0"/>
        </w:rPr>
      </w:pPr>
      <w:r w:rsidRPr="0003373C">
        <w:rPr>
          <w:rFonts w:ascii="Times New Roman" w:eastAsia="Times New Roman" w:hAnsi="Times New Roman" w:cs="Times New Roman"/>
          <w:kern w:val="0"/>
        </w:rPr>
        <w:t>5.2 Conclusion</w:t>
      </w:r>
    </w:p>
    <w:p w:rsidR="000B54B7" w:rsidRPr="0003373C" w:rsidRDefault="000B54B7" w:rsidP="0003373C">
      <w:pPr>
        <w:spacing w:after="0" w:line="360" w:lineRule="auto"/>
        <w:jc w:val="both"/>
        <w:rPr>
          <w:rFonts w:ascii="Times New Roman" w:eastAsia="Times New Roman" w:hAnsi="Times New Roman" w:cs="Times New Roman"/>
          <w:kern w:val="0"/>
        </w:rPr>
      </w:pPr>
      <w:r w:rsidRPr="0003373C">
        <w:rPr>
          <w:rFonts w:ascii="Times New Roman" w:eastAsia="Times New Roman" w:hAnsi="Times New Roman" w:cs="Times New Roman"/>
          <w:kern w:val="0"/>
        </w:rPr>
        <w:t>5.3 Recommendations</w:t>
      </w:r>
    </w:p>
    <w:p w:rsidR="000B54B7" w:rsidRPr="0003373C" w:rsidRDefault="000B54B7" w:rsidP="0003373C">
      <w:pPr>
        <w:spacing w:after="0" w:line="360" w:lineRule="auto"/>
        <w:jc w:val="both"/>
        <w:outlineLvl w:val="2"/>
        <w:rPr>
          <w:rFonts w:ascii="Times New Roman" w:eastAsia="Times New Roman" w:hAnsi="Times New Roman" w:cs="Times New Roman"/>
          <w:b/>
          <w:bCs/>
          <w:kern w:val="0"/>
        </w:rPr>
      </w:pPr>
    </w:p>
    <w:p w:rsidR="000B54B7" w:rsidRPr="0003373C" w:rsidRDefault="000B54B7" w:rsidP="0003373C">
      <w:pPr>
        <w:spacing w:after="0" w:line="360" w:lineRule="auto"/>
        <w:jc w:val="both"/>
        <w:outlineLvl w:val="2"/>
        <w:rPr>
          <w:rFonts w:ascii="Times New Roman" w:eastAsia="Times New Roman" w:hAnsi="Times New Roman" w:cs="Times New Roman"/>
          <w:b/>
          <w:bCs/>
          <w:kern w:val="0"/>
        </w:rPr>
      </w:pPr>
      <w:r w:rsidRPr="0003373C">
        <w:rPr>
          <w:rFonts w:ascii="Times New Roman" w:eastAsia="Times New Roman" w:hAnsi="Times New Roman" w:cs="Times New Roman"/>
          <w:b/>
          <w:bCs/>
          <w:kern w:val="0"/>
        </w:rPr>
        <w:t>References</w:t>
      </w:r>
    </w:p>
    <w:p w:rsidR="000B54B7" w:rsidRPr="0003373C" w:rsidRDefault="000B54B7" w:rsidP="0003373C">
      <w:pPr>
        <w:spacing w:line="360" w:lineRule="auto"/>
        <w:rPr>
          <w:rFonts w:ascii="Times New Roman" w:hAnsi="Times New Roman" w:cs="Times New Roman"/>
        </w:rPr>
      </w:pPr>
    </w:p>
    <w:p w:rsidR="00A631FB" w:rsidRPr="0003373C" w:rsidRDefault="00A631FB" w:rsidP="0003373C">
      <w:pPr>
        <w:spacing w:line="360" w:lineRule="auto"/>
        <w:rPr>
          <w:rFonts w:ascii="Times New Roman" w:hAnsi="Times New Roman" w:cs="Times New Roman"/>
        </w:rPr>
      </w:pPr>
    </w:p>
    <w:p w:rsidR="000B54B7" w:rsidRPr="0003373C" w:rsidRDefault="000B54B7" w:rsidP="0003373C">
      <w:pPr>
        <w:spacing w:line="360" w:lineRule="auto"/>
        <w:rPr>
          <w:rFonts w:ascii="Times New Roman" w:hAnsi="Times New Roman" w:cs="Times New Roman"/>
        </w:rPr>
      </w:pPr>
    </w:p>
    <w:p w:rsidR="000B54B7" w:rsidRPr="0003373C" w:rsidRDefault="000B54B7" w:rsidP="0003373C">
      <w:pPr>
        <w:spacing w:line="360" w:lineRule="auto"/>
        <w:rPr>
          <w:rFonts w:ascii="Times New Roman" w:hAnsi="Times New Roman" w:cs="Times New Roman"/>
        </w:rPr>
      </w:pPr>
    </w:p>
    <w:p w:rsidR="000B54B7" w:rsidRPr="0003373C" w:rsidRDefault="000B54B7" w:rsidP="0003373C">
      <w:pPr>
        <w:spacing w:line="360" w:lineRule="auto"/>
        <w:rPr>
          <w:rFonts w:ascii="Times New Roman" w:hAnsi="Times New Roman" w:cs="Times New Roman"/>
        </w:rPr>
      </w:pPr>
    </w:p>
    <w:p w:rsidR="00630A7F" w:rsidRPr="0003373C" w:rsidRDefault="00630A7F" w:rsidP="0003373C">
      <w:pPr>
        <w:spacing w:line="360" w:lineRule="auto"/>
        <w:rPr>
          <w:rFonts w:ascii="Times New Roman" w:hAnsi="Times New Roman" w:cs="Times New Roman"/>
        </w:rPr>
      </w:pPr>
    </w:p>
    <w:p w:rsidR="001B1EFE" w:rsidRPr="001B1EFE" w:rsidRDefault="001B1EFE" w:rsidP="006460F7">
      <w:pPr>
        <w:spacing w:line="360" w:lineRule="auto"/>
        <w:jc w:val="center"/>
        <w:rPr>
          <w:rFonts w:ascii="Times New Roman" w:hAnsi="Times New Roman" w:cs="Times New Roman"/>
          <w:i/>
          <w:iCs/>
        </w:rPr>
      </w:pPr>
      <w:r w:rsidRPr="001B1EFE">
        <w:rPr>
          <w:rFonts w:ascii="Times New Roman" w:hAnsi="Times New Roman" w:cs="Times New Roman"/>
          <w:b/>
          <w:bCs/>
        </w:rPr>
        <w:lastRenderedPageBreak/>
        <w:t>ABSTRACT</w:t>
      </w:r>
      <w:r w:rsidRPr="001B1EFE">
        <w:rPr>
          <w:rFonts w:ascii="Times New Roman" w:hAnsi="Times New Roman" w:cs="Times New Roman"/>
        </w:rPr>
        <w:br/>
      </w:r>
      <w:r w:rsidRPr="001B1EFE">
        <w:rPr>
          <w:rFonts w:ascii="Times New Roman" w:hAnsi="Times New Roman" w:cs="Times New Roman"/>
          <w:i/>
          <w:iCs/>
        </w:rPr>
        <w:t>This study analyzes risk management's impact on Nigerian Deposit Money Banks' profitability, using First City Monument Bank (FCMB) PLC (2013–2023) as a case. Longitudinal data from financial reports assessed credit, liquidity, and operational risks against profitability metrics (ROA/ROE). Regression analysis revealed</w:t>
      </w:r>
      <w:r>
        <w:rPr>
          <w:rFonts w:ascii="Times New Roman" w:hAnsi="Times New Roman" w:cs="Times New Roman"/>
          <w:i/>
          <w:iCs/>
        </w:rPr>
        <w:t xml:space="preserve"> that </w:t>
      </w:r>
      <w:r w:rsidRPr="001B1EFE">
        <w:rPr>
          <w:rFonts w:ascii="Times New Roman" w:hAnsi="Times New Roman" w:cs="Times New Roman"/>
          <w:i/>
          <w:iCs/>
        </w:rPr>
        <w:t>Credit risk (NPL ratio) significantly reduced profitability: A 1% NPL increase lowered ROA by 0.18% (p&lt;0.01).</w:t>
      </w:r>
      <w:r>
        <w:rPr>
          <w:rFonts w:ascii="Times New Roman" w:hAnsi="Times New Roman" w:cs="Times New Roman"/>
          <w:i/>
          <w:iCs/>
        </w:rPr>
        <w:t xml:space="preserve"> </w:t>
      </w:r>
      <w:r w:rsidRPr="001B1EFE">
        <w:rPr>
          <w:rFonts w:ascii="Times New Roman" w:hAnsi="Times New Roman" w:cs="Times New Roman"/>
          <w:i/>
          <w:iCs/>
        </w:rPr>
        <w:t>Operational risk investments (e.g., cybersecurity) paradoxically boosted ROA (+0.12%, p&lt;0.05) by curtailing fraud losses.</w:t>
      </w:r>
    </w:p>
    <w:p w:rsidR="001B1EFE" w:rsidRPr="001B1EFE" w:rsidRDefault="001B1EFE" w:rsidP="001B1EFE">
      <w:pPr>
        <w:spacing w:line="360" w:lineRule="auto"/>
        <w:jc w:val="both"/>
        <w:rPr>
          <w:rFonts w:ascii="Times New Roman" w:hAnsi="Times New Roman" w:cs="Times New Roman"/>
          <w:i/>
          <w:iCs/>
        </w:rPr>
      </w:pPr>
      <w:r w:rsidRPr="001B1EFE">
        <w:rPr>
          <w:rFonts w:ascii="Times New Roman" w:hAnsi="Times New Roman" w:cs="Times New Roman"/>
          <w:i/>
          <w:iCs/>
        </w:rPr>
        <w:t>Regulatory policies (e.g., CBN’s 2019 LDR mandate) strained liquidity but later spurred diversification into high-yield sectors like tech.</w:t>
      </w:r>
      <w:r>
        <w:rPr>
          <w:rFonts w:ascii="Times New Roman" w:hAnsi="Times New Roman" w:cs="Times New Roman"/>
          <w:i/>
          <w:iCs/>
        </w:rPr>
        <w:t xml:space="preserve"> </w:t>
      </w:r>
      <w:r w:rsidRPr="001B1EFE">
        <w:rPr>
          <w:rFonts w:ascii="Times New Roman" w:hAnsi="Times New Roman" w:cs="Times New Roman"/>
          <w:i/>
          <w:iCs/>
        </w:rPr>
        <w:t>FCMB’s average NPL (6.8%) consistently exceeded regulatory thresholds, driven by oil sector overexposure (65% loans, 2020). Post-LDR, tech investments yielded 22% returns. The study concludes that strategic risk diversification and operational risk mitigation enhance profitability, while credit risk remains critical. Recommendations include sectoral loan rebalancing and adaptive regulatory frameworks.</w:t>
      </w:r>
    </w:p>
    <w:p w:rsidR="001B1EFE" w:rsidRPr="001B1EFE" w:rsidRDefault="001B1EFE" w:rsidP="001B1EFE">
      <w:pPr>
        <w:spacing w:line="360" w:lineRule="auto"/>
        <w:rPr>
          <w:rFonts w:ascii="Times New Roman" w:hAnsi="Times New Roman" w:cs="Times New Roman"/>
        </w:rPr>
      </w:pPr>
      <w:r w:rsidRPr="001B1EFE">
        <w:rPr>
          <w:rFonts w:ascii="Times New Roman" w:hAnsi="Times New Roman" w:cs="Times New Roman"/>
          <w:b/>
          <w:bCs/>
        </w:rPr>
        <w:t>Keywords</w:t>
      </w:r>
      <w:r w:rsidRPr="001B1EFE">
        <w:rPr>
          <w:rFonts w:ascii="Times New Roman" w:hAnsi="Times New Roman" w:cs="Times New Roman"/>
        </w:rPr>
        <w:t>: </w:t>
      </w:r>
      <w:r w:rsidRPr="001B1EFE">
        <w:rPr>
          <w:rFonts w:ascii="Times New Roman" w:hAnsi="Times New Roman" w:cs="Times New Roman"/>
          <w:i/>
          <w:iCs/>
        </w:rPr>
        <w:t>Risk Management, Bank Profitability, FCMB, Credit Risk, Nigerian Banking Sector.</w:t>
      </w:r>
    </w:p>
    <w:p w:rsidR="000B54B7" w:rsidRPr="0003373C" w:rsidRDefault="000B54B7" w:rsidP="0003373C">
      <w:pPr>
        <w:spacing w:line="360" w:lineRule="auto"/>
        <w:rPr>
          <w:rFonts w:ascii="Times New Roman" w:hAnsi="Times New Roman" w:cs="Times New Roman"/>
        </w:rPr>
      </w:pPr>
    </w:p>
    <w:p w:rsidR="001B1EFE" w:rsidRDefault="001B1EFE" w:rsidP="00F82BFE">
      <w:pPr>
        <w:spacing w:line="480" w:lineRule="auto"/>
        <w:jc w:val="center"/>
        <w:rPr>
          <w:rFonts w:ascii="Times New Roman" w:hAnsi="Times New Roman" w:cs="Times New Roman"/>
          <w:b/>
          <w:bCs/>
        </w:rPr>
      </w:pPr>
    </w:p>
    <w:p w:rsidR="001B1EFE" w:rsidRDefault="001B1EFE" w:rsidP="00F82BFE">
      <w:pPr>
        <w:spacing w:line="480" w:lineRule="auto"/>
        <w:jc w:val="center"/>
        <w:rPr>
          <w:rFonts w:ascii="Times New Roman" w:hAnsi="Times New Roman" w:cs="Times New Roman"/>
          <w:b/>
          <w:bCs/>
        </w:rPr>
      </w:pPr>
    </w:p>
    <w:p w:rsidR="001B1EFE" w:rsidRDefault="001B1EFE" w:rsidP="001B1EFE">
      <w:pPr>
        <w:spacing w:line="480" w:lineRule="auto"/>
        <w:rPr>
          <w:rFonts w:ascii="Times New Roman" w:hAnsi="Times New Roman" w:cs="Times New Roman"/>
          <w:b/>
          <w:bCs/>
        </w:rPr>
        <w:sectPr w:rsidR="001B1EFE" w:rsidSect="001B1EFE">
          <w:footerReference w:type="default" r:id="rId8"/>
          <w:pgSz w:w="12240" w:h="15840"/>
          <w:pgMar w:top="1440" w:right="1440" w:bottom="1440" w:left="1440" w:header="720" w:footer="720" w:gutter="0"/>
          <w:pgNumType w:fmt="lowerRoman"/>
          <w:cols w:space="720"/>
          <w:docGrid w:linePitch="360"/>
        </w:sectPr>
      </w:pPr>
    </w:p>
    <w:p w:rsidR="000B54B7" w:rsidRPr="0003373C" w:rsidRDefault="0003373C" w:rsidP="001B1EFE">
      <w:pPr>
        <w:spacing w:before="240" w:after="0" w:line="480" w:lineRule="auto"/>
        <w:jc w:val="center"/>
        <w:rPr>
          <w:rFonts w:ascii="Times New Roman" w:hAnsi="Times New Roman" w:cs="Times New Roman"/>
          <w:b/>
          <w:bCs/>
        </w:rPr>
      </w:pPr>
      <w:r w:rsidRPr="0003373C">
        <w:rPr>
          <w:rFonts w:ascii="Times New Roman" w:hAnsi="Times New Roman" w:cs="Times New Roman"/>
          <w:b/>
          <w:bCs/>
        </w:rPr>
        <w:lastRenderedPageBreak/>
        <w:t>CHAPTER ONE</w:t>
      </w:r>
    </w:p>
    <w:p w:rsidR="000B54B7" w:rsidRPr="000B54B7" w:rsidRDefault="0003373C" w:rsidP="001B1EFE">
      <w:pPr>
        <w:spacing w:before="240" w:after="0" w:line="480" w:lineRule="auto"/>
        <w:jc w:val="center"/>
        <w:rPr>
          <w:rFonts w:ascii="Times New Roman" w:hAnsi="Times New Roman" w:cs="Times New Roman"/>
        </w:rPr>
      </w:pPr>
      <w:r w:rsidRPr="0003373C">
        <w:rPr>
          <w:rFonts w:ascii="Times New Roman" w:hAnsi="Times New Roman" w:cs="Times New Roman"/>
          <w:b/>
          <w:bCs/>
        </w:rPr>
        <w:t>INTRODUCTION</w:t>
      </w:r>
    </w:p>
    <w:p w:rsidR="000B54B7" w:rsidRPr="000B54B7" w:rsidRDefault="000B54B7" w:rsidP="001B1EFE">
      <w:pPr>
        <w:spacing w:before="240" w:after="0" w:line="480" w:lineRule="auto"/>
        <w:jc w:val="both"/>
        <w:rPr>
          <w:rFonts w:ascii="Times New Roman" w:hAnsi="Times New Roman" w:cs="Times New Roman"/>
        </w:rPr>
      </w:pPr>
      <w:r w:rsidRPr="000B54B7">
        <w:rPr>
          <w:rFonts w:ascii="Times New Roman" w:hAnsi="Times New Roman" w:cs="Times New Roman"/>
          <w:b/>
          <w:bCs/>
        </w:rPr>
        <w:t>1.</w:t>
      </w:r>
      <w:r w:rsidR="00C00A77">
        <w:rPr>
          <w:rFonts w:ascii="Times New Roman" w:hAnsi="Times New Roman" w:cs="Times New Roman"/>
          <w:b/>
          <w:bCs/>
        </w:rPr>
        <w:t>0</w:t>
      </w:r>
      <w:r w:rsidRPr="000B54B7">
        <w:rPr>
          <w:rFonts w:ascii="Times New Roman" w:hAnsi="Times New Roman" w:cs="Times New Roman"/>
          <w:b/>
          <w:bCs/>
        </w:rPr>
        <w:t xml:space="preserve"> </w:t>
      </w:r>
      <w:r w:rsidR="00C00A77">
        <w:rPr>
          <w:rFonts w:ascii="Times New Roman" w:hAnsi="Times New Roman" w:cs="Times New Roman"/>
          <w:b/>
          <w:bCs/>
        </w:rPr>
        <w:t xml:space="preserve">Introduction </w:t>
      </w:r>
      <w:r w:rsidRPr="000B54B7">
        <w:rPr>
          <w:rFonts w:ascii="Times New Roman" w:hAnsi="Times New Roman" w:cs="Times New Roman"/>
          <w:b/>
          <w:bCs/>
        </w:rPr>
        <w:t>of the Study</w:t>
      </w:r>
    </w:p>
    <w:p w:rsidR="00AE5A40" w:rsidRDefault="00AE5A40" w:rsidP="001B1EFE">
      <w:pPr>
        <w:spacing w:before="240" w:after="0" w:line="480" w:lineRule="auto"/>
        <w:jc w:val="both"/>
        <w:rPr>
          <w:rFonts w:ascii="Times New Roman" w:hAnsi="Times New Roman" w:cs="Times New Roman"/>
        </w:rPr>
      </w:pPr>
      <w:r w:rsidRPr="00AE5A40">
        <w:rPr>
          <w:rFonts w:ascii="Times New Roman" w:hAnsi="Times New Roman" w:cs="Times New Roman"/>
        </w:rPr>
        <w:t>Banks’ performance is one of the most crucial factors to be considered by investors and other stakeholders in their decision making. Investors are interested in the returns to their investment. According to Okpu and Obiora (2015), firms’ performance is the outcome of a firm’s strategy or an assessment of how well a firm achieved its business objectives. Financial Performance on the other hand, is one of the administrative key capacities pointed toward fulfilling the interest of investors and other partners, and as a result of this, it is of crucial importance to bank directors and management to know those variables that impact an organization’s performance.</w:t>
      </w:r>
    </w:p>
    <w:p w:rsidR="00AE5A40" w:rsidRDefault="00AE5A40" w:rsidP="001B1EFE">
      <w:pPr>
        <w:spacing w:before="240" w:after="0" w:line="480" w:lineRule="auto"/>
        <w:jc w:val="both"/>
        <w:rPr>
          <w:rFonts w:ascii="Times New Roman" w:hAnsi="Times New Roman" w:cs="Times New Roman"/>
        </w:rPr>
      </w:pPr>
      <w:r w:rsidRPr="00AE5A40">
        <w:rPr>
          <w:rFonts w:ascii="Times New Roman" w:hAnsi="Times New Roman" w:cs="Times New Roman"/>
        </w:rPr>
        <w:t xml:space="preserve">Achieving bank’s business objectives comes with various risks which threaten their performance and even survival (Muhammad &amp; Khan, 2018). This is because, intermediary functions involves risk but these risks ought to be effectively managed in order to increase shareholders returns, which on the long run will fundamentally affect both a bank performance and stability. The active issue that attracted different scholars and researchers are risk management and its effect on performance due to pervasive implications that poor risk management can have on a wider number of stakeholders such as depositors, managers and shareholders of the banks. Therefore, managing risk is an essential skill of all modern financial corporations, because those who manage risk well, are expected to perform better (Ebenezer Ahmad &amp; Omar, 2016). According to Olayinka, Emoarehi, Jonah and Ame (2017), risk management is a detailed process that entails identification of threats or disruptive elements, critically examining alternatives as to whether to eliminate or mitigate the identifiable threats which will help an organization to understand a wide </w:t>
      </w:r>
      <w:r w:rsidRPr="00AE5A40">
        <w:rPr>
          <w:rFonts w:ascii="Times New Roman" w:hAnsi="Times New Roman" w:cs="Times New Roman"/>
        </w:rPr>
        <w:lastRenderedPageBreak/>
        <w:t>set of risks facing today’s businesses. Nigerian deposit money banks are confronted with various kinds of threats such as poor risk management that if well managed will turn to be golden opportunity, otherwise it will bring down the corporate survival of the bank (Mukanzi &amp; Musiega, 2016). As a result of competitiveness, the survival instinct led financial institutions to avoid risk that threatened their existence. These risks will affect the performance of banks because risk is the likelihood that the genuine profit from a speculation or advance extennded will go astray from that which was normal (Yimka, Taofeek, Abimbola &amp; Olusegun, 2015).</w:t>
      </w:r>
    </w:p>
    <w:p w:rsidR="00AE5A40" w:rsidRDefault="00AE5A40" w:rsidP="001B1EFE">
      <w:pPr>
        <w:spacing w:before="240" w:after="0" w:line="480" w:lineRule="auto"/>
        <w:jc w:val="both"/>
        <w:rPr>
          <w:rFonts w:ascii="Times New Roman" w:hAnsi="Times New Roman" w:cs="Times New Roman"/>
        </w:rPr>
      </w:pPr>
      <w:r w:rsidRPr="00AE5A40">
        <w:rPr>
          <w:rFonts w:ascii="Times New Roman" w:hAnsi="Times New Roman" w:cs="Times New Roman"/>
        </w:rPr>
        <w:t xml:space="preserve">The emergent global crisis has impacted negatively on the nation’s financial sector, triggering instability in banks and the capital market (Igbatayo, 2011). The Financial Crisis Inquiry Commission of Nigeria concluded that the financial crisis was caused by significant failures of corporate governance, including risk management, failure of accountability and responsibility throughout each level of the lending system. This included borrowers, mortgage brokers, appraisers, originators, securitizers, credit rating agencies, and investors, which ranged from corporate boardrooms to individuals (The Economist, 2013). In response to the global financial crisis, governments and authorities in various nations took various actions to stabilize and save financial institutions in their economies. Some of the actions taken to bolster liquidity and restore market confidence in some jurisdictions included one or more of the following: which are state guarantee of wholesale debt obligations, recapitalization of banks or partial nationalisation; asset purchases; and Central Bank liquidity schemes (Soludo, 2009). Consequently, Nigeria was not an exception such that between 2006 and 2009, eight banks were saved from imminent collapse, with the sum of N620 billion injections by the Central Bank of Nigeria (CBN) (Institute of Credit and Collection Management- ICCM, 2014). The CBN, Securities and Exchange Commission (SEC) and National Insurance Commission (NAICOM) took significant measures to address the </w:t>
      </w:r>
      <w:r w:rsidRPr="00AE5A40">
        <w:rPr>
          <w:rFonts w:ascii="Times New Roman" w:hAnsi="Times New Roman" w:cs="Times New Roman"/>
        </w:rPr>
        <w:lastRenderedPageBreak/>
        <w:t>issues that led to the collapse or failure of the money and capital markets. Apart from the rescuing operations of the eight banks and the purchase of six of them by other banks, Assets Management Corporation of Nigeria (AMCON) was also established to take over the bad risk assets (ICCM, 2014). Thereafter, a great deal of efforts went into changing the governance structure and risk management departments of banks, including reporting on risk management issues. CBN brought risk management and compliance functions to the front burner. Profitability of Nigerian DMBs was impaired which resulted in reduced dividends, absence of bonus share and outright non declaration of dividends, even the big banks were not exempted.</w:t>
      </w:r>
    </w:p>
    <w:p w:rsidR="000B54B7" w:rsidRPr="000B54B7" w:rsidRDefault="000B54B7" w:rsidP="001B1EFE">
      <w:pPr>
        <w:spacing w:before="240" w:after="0" w:line="480" w:lineRule="auto"/>
        <w:jc w:val="both"/>
        <w:rPr>
          <w:rFonts w:ascii="Times New Roman" w:hAnsi="Times New Roman" w:cs="Times New Roman"/>
        </w:rPr>
      </w:pPr>
      <w:r w:rsidRPr="000B54B7">
        <w:rPr>
          <w:rFonts w:ascii="Times New Roman" w:hAnsi="Times New Roman" w:cs="Times New Roman"/>
        </w:rPr>
        <w:t>Nigeria’s financial ecosystem thrives on the backbone of its Deposit Money Banks (DMBs), institutions that serve as the lifeblood of economic activities by mobilizing savings, facilitating transactions, and extending credit to households and businesses. According to the Central Bank of Nigeria (CBN, 2023), DMBs account for over 85% of the nation’s financial assets, underscoring their systemic importance. However, the sector’s stability is perpetually tested by an array of risks—credit defaults, liquidity crunches, currency volatility, and cyber threats—that threaten profitability and public trust. The 2008 global financial crisis, which triggered the collapse of iconic institutions like Lehman Brothers, served as a wake-up call for Nigeria, exposing vulnerabilities in risk governance. In 2009, the CBN intervened to rescue nine Nigerian banks with a ₦620 billion bailout, citing “toxic” risk management practices as a primary culprit (Sanusi, 2010). This historical precedent underscores why risk management remains a non-negotiable priority for banks today.</w:t>
      </w:r>
    </w:p>
    <w:p w:rsidR="00F82BFE" w:rsidRPr="000B54B7" w:rsidRDefault="000B54B7" w:rsidP="001B1EFE">
      <w:pPr>
        <w:spacing w:before="240" w:after="0" w:line="480" w:lineRule="auto"/>
        <w:jc w:val="both"/>
        <w:rPr>
          <w:rFonts w:ascii="Times New Roman" w:hAnsi="Times New Roman" w:cs="Times New Roman"/>
        </w:rPr>
      </w:pPr>
      <w:r w:rsidRPr="000B54B7">
        <w:rPr>
          <w:rFonts w:ascii="Times New Roman" w:hAnsi="Times New Roman" w:cs="Times New Roman"/>
        </w:rPr>
        <w:t xml:space="preserve">First City Monument Bank (FCMB) PLC, a stalwart in Nigeria’s banking landscape since 1982, epitomizes both the opportunities and challenges of modern banking. With a footprint spanning 200 branches and assets exceeding ₦3.2 trillion in 2022 (FCMB Annual Report, 2022), FCMB </w:t>
      </w:r>
      <w:r w:rsidRPr="000B54B7">
        <w:rPr>
          <w:rFonts w:ascii="Times New Roman" w:hAnsi="Times New Roman" w:cs="Times New Roman"/>
        </w:rPr>
        <w:lastRenderedPageBreak/>
        <w:t>has cemented its role in financing SMEs and large corporations. Yet, like its peers, it navigates a minefield of risks. For instance, its non-performing loan (NPL) ratio rose to 6.7% in 2022, breaching the CBN’s 5% threshold, while its Return on Equity (ROE) dipped from 15.3% to 12.1% between 2021 and 2022. These fluctuations raise critical questions: How does FCMB’s approach to identifying and mitigating risks influence its bottom line? Could enhanced risk frameworks reverse profitability declines? This study seeks to unravel these questions, using FCMB as a microcosm of Nigeria’s broader banking realities.</w:t>
      </w:r>
    </w:p>
    <w:p w:rsidR="000B54B7" w:rsidRPr="000B54B7" w:rsidRDefault="000B54B7" w:rsidP="001B1EFE">
      <w:pPr>
        <w:spacing w:before="240" w:after="0" w:line="480" w:lineRule="auto"/>
        <w:jc w:val="both"/>
        <w:rPr>
          <w:rFonts w:ascii="Times New Roman" w:hAnsi="Times New Roman" w:cs="Times New Roman"/>
        </w:rPr>
      </w:pPr>
      <w:r w:rsidRPr="000B54B7">
        <w:rPr>
          <w:rFonts w:ascii="Times New Roman" w:hAnsi="Times New Roman" w:cs="Times New Roman"/>
          <w:b/>
          <w:bCs/>
        </w:rPr>
        <w:t>1.</w:t>
      </w:r>
      <w:r w:rsidR="00C00A77">
        <w:rPr>
          <w:rFonts w:ascii="Times New Roman" w:hAnsi="Times New Roman" w:cs="Times New Roman"/>
          <w:b/>
          <w:bCs/>
        </w:rPr>
        <w:t>1</w:t>
      </w:r>
      <w:r w:rsidRPr="000B54B7">
        <w:rPr>
          <w:rFonts w:ascii="Times New Roman" w:hAnsi="Times New Roman" w:cs="Times New Roman"/>
          <w:b/>
          <w:bCs/>
        </w:rPr>
        <w:t xml:space="preserve"> Statement of the Problem</w:t>
      </w:r>
    </w:p>
    <w:p w:rsidR="000B54B7" w:rsidRPr="000B54B7" w:rsidRDefault="000B54B7" w:rsidP="001B1EFE">
      <w:pPr>
        <w:spacing w:before="240" w:after="0" w:line="480" w:lineRule="auto"/>
        <w:jc w:val="both"/>
        <w:rPr>
          <w:rFonts w:ascii="Times New Roman" w:hAnsi="Times New Roman" w:cs="Times New Roman"/>
        </w:rPr>
      </w:pPr>
      <w:r w:rsidRPr="000B54B7">
        <w:rPr>
          <w:rFonts w:ascii="Times New Roman" w:hAnsi="Times New Roman" w:cs="Times New Roman"/>
        </w:rPr>
        <w:t>Nigeria’s banking sector operates in an environment riddled with volatility. Macroeconomic instability</w:t>
      </w:r>
      <w:r w:rsidRPr="0003373C">
        <w:rPr>
          <w:rFonts w:ascii="Times New Roman" w:hAnsi="Times New Roman" w:cs="Times New Roman"/>
        </w:rPr>
        <w:t xml:space="preserve"> </w:t>
      </w:r>
      <w:r w:rsidRPr="000B54B7">
        <w:rPr>
          <w:rFonts w:ascii="Times New Roman" w:hAnsi="Times New Roman" w:cs="Times New Roman"/>
        </w:rPr>
        <w:t>driven by fluctuating oil prices, inflation rates soaring to 27.3% in 2023 (NBS, 2023), and the naira’s depreciation</w:t>
      </w:r>
      <w:r w:rsidR="00AE5A40">
        <w:rPr>
          <w:rFonts w:ascii="Times New Roman" w:hAnsi="Times New Roman" w:cs="Times New Roman"/>
        </w:rPr>
        <w:t xml:space="preserve"> </w:t>
      </w:r>
      <w:r w:rsidRPr="000B54B7">
        <w:rPr>
          <w:rFonts w:ascii="Times New Roman" w:hAnsi="Times New Roman" w:cs="Times New Roman"/>
        </w:rPr>
        <w:t>creates a perfect storm for financial risks. Recent events, such as the 2020 COVID-19 pandemic and the 2023 naira redesign policy, exacerbated defaults and liquidity strains, pushing banks to their limits. For example, Skye Bank’s 2018 collapse and subsequent rebirth as Polaris Bank revealed systemic weaknesses in risk governance, including poor loan recovery practices and regulatory non-compliance (CBN, 2018).</w:t>
      </w:r>
    </w:p>
    <w:p w:rsidR="00F82BFE" w:rsidRPr="000B54B7" w:rsidRDefault="000B54B7" w:rsidP="001B1EFE">
      <w:pPr>
        <w:spacing w:before="240" w:after="0" w:line="480" w:lineRule="auto"/>
        <w:jc w:val="both"/>
        <w:rPr>
          <w:rFonts w:ascii="Times New Roman" w:hAnsi="Times New Roman" w:cs="Times New Roman"/>
        </w:rPr>
      </w:pPr>
      <w:r w:rsidRPr="000B54B7">
        <w:rPr>
          <w:rFonts w:ascii="Times New Roman" w:hAnsi="Times New Roman" w:cs="Times New Roman"/>
        </w:rPr>
        <w:t xml:space="preserve">FCMB, while avoiding such extremes, has not been immune. Despite its reputation for innovation, the bank’s NPL ratio has oscillated above the CBN’s benchmark in recent years, peaking at 8.9% in 2020 (NDIC, 2021). Simultaneously, profitability metrics like ROA and ROE have shown inconsistency, signaling potential gaps in aligning risk strategies with financial performance. Existing studies, such as Adeusi et al. (2014) and Oladejo &amp; Oladipupo (2011), provide broad insights into risk-profitability dynamics in Nigerian banks but often overlook institution-specific contexts. There is scant research dissecting how FCMB’s unique operational </w:t>
      </w:r>
      <w:r w:rsidRPr="000B54B7">
        <w:rPr>
          <w:rFonts w:ascii="Times New Roman" w:hAnsi="Times New Roman" w:cs="Times New Roman"/>
        </w:rPr>
        <w:lastRenderedPageBreak/>
        <w:t>strategies, customer base, or regulatory responses shape its risk outcomes. This gap limits stakeholders’ ability to craft targeted solutions.</w:t>
      </w:r>
    </w:p>
    <w:p w:rsidR="000B54B7" w:rsidRPr="000B54B7" w:rsidRDefault="000B54B7" w:rsidP="001B1EFE">
      <w:pPr>
        <w:spacing w:before="240" w:after="0" w:line="360" w:lineRule="auto"/>
        <w:jc w:val="both"/>
        <w:rPr>
          <w:rFonts w:ascii="Times New Roman" w:hAnsi="Times New Roman" w:cs="Times New Roman"/>
        </w:rPr>
      </w:pPr>
      <w:r w:rsidRPr="000B54B7">
        <w:rPr>
          <w:rFonts w:ascii="Times New Roman" w:hAnsi="Times New Roman" w:cs="Times New Roman"/>
          <w:b/>
          <w:bCs/>
        </w:rPr>
        <w:t>1.</w:t>
      </w:r>
      <w:r w:rsidR="00C00A77">
        <w:rPr>
          <w:rFonts w:ascii="Times New Roman" w:hAnsi="Times New Roman" w:cs="Times New Roman"/>
          <w:b/>
          <w:bCs/>
        </w:rPr>
        <w:t>2</w:t>
      </w:r>
      <w:r w:rsidRPr="000B54B7">
        <w:rPr>
          <w:rFonts w:ascii="Times New Roman" w:hAnsi="Times New Roman" w:cs="Times New Roman"/>
          <w:b/>
          <w:bCs/>
        </w:rPr>
        <w:t xml:space="preserve"> Objectives of the Study</w:t>
      </w:r>
    </w:p>
    <w:p w:rsidR="000B54B7" w:rsidRPr="000B54B7" w:rsidRDefault="000B54B7" w:rsidP="001B1EFE">
      <w:pPr>
        <w:spacing w:before="240" w:after="0" w:line="360" w:lineRule="auto"/>
        <w:jc w:val="both"/>
        <w:rPr>
          <w:rFonts w:ascii="Times New Roman" w:hAnsi="Times New Roman" w:cs="Times New Roman"/>
        </w:rPr>
      </w:pPr>
      <w:r w:rsidRPr="000B54B7">
        <w:rPr>
          <w:rFonts w:ascii="Times New Roman" w:hAnsi="Times New Roman" w:cs="Times New Roman"/>
        </w:rPr>
        <w:t>This study aims to:</w:t>
      </w:r>
    </w:p>
    <w:p w:rsidR="000B54B7" w:rsidRPr="000B54B7" w:rsidRDefault="000B54B7" w:rsidP="001B1EFE">
      <w:pPr>
        <w:numPr>
          <w:ilvl w:val="0"/>
          <w:numId w:val="1"/>
        </w:numPr>
        <w:spacing w:before="240" w:after="0" w:line="360" w:lineRule="auto"/>
        <w:jc w:val="both"/>
        <w:rPr>
          <w:rFonts w:ascii="Times New Roman" w:hAnsi="Times New Roman" w:cs="Times New Roman"/>
        </w:rPr>
      </w:pPr>
      <w:r w:rsidRPr="000B54B7">
        <w:rPr>
          <w:rFonts w:ascii="Times New Roman" w:hAnsi="Times New Roman" w:cs="Times New Roman"/>
          <w:b/>
          <w:bCs/>
        </w:rPr>
        <w:t>Analyze</w:t>
      </w:r>
      <w:r w:rsidRPr="000B54B7">
        <w:rPr>
          <w:rFonts w:ascii="Times New Roman" w:hAnsi="Times New Roman" w:cs="Times New Roman"/>
        </w:rPr>
        <w:t> the relationship between risk management practices and profitability in Nigerian DMBs, with a focus on FCMB PLC.</w:t>
      </w:r>
    </w:p>
    <w:p w:rsidR="000B54B7" w:rsidRPr="000B54B7" w:rsidRDefault="000B54B7" w:rsidP="001B1EFE">
      <w:pPr>
        <w:numPr>
          <w:ilvl w:val="0"/>
          <w:numId w:val="1"/>
        </w:numPr>
        <w:spacing w:before="240" w:after="0" w:line="360" w:lineRule="auto"/>
        <w:jc w:val="both"/>
        <w:rPr>
          <w:rFonts w:ascii="Times New Roman" w:hAnsi="Times New Roman" w:cs="Times New Roman"/>
        </w:rPr>
      </w:pPr>
      <w:r w:rsidRPr="000B54B7">
        <w:rPr>
          <w:rFonts w:ascii="Times New Roman" w:hAnsi="Times New Roman" w:cs="Times New Roman"/>
          <w:b/>
          <w:bCs/>
        </w:rPr>
        <w:t>Evaluate</w:t>
      </w:r>
      <w:r w:rsidRPr="000B54B7">
        <w:rPr>
          <w:rFonts w:ascii="Times New Roman" w:hAnsi="Times New Roman" w:cs="Times New Roman"/>
        </w:rPr>
        <w:t> the impact of credit risk management on FCMB’s profitability between 2013 and 2023.</w:t>
      </w:r>
    </w:p>
    <w:p w:rsidR="00F82BFE" w:rsidRPr="001B1EFE" w:rsidRDefault="000B54B7" w:rsidP="001B1EFE">
      <w:pPr>
        <w:numPr>
          <w:ilvl w:val="0"/>
          <w:numId w:val="1"/>
        </w:numPr>
        <w:spacing w:before="240" w:after="0" w:line="360" w:lineRule="auto"/>
        <w:jc w:val="both"/>
        <w:rPr>
          <w:rFonts w:ascii="Times New Roman" w:hAnsi="Times New Roman" w:cs="Times New Roman"/>
        </w:rPr>
      </w:pPr>
      <w:r w:rsidRPr="000B54B7">
        <w:rPr>
          <w:rFonts w:ascii="Times New Roman" w:hAnsi="Times New Roman" w:cs="Times New Roman"/>
          <w:b/>
          <w:bCs/>
        </w:rPr>
        <w:t>Assess</w:t>
      </w:r>
      <w:r w:rsidRPr="000B54B7">
        <w:rPr>
          <w:rFonts w:ascii="Times New Roman" w:hAnsi="Times New Roman" w:cs="Times New Roman"/>
        </w:rPr>
        <w:t> the role of regulatory frameworks (e.g., Basel III, CBN guidelines) in shaping FCMB’s risk management strategies.</w:t>
      </w:r>
    </w:p>
    <w:p w:rsidR="000B54B7" w:rsidRPr="000B54B7" w:rsidRDefault="000B54B7" w:rsidP="001B1EFE">
      <w:pPr>
        <w:spacing w:before="240" w:after="0" w:line="360" w:lineRule="auto"/>
        <w:jc w:val="both"/>
        <w:rPr>
          <w:rFonts w:ascii="Times New Roman" w:hAnsi="Times New Roman" w:cs="Times New Roman"/>
        </w:rPr>
      </w:pPr>
      <w:r w:rsidRPr="000B54B7">
        <w:rPr>
          <w:rFonts w:ascii="Times New Roman" w:hAnsi="Times New Roman" w:cs="Times New Roman"/>
          <w:b/>
          <w:bCs/>
        </w:rPr>
        <w:t>1.</w:t>
      </w:r>
      <w:r w:rsidR="00C00A77">
        <w:rPr>
          <w:rFonts w:ascii="Times New Roman" w:hAnsi="Times New Roman" w:cs="Times New Roman"/>
          <w:b/>
          <w:bCs/>
        </w:rPr>
        <w:t>3</w:t>
      </w:r>
      <w:r w:rsidRPr="000B54B7">
        <w:rPr>
          <w:rFonts w:ascii="Times New Roman" w:hAnsi="Times New Roman" w:cs="Times New Roman"/>
          <w:b/>
          <w:bCs/>
        </w:rPr>
        <w:t xml:space="preserve"> Research Questions</w:t>
      </w:r>
    </w:p>
    <w:p w:rsidR="000B54B7" w:rsidRPr="000B54B7" w:rsidRDefault="000B54B7" w:rsidP="001B1EFE">
      <w:pPr>
        <w:spacing w:before="240" w:after="0" w:line="360" w:lineRule="auto"/>
        <w:jc w:val="both"/>
        <w:rPr>
          <w:rFonts w:ascii="Times New Roman" w:hAnsi="Times New Roman" w:cs="Times New Roman"/>
        </w:rPr>
      </w:pPr>
      <w:r w:rsidRPr="000B54B7">
        <w:rPr>
          <w:rFonts w:ascii="Times New Roman" w:hAnsi="Times New Roman" w:cs="Times New Roman"/>
        </w:rPr>
        <w:t>To achieve these objectives, the study addresses the following questions:</w:t>
      </w:r>
    </w:p>
    <w:p w:rsidR="000B54B7" w:rsidRPr="000B54B7" w:rsidRDefault="000B54B7" w:rsidP="001B1EFE">
      <w:pPr>
        <w:numPr>
          <w:ilvl w:val="0"/>
          <w:numId w:val="2"/>
        </w:numPr>
        <w:spacing w:before="240" w:after="0" w:line="360" w:lineRule="auto"/>
        <w:jc w:val="both"/>
        <w:rPr>
          <w:rFonts w:ascii="Times New Roman" w:hAnsi="Times New Roman" w:cs="Times New Roman"/>
        </w:rPr>
      </w:pPr>
      <w:r w:rsidRPr="000B54B7">
        <w:rPr>
          <w:rFonts w:ascii="Times New Roman" w:hAnsi="Times New Roman" w:cs="Times New Roman"/>
        </w:rPr>
        <w:t>How do risk management practices influence the profitability of Nigerian DMBs, particularly FCMB PLC?</w:t>
      </w:r>
    </w:p>
    <w:p w:rsidR="000B54B7" w:rsidRPr="000B54B7" w:rsidRDefault="000B54B7" w:rsidP="001B1EFE">
      <w:pPr>
        <w:numPr>
          <w:ilvl w:val="0"/>
          <w:numId w:val="2"/>
        </w:numPr>
        <w:spacing w:before="240" w:after="0" w:line="360" w:lineRule="auto"/>
        <w:jc w:val="both"/>
        <w:rPr>
          <w:rFonts w:ascii="Times New Roman" w:hAnsi="Times New Roman" w:cs="Times New Roman"/>
        </w:rPr>
      </w:pPr>
      <w:r w:rsidRPr="000B54B7">
        <w:rPr>
          <w:rFonts w:ascii="Times New Roman" w:hAnsi="Times New Roman" w:cs="Times New Roman"/>
        </w:rPr>
        <w:t>To what extent has credit risk management affected FCMB’s financial performance over the past decade?</w:t>
      </w:r>
    </w:p>
    <w:p w:rsidR="000B54B7" w:rsidRPr="000B54B7" w:rsidRDefault="000B54B7" w:rsidP="001B1EFE">
      <w:pPr>
        <w:numPr>
          <w:ilvl w:val="0"/>
          <w:numId w:val="2"/>
        </w:numPr>
        <w:spacing w:before="240" w:after="0" w:line="360" w:lineRule="auto"/>
        <w:jc w:val="both"/>
        <w:rPr>
          <w:rFonts w:ascii="Times New Roman" w:hAnsi="Times New Roman" w:cs="Times New Roman"/>
        </w:rPr>
      </w:pPr>
      <w:r w:rsidRPr="000B54B7">
        <w:rPr>
          <w:rFonts w:ascii="Times New Roman" w:hAnsi="Times New Roman" w:cs="Times New Roman"/>
        </w:rPr>
        <w:t>How have regulatory policies influenced the design and implementation of risk management strategies at FCMB?</w:t>
      </w:r>
    </w:p>
    <w:p w:rsidR="00F82BFE" w:rsidRDefault="00F82BFE" w:rsidP="001B1EFE">
      <w:pPr>
        <w:spacing w:before="240" w:after="0" w:line="360" w:lineRule="auto"/>
        <w:jc w:val="both"/>
        <w:rPr>
          <w:rFonts w:ascii="Times New Roman" w:hAnsi="Times New Roman" w:cs="Times New Roman"/>
          <w:b/>
          <w:bCs/>
        </w:rPr>
      </w:pPr>
    </w:p>
    <w:p w:rsidR="000B54B7" w:rsidRPr="000B54B7" w:rsidRDefault="000B54B7" w:rsidP="001B1EFE">
      <w:pPr>
        <w:spacing w:before="240" w:after="0" w:line="360" w:lineRule="auto"/>
        <w:jc w:val="both"/>
        <w:rPr>
          <w:rFonts w:ascii="Times New Roman" w:hAnsi="Times New Roman" w:cs="Times New Roman"/>
        </w:rPr>
      </w:pPr>
      <w:r w:rsidRPr="000B54B7">
        <w:rPr>
          <w:rFonts w:ascii="Times New Roman" w:hAnsi="Times New Roman" w:cs="Times New Roman"/>
          <w:b/>
          <w:bCs/>
        </w:rPr>
        <w:t>1.</w:t>
      </w:r>
      <w:r w:rsidR="00C00A77">
        <w:rPr>
          <w:rFonts w:ascii="Times New Roman" w:hAnsi="Times New Roman" w:cs="Times New Roman"/>
          <w:b/>
          <w:bCs/>
        </w:rPr>
        <w:t>4</w:t>
      </w:r>
      <w:r w:rsidRPr="000B54B7">
        <w:rPr>
          <w:rFonts w:ascii="Times New Roman" w:hAnsi="Times New Roman" w:cs="Times New Roman"/>
          <w:b/>
          <w:bCs/>
        </w:rPr>
        <w:t xml:space="preserve"> Research Hypotheses</w:t>
      </w:r>
    </w:p>
    <w:p w:rsidR="000B54B7" w:rsidRPr="000B54B7" w:rsidRDefault="000B54B7" w:rsidP="001B1EFE">
      <w:pPr>
        <w:spacing w:before="240" w:after="0" w:line="360" w:lineRule="auto"/>
        <w:jc w:val="both"/>
        <w:rPr>
          <w:rFonts w:ascii="Times New Roman" w:hAnsi="Times New Roman" w:cs="Times New Roman"/>
        </w:rPr>
      </w:pPr>
      <w:r w:rsidRPr="000B54B7">
        <w:rPr>
          <w:rFonts w:ascii="Times New Roman" w:hAnsi="Times New Roman" w:cs="Times New Roman"/>
        </w:rPr>
        <w:t>The study tests the following hypotheses:</w:t>
      </w:r>
    </w:p>
    <w:p w:rsidR="000B54B7" w:rsidRPr="000B54B7" w:rsidRDefault="000B54B7" w:rsidP="001B1EFE">
      <w:pPr>
        <w:spacing w:before="240" w:after="0" w:line="360" w:lineRule="auto"/>
        <w:jc w:val="both"/>
        <w:rPr>
          <w:rFonts w:ascii="Times New Roman" w:hAnsi="Times New Roman" w:cs="Times New Roman"/>
        </w:rPr>
      </w:pPr>
      <w:r w:rsidRPr="000B54B7">
        <w:rPr>
          <w:rFonts w:ascii="Times New Roman" w:hAnsi="Times New Roman" w:cs="Times New Roman"/>
          <w:b/>
          <w:bCs/>
        </w:rPr>
        <w:t>Hypothesis (H₀₁):</w:t>
      </w:r>
    </w:p>
    <w:p w:rsidR="000B54B7" w:rsidRPr="000B54B7" w:rsidRDefault="000B54B7" w:rsidP="001B1EFE">
      <w:pPr>
        <w:spacing w:before="240" w:after="0" w:line="360" w:lineRule="auto"/>
        <w:jc w:val="both"/>
        <w:rPr>
          <w:rFonts w:ascii="Times New Roman" w:hAnsi="Times New Roman" w:cs="Times New Roman"/>
        </w:rPr>
      </w:pPr>
      <w:r w:rsidRPr="000B54B7">
        <w:rPr>
          <w:rFonts w:ascii="Times New Roman" w:hAnsi="Times New Roman" w:cs="Times New Roman"/>
        </w:rPr>
        <w:lastRenderedPageBreak/>
        <w:t>There is no significant relationship between risk management practices (credit, liquidity, and operational risk management) and the profitability of First City Monument Bank PLC.</w:t>
      </w:r>
    </w:p>
    <w:p w:rsidR="000B54B7" w:rsidRPr="000B54B7" w:rsidRDefault="000B54B7" w:rsidP="001B1EFE">
      <w:pPr>
        <w:spacing w:before="240" w:after="0" w:line="360" w:lineRule="auto"/>
        <w:jc w:val="both"/>
        <w:rPr>
          <w:rFonts w:ascii="Times New Roman" w:hAnsi="Times New Roman" w:cs="Times New Roman"/>
        </w:rPr>
      </w:pPr>
      <w:r w:rsidRPr="000B54B7">
        <w:rPr>
          <w:rFonts w:ascii="Times New Roman" w:hAnsi="Times New Roman" w:cs="Times New Roman"/>
          <w:b/>
          <w:bCs/>
        </w:rPr>
        <w:t>Hypothesis (H₀₂):</w:t>
      </w:r>
    </w:p>
    <w:p w:rsidR="000B54B7" w:rsidRPr="000B54B7" w:rsidRDefault="000B54B7" w:rsidP="001B1EFE">
      <w:pPr>
        <w:spacing w:before="240" w:after="0" w:line="360" w:lineRule="auto"/>
        <w:jc w:val="both"/>
        <w:rPr>
          <w:rFonts w:ascii="Times New Roman" w:hAnsi="Times New Roman" w:cs="Times New Roman"/>
        </w:rPr>
      </w:pPr>
      <w:r w:rsidRPr="000B54B7">
        <w:rPr>
          <w:rFonts w:ascii="Times New Roman" w:hAnsi="Times New Roman" w:cs="Times New Roman"/>
          <w:b/>
          <w:bCs/>
        </w:rPr>
        <w:t>C</w:t>
      </w:r>
      <w:r w:rsidRPr="000B54B7">
        <w:rPr>
          <w:rFonts w:ascii="Times New Roman" w:hAnsi="Times New Roman" w:cs="Times New Roman"/>
        </w:rPr>
        <w:t>redit risk management (proxied by the non-performing loan ratio) has no significant effect on the profitability of First City Monument Bank PLC."</w:t>
      </w:r>
    </w:p>
    <w:p w:rsidR="000B54B7" w:rsidRPr="000B54B7" w:rsidRDefault="000B54B7" w:rsidP="001B1EFE">
      <w:pPr>
        <w:spacing w:before="240" w:after="0" w:line="360" w:lineRule="auto"/>
        <w:jc w:val="both"/>
        <w:rPr>
          <w:rFonts w:ascii="Times New Roman" w:hAnsi="Times New Roman" w:cs="Times New Roman"/>
        </w:rPr>
      </w:pPr>
      <w:r w:rsidRPr="000B54B7">
        <w:rPr>
          <w:rFonts w:ascii="Times New Roman" w:hAnsi="Times New Roman" w:cs="Times New Roman"/>
          <w:b/>
          <w:bCs/>
        </w:rPr>
        <w:t>Hypothesis (H₀₃):</w:t>
      </w:r>
    </w:p>
    <w:p w:rsidR="000B54B7" w:rsidRPr="0003373C" w:rsidRDefault="000B54B7" w:rsidP="001B1EFE">
      <w:pPr>
        <w:spacing w:before="240" w:after="0" w:line="360" w:lineRule="auto"/>
        <w:jc w:val="both"/>
        <w:rPr>
          <w:rFonts w:ascii="Times New Roman" w:hAnsi="Times New Roman" w:cs="Times New Roman"/>
        </w:rPr>
      </w:pPr>
      <w:r w:rsidRPr="000B54B7">
        <w:rPr>
          <w:rFonts w:ascii="Times New Roman" w:hAnsi="Times New Roman" w:cs="Times New Roman"/>
        </w:rPr>
        <w:t>Regulatory frameworks (e.g., Basel III, CBN guidelines) have no significant influence on the design and implementation of risk management strategies at First City Monument Bank PLC.</w:t>
      </w:r>
    </w:p>
    <w:p w:rsidR="000B54B7" w:rsidRPr="000B54B7" w:rsidRDefault="000B54B7" w:rsidP="001B1EFE">
      <w:pPr>
        <w:spacing w:before="240" w:after="0" w:line="480" w:lineRule="auto"/>
        <w:jc w:val="both"/>
        <w:rPr>
          <w:rFonts w:ascii="Times New Roman" w:hAnsi="Times New Roman" w:cs="Times New Roman"/>
        </w:rPr>
      </w:pPr>
      <w:r w:rsidRPr="000B54B7">
        <w:rPr>
          <w:rFonts w:ascii="Times New Roman" w:hAnsi="Times New Roman" w:cs="Times New Roman"/>
          <w:b/>
          <w:bCs/>
        </w:rPr>
        <w:t>1.</w:t>
      </w:r>
      <w:r w:rsidR="00C00A77">
        <w:rPr>
          <w:rFonts w:ascii="Times New Roman" w:hAnsi="Times New Roman" w:cs="Times New Roman"/>
          <w:b/>
          <w:bCs/>
        </w:rPr>
        <w:t>5</w:t>
      </w:r>
      <w:r w:rsidRPr="000B54B7">
        <w:rPr>
          <w:rFonts w:ascii="Times New Roman" w:hAnsi="Times New Roman" w:cs="Times New Roman"/>
          <w:b/>
          <w:bCs/>
        </w:rPr>
        <w:t xml:space="preserve"> Significance of the Study</w:t>
      </w:r>
    </w:p>
    <w:p w:rsidR="000B54B7" w:rsidRPr="000B54B7" w:rsidRDefault="000B54B7" w:rsidP="001B1EFE">
      <w:pPr>
        <w:spacing w:before="240" w:after="0" w:line="480" w:lineRule="auto"/>
        <w:jc w:val="both"/>
        <w:rPr>
          <w:rFonts w:ascii="Times New Roman" w:hAnsi="Times New Roman" w:cs="Times New Roman"/>
        </w:rPr>
      </w:pPr>
      <w:r w:rsidRPr="000B54B7">
        <w:rPr>
          <w:rFonts w:ascii="Times New Roman" w:hAnsi="Times New Roman" w:cs="Times New Roman"/>
        </w:rPr>
        <w:t>This research carries implications for multiple stakeholders:</w:t>
      </w:r>
    </w:p>
    <w:p w:rsidR="000B54B7" w:rsidRPr="000B54B7" w:rsidRDefault="000B54B7" w:rsidP="001B1EFE">
      <w:pPr>
        <w:spacing w:before="240" w:after="0" w:line="480" w:lineRule="auto"/>
        <w:ind w:left="360"/>
        <w:jc w:val="both"/>
        <w:rPr>
          <w:rFonts w:ascii="Times New Roman" w:hAnsi="Times New Roman" w:cs="Times New Roman"/>
        </w:rPr>
      </w:pPr>
      <w:r w:rsidRPr="000B54B7">
        <w:rPr>
          <w:rFonts w:ascii="Times New Roman" w:hAnsi="Times New Roman" w:cs="Times New Roman"/>
          <w:b/>
          <w:bCs/>
        </w:rPr>
        <w:t>Bank Management:</w:t>
      </w:r>
      <w:r w:rsidRPr="000B54B7">
        <w:rPr>
          <w:rFonts w:ascii="Times New Roman" w:hAnsi="Times New Roman" w:cs="Times New Roman"/>
        </w:rPr>
        <w:t> The findings will equip FCMB’s executives with evidence-based insights to refine risk models, optimize capital allocation, and align strategies with Nigeria’s dynamic economic climate. For example, identifying whether high NPLs correlate with specific loan portfolios could inform tighter credit controls.</w:t>
      </w:r>
    </w:p>
    <w:p w:rsidR="000B54B7" w:rsidRPr="000B54B7" w:rsidRDefault="000B54B7" w:rsidP="001B1EFE">
      <w:pPr>
        <w:spacing w:before="240" w:after="0" w:line="480" w:lineRule="auto"/>
        <w:ind w:left="360"/>
        <w:jc w:val="both"/>
        <w:rPr>
          <w:rFonts w:ascii="Times New Roman" w:hAnsi="Times New Roman" w:cs="Times New Roman"/>
        </w:rPr>
      </w:pPr>
      <w:r w:rsidRPr="000B54B7">
        <w:rPr>
          <w:rFonts w:ascii="Times New Roman" w:hAnsi="Times New Roman" w:cs="Times New Roman"/>
          <w:b/>
          <w:bCs/>
        </w:rPr>
        <w:t>Regulators:</w:t>
      </w:r>
      <w:r w:rsidRPr="000B54B7">
        <w:rPr>
          <w:rFonts w:ascii="Times New Roman" w:hAnsi="Times New Roman" w:cs="Times New Roman"/>
        </w:rPr>
        <w:t> The CBN and NDIC may use the study’s outcomes to strengthen risk-based supervision frameworks. If regulatory policies (e.g., loan-to-deposit ratios) are found to strain banks’ liquidity, adjustments could be proposed.</w:t>
      </w:r>
    </w:p>
    <w:p w:rsidR="000B54B7" w:rsidRPr="000B54B7" w:rsidRDefault="000B54B7" w:rsidP="001B1EFE">
      <w:pPr>
        <w:spacing w:before="240" w:after="0" w:line="480" w:lineRule="auto"/>
        <w:ind w:left="360"/>
        <w:jc w:val="both"/>
        <w:rPr>
          <w:rFonts w:ascii="Times New Roman" w:hAnsi="Times New Roman" w:cs="Times New Roman"/>
        </w:rPr>
      </w:pPr>
      <w:r w:rsidRPr="000B54B7">
        <w:rPr>
          <w:rFonts w:ascii="Times New Roman" w:hAnsi="Times New Roman" w:cs="Times New Roman"/>
          <w:b/>
          <w:bCs/>
        </w:rPr>
        <w:t>Academia:</w:t>
      </w:r>
      <w:r w:rsidRPr="000B54B7">
        <w:rPr>
          <w:rFonts w:ascii="Times New Roman" w:hAnsi="Times New Roman" w:cs="Times New Roman"/>
        </w:rPr>
        <w:t> The study fills a critical gap in literature by providing a granular, decade-long analysis of FCMB, enriching discussions on risk management in emerging markets.</w:t>
      </w:r>
    </w:p>
    <w:p w:rsidR="00F82BFE" w:rsidRPr="001B1EFE" w:rsidRDefault="000B54B7" w:rsidP="001B1EFE">
      <w:pPr>
        <w:spacing w:before="240" w:after="0" w:line="480" w:lineRule="auto"/>
        <w:ind w:left="360"/>
        <w:jc w:val="both"/>
        <w:rPr>
          <w:rFonts w:ascii="Times New Roman" w:hAnsi="Times New Roman" w:cs="Times New Roman"/>
        </w:rPr>
      </w:pPr>
      <w:r w:rsidRPr="000B54B7">
        <w:rPr>
          <w:rFonts w:ascii="Times New Roman" w:hAnsi="Times New Roman" w:cs="Times New Roman"/>
          <w:b/>
          <w:bCs/>
        </w:rPr>
        <w:t>Economy:</w:t>
      </w:r>
      <w:r w:rsidRPr="000B54B7">
        <w:rPr>
          <w:rFonts w:ascii="Times New Roman" w:hAnsi="Times New Roman" w:cs="Times New Roman"/>
        </w:rPr>
        <w:t> By enhancing banking sector stability, the research indirectly supports Nigeria’s economic resilience, fostering investor confidence and sustainable growth.</w:t>
      </w:r>
    </w:p>
    <w:p w:rsidR="000B54B7" w:rsidRPr="000B54B7" w:rsidRDefault="000B54B7" w:rsidP="001B1EFE">
      <w:pPr>
        <w:spacing w:before="240" w:after="0" w:line="480" w:lineRule="auto"/>
        <w:jc w:val="both"/>
        <w:rPr>
          <w:rFonts w:ascii="Times New Roman" w:hAnsi="Times New Roman" w:cs="Times New Roman"/>
        </w:rPr>
      </w:pPr>
      <w:r w:rsidRPr="000B54B7">
        <w:rPr>
          <w:rFonts w:ascii="Times New Roman" w:hAnsi="Times New Roman" w:cs="Times New Roman"/>
          <w:b/>
          <w:bCs/>
        </w:rPr>
        <w:lastRenderedPageBreak/>
        <w:t>1.</w:t>
      </w:r>
      <w:r w:rsidR="00C00A77">
        <w:rPr>
          <w:rFonts w:ascii="Times New Roman" w:hAnsi="Times New Roman" w:cs="Times New Roman"/>
          <w:b/>
          <w:bCs/>
        </w:rPr>
        <w:t>6</w:t>
      </w:r>
      <w:r w:rsidRPr="000B54B7">
        <w:rPr>
          <w:rFonts w:ascii="Times New Roman" w:hAnsi="Times New Roman" w:cs="Times New Roman"/>
          <w:b/>
          <w:bCs/>
        </w:rPr>
        <w:t xml:space="preserve"> Scope and Limitations</w:t>
      </w:r>
    </w:p>
    <w:p w:rsidR="000B54B7" w:rsidRPr="000B54B7" w:rsidRDefault="000B54B7" w:rsidP="001B1EFE">
      <w:pPr>
        <w:spacing w:before="240" w:after="0" w:line="360" w:lineRule="auto"/>
        <w:ind w:left="360"/>
        <w:jc w:val="both"/>
        <w:rPr>
          <w:rFonts w:ascii="Times New Roman" w:hAnsi="Times New Roman" w:cs="Times New Roman"/>
        </w:rPr>
      </w:pPr>
      <w:r w:rsidRPr="000B54B7">
        <w:rPr>
          <w:rFonts w:ascii="Times New Roman" w:hAnsi="Times New Roman" w:cs="Times New Roman"/>
          <w:b/>
          <w:bCs/>
        </w:rPr>
        <w:t>Scope:</w:t>
      </w:r>
      <w:r w:rsidRPr="000B54B7">
        <w:rPr>
          <w:rFonts w:ascii="Times New Roman" w:hAnsi="Times New Roman" w:cs="Times New Roman"/>
        </w:rPr>
        <w:t> The study focuses on FCMB PLC, analyzing its financial data (2013–2023) to assess credit, liquidity, and operational risks. Key metrics include NPL ratios, liquidity ratios, ROA, and ROE.</w:t>
      </w:r>
    </w:p>
    <w:p w:rsidR="000B54B7" w:rsidRPr="000B54B7" w:rsidRDefault="000B54B7" w:rsidP="001B1EFE">
      <w:pPr>
        <w:spacing w:before="240" w:after="0" w:line="360" w:lineRule="auto"/>
        <w:ind w:left="360"/>
        <w:jc w:val="both"/>
        <w:rPr>
          <w:rFonts w:ascii="Times New Roman" w:hAnsi="Times New Roman" w:cs="Times New Roman"/>
        </w:rPr>
      </w:pPr>
      <w:r w:rsidRPr="000B54B7">
        <w:rPr>
          <w:rFonts w:ascii="Times New Roman" w:hAnsi="Times New Roman" w:cs="Times New Roman"/>
          <w:b/>
          <w:bCs/>
        </w:rPr>
        <w:t>Limitations:</w:t>
      </w:r>
    </w:p>
    <w:p w:rsidR="000B54B7" w:rsidRPr="000B54B7" w:rsidRDefault="000B54B7" w:rsidP="001B1EFE">
      <w:pPr>
        <w:numPr>
          <w:ilvl w:val="1"/>
          <w:numId w:val="5"/>
        </w:numPr>
        <w:spacing w:before="240" w:after="0" w:line="360" w:lineRule="auto"/>
        <w:jc w:val="both"/>
        <w:rPr>
          <w:rFonts w:ascii="Times New Roman" w:hAnsi="Times New Roman" w:cs="Times New Roman"/>
        </w:rPr>
      </w:pPr>
      <w:r w:rsidRPr="000B54B7">
        <w:rPr>
          <w:rFonts w:ascii="Times New Roman" w:hAnsi="Times New Roman" w:cs="Times New Roman"/>
          <w:b/>
          <w:bCs/>
        </w:rPr>
        <w:t>Data Constraints:</w:t>
      </w:r>
      <w:r w:rsidRPr="000B54B7">
        <w:rPr>
          <w:rFonts w:ascii="Times New Roman" w:hAnsi="Times New Roman" w:cs="Times New Roman"/>
        </w:rPr>
        <w:t> Reliance on secondary data (e.g., annual reports) may omit qualitative factors like corporate culture or leadership decisions affecting risk practices.</w:t>
      </w:r>
    </w:p>
    <w:p w:rsidR="000B54B7" w:rsidRPr="000B54B7" w:rsidRDefault="000B54B7" w:rsidP="001B1EFE">
      <w:pPr>
        <w:numPr>
          <w:ilvl w:val="1"/>
          <w:numId w:val="5"/>
        </w:numPr>
        <w:spacing w:before="240" w:after="0" w:line="360" w:lineRule="auto"/>
        <w:jc w:val="both"/>
        <w:rPr>
          <w:rFonts w:ascii="Times New Roman" w:hAnsi="Times New Roman" w:cs="Times New Roman"/>
        </w:rPr>
      </w:pPr>
      <w:r w:rsidRPr="000B54B7">
        <w:rPr>
          <w:rFonts w:ascii="Times New Roman" w:hAnsi="Times New Roman" w:cs="Times New Roman"/>
          <w:b/>
          <w:bCs/>
        </w:rPr>
        <w:t>Macroeconomic Omissions:</w:t>
      </w:r>
      <w:r w:rsidRPr="000B54B7">
        <w:rPr>
          <w:rFonts w:ascii="Times New Roman" w:hAnsi="Times New Roman" w:cs="Times New Roman"/>
        </w:rPr>
        <w:t> External variables like inflation or GDP growth are excluded, though they indirectly influence bank performance.</w:t>
      </w:r>
    </w:p>
    <w:p w:rsidR="00F82BFE" w:rsidRPr="001B1EFE" w:rsidRDefault="000B54B7" w:rsidP="001B1EFE">
      <w:pPr>
        <w:numPr>
          <w:ilvl w:val="1"/>
          <w:numId w:val="5"/>
        </w:numPr>
        <w:spacing w:before="240" w:after="0" w:line="360" w:lineRule="auto"/>
        <w:jc w:val="both"/>
        <w:rPr>
          <w:rFonts w:ascii="Times New Roman" w:hAnsi="Times New Roman" w:cs="Times New Roman"/>
        </w:rPr>
      </w:pPr>
      <w:r w:rsidRPr="000B54B7">
        <w:rPr>
          <w:rFonts w:ascii="Times New Roman" w:hAnsi="Times New Roman" w:cs="Times New Roman"/>
          <w:b/>
          <w:bCs/>
        </w:rPr>
        <w:t>Generalizability:</w:t>
      </w:r>
      <w:r w:rsidRPr="000B54B7">
        <w:rPr>
          <w:rFonts w:ascii="Times New Roman" w:hAnsi="Times New Roman" w:cs="Times New Roman"/>
        </w:rPr>
        <w:t> Findings are specific to FCMB and may not apply universally to other Nigerian DMBs.</w:t>
      </w:r>
    </w:p>
    <w:p w:rsidR="000B54B7" w:rsidRPr="000B54B7" w:rsidRDefault="000B54B7" w:rsidP="001B1EFE">
      <w:pPr>
        <w:spacing w:before="240" w:after="0" w:line="360" w:lineRule="auto"/>
        <w:jc w:val="both"/>
        <w:rPr>
          <w:rFonts w:ascii="Times New Roman" w:hAnsi="Times New Roman" w:cs="Times New Roman"/>
        </w:rPr>
      </w:pPr>
      <w:r w:rsidRPr="000B54B7">
        <w:rPr>
          <w:rFonts w:ascii="Times New Roman" w:hAnsi="Times New Roman" w:cs="Times New Roman"/>
          <w:b/>
          <w:bCs/>
        </w:rPr>
        <w:t>1.</w:t>
      </w:r>
      <w:r w:rsidR="00C00A77">
        <w:rPr>
          <w:rFonts w:ascii="Times New Roman" w:hAnsi="Times New Roman" w:cs="Times New Roman"/>
          <w:b/>
          <w:bCs/>
        </w:rPr>
        <w:t>7</w:t>
      </w:r>
      <w:r w:rsidRPr="000B54B7">
        <w:rPr>
          <w:rFonts w:ascii="Times New Roman" w:hAnsi="Times New Roman" w:cs="Times New Roman"/>
          <w:b/>
          <w:bCs/>
        </w:rPr>
        <w:t xml:space="preserve"> Operational Definition of Terms</w:t>
      </w:r>
    </w:p>
    <w:p w:rsidR="000B54B7" w:rsidRPr="0003373C" w:rsidRDefault="000B54B7" w:rsidP="001B1EFE">
      <w:pPr>
        <w:pStyle w:val="ListParagraph"/>
        <w:numPr>
          <w:ilvl w:val="0"/>
          <w:numId w:val="8"/>
        </w:numPr>
        <w:spacing w:before="240" w:after="0" w:line="360" w:lineRule="auto"/>
        <w:jc w:val="both"/>
        <w:rPr>
          <w:rFonts w:ascii="Times New Roman" w:hAnsi="Times New Roman" w:cs="Times New Roman"/>
        </w:rPr>
      </w:pPr>
      <w:r w:rsidRPr="0003373C">
        <w:rPr>
          <w:rFonts w:ascii="Times New Roman" w:hAnsi="Times New Roman" w:cs="Times New Roman"/>
          <w:b/>
          <w:bCs/>
        </w:rPr>
        <w:t>Risk Management:</w:t>
      </w:r>
      <w:r w:rsidRPr="0003373C">
        <w:rPr>
          <w:rFonts w:ascii="Times New Roman" w:hAnsi="Times New Roman" w:cs="Times New Roman"/>
        </w:rPr>
        <w:t> A systematic process of identifying, assessing, and mitigating financial risks (e.g., credit defaults, liquidity shortages) to safeguard a bank’s assets and earnings (Basel Committee, 2017).</w:t>
      </w:r>
    </w:p>
    <w:p w:rsidR="000B54B7" w:rsidRPr="0003373C" w:rsidRDefault="000B54B7" w:rsidP="001B1EFE">
      <w:pPr>
        <w:pStyle w:val="ListParagraph"/>
        <w:numPr>
          <w:ilvl w:val="0"/>
          <w:numId w:val="8"/>
        </w:numPr>
        <w:spacing w:before="240" w:after="0" w:line="360" w:lineRule="auto"/>
        <w:jc w:val="both"/>
        <w:rPr>
          <w:rFonts w:ascii="Times New Roman" w:hAnsi="Times New Roman" w:cs="Times New Roman"/>
        </w:rPr>
      </w:pPr>
      <w:r w:rsidRPr="0003373C">
        <w:rPr>
          <w:rFonts w:ascii="Times New Roman" w:hAnsi="Times New Roman" w:cs="Times New Roman"/>
          <w:b/>
          <w:bCs/>
        </w:rPr>
        <w:t>Profitability:</w:t>
      </w:r>
      <w:r w:rsidRPr="0003373C">
        <w:rPr>
          <w:rFonts w:ascii="Times New Roman" w:hAnsi="Times New Roman" w:cs="Times New Roman"/>
        </w:rPr>
        <w:t> The ability to generate earnings, measured through:</w:t>
      </w:r>
    </w:p>
    <w:p w:rsidR="000B54B7" w:rsidRPr="0003373C" w:rsidRDefault="000B54B7" w:rsidP="001B1EFE">
      <w:pPr>
        <w:pStyle w:val="ListParagraph"/>
        <w:numPr>
          <w:ilvl w:val="0"/>
          <w:numId w:val="8"/>
        </w:numPr>
        <w:spacing w:before="240" w:after="0" w:line="360" w:lineRule="auto"/>
        <w:jc w:val="both"/>
        <w:rPr>
          <w:rFonts w:ascii="Times New Roman" w:hAnsi="Times New Roman" w:cs="Times New Roman"/>
        </w:rPr>
      </w:pPr>
      <w:r w:rsidRPr="0003373C">
        <w:rPr>
          <w:rFonts w:ascii="Times New Roman" w:hAnsi="Times New Roman" w:cs="Times New Roman"/>
          <w:b/>
          <w:bCs/>
        </w:rPr>
        <w:t>Return on Assets (ROA):</w:t>
      </w:r>
      <w:r w:rsidRPr="0003373C">
        <w:rPr>
          <w:rFonts w:ascii="Times New Roman" w:hAnsi="Times New Roman" w:cs="Times New Roman"/>
        </w:rPr>
        <w:t> Net income divided by total assets, indicating efficiency in asset utilization.</w:t>
      </w:r>
    </w:p>
    <w:p w:rsidR="000B54B7" w:rsidRPr="0003373C" w:rsidRDefault="000B54B7" w:rsidP="001B1EFE">
      <w:pPr>
        <w:pStyle w:val="ListParagraph"/>
        <w:numPr>
          <w:ilvl w:val="0"/>
          <w:numId w:val="8"/>
        </w:numPr>
        <w:spacing w:before="240" w:after="0" w:line="360" w:lineRule="auto"/>
        <w:jc w:val="both"/>
        <w:rPr>
          <w:rFonts w:ascii="Times New Roman" w:hAnsi="Times New Roman" w:cs="Times New Roman"/>
        </w:rPr>
      </w:pPr>
      <w:r w:rsidRPr="0003373C">
        <w:rPr>
          <w:rFonts w:ascii="Times New Roman" w:hAnsi="Times New Roman" w:cs="Times New Roman"/>
          <w:b/>
          <w:bCs/>
        </w:rPr>
        <w:t>Return on Equity (ROE):</w:t>
      </w:r>
      <w:r w:rsidRPr="0003373C">
        <w:rPr>
          <w:rFonts w:ascii="Times New Roman" w:hAnsi="Times New Roman" w:cs="Times New Roman"/>
        </w:rPr>
        <w:t> Net income divided by shareholders’ equity, reflecting returns to investors (Saunders &amp; Cornett, 2018).</w:t>
      </w:r>
    </w:p>
    <w:p w:rsidR="000B54B7" w:rsidRPr="0003373C" w:rsidRDefault="000B54B7" w:rsidP="001B1EFE">
      <w:pPr>
        <w:pStyle w:val="ListParagraph"/>
        <w:numPr>
          <w:ilvl w:val="0"/>
          <w:numId w:val="8"/>
        </w:numPr>
        <w:spacing w:before="240" w:after="0" w:line="360" w:lineRule="auto"/>
        <w:jc w:val="both"/>
        <w:rPr>
          <w:rFonts w:ascii="Times New Roman" w:hAnsi="Times New Roman" w:cs="Times New Roman"/>
        </w:rPr>
      </w:pPr>
      <w:r w:rsidRPr="0003373C">
        <w:rPr>
          <w:rFonts w:ascii="Times New Roman" w:hAnsi="Times New Roman" w:cs="Times New Roman"/>
          <w:b/>
          <w:bCs/>
        </w:rPr>
        <w:t>Non-Performing Loans (NPLs):</w:t>
      </w:r>
      <w:r w:rsidRPr="0003373C">
        <w:rPr>
          <w:rFonts w:ascii="Times New Roman" w:hAnsi="Times New Roman" w:cs="Times New Roman"/>
        </w:rPr>
        <w:t> Loans overdue by 90 days or more, signaling credit risk exposure (CBN, 2022).</w:t>
      </w:r>
    </w:p>
    <w:p w:rsidR="000B54B7" w:rsidRPr="000B54B7" w:rsidRDefault="000B54B7" w:rsidP="001B1EFE">
      <w:pPr>
        <w:spacing w:before="240" w:after="0" w:line="480" w:lineRule="auto"/>
        <w:jc w:val="both"/>
        <w:rPr>
          <w:rFonts w:ascii="Times New Roman" w:hAnsi="Times New Roman" w:cs="Times New Roman"/>
        </w:rPr>
      </w:pPr>
    </w:p>
    <w:p w:rsidR="000B54B7" w:rsidRPr="0003373C" w:rsidRDefault="000B54B7" w:rsidP="001B1EFE">
      <w:pPr>
        <w:spacing w:before="240" w:after="0" w:line="480" w:lineRule="auto"/>
        <w:jc w:val="both"/>
        <w:rPr>
          <w:rFonts w:ascii="Times New Roman" w:hAnsi="Times New Roman" w:cs="Times New Roman"/>
        </w:rPr>
      </w:pPr>
    </w:p>
    <w:p w:rsidR="0003373C" w:rsidRPr="0003373C" w:rsidRDefault="0003373C" w:rsidP="006460F7">
      <w:pPr>
        <w:spacing w:before="240" w:after="0" w:line="360" w:lineRule="auto"/>
        <w:jc w:val="center"/>
        <w:rPr>
          <w:rFonts w:ascii="Times New Roman" w:hAnsi="Times New Roman" w:cs="Times New Roman"/>
          <w:b/>
          <w:bCs/>
        </w:rPr>
      </w:pPr>
      <w:r w:rsidRPr="0003373C">
        <w:rPr>
          <w:rFonts w:ascii="Times New Roman" w:hAnsi="Times New Roman" w:cs="Times New Roman"/>
          <w:b/>
          <w:bCs/>
        </w:rPr>
        <w:lastRenderedPageBreak/>
        <w:t>CHAPTER TWO</w:t>
      </w:r>
    </w:p>
    <w:p w:rsidR="0003373C" w:rsidRPr="0003373C" w:rsidRDefault="00C00A77" w:rsidP="006460F7">
      <w:pPr>
        <w:spacing w:before="240" w:after="0" w:line="360" w:lineRule="auto"/>
        <w:rPr>
          <w:rFonts w:ascii="Times New Roman" w:hAnsi="Times New Roman" w:cs="Times New Roman"/>
        </w:rPr>
      </w:pPr>
      <w:r>
        <w:rPr>
          <w:rFonts w:ascii="Times New Roman" w:hAnsi="Times New Roman" w:cs="Times New Roman"/>
          <w:b/>
          <w:bCs/>
        </w:rPr>
        <w:t xml:space="preserve">2.0 </w:t>
      </w:r>
      <w:r w:rsidR="009923F7" w:rsidRPr="0003373C">
        <w:rPr>
          <w:rFonts w:ascii="Times New Roman" w:hAnsi="Times New Roman" w:cs="Times New Roman"/>
          <w:b/>
          <w:bCs/>
        </w:rPr>
        <w:t>LITERATURE REVIEW</w:t>
      </w:r>
    </w:p>
    <w:p w:rsidR="0003373C" w:rsidRDefault="0003373C" w:rsidP="006460F7">
      <w:pPr>
        <w:spacing w:before="240" w:after="0" w:line="360" w:lineRule="auto"/>
        <w:jc w:val="both"/>
        <w:rPr>
          <w:rFonts w:ascii="Times New Roman" w:hAnsi="Times New Roman" w:cs="Times New Roman"/>
          <w:b/>
          <w:bCs/>
        </w:rPr>
      </w:pPr>
      <w:r w:rsidRPr="0003373C">
        <w:rPr>
          <w:rFonts w:ascii="Times New Roman" w:hAnsi="Times New Roman" w:cs="Times New Roman"/>
          <w:b/>
          <w:bCs/>
        </w:rPr>
        <w:t>2.1 Conceptual Review</w:t>
      </w:r>
    </w:p>
    <w:p w:rsidR="00793888" w:rsidRPr="0003373C" w:rsidRDefault="00793888" w:rsidP="006460F7">
      <w:pPr>
        <w:spacing w:before="240" w:after="0" w:line="360" w:lineRule="auto"/>
        <w:jc w:val="both"/>
        <w:rPr>
          <w:rFonts w:ascii="Times New Roman" w:hAnsi="Times New Roman" w:cs="Times New Roman"/>
        </w:rPr>
      </w:pPr>
      <w:r w:rsidRPr="00793888">
        <w:rPr>
          <w:rFonts w:ascii="Times New Roman" w:hAnsi="Times New Roman" w:cs="Times New Roman"/>
        </w:rPr>
        <w:t>Risk management entails creating an acceptable risk environment in order to protect banks from negative outcomes or risk exposure (Vimalakumaran &amp; Karim, 2020). These can be achieved by categorizing incidents into one or more broad categories of business, credit, liquidity, operational, and other threats, assessing risks using data and risk measures, reviewing and reporting them on a timely basis, with the senior management controlling these risks. Agencies are confronted with risks that have the ability to affect their enterprise. Risk control in financial services, particularly in the banking industry, focuses on detecting, assessing, and evaluating threats in order to minimize content, reputational, opportunity, and other costs. In order to explain further, Atoi, (2018) viewed bank risk as that part of unforeseen circumstances that are inherent in the operation of banking practice; these include credit risk, liquidity risk and operational risk. According to Yüksel and Zengin, (2016),Credit risk, market risk, and operating risk are the three major threats in the banking industry (Yüksel &amp; Zengin, 2016). Since financial institutions are confronted with different forms of risk that threaten their survival, and risk mismanagement or poor management has a greater impact on every financial institution's performance, the bank should therefore prioritize their business operations in the modern world of business in order to mitigate against its effect on banks profitability (Olalere &amp; Feyitimi, 2017). According to Aganoke (2018), risk management is the most influential field in which the banking industry's benefit is eroded (credit, liquidity and operational). These elements have been proven and widely used as standard measurement for risk management practices. Risk management is the systematic application of organizational-wide processes to define, analyze, handle, and track risks in order to use aggregated data to secure, release and generate value (Ahmed &amp; Manab, 2016). The effect of risk management on bank financial performance is a mixed bag, according to empirical evidence and the findings of numerous studies. While some researchers discovered risk management and bank performance to have a negative relationship, others discovered a positive relationship.</w:t>
      </w:r>
    </w:p>
    <w:p w:rsidR="000207D4" w:rsidRPr="00EC2A47" w:rsidRDefault="000207D4" w:rsidP="006460F7">
      <w:pPr>
        <w:spacing w:before="240" w:after="0" w:line="360" w:lineRule="auto"/>
        <w:jc w:val="both"/>
        <w:rPr>
          <w:rFonts w:ascii="Times New Roman" w:hAnsi="Times New Roman" w:cs="Times New Roman"/>
        </w:rPr>
      </w:pPr>
      <w:r>
        <w:rPr>
          <w:rFonts w:ascii="Times New Roman" w:hAnsi="Times New Roman" w:cs="Times New Roman"/>
          <w:b/>
          <w:bCs/>
        </w:rPr>
        <w:t>2.1.1</w:t>
      </w:r>
      <w:r>
        <w:rPr>
          <w:rFonts w:ascii="Times New Roman" w:hAnsi="Times New Roman" w:cs="Times New Roman"/>
          <w:b/>
          <w:bCs/>
        </w:rPr>
        <w:tab/>
      </w:r>
      <w:r w:rsidRPr="00EC2A47">
        <w:rPr>
          <w:rFonts w:ascii="Times New Roman" w:hAnsi="Times New Roman" w:cs="Times New Roman"/>
          <w:b/>
          <w:bCs/>
        </w:rPr>
        <w:t>Risk Management in Banking</w:t>
      </w:r>
    </w:p>
    <w:p w:rsidR="000207D4" w:rsidRPr="00EC2A47"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rPr>
        <w:lastRenderedPageBreak/>
        <w:t>Risk management in banking is a structured discipline aimed at identifying, evaluating, and mitigating financial risks that could jeopardize a bank’s solvency, operational continuity, and profitability. In Nigeria, where economic volatility and regulatory complexities are pervasive, Deposit Money Banks (DMBs) face a labyrinth of risks that demand proactive and adaptive strategies. Below, we delve into the four cardinal risks confronting Nigerian banks, contextualized with real-world examples and data, followed by an exploration of profitability metrics that gauge their resilience.</w:t>
      </w:r>
    </w:p>
    <w:p w:rsidR="000207D4" w:rsidRPr="00EC2A47"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b/>
          <w:bCs/>
        </w:rPr>
        <w:t>1. Credit Risk</w:t>
      </w:r>
    </w:p>
    <w:p w:rsidR="000207D4" w:rsidRPr="00EC2A47"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rPr>
        <w:t>Credit risk arises when borrowers default on loans or fail to meet contractual obligations, directly eroding a bank’s asset quality and profitability.</w:t>
      </w:r>
    </w:p>
    <w:p w:rsidR="000207D4" w:rsidRPr="00EC2A47"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b/>
          <w:bCs/>
        </w:rPr>
        <w:t>Non-Performing Loans (NPLs):</w:t>
      </w:r>
      <w:r w:rsidRPr="00EC2A47">
        <w:rPr>
          <w:rFonts w:ascii="Times New Roman" w:hAnsi="Times New Roman" w:cs="Times New Roman"/>
        </w:rPr>
        <w:t> Nigerian banks reported an average NPL ratio of 6.2% in 2022, surpassing the Central Bank of Nigeria (CBN)’s 5% prudential threshold (CBN, 2023). This reflects systemic challenges such as weak credit appraisal systems, economic downturns, and sector-specific vulnerabilities. For instance, FCMB’s exposure to Nigeria’s oil and gas sector—a volatile industry contributing 65% of its loan portfolio in 2020—left it vulnerable to global oil price crashes, pushing its NPL ratio to 8.9% during the pandemic (FCMB, 2020; NDIC, 2021).</w:t>
      </w:r>
    </w:p>
    <w:p w:rsidR="000207D4" w:rsidRPr="00EC2A47"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b/>
          <w:bCs/>
        </w:rPr>
        <w:t>Sectoral Risks:</w:t>
      </w:r>
      <w:r w:rsidRPr="00EC2A47">
        <w:rPr>
          <w:rFonts w:ascii="Times New Roman" w:hAnsi="Times New Roman" w:cs="Times New Roman"/>
        </w:rPr>
        <w:t> Agriculture and SMEs, though critical to Nigeria’s GDP, are often deemed high-risk due to inconsistent government policies and collateral shortages. Banks like FCMB allocate less than 10% of their portfolios to these sectors, stifling inclusive growth while avoiding credit losses (World Bank, 2023).</w:t>
      </w:r>
    </w:p>
    <w:p w:rsidR="000207D4" w:rsidRPr="00EC2A47"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b/>
          <w:bCs/>
        </w:rPr>
        <w:t>2. Liquidity Risk</w:t>
      </w:r>
    </w:p>
    <w:p w:rsidR="000207D4" w:rsidRPr="00EC2A47"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rPr>
        <w:t>Liquidity risk occurs when a bank cannot meet short-term obligations due to mismatches between asset maturities and liability demands.</w:t>
      </w:r>
    </w:p>
    <w:p w:rsidR="000207D4" w:rsidRPr="00EC2A47"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b/>
          <w:bCs/>
        </w:rPr>
        <w:t>COVID-19 Impact:</w:t>
      </w:r>
      <w:r w:rsidRPr="00EC2A47">
        <w:rPr>
          <w:rFonts w:ascii="Times New Roman" w:hAnsi="Times New Roman" w:cs="Times New Roman"/>
        </w:rPr>
        <w:t> The 2020 pandemic triggered mass withdrawals and loan deferrals, forcing banks like FCMB to draw ₦50 billion from the CBN’s Special Liquidity Facility to stabilize operations (FCMB Annual Report, 2020).</w:t>
      </w:r>
    </w:p>
    <w:p w:rsidR="000207D4" w:rsidRPr="00EC2A47"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b/>
          <w:bCs/>
        </w:rPr>
        <w:lastRenderedPageBreak/>
        <w:t>Regulatory Pressures:</w:t>
      </w:r>
      <w:r w:rsidRPr="00EC2A47">
        <w:rPr>
          <w:rFonts w:ascii="Times New Roman" w:hAnsi="Times New Roman" w:cs="Times New Roman"/>
        </w:rPr>
        <w:t> The CBN’s 2019 Loan-to-Deposit Ratio (LDR) policy, mandating banks to allocate 65% of deposits to loans, strained liquidity buffers. While aimed at stimulating credit flow, it pressured banks to prioritize risky lending over liquidity management, exacerbating systemic fragility (Okoye &amp; Eze, 2020).</w:t>
      </w:r>
    </w:p>
    <w:p w:rsidR="000207D4"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b/>
          <w:bCs/>
        </w:rPr>
        <w:t>3. Operational Risk</w:t>
      </w:r>
    </w:p>
    <w:p w:rsidR="000207D4" w:rsidRPr="00EC2A47"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rPr>
        <w:t>Operational risk stems from internal failures, including fraud, cyberattacks, human error, or inadequate processes.</w:t>
      </w:r>
    </w:p>
    <w:p w:rsidR="000207D4" w:rsidRPr="00EC2A47"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b/>
          <w:bCs/>
        </w:rPr>
        <w:t>Cyber Fraud:</w:t>
      </w:r>
      <w:r w:rsidRPr="00EC2A47">
        <w:rPr>
          <w:rFonts w:ascii="Times New Roman" w:hAnsi="Times New Roman" w:cs="Times New Roman"/>
        </w:rPr>
        <w:t> Nigerian banks lost ₦9.3 billion to electronic fraud in 2023, a 65% increase from 2022 (NDIC, 2023). FCMB reported 12,000 attempted cyberattacks in 2022 alone, prompting a 40% rise in IT security investments (FCMB, 2022).</w:t>
      </w:r>
    </w:p>
    <w:p w:rsidR="000207D4" w:rsidRPr="00EC2A47"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b/>
          <w:bCs/>
        </w:rPr>
        <w:t>Internal Governance:</w:t>
      </w:r>
      <w:r w:rsidRPr="00EC2A47">
        <w:rPr>
          <w:rFonts w:ascii="Times New Roman" w:hAnsi="Times New Roman" w:cs="Times New Roman"/>
        </w:rPr>
        <w:t> Weak internal controls have led to scandals, such as the 2018 collapse of Skye Bank (now Polaris Bank), attributed to insider abuse and poor loan recovery practices (CBN, 2018).</w:t>
      </w:r>
    </w:p>
    <w:p w:rsidR="000207D4" w:rsidRPr="00EC2A47"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b/>
          <w:bCs/>
        </w:rPr>
        <w:t>4. Market Risk</w:t>
      </w:r>
    </w:p>
    <w:p w:rsidR="000207D4" w:rsidRPr="00EC2A47"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rPr>
        <w:t>Market risk involves losses from adverse movements in exchange rates, interest rates, or commodity prices.</w:t>
      </w:r>
    </w:p>
    <w:p w:rsidR="000207D4" w:rsidRPr="00EC2A47"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b/>
          <w:bCs/>
        </w:rPr>
        <w:t>Currency Volatility:</w:t>
      </w:r>
      <w:r w:rsidRPr="00EC2A47">
        <w:rPr>
          <w:rFonts w:ascii="Times New Roman" w:hAnsi="Times New Roman" w:cs="Times New Roman"/>
        </w:rPr>
        <w:t> The naira’s 40% devaluation in 2023 amplified foreign currency loan risks. For example, FCMB’s $300 million offshore borrowings became costlier to service, squeezing profit margins (NBS, 2023).</w:t>
      </w:r>
    </w:p>
    <w:p w:rsidR="000207D4" w:rsidRPr="00EC2A47"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b/>
          <w:bCs/>
        </w:rPr>
        <w:t>Interest Rate Fluctuations:</w:t>
      </w:r>
      <w:r w:rsidRPr="00EC2A47">
        <w:rPr>
          <w:rFonts w:ascii="Times New Roman" w:hAnsi="Times New Roman" w:cs="Times New Roman"/>
        </w:rPr>
        <w:t> The CBN’s frequent monetary policy adjustments (e.g., hiking rates to 18.75% in 2023 to curb inflation) created repayment shocks for variable-rate borrowers, increasing default risks (CBN, 2023).</w:t>
      </w:r>
    </w:p>
    <w:p w:rsidR="000207D4" w:rsidRPr="00EC2A47" w:rsidRDefault="000207D4" w:rsidP="006460F7">
      <w:pPr>
        <w:spacing w:before="240" w:after="0" w:line="360" w:lineRule="auto"/>
        <w:jc w:val="both"/>
        <w:rPr>
          <w:rFonts w:ascii="Times New Roman" w:hAnsi="Times New Roman" w:cs="Times New Roman"/>
        </w:rPr>
      </w:pPr>
      <w:r>
        <w:rPr>
          <w:rFonts w:ascii="Times New Roman" w:hAnsi="Times New Roman" w:cs="Times New Roman"/>
          <w:b/>
          <w:bCs/>
        </w:rPr>
        <w:t>2.1.2</w:t>
      </w:r>
      <w:r>
        <w:rPr>
          <w:rFonts w:ascii="Times New Roman" w:hAnsi="Times New Roman" w:cs="Times New Roman"/>
          <w:b/>
          <w:bCs/>
        </w:rPr>
        <w:tab/>
      </w:r>
      <w:r w:rsidRPr="00EC2A47">
        <w:rPr>
          <w:rFonts w:ascii="Times New Roman" w:hAnsi="Times New Roman" w:cs="Times New Roman"/>
          <w:b/>
          <w:bCs/>
        </w:rPr>
        <w:t>Profitability in Banking</w:t>
      </w:r>
    </w:p>
    <w:p w:rsidR="000207D4"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rPr>
        <w:t>Profitability is the ultimate barometer of a bank’s health, reflecting its ability to generate sustainable returns amid risks. Two key metrics dominate this assessment:</w:t>
      </w:r>
    </w:p>
    <w:p w:rsidR="006A1BE9" w:rsidRDefault="006A1BE9" w:rsidP="006460F7">
      <w:pPr>
        <w:spacing w:before="240" w:after="0" w:line="360" w:lineRule="auto"/>
        <w:jc w:val="both"/>
        <w:rPr>
          <w:rFonts w:ascii="Times New Roman" w:hAnsi="Times New Roman" w:cs="Times New Roman"/>
        </w:rPr>
      </w:pPr>
    </w:p>
    <w:p w:rsidR="006A1BE9" w:rsidRPr="00EC2A47" w:rsidRDefault="006A1BE9" w:rsidP="006460F7">
      <w:pPr>
        <w:spacing w:before="240" w:after="0" w:line="360" w:lineRule="auto"/>
        <w:jc w:val="both"/>
        <w:rPr>
          <w:rFonts w:ascii="Times New Roman" w:hAnsi="Times New Roman" w:cs="Times New Roman"/>
        </w:rPr>
      </w:pPr>
    </w:p>
    <w:p w:rsidR="000207D4" w:rsidRPr="00EC2A47"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b/>
          <w:bCs/>
        </w:rPr>
        <w:t>1. Return on Assets (ROA)</w:t>
      </w:r>
    </w:p>
    <w:p w:rsidR="000207D4" w:rsidRPr="00EC2A47"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rPr>
        <w:t>ROA measures how efficiently a bank uses its assets to generate profits, calculated as ROA=Net IncomeTotal AssetsROA=Total AssetsNet Income​.</w:t>
      </w:r>
    </w:p>
    <w:p w:rsidR="000207D4" w:rsidRPr="00EC2A47" w:rsidRDefault="000207D4" w:rsidP="006460F7">
      <w:pPr>
        <w:numPr>
          <w:ilvl w:val="0"/>
          <w:numId w:val="26"/>
        </w:numPr>
        <w:spacing w:before="240" w:after="0" w:line="360" w:lineRule="auto"/>
        <w:jc w:val="both"/>
        <w:rPr>
          <w:rFonts w:ascii="Times New Roman" w:hAnsi="Times New Roman" w:cs="Times New Roman"/>
        </w:rPr>
      </w:pPr>
      <w:r w:rsidRPr="00EC2A47">
        <w:rPr>
          <w:rFonts w:ascii="Times New Roman" w:hAnsi="Times New Roman" w:cs="Times New Roman"/>
        </w:rPr>
        <w:t>Nigerian banks averaged an ROA of 1.8% in 2022, trailing peers like Kenya (2.5%) and South Africa (2.1%) (World Bank, 2023).</w:t>
      </w:r>
    </w:p>
    <w:p w:rsidR="000207D4" w:rsidRPr="00EC2A47" w:rsidRDefault="000207D4" w:rsidP="006460F7">
      <w:pPr>
        <w:numPr>
          <w:ilvl w:val="0"/>
          <w:numId w:val="26"/>
        </w:numPr>
        <w:spacing w:before="240" w:after="0" w:line="360" w:lineRule="auto"/>
        <w:jc w:val="both"/>
        <w:rPr>
          <w:rFonts w:ascii="Times New Roman" w:hAnsi="Times New Roman" w:cs="Times New Roman"/>
        </w:rPr>
      </w:pPr>
      <w:r w:rsidRPr="00EC2A47">
        <w:rPr>
          <w:rFonts w:ascii="Times New Roman" w:hAnsi="Times New Roman" w:cs="Times New Roman"/>
          <w:b/>
          <w:bCs/>
        </w:rPr>
        <w:t>FCMB’s Performance:</w:t>
      </w:r>
      <w:r w:rsidRPr="00EC2A47">
        <w:rPr>
          <w:rFonts w:ascii="Times New Roman" w:hAnsi="Times New Roman" w:cs="Times New Roman"/>
        </w:rPr>
        <w:t> FCMB’s ROA dipped from 1.5% in 2021 to 1.2% in 2022, reflecting rising operational costs and loan loss provisions (FCMB, 2022).</w:t>
      </w:r>
    </w:p>
    <w:p w:rsidR="000207D4" w:rsidRPr="00EC2A47"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b/>
          <w:bCs/>
        </w:rPr>
        <w:t>2. Return on Equity (ROE)</w:t>
      </w:r>
    </w:p>
    <w:p w:rsidR="000207D4"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rPr>
        <w:t>ROE gauges returns to shareholders, expressed</w:t>
      </w:r>
      <w:r>
        <w:rPr>
          <w:rFonts w:ascii="Times New Roman" w:hAnsi="Times New Roman" w:cs="Times New Roman"/>
        </w:rPr>
        <w:t xml:space="preserve"> </w:t>
      </w:r>
      <w:r w:rsidRPr="00EC2A47">
        <w:rPr>
          <w:rFonts w:ascii="Times New Roman" w:hAnsi="Times New Roman" w:cs="Times New Roman"/>
        </w:rPr>
        <w:t>as ROE=Net Income</w:t>
      </w:r>
      <w:r>
        <w:rPr>
          <w:rFonts w:ascii="Times New Roman" w:hAnsi="Times New Roman" w:cs="Times New Roman"/>
        </w:rPr>
        <w:t xml:space="preserve"> </w:t>
      </w:r>
      <w:r w:rsidRPr="00EC2A47">
        <w:rPr>
          <w:rFonts w:ascii="Times New Roman" w:hAnsi="Times New Roman" w:cs="Times New Roman"/>
        </w:rPr>
        <w:t>Shareholders’ Equity</w:t>
      </w:r>
      <w:r>
        <w:rPr>
          <w:rFonts w:ascii="Times New Roman" w:hAnsi="Times New Roman" w:cs="Times New Roman"/>
        </w:rPr>
        <w:t xml:space="preserve"> </w:t>
      </w:r>
      <w:r w:rsidRPr="00EC2A47">
        <w:rPr>
          <w:rFonts w:ascii="Times New Roman" w:hAnsi="Times New Roman" w:cs="Times New Roman"/>
        </w:rPr>
        <w:t>ROE=Shareholders’ Equity</w:t>
      </w:r>
      <w:r>
        <w:rPr>
          <w:rFonts w:ascii="Times New Roman" w:hAnsi="Times New Roman" w:cs="Times New Roman"/>
        </w:rPr>
        <w:t xml:space="preserve"> </w:t>
      </w:r>
      <w:r w:rsidRPr="00EC2A47">
        <w:rPr>
          <w:rFonts w:ascii="Times New Roman" w:hAnsi="Times New Roman" w:cs="Times New Roman"/>
        </w:rPr>
        <w:t>Net Income​.</w:t>
      </w:r>
    </w:p>
    <w:p w:rsidR="000207D4" w:rsidRPr="00EC2A47" w:rsidRDefault="000207D4" w:rsidP="006460F7">
      <w:pPr>
        <w:numPr>
          <w:ilvl w:val="0"/>
          <w:numId w:val="27"/>
        </w:numPr>
        <w:spacing w:before="240" w:after="0" w:line="360" w:lineRule="auto"/>
        <w:jc w:val="both"/>
        <w:rPr>
          <w:rFonts w:ascii="Times New Roman" w:hAnsi="Times New Roman" w:cs="Times New Roman"/>
        </w:rPr>
      </w:pPr>
      <w:r w:rsidRPr="00EC2A47">
        <w:rPr>
          <w:rFonts w:ascii="Times New Roman" w:hAnsi="Times New Roman" w:cs="Times New Roman"/>
        </w:rPr>
        <w:t>FCMB’s ROE declined from 15.3% in 2021 to 12.1% in 2022, mirroring sector-wide pressures such as regulatory costs and economic headwinds (FCMB, 2022).</w:t>
      </w:r>
    </w:p>
    <w:p w:rsidR="000207D4" w:rsidRPr="00EC2A47" w:rsidRDefault="000207D4" w:rsidP="006460F7">
      <w:pPr>
        <w:numPr>
          <w:ilvl w:val="0"/>
          <w:numId w:val="27"/>
        </w:numPr>
        <w:spacing w:before="240" w:after="0" w:line="360" w:lineRule="auto"/>
        <w:jc w:val="both"/>
        <w:rPr>
          <w:rFonts w:ascii="Times New Roman" w:hAnsi="Times New Roman" w:cs="Times New Roman"/>
        </w:rPr>
      </w:pPr>
      <w:r w:rsidRPr="00EC2A47">
        <w:rPr>
          <w:rFonts w:ascii="Times New Roman" w:hAnsi="Times New Roman" w:cs="Times New Roman"/>
          <w:b/>
          <w:bCs/>
        </w:rPr>
        <w:t>Comparative Analysis:</w:t>
      </w:r>
      <w:r w:rsidRPr="00EC2A47">
        <w:rPr>
          <w:rFonts w:ascii="Times New Roman" w:hAnsi="Times New Roman" w:cs="Times New Roman"/>
        </w:rPr>
        <w:t> While Nigerian banks’ average ROE (14%) outperforms Ghana’s (10%), it lags behind Morocco (18%), highlighting room for improvement (IMF, 2023).</w:t>
      </w:r>
    </w:p>
    <w:p w:rsidR="000207D4" w:rsidRPr="00EC2A47" w:rsidRDefault="000207D4" w:rsidP="006460F7">
      <w:pPr>
        <w:spacing w:before="240" w:after="0" w:line="360" w:lineRule="auto"/>
        <w:jc w:val="both"/>
        <w:rPr>
          <w:rFonts w:ascii="Times New Roman" w:hAnsi="Times New Roman" w:cs="Times New Roman"/>
        </w:rPr>
      </w:pPr>
      <w:r>
        <w:rPr>
          <w:rFonts w:ascii="Times New Roman" w:hAnsi="Times New Roman" w:cs="Times New Roman"/>
          <w:b/>
          <w:bCs/>
        </w:rPr>
        <w:t>2.1.3</w:t>
      </w:r>
      <w:r>
        <w:rPr>
          <w:rFonts w:ascii="Times New Roman" w:hAnsi="Times New Roman" w:cs="Times New Roman"/>
          <w:b/>
          <w:bCs/>
        </w:rPr>
        <w:tab/>
      </w:r>
      <w:r w:rsidRPr="00EC2A47">
        <w:rPr>
          <w:rFonts w:ascii="Times New Roman" w:hAnsi="Times New Roman" w:cs="Times New Roman"/>
          <w:b/>
          <w:bCs/>
        </w:rPr>
        <w:t>Interplay Between Risk Management and Profitability</w:t>
      </w:r>
    </w:p>
    <w:p w:rsidR="000207D4" w:rsidRPr="00EC2A47"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rPr>
        <w:t>Effective risk management is not merely a defensive strategy but a profitability driver. For example:</w:t>
      </w:r>
    </w:p>
    <w:p w:rsidR="000207D4" w:rsidRPr="00EC2A47" w:rsidRDefault="000207D4" w:rsidP="006460F7">
      <w:pPr>
        <w:spacing w:before="240" w:after="0" w:line="360" w:lineRule="auto"/>
        <w:ind w:left="360"/>
        <w:jc w:val="both"/>
        <w:rPr>
          <w:rFonts w:ascii="Times New Roman" w:hAnsi="Times New Roman" w:cs="Times New Roman"/>
        </w:rPr>
      </w:pPr>
      <w:r w:rsidRPr="00EC2A47">
        <w:rPr>
          <w:rFonts w:ascii="Times New Roman" w:hAnsi="Times New Roman" w:cs="Times New Roman"/>
          <w:b/>
          <w:bCs/>
        </w:rPr>
        <w:t>Credit Risk Mitigation:</w:t>
      </w:r>
      <w:r w:rsidRPr="00EC2A47">
        <w:rPr>
          <w:rFonts w:ascii="Times New Roman" w:hAnsi="Times New Roman" w:cs="Times New Roman"/>
        </w:rPr>
        <w:t> Banks with NPL ratios below 5% (e.g., Guaranty Trust Bank at 4.8% in 2022) consistently report higher ROAs (2.3%) due to lower loan loss provisions (CBN, 2023).</w:t>
      </w:r>
    </w:p>
    <w:p w:rsidR="000207D4" w:rsidRPr="00EC2A47" w:rsidRDefault="000207D4" w:rsidP="006460F7">
      <w:pPr>
        <w:spacing w:before="240" w:after="0" w:line="360" w:lineRule="auto"/>
        <w:ind w:left="360"/>
        <w:jc w:val="both"/>
        <w:rPr>
          <w:rFonts w:ascii="Times New Roman" w:hAnsi="Times New Roman" w:cs="Times New Roman"/>
        </w:rPr>
      </w:pPr>
      <w:r w:rsidRPr="00EC2A47">
        <w:rPr>
          <w:rFonts w:ascii="Times New Roman" w:hAnsi="Times New Roman" w:cs="Times New Roman"/>
          <w:b/>
          <w:bCs/>
        </w:rPr>
        <w:lastRenderedPageBreak/>
        <w:t>Liquidity Optimization:</w:t>
      </w:r>
      <w:r w:rsidRPr="00EC2A47">
        <w:rPr>
          <w:rFonts w:ascii="Times New Roman" w:hAnsi="Times New Roman" w:cs="Times New Roman"/>
        </w:rPr>
        <w:t> Access Bank’s liquidity ratio of 40% (2022) enabled it to navigate the 2023 cash crisis without CBN support, preserving investor confidence (Access Bank, 2023).</w:t>
      </w:r>
    </w:p>
    <w:p w:rsidR="0003373C" w:rsidRPr="0003373C" w:rsidRDefault="000207D4" w:rsidP="006460F7">
      <w:pPr>
        <w:spacing w:before="240" w:after="0" w:line="360" w:lineRule="auto"/>
        <w:jc w:val="both"/>
        <w:rPr>
          <w:rFonts w:ascii="Times New Roman" w:hAnsi="Times New Roman" w:cs="Times New Roman"/>
        </w:rPr>
      </w:pPr>
      <w:r w:rsidRPr="00EC2A47">
        <w:rPr>
          <w:rFonts w:ascii="Times New Roman" w:hAnsi="Times New Roman" w:cs="Times New Roman"/>
        </w:rPr>
        <w:t>However, excessive risk aversion can stifle growth. FCMB’s conservative lending to agriculture (8% of its portfolio) limits its revenue diversification, capping profitability potential.</w:t>
      </w:r>
    </w:p>
    <w:p w:rsidR="0003373C" w:rsidRPr="0003373C" w:rsidRDefault="0003373C" w:rsidP="006460F7">
      <w:pPr>
        <w:spacing w:before="240" w:after="0" w:line="360" w:lineRule="auto"/>
        <w:jc w:val="both"/>
        <w:rPr>
          <w:rFonts w:ascii="Times New Roman" w:hAnsi="Times New Roman" w:cs="Times New Roman"/>
        </w:rPr>
      </w:pPr>
      <w:r w:rsidRPr="0003373C">
        <w:rPr>
          <w:rFonts w:ascii="Times New Roman" w:hAnsi="Times New Roman" w:cs="Times New Roman"/>
          <w:b/>
          <w:bCs/>
        </w:rPr>
        <w:t xml:space="preserve">2.2 Theoretical </w:t>
      </w:r>
      <w:r w:rsidR="00C00A77">
        <w:rPr>
          <w:rFonts w:ascii="Times New Roman" w:hAnsi="Times New Roman" w:cs="Times New Roman"/>
          <w:b/>
          <w:bCs/>
        </w:rPr>
        <w:t>Review</w:t>
      </w:r>
    </w:p>
    <w:p w:rsidR="00796837" w:rsidRPr="00796837"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rPr>
        <w:t>Theoretical frameworks provide the scaffolding for understanding the relationship between risk management and profitability in banking. Three seminal theories underpin this study, each offering unique insights into risk behavior, stakeholder dynamics, and institutional strategies. These theories are contextualized within Nigeria’s banking sector and FCMB PLC’s operational realities to bridge theory and practice.</w:t>
      </w:r>
    </w:p>
    <w:p w:rsidR="00796837" w:rsidRPr="00796837"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b/>
          <w:bCs/>
        </w:rPr>
        <w:t>1. Risk-Return Tradeoff Theory (Markowitz, 1952)</w:t>
      </w:r>
    </w:p>
    <w:p w:rsidR="00F82BFE"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b/>
          <w:bCs/>
        </w:rPr>
        <w:t>Core Proposition:</w:t>
      </w:r>
    </w:p>
    <w:p w:rsidR="006A1BE9" w:rsidRPr="006460F7"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rPr>
        <w:t>Harry Markowitz’s Modern Portfolio Theory posits that investors face a tradeoff between risk and return: higher risks must be compensated by higher expected returns. In banking, this implies that riskier loans or investments should generate greater profits.</w:t>
      </w:r>
    </w:p>
    <w:p w:rsidR="00F82BFE"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b/>
          <w:bCs/>
        </w:rPr>
        <w:t>Application to Nigerian Banks:</w:t>
      </w:r>
    </w:p>
    <w:p w:rsidR="00796837"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rPr>
        <w:t>While the theory assumes rational risk-taking, Nigeria’s macroeconomic instability often disrupts this balance. For instance, during the pre-2009 credit boom, Nigerian banks aggressively lent to high-risk sectors (e.g., oil and gas) in pursuit of higher returns. However, the 2008 global oil price crash and domestic regulatory failures led to a systemic collapse, with NPLs soaring to 36% and a ₦620 billion bailout required to rescue nine banks (Sanusi, 2010). This exemplifies how </w:t>
      </w:r>
      <w:r w:rsidRPr="00796837">
        <w:rPr>
          <w:rFonts w:ascii="Times New Roman" w:hAnsi="Times New Roman" w:cs="Times New Roman"/>
          <w:i/>
          <w:iCs/>
        </w:rPr>
        <w:t>excessive</w:t>
      </w:r>
      <w:r w:rsidRPr="00796837">
        <w:rPr>
          <w:rFonts w:ascii="Times New Roman" w:hAnsi="Times New Roman" w:cs="Times New Roman"/>
        </w:rPr>
        <w:t> risk-taking in volatile economies can backfire, turning theoretical gains into real-world losses.</w:t>
      </w:r>
    </w:p>
    <w:p w:rsidR="006460F7" w:rsidRPr="00796837" w:rsidRDefault="006460F7" w:rsidP="006460F7">
      <w:pPr>
        <w:spacing w:before="240" w:after="0" w:line="360" w:lineRule="auto"/>
        <w:jc w:val="both"/>
        <w:rPr>
          <w:rFonts w:ascii="Times New Roman" w:hAnsi="Times New Roman" w:cs="Times New Roman"/>
        </w:rPr>
      </w:pPr>
    </w:p>
    <w:p w:rsidR="00F82BFE"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b/>
          <w:bCs/>
        </w:rPr>
        <w:lastRenderedPageBreak/>
        <w:t>FCMB Case Context:</w:t>
      </w:r>
    </w:p>
    <w:p w:rsidR="00796837" w:rsidRPr="00796837"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rPr>
        <w:t>FCMB’s 2020 annual report revealed that 65% of its loan portfolio was concentrated in the oil sector, a high-risk industry vulnerable to price swings (FCMB, 2020). While this alignment with the risk-return tradeoff theory aimed to capitalize on Nigeria’s oil-dependent economy, the 2020 pandemic-induced oil price collapse (Brent crude fell to $20/barrel) triggered repayment defaults, pushing FCMB’s NPL ratio to 8.9% (NDIC, 2021). Thus, the theory’s applicability in Nigeria is moderated by external shocks and sectoral vulnerabilities.</w:t>
      </w:r>
    </w:p>
    <w:p w:rsidR="00796837" w:rsidRPr="00796837"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b/>
          <w:bCs/>
        </w:rPr>
        <w:t>2. Agency Theory (Jensen &amp; Meckling, 1976)</w:t>
      </w:r>
    </w:p>
    <w:p w:rsidR="00F82BFE"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b/>
          <w:bCs/>
        </w:rPr>
        <w:t>Core Proposition:</w:t>
      </w:r>
    </w:p>
    <w:p w:rsidR="00796837" w:rsidRPr="00796837"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rPr>
        <w:t>Agency theory highlights conflicts of interest between principals (shareholders) and agents (managers). Shareholders seek profit maximization, while managers may prioritize job security, leading to suboptimal risk decisions.</w:t>
      </w:r>
    </w:p>
    <w:p w:rsidR="00F82BFE"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b/>
          <w:bCs/>
        </w:rPr>
        <w:t>Relevance to Nigerian Banking Governance:</w:t>
      </w:r>
    </w:p>
    <w:p w:rsidR="00C00A77" w:rsidRPr="006A1BE9"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rPr>
        <w:t>In Nigeria, weak corporate governance exacerbates agency problems. For example, during the 2009 crisis, bank executives at rescued institutions like Afribank were found to have approved insider loans without due diligence, prioritizing personal gains over shareholder value (CBN, 2009). Such mismanagement aligns with Jensen and Meckling’s assertion that agents may avoid value-adding risks to protect their positions.</w:t>
      </w:r>
    </w:p>
    <w:p w:rsidR="00F82BFE"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b/>
          <w:bCs/>
        </w:rPr>
        <w:t>FCMB Case Context:</w:t>
      </w:r>
    </w:p>
    <w:p w:rsidR="00796837"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rPr>
        <w:t>FCMB’s conservative approach to agricultural lending illustrates agency dynamics. Despite Nigeria’s agricultural sector contributing 23% to GDP (World Bank, 2023), FCMB allocated only 8% of its loan portfolio to agriculture in 2022 (FCMB, 2022). Interviews with mid-level managers (anecdotal data) suggest reluctance to engage smallholder farmers due to perceived default risks. This risk aversion, driven by managers’ fear of loan defaults damaging their careers, stifles profitability opportunities in a high-potential sector.</w:t>
      </w:r>
    </w:p>
    <w:p w:rsidR="006460F7" w:rsidRPr="00796837" w:rsidRDefault="006460F7" w:rsidP="006460F7">
      <w:pPr>
        <w:spacing w:before="240" w:after="0" w:line="360" w:lineRule="auto"/>
        <w:jc w:val="both"/>
        <w:rPr>
          <w:rFonts w:ascii="Times New Roman" w:hAnsi="Times New Roman" w:cs="Times New Roman"/>
        </w:rPr>
      </w:pPr>
    </w:p>
    <w:p w:rsidR="00796837" w:rsidRPr="00796837"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b/>
          <w:bCs/>
        </w:rPr>
        <w:lastRenderedPageBreak/>
        <w:t>3. Financial Intermediation Theory (Diamond, 1984)</w:t>
      </w:r>
    </w:p>
    <w:p w:rsidR="00F82BFE"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b/>
          <w:bCs/>
        </w:rPr>
        <w:t>Core Proposition:</w:t>
      </w:r>
    </w:p>
    <w:p w:rsidR="00796837" w:rsidRPr="00796837"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rPr>
        <w:t>Douglas Diamond’s theory positions banks as intermediaries that reduce systemic risks through diversification and expertise. By pooling deposits and allocating capital across sectors, banks mitigate individual borrower risks.</w:t>
      </w:r>
    </w:p>
    <w:p w:rsidR="00F82BFE"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b/>
          <w:bCs/>
        </w:rPr>
        <w:t>Challenges in the Nigerian Context:</w:t>
      </w:r>
    </w:p>
    <w:p w:rsidR="00C00A77" w:rsidRPr="006A1BE9"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rPr>
        <w:t>Nigerian banks often fail to achieve effective diversification due to overexposure to volatile sectors. For instance, the oil and gas sector accounts for 30% of total banking sector loans (CBN, 2023), mirroring FCMB’s 65% exposure in 2020. This contradicts Diamond’s premise, as concentration in one sector amplifies systemic risks. The 2016 recession, driven by oil price declines, saw NPLs spike to 14% industry-wide, underscoring the dangers of poor diversification (CBN, 2017).</w:t>
      </w:r>
    </w:p>
    <w:p w:rsidR="00F82BFE"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b/>
          <w:bCs/>
        </w:rPr>
        <w:t>FCMB Case Context:</w:t>
      </w:r>
    </w:p>
    <w:p w:rsidR="00796837" w:rsidRPr="00796837"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rPr>
        <w:t>FCMB’s post-2020 strategy reflects a shift toward Diamond’s principles. By 2023, the bank reduced oil sector exposure to 45% and increased lending to manufacturing (20%) and tech startups (10%) (FCMB, 2023). This rebalancing aligns with financial intermediation theory, as diversified portfolios spread risks and stabilize returns. However, Nigeria’s underdeveloped manufacturing sector (contributing 9% to GDP) limits diversification efficacy, highlighting structural constraints on theory application.</w:t>
      </w:r>
    </w:p>
    <w:p w:rsidR="00796837" w:rsidRPr="00796837" w:rsidRDefault="00796837" w:rsidP="006460F7">
      <w:pPr>
        <w:spacing w:before="240" w:after="0" w:line="360" w:lineRule="auto"/>
        <w:jc w:val="both"/>
        <w:rPr>
          <w:rFonts w:ascii="Times New Roman" w:hAnsi="Times New Roman" w:cs="Times New Roman"/>
        </w:rPr>
      </w:pPr>
      <w:r w:rsidRPr="00796837">
        <w:rPr>
          <w:rFonts w:ascii="Times New Roman" w:hAnsi="Times New Roman" w:cs="Times New Roman"/>
        </w:rPr>
        <w:t>These theories collectively frame the study’s analysis, offering lenses to assess how FCMB’s risk strategies align with or deviate from established principles. They also highlight the tension between global theoretical ideals and localized banking realities in emerging markets.</w:t>
      </w:r>
    </w:p>
    <w:p w:rsidR="0003373C" w:rsidRDefault="0003373C" w:rsidP="006460F7">
      <w:pPr>
        <w:spacing w:before="240" w:after="0" w:line="360" w:lineRule="auto"/>
        <w:jc w:val="both"/>
        <w:rPr>
          <w:rFonts w:ascii="Times New Roman" w:hAnsi="Times New Roman" w:cs="Times New Roman"/>
        </w:rPr>
      </w:pPr>
    </w:p>
    <w:p w:rsidR="006460F7" w:rsidRPr="0003373C" w:rsidRDefault="006460F7" w:rsidP="006460F7">
      <w:pPr>
        <w:spacing w:before="240" w:after="0" w:line="360" w:lineRule="auto"/>
        <w:jc w:val="both"/>
        <w:rPr>
          <w:rFonts w:ascii="Times New Roman" w:hAnsi="Times New Roman" w:cs="Times New Roman"/>
        </w:rPr>
      </w:pPr>
      <w:r>
        <w:rPr>
          <w:rFonts w:ascii="Times New Roman" w:hAnsi="Times New Roman" w:cs="Times New Roman"/>
        </w:rPr>
        <w:br/>
      </w:r>
    </w:p>
    <w:p w:rsidR="0003373C" w:rsidRDefault="0003373C" w:rsidP="006460F7">
      <w:pPr>
        <w:spacing w:before="240" w:after="0" w:line="360" w:lineRule="auto"/>
        <w:jc w:val="both"/>
        <w:rPr>
          <w:rFonts w:ascii="Times New Roman" w:hAnsi="Times New Roman" w:cs="Times New Roman"/>
          <w:b/>
          <w:bCs/>
        </w:rPr>
      </w:pPr>
      <w:r w:rsidRPr="0003373C">
        <w:rPr>
          <w:rFonts w:ascii="Times New Roman" w:hAnsi="Times New Roman" w:cs="Times New Roman"/>
          <w:b/>
          <w:bCs/>
        </w:rPr>
        <w:lastRenderedPageBreak/>
        <w:t>2.3 Empirical Review</w:t>
      </w:r>
    </w:p>
    <w:p w:rsidR="008B0E49" w:rsidRDefault="008B0E49" w:rsidP="006460F7">
      <w:pPr>
        <w:spacing w:before="240" w:after="0" w:line="360" w:lineRule="auto"/>
        <w:ind w:firstLine="720"/>
        <w:jc w:val="both"/>
        <w:rPr>
          <w:rFonts w:ascii="Times New Roman" w:hAnsi="Times New Roman" w:cs="Times New Roman"/>
        </w:rPr>
      </w:pPr>
      <w:r w:rsidRPr="008B0E49">
        <w:rPr>
          <w:rFonts w:ascii="Times New Roman" w:hAnsi="Times New Roman" w:cs="Times New Roman"/>
        </w:rPr>
        <w:t xml:space="preserve">Olumayokun, (2020) looked into the effect of financial risks on profitability of selected Nigerian Deposit Money Banks. Data was collected using a secondary method from the sampled Deposit Money banks' annual financial reports from 2008 to 2017, and the data was analyzed using descriptive and inferential statistics. The results revealed that liquidity risk has positive but insignificant relationship on profitability of Banks. </w:t>
      </w:r>
    </w:p>
    <w:p w:rsidR="008B0E49" w:rsidRDefault="008B0E49" w:rsidP="006460F7">
      <w:pPr>
        <w:spacing w:before="240" w:after="0" w:line="360" w:lineRule="auto"/>
        <w:ind w:firstLine="720"/>
        <w:jc w:val="both"/>
        <w:rPr>
          <w:rFonts w:ascii="Times New Roman" w:hAnsi="Times New Roman" w:cs="Times New Roman"/>
        </w:rPr>
      </w:pPr>
      <w:r w:rsidRPr="008B0E49">
        <w:rPr>
          <w:rFonts w:ascii="Times New Roman" w:hAnsi="Times New Roman" w:cs="Times New Roman"/>
        </w:rPr>
        <w:t xml:space="preserve">Also, Isiaka, Olumide and Irom, (2018)looked at the effect of financial risk management on profitability in Nigerian commercial banks. However, secondary method was used for data collection which may not cover those samples of the population researchers want to examine, therefore lacks sufficient detail. In the same vein, Kingdom, John, Simamora and Oswari, (2019) explore the effects of operational risk, credit risk, and liquidity risk on the financial performance of Indonesian banks listed in Indonesian stock exchange from 2009 to 2017. The study was based on a limited scope which cannot be used to compare the Nigerian situation that has 14 listed banks. </w:t>
      </w:r>
    </w:p>
    <w:p w:rsidR="008B0E49" w:rsidRDefault="008B0E49" w:rsidP="006460F7">
      <w:pPr>
        <w:spacing w:before="240" w:after="0" w:line="360" w:lineRule="auto"/>
        <w:ind w:firstLine="720"/>
        <w:jc w:val="both"/>
        <w:rPr>
          <w:rFonts w:ascii="Times New Roman" w:hAnsi="Times New Roman" w:cs="Times New Roman"/>
        </w:rPr>
      </w:pPr>
      <w:r w:rsidRPr="008B0E49">
        <w:rPr>
          <w:rFonts w:ascii="Times New Roman" w:hAnsi="Times New Roman" w:cs="Times New Roman"/>
        </w:rPr>
        <w:t>Again, Fadun and Oye, (2020) examined the impact of operational risk management practices on the financial performance of commercial banks in Nigeria for the period 2008-2017. The findings revealed that operational risk and bank financial performance have a positive relationship.</w:t>
      </w:r>
    </w:p>
    <w:p w:rsidR="008B0E49" w:rsidRDefault="008B0E49" w:rsidP="006460F7">
      <w:pPr>
        <w:spacing w:before="240" w:after="0" w:line="360" w:lineRule="auto"/>
        <w:ind w:firstLine="720"/>
        <w:jc w:val="both"/>
        <w:rPr>
          <w:rFonts w:ascii="Times New Roman" w:hAnsi="Times New Roman" w:cs="Times New Roman"/>
        </w:rPr>
      </w:pPr>
      <w:r w:rsidRPr="008B0E49">
        <w:rPr>
          <w:rFonts w:ascii="Times New Roman" w:hAnsi="Times New Roman" w:cs="Times New Roman"/>
        </w:rPr>
        <w:t xml:space="preserve">Endaweke, (2015) looked into risk management and its impact on financial performance of Ethiopian Commercial Banks. The audited balance sheets of eight carefully chosen banks were used to collect secondary data. According to the findings, operational risk has a statistically significant negative effect on banks performance. Similarly, Bagh, Khan, and Razzaq (2017) looked into the underlying impact of Risk Management Practices on Banks Financial Performance in Pakistan. Secondary data for the study was gathered from the annual published audited financial results of 18 top-performing banks over the years 2004-2016. According to the finding, the study results showed that operational risk has significant impact on financial performance of small, medium and large banks. However, using only top performing banks will limit finding, as such, the need to use both performing and non-performing banks. </w:t>
      </w:r>
    </w:p>
    <w:p w:rsidR="008B0E49" w:rsidRPr="0003373C" w:rsidRDefault="008B0E49" w:rsidP="006460F7">
      <w:pPr>
        <w:spacing w:before="240" w:after="0" w:line="360" w:lineRule="auto"/>
        <w:ind w:firstLine="720"/>
        <w:jc w:val="both"/>
        <w:rPr>
          <w:rFonts w:ascii="Times New Roman" w:hAnsi="Times New Roman" w:cs="Times New Roman"/>
        </w:rPr>
      </w:pPr>
      <w:r w:rsidRPr="008B0E49">
        <w:rPr>
          <w:rFonts w:ascii="Times New Roman" w:hAnsi="Times New Roman" w:cs="Times New Roman"/>
        </w:rPr>
        <w:lastRenderedPageBreak/>
        <w:t>Similarly, Muriithi, Muturi and Waweru (2016) looked into the impact of market risk on the financial performance of Kenyan commercial banks Between 2005 and 2014, Using panel data techniques such as random effects estimation, fixed effects estimation, and generalized system of moments, financial ratios and balance sheets of 43 Kenyan commercial banks with a license were purged, for the purpose of avoiding possible endogeneity issues. It was also discovered that interest rate risk has a substantial negative effect on bank profitability, according to the findings. However, interest rate risk was used as a measure of market risk the argument is that change in interest rate could lead to a mismatch between interest paid on deposit and the interest received on loans, but examining interest rate risk on banks performance might give a different result.</w:t>
      </w:r>
    </w:p>
    <w:p w:rsidR="00F82BFE" w:rsidRDefault="00F82BFE" w:rsidP="006460F7">
      <w:pPr>
        <w:spacing w:before="240" w:after="0" w:line="360" w:lineRule="auto"/>
        <w:jc w:val="both"/>
        <w:rPr>
          <w:rFonts w:ascii="Times New Roman" w:hAnsi="Times New Roman" w:cs="Times New Roman"/>
          <w:b/>
          <w:bCs/>
        </w:rPr>
      </w:pPr>
    </w:p>
    <w:p w:rsidR="0003373C" w:rsidRPr="0003373C" w:rsidRDefault="0003373C" w:rsidP="006460F7">
      <w:pPr>
        <w:spacing w:before="240" w:after="0" w:line="360" w:lineRule="auto"/>
        <w:jc w:val="both"/>
        <w:rPr>
          <w:rFonts w:ascii="Times New Roman" w:hAnsi="Times New Roman" w:cs="Times New Roman"/>
        </w:rPr>
      </w:pPr>
      <w:r w:rsidRPr="0003373C">
        <w:rPr>
          <w:rFonts w:ascii="Times New Roman" w:hAnsi="Times New Roman" w:cs="Times New Roman"/>
          <w:b/>
          <w:bCs/>
        </w:rPr>
        <w:t>2.4 Gaps in Literature</w:t>
      </w:r>
    </w:p>
    <w:p w:rsidR="00796837" w:rsidRPr="00796837" w:rsidRDefault="00796837" w:rsidP="006460F7">
      <w:pPr>
        <w:spacing w:before="240" w:after="0" w:line="360" w:lineRule="auto"/>
        <w:ind w:firstLine="360"/>
        <w:jc w:val="both"/>
        <w:rPr>
          <w:rFonts w:ascii="Times New Roman" w:hAnsi="Times New Roman" w:cs="Times New Roman"/>
        </w:rPr>
      </w:pPr>
      <w:r w:rsidRPr="00796837">
        <w:rPr>
          <w:rFonts w:ascii="Times New Roman" w:hAnsi="Times New Roman" w:cs="Times New Roman"/>
        </w:rPr>
        <w:t>Despite the numerous studies carried out to examine the relationship between financial risks and the profitability or performance of banks, several notable gaps persist in the existing body of literature:</w:t>
      </w:r>
    </w:p>
    <w:p w:rsidR="00796837" w:rsidRPr="00796837" w:rsidRDefault="00796837" w:rsidP="006460F7">
      <w:pPr>
        <w:numPr>
          <w:ilvl w:val="0"/>
          <w:numId w:val="24"/>
        </w:numPr>
        <w:spacing w:before="240" w:after="0" w:line="360" w:lineRule="auto"/>
        <w:jc w:val="both"/>
        <w:rPr>
          <w:rFonts w:ascii="Times New Roman" w:hAnsi="Times New Roman" w:cs="Times New Roman"/>
        </w:rPr>
      </w:pPr>
      <w:r w:rsidRPr="00796837">
        <w:rPr>
          <w:rFonts w:ascii="Times New Roman" w:hAnsi="Times New Roman" w:cs="Times New Roman"/>
          <w:b/>
          <w:bCs/>
        </w:rPr>
        <w:t>Geographical Limitations</w:t>
      </w:r>
      <w:r w:rsidRPr="00796837">
        <w:rPr>
          <w:rFonts w:ascii="Times New Roman" w:hAnsi="Times New Roman" w:cs="Times New Roman"/>
        </w:rPr>
        <w:t>: A significant number of reviewed studies, such as those by Kingdom et al. (2019) and Endaweke (2015), were conducted in foreign countries like Indonesia and Ethiopia, respectively. These studies, although valuable, may not adequately capture the peculiarities of the Nigerian banking environment, such as regulatory frameworks, economic conditions, and operational structures. Therefore, their findings have limited generalizability to Nigerian Deposit Money Banks.</w:t>
      </w:r>
    </w:p>
    <w:p w:rsidR="00796837" w:rsidRPr="00796837" w:rsidRDefault="00796837" w:rsidP="006460F7">
      <w:pPr>
        <w:numPr>
          <w:ilvl w:val="0"/>
          <w:numId w:val="24"/>
        </w:numPr>
        <w:spacing w:before="240" w:after="0" w:line="360" w:lineRule="auto"/>
        <w:jc w:val="both"/>
        <w:rPr>
          <w:rFonts w:ascii="Times New Roman" w:hAnsi="Times New Roman" w:cs="Times New Roman"/>
        </w:rPr>
      </w:pPr>
      <w:r w:rsidRPr="00796837">
        <w:rPr>
          <w:rFonts w:ascii="Times New Roman" w:hAnsi="Times New Roman" w:cs="Times New Roman"/>
          <w:b/>
          <w:bCs/>
        </w:rPr>
        <w:t>Limited Scope and Sample Size</w:t>
      </w:r>
      <w:r w:rsidRPr="00796837">
        <w:rPr>
          <w:rFonts w:ascii="Times New Roman" w:hAnsi="Times New Roman" w:cs="Times New Roman"/>
        </w:rPr>
        <w:t>: Many studies employed a narrow scope, focusing on a few selected banks or high-performing banks only. For instance, Bagh et al. (2017) restricted their sample to top-performing banks, excluding poorly performing institutions that could offer different insights into risk exposure and financial outcomes. This presents a gap in understanding how financial risks affect banks across different performance levels.</w:t>
      </w:r>
    </w:p>
    <w:p w:rsidR="00796837" w:rsidRPr="00796837" w:rsidRDefault="00796837" w:rsidP="006460F7">
      <w:pPr>
        <w:numPr>
          <w:ilvl w:val="0"/>
          <w:numId w:val="24"/>
        </w:numPr>
        <w:spacing w:before="240" w:after="0" w:line="360" w:lineRule="auto"/>
        <w:jc w:val="both"/>
        <w:rPr>
          <w:rFonts w:ascii="Times New Roman" w:hAnsi="Times New Roman" w:cs="Times New Roman"/>
        </w:rPr>
      </w:pPr>
      <w:r w:rsidRPr="00796837">
        <w:rPr>
          <w:rFonts w:ascii="Times New Roman" w:hAnsi="Times New Roman" w:cs="Times New Roman"/>
          <w:b/>
          <w:bCs/>
        </w:rPr>
        <w:lastRenderedPageBreak/>
        <w:t>Reliance on Secondary Data</w:t>
      </w:r>
      <w:r w:rsidRPr="00796837">
        <w:rPr>
          <w:rFonts w:ascii="Times New Roman" w:hAnsi="Times New Roman" w:cs="Times New Roman"/>
        </w:rPr>
        <w:t>: Most of the empirical studies, such as those by Olumayokun (2020), Isiaka et al. (2018), and Fadun and Oye (2020), depended solely on secondary data sourced from annual financial statements. While useful, secondary data may not fully reflect internal risk management processes or real-time risk exposure. The exclusion of primary data limits the depth of insight into operational risk management practices within banks.</w:t>
      </w:r>
    </w:p>
    <w:p w:rsidR="00796837" w:rsidRPr="00796837" w:rsidRDefault="00796837" w:rsidP="006460F7">
      <w:pPr>
        <w:numPr>
          <w:ilvl w:val="0"/>
          <w:numId w:val="24"/>
        </w:numPr>
        <w:spacing w:before="240" w:after="0" w:line="360" w:lineRule="auto"/>
        <w:jc w:val="both"/>
        <w:rPr>
          <w:rFonts w:ascii="Times New Roman" w:hAnsi="Times New Roman" w:cs="Times New Roman"/>
        </w:rPr>
      </w:pPr>
      <w:r w:rsidRPr="00796837">
        <w:rPr>
          <w:rFonts w:ascii="Times New Roman" w:hAnsi="Times New Roman" w:cs="Times New Roman"/>
          <w:b/>
          <w:bCs/>
        </w:rPr>
        <w:t>Lack of Consensus on Risk Variables</w:t>
      </w:r>
      <w:r w:rsidRPr="00796837">
        <w:rPr>
          <w:rFonts w:ascii="Times New Roman" w:hAnsi="Times New Roman" w:cs="Times New Roman"/>
        </w:rPr>
        <w:t>: There is no uniformity in the financial risk variables adopted across the studies. For instance, Muriithi et al. (2016) measured market risk through interest rate risk, while others like Kingdom et al. (2019) combined operational, credit, and liquidity risks. This inconsistency in defining and measuring risk variables results in varied and sometimes conflicting findings, thereby necessitating a more standardized approach to financial risk assessment.</w:t>
      </w:r>
    </w:p>
    <w:p w:rsidR="00796837" w:rsidRPr="00796837" w:rsidRDefault="00796837" w:rsidP="006460F7">
      <w:pPr>
        <w:numPr>
          <w:ilvl w:val="0"/>
          <w:numId w:val="24"/>
        </w:numPr>
        <w:spacing w:before="240" w:after="0" w:line="360" w:lineRule="auto"/>
        <w:jc w:val="both"/>
        <w:rPr>
          <w:rFonts w:ascii="Times New Roman" w:hAnsi="Times New Roman" w:cs="Times New Roman"/>
        </w:rPr>
      </w:pPr>
      <w:r w:rsidRPr="00796837">
        <w:rPr>
          <w:rFonts w:ascii="Times New Roman" w:hAnsi="Times New Roman" w:cs="Times New Roman"/>
          <w:b/>
          <w:bCs/>
        </w:rPr>
        <w:t>Methodological Weaknesses</w:t>
      </w:r>
      <w:r w:rsidRPr="00796837">
        <w:rPr>
          <w:rFonts w:ascii="Times New Roman" w:hAnsi="Times New Roman" w:cs="Times New Roman"/>
        </w:rPr>
        <w:t>: Although some studies employed robust econometric models such as fixed effects and generalized method of moments (GMM), others relied mainly on descriptive and basic inferential statistics. The inconsistency in methodological rigor affects the reliability and comparability of findings. Moreover, few studies, like that of Isiaka et al. (2018), acknowledged the limitations of their methods, such as insufficient detail and representation in their secondary data approach.</w:t>
      </w:r>
    </w:p>
    <w:p w:rsidR="00796837" w:rsidRPr="00796837" w:rsidRDefault="00796837" w:rsidP="006460F7">
      <w:pPr>
        <w:numPr>
          <w:ilvl w:val="0"/>
          <w:numId w:val="24"/>
        </w:numPr>
        <w:spacing w:before="240" w:after="0" w:line="360" w:lineRule="auto"/>
        <w:jc w:val="both"/>
        <w:rPr>
          <w:rFonts w:ascii="Times New Roman" w:hAnsi="Times New Roman" w:cs="Times New Roman"/>
        </w:rPr>
      </w:pPr>
      <w:r w:rsidRPr="00796837">
        <w:rPr>
          <w:rFonts w:ascii="Times New Roman" w:hAnsi="Times New Roman" w:cs="Times New Roman"/>
          <w:b/>
          <w:bCs/>
        </w:rPr>
        <w:t>Inconclusive and Mixed Findings</w:t>
      </w:r>
      <w:r w:rsidRPr="00796837">
        <w:rPr>
          <w:rFonts w:ascii="Times New Roman" w:hAnsi="Times New Roman" w:cs="Times New Roman"/>
        </w:rPr>
        <w:t>: The reviewed literature does not present a consensus on the relationship between financial risks and bank profitability. For instance, while Olumayokun (2020) reported a positive but insignificant effect of liquidity risk, Endaweke (2015) found a significant negative effect of operational risk. These inconsistencies highlight the need for further empirical investigations to establish a more definitive relationship, particularly in the Nigerian context.</w:t>
      </w:r>
    </w:p>
    <w:p w:rsidR="00796837" w:rsidRPr="00796837" w:rsidRDefault="00796837" w:rsidP="006460F7">
      <w:pPr>
        <w:numPr>
          <w:ilvl w:val="0"/>
          <w:numId w:val="24"/>
        </w:numPr>
        <w:spacing w:before="240" w:after="0" w:line="360" w:lineRule="auto"/>
        <w:jc w:val="both"/>
        <w:rPr>
          <w:rFonts w:ascii="Times New Roman" w:hAnsi="Times New Roman" w:cs="Times New Roman"/>
        </w:rPr>
      </w:pPr>
      <w:r w:rsidRPr="00796837">
        <w:rPr>
          <w:rFonts w:ascii="Times New Roman" w:hAnsi="Times New Roman" w:cs="Times New Roman"/>
          <w:b/>
          <w:bCs/>
        </w:rPr>
        <w:t>Temporal Constraints</w:t>
      </w:r>
      <w:r w:rsidRPr="00796837">
        <w:rPr>
          <w:rFonts w:ascii="Times New Roman" w:hAnsi="Times New Roman" w:cs="Times New Roman"/>
        </w:rPr>
        <w:t>: Many studies focused on data from periods prior to recent global financial challenges and technological transformations affecting the banking sector. The changing dynamics of financial systems, especially post-2017, necessitate updated studies that reflect current realities and risks facing banks.</w:t>
      </w:r>
    </w:p>
    <w:p w:rsidR="0003373C" w:rsidRPr="0003373C" w:rsidRDefault="0003373C" w:rsidP="006A1BE9">
      <w:pPr>
        <w:spacing w:before="240" w:after="0" w:line="480" w:lineRule="auto"/>
        <w:jc w:val="center"/>
        <w:rPr>
          <w:rFonts w:ascii="Times New Roman" w:hAnsi="Times New Roman" w:cs="Times New Roman"/>
          <w:b/>
          <w:bCs/>
        </w:rPr>
      </w:pPr>
      <w:r w:rsidRPr="0003373C">
        <w:rPr>
          <w:rFonts w:ascii="Times New Roman" w:hAnsi="Times New Roman" w:cs="Times New Roman"/>
          <w:b/>
          <w:bCs/>
        </w:rPr>
        <w:lastRenderedPageBreak/>
        <w:t>CHAPTER THREE</w:t>
      </w:r>
    </w:p>
    <w:p w:rsidR="0003373C" w:rsidRPr="0003373C" w:rsidRDefault="009172AD" w:rsidP="006A1BE9">
      <w:pPr>
        <w:spacing w:before="240" w:after="0" w:line="480" w:lineRule="auto"/>
        <w:rPr>
          <w:rFonts w:ascii="Times New Roman" w:hAnsi="Times New Roman" w:cs="Times New Roman"/>
        </w:rPr>
      </w:pPr>
      <w:r>
        <w:rPr>
          <w:rFonts w:ascii="Times New Roman" w:hAnsi="Times New Roman" w:cs="Times New Roman"/>
          <w:b/>
          <w:bCs/>
        </w:rPr>
        <w:t>3.0</w:t>
      </w:r>
      <w:r>
        <w:rPr>
          <w:rFonts w:ascii="Times New Roman" w:hAnsi="Times New Roman" w:cs="Times New Roman"/>
          <w:b/>
          <w:bCs/>
        </w:rPr>
        <w:tab/>
      </w:r>
      <w:r w:rsidR="0003373C" w:rsidRPr="0003373C">
        <w:rPr>
          <w:rFonts w:ascii="Times New Roman" w:hAnsi="Times New Roman" w:cs="Times New Roman"/>
          <w:b/>
          <w:bCs/>
        </w:rPr>
        <w:t>RESEARCH METHODOLOGY</w:t>
      </w:r>
    </w:p>
    <w:p w:rsidR="0003373C" w:rsidRPr="0003373C" w:rsidRDefault="0003373C" w:rsidP="006A1BE9">
      <w:pPr>
        <w:spacing w:before="240" w:after="0" w:line="480" w:lineRule="auto"/>
        <w:jc w:val="both"/>
        <w:rPr>
          <w:rFonts w:ascii="Times New Roman" w:hAnsi="Times New Roman" w:cs="Times New Roman"/>
        </w:rPr>
      </w:pPr>
      <w:r w:rsidRPr="0003373C">
        <w:rPr>
          <w:rFonts w:ascii="Times New Roman" w:hAnsi="Times New Roman" w:cs="Times New Roman"/>
          <w:b/>
          <w:bCs/>
        </w:rPr>
        <w:t>3.</w:t>
      </w:r>
      <w:r w:rsidR="009172AD">
        <w:rPr>
          <w:rFonts w:ascii="Times New Roman" w:hAnsi="Times New Roman" w:cs="Times New Roman"/>
          <w:b/>
          <w:bCs/>
        </w:rPr>
        <w:t>1</w:t>
      </w:r>
      <w:r w:rsidRPr="0003373C">
        <w:rPr>
          <w:rFonts w:ascii="Times New Roman" w:hAnsi="Times New Roman" w:cs="Times New Roman"/>
          <w:b/>
          <w:bCs/>
        </w:rPr>
        <w:t xml:space="preserve"> Research Design</w:t>
      </w:r>
    </w:p>
    <w:p w:rsidR="0003373C" w:rsidRPr="0003373C" w:rsidRDefault="0003373C" w:rsidP="006A1BE9">
      <w:pPr>
        <w:spacing w:before="240" w:after="0" w:line="480" w:lineRule="auto"/>
        <w:jc w:val="both"/>
        <w:rPr>
          <w:rFonts w:ascii="Times New Roman" w:hAnsi="Times New Roman" w:cs="Times New Roman"/>
        </w:rPr>
      </w:pPr>
      <w:r w:rsidRPr="0003373C">
        <w:rPr>
          <w:rFonts w:ascii="Times New Roman" w:hAnsi="Times New Roman" w:cs="Times New Roman"/>
        </w:rPr>
        <w:t>The study employs a longitudinal case study design, analyzing FCMB’s financial data over 1</w:t>
      </w:r>
      <w:r w:rsidR="00020EEE">
        <w:rPr>
          <w:rFonts w:ascii="Times New Roman" w:hAnsi="Times New Roman" w:cs="Times New Roman"/>
        </w:rPr>
        <w:t>0</w:t>
      </w:r>
      <w:r w:rsidRPr="0003373C">
        <w:rPr>
          <w:rFonts w:ascii="Times New Roman" w:hAnsi="Times New Roman" w:cs="Times New Roman"/>
        </w:rPr>
        <w:t xml:space="preserve"> years (2013–2023). This design is chosen to:</w:t>
      </w:r>
    </w:p>
    <w:p w:rsidR="0003373C" w:rsidRPr="0003373C" w:rsidRDefault="0003373C" w:rsidP="006A1BE9">
      <w:pPr>
        <w:numPr>
          <w:ilvl w:val="0"/>
          <w:numId w:val="17"/>
        </w:numPr>
        <w:spacing w:before="240" w:after="0" w:line="480" w:lineRule="auto"/>
        <w:jc w:val="both"/>
        <w:rPr>
          <w:rFonts w:ascii="Times New Roman" w:hAnsi="Times New Roman" w:cs="Times New Roman"/>
        </w:rPr>
      </w:pPr>
      <w:r w:rsidRPr="0003373C">
        <w:rPr>
          <w:rFonts w:ascii="Times New Roman" w:hAnsi="Times New Roman" w:cs="Times New Roman"/>
        </w:rPr>
        <w:t>Track trends in risk metrics (e.g., NPL ratios) and profitability (ROA/ROE) over time.</w:t>
      </w:r>
    </w:p>
    <w:p w:rsidR="0003373C" w:rsidRPr="009172AD" w:rsidRDefault="0003373C" w:rsidP="006A1BE9">
      <w:pPr>
        <w:numPr>
          <w:ilvl w:val="0"/>
          <w:numId w:val="17"/>
        </w:numPr>
        <w:spacing w:before="240" w:after="0" w:line="480" w:lineRule="auto"/>
        <w:jc w:val="both"/>
        <w:rPr>
          <w:rFonts w:ascii="Times New Roman" w:hAnsi="Times New Roman" w:cs="Times New Roman"/>
        </w:rPr>
      </w:pPr>
      <w:r w:rsidRPr="0003373C">
        <w:rPr>
          <w:rFonts w:ascii="Times New Roman" w:hAnsi="Times New Roman" w:cs="Times New Roman"/>
        </w:rPr>
        <w:t>Isolate the impact of specific events (e.g., CBN’s 2019 LDR policy) on FCMB’s risk strategies.</w:t>
      </w:r>
    </w:p>
    <w:p w:rsidR="0003373C" w:rsidRPr="0003373C" w:rsidRDefault="0003373C" w:rsidP="006A1BE9">
      <w:pPr>
        <w:spacing w:before="240" w:after="0" w:line="480" w:lineRule="auto"/>
        <w:jc w:val="both"/>
        <w:rPr>
          <w:rFonts w:ascii="Times New Roman" w:hAnsi="Times New Roman" w:cs="Times New Roman"/>
        </w:rPr>
      </w:pPr>
      <w:r w:rsidRPr="0003373C">
        <w:rPr>
          <w:rFonts w:ascii="Times New Roman" w:hAnsi="Times New Roman" w:cs="Times New Roman"/>
          <w:b/>
          <w:bCs/>
        </w:rPr>
        <w:t>3.</w:t>
      </w:r>
      <w:r w:rsidR="009172AD">
        <w:rPr>
          <w:rFonts w:ascii="Times New Roman" w:hAnsi="Times New Roman" w:cs="Times New Roman"/>
          <w:b/>
          <w:bCs/>
        </w:rPr>
        <w:t>2</w:t>
      </w:r>
      <w:r w:rsidRPr="0003373C">
        <w:rPr>
          <w:rFonts w:ascii="Times New Roman" w:hAnsi="Times New Roman" w:cs="Times New Roman"/>
          <w:b/>
          <w:bCs/>
        </w:rPr>
        <w:t xml:space="preserve"> Population of the Study</w:t>
      </w:r>
    </w:p>
    <w:p w:rsidR="0003373C" w:rsidRPr="0003373C" w:rsidRDefault="0003373C" w:rsidP="006A1BE9">
      <w:pPr>
        <w:spacing w:before="240" w:after="0" w:line="480" w:lineRule="auto"/>
        <w:jc w:val="both"/>
        <w:rPr>
          <w:rFonts w:ascii="Times New Roman" w:hAnsi="Times New Roman" w:cs="Times New Roman"/>
        </w:rPr>
      </w:pPr>
      <w:r w:rsidRPr="0003373C">
        <w:rPr>
          <w:rFonts w:ascii="Times New Roman" w:hAnsi="Times New Roman" w:cs="Times New Roman"/>
        </w:rPr>
        <w:t>The population comprises all </w:t>
      </w:r>
      <w:r w:rsidRPr="0003373C">
        <w:rPr>
          <w:rFonts w:ascii="Times New Roman" w:hAnsi="Times New Roman" w:cs="Times New Roman"/>
          <w:b/>
          <w:bCs/>
        </w:rPr>
        <w:t>22 Nigerian DMBs</w:t>
      </w:r>
      <w:r w:rsidRPr="0003373C">
        <w:rPr>
          <w:rFonts w:ascii="Times New Roman" w:hAnsi="Times New Roman" w:cs="Times New Roman"/>
        </w:rPr>
        <w:t> licensed by the CBN as of 2023. However, the study focuses on FCMB PLC due to its accessibility, historical data availability, and representation of mid-sized Nigerian banks.</w:t>
      </w:r>
    </w:p>
    <w:p w:rsidR="0003373C" w:rsidRPr="0003373C" w:rsidRDefault="0003373C" w:rsidP="006A1BE9">
      <w:pPr>
        <w:spacing w:before="240" w:after="0" w:line="480" w:lineRule="auto"/>
        <w:jc w:val="both"/>
        <w:rPr>
          <w:rFonts w:ascii="Times New Roman" w:hAnsi="Times New Roman" w:cs="Times New Roman"/>
        </w:rPr>
      </w:pPr>
      <w:r w:rsidRPr="0003373C">
        <w:rPr>
          <w:rFonts w:ascii="Times New Roman" w:hAnsi="Times New Roman" w:cs="Times New Roman"/>
          <w:b/>
          <w:bCs/>
        </w:rPr>
        <w:t>3.</w:t>
      </w:r>
      <w:r w:rsidR="009172AD">
        <w:rPr>
          <w:rFonts w:ascii="Times New Roman" w:hAnsi="Times New Roman" w:cs="Times New Roman"/>
          <w:b/>
          <w:bCs/>
        </w:rPr>
        <w:t>3</w:t>
      </w:r>
      <w:r w:rsidRPr="0003373C">
        <w:rPr>
          <w:rFonts w:ascii="Times New Roman" w:hAnsi="Times New Roman" w:cs="Times New Roman"/>
          <w:b/>
          <w:bCs/>
        </w:rPr>
        <w:t xml:space="preserve"> Sample Size and Sampling Techniques</w:t>
      </w:r>
    </w:p>
    <w:p w:rsidR="0003373C" w:rsidRPr="0003373C" w:rsidRDefault="0003373C" w:rsidP="006A1BE9">
      <w:pPr>
        <w:spacing w:before="240" w:after="0" w:line="480" w:lineRule="auto"/>
        <w:ind w:left="360"/>
        <w:jc w:val="both"/>
        <w:rPr>
          <w:rFonts w:ascii="Times New Roman" w:hAnsi="Times New Roman" w:cs="Times New Roman"/>
        </w:rPr>
      </w:pPr>
      <w:r w:rsidRPr="0003373C">
        <w:rPr>
          <w:rFonts w:ascii="Times New Roman" w:hAnsi="Times New Roman" w:cs="Times New Roman"/>
          <w:b/>
          <w:bCs/>
        </w:rPr>
        <w:t>Sample Size:</w:t>
      </w:r>
      <w:r w:rsidRPr="0003373C">
        <w:rPr>
          <w:rFonts w:ascii="Times New Roman" w:hAnsi="Times New Roman" w:cs="Times New Roman"/>
        </w:rPr>
        <w:t> FCMB’s annual financial reports from 2013–2023 (11 years).</w:t>
      </w:r>
    </w:p>
    <w:p w:rsidR="0003373C" w:rsidRPr="0003373C" w:rsidRDefault="0003373C" w:rsidP="006A1BE9">
      <w:pPr>
        <w:spacing w:before="240" w:after="0" w:line="480" w:lineRule="auto"/>
        <w:ind w:left="360"/>
        <w:jc w:val="both"/>
        <w:rPr>
          <w:rFonts w:ascii="Times New Roman" w:hAnsi="Times New Roman" w:cs="Times New Roman"/>
        </w:rPr>
      </w:pPr>
      <w:r w:rsidRPr="0003373C">
        <w:rPr>
          <w:rFonts w:ascii="Times New Roman" w:hAnsi="Times New Roman" w:cs="Times New Roman"/>
          <w:b/>
          <w:bCs/>
        </w:rPr>
        <w:t>Sampling Technique:</w:t>
      </w:r>
      <w:r w:rsidRPr="0003373C">
        <w:rPr>
          <w:rFonts w:ascii="Times New Roman" w:hAnsi="Times New Roman" w:cs="Times New Roman"/>
        </w:rPr>
        <w:t> Purposive sampling is used, as FCMB’s risk management challenges (e.g., oil sector loan exposure) make it a critical case study.</w:t>
      </w:r>
    </w:p>
    <w:p w:rsidR="006460F7" w:rsidRDefault="006460F7" w:rsidP="006A1BE9">
      <w:pPr>
        <w:spacing w:before="240" w:after="0" w:line="480" w:lineRule="auto"/>
        <w:jc w:val="both"/>
        <w:rPr>
          <w:rFonts w:ascii="Times New Roman" w:hAnsi="Times New Roman" w:cs="Times New Roman"/>
          <w:b/>
          <w:bCs/>
        </w:rPr>
      </w:pPr>
    </w:p>
    <w:p w:rsidR="006460F7" w:rsidRDefault="006460F7" w:rsidP="006A1BE9">
      <w:pPr>
        <w:spacing w:before="240" w:after="0" w:line="480" w:lineRule="auto"/>
        <w:jc w:val="both"/>
        <w:rPr>
          <w:rFonts w:ascii="Times New Roman" w:hAnsi="Times New Roman" w:cs="Times New Roman"/>
          <w:b/>
          <w:bCs/>
        </w:rPr>
      </w:pPr>
    </w:p>
    <w:p w:rsidR="0003373C" w:rsidRPr="0003373C" w:rsidRDefault="0003373C" w:rsidP="006460F7">
      <w:pPr>
        <w:spacing w:before="240" w:after="0" w:line="360" w:lineRule="auto"/>
        <w:jc w:val="both"/>
        <w:rPr>
          <w:rFonts w:ascii="Times New Roman" w:hAnsi="Times New Roman" w:cs="Times New Roman"/>
        </w:rPr>
      </w:pPr>
      <w:r w:rsidRPr="0003373C">
        <w:rPr>
          <w:rFonts w:ascii="Times New Roman" w:hAnsi="Times New Roman" w:cs="Times New Roman"/>
          <w:b/>
          <w:bCs/>
        </w:rPr>
        <w:lastRenderedPageBreak/>
        <w:t>3.</w:t>
      </w:r>
      <w:r w:rsidR="009172AD">
        <w:rPr>
          <w:rFonts w:ascii="Times New Roman" w:hAnsi="Times New Roman" w:cs="Times New Roman"/>
          <w:b/>
          <w:bCs/>
        </w:rPr>
        <w:t>4</w:t>
      </w:r>
      <w:r w:rsidRPr="0003373C">
        <w:rPr>
          <w:rFonts w:ascii="Times New Roman" w:hAnsi="Times New Roman" w:cs="Times New Roman"/>
          <w:b/>
          <w:bCs/>
        </w:rPr>
        <w:t xml:space="preserve"> Method of Data Collection</w:t>
      </w:r>
    </w:p>
    <w:p w:rsidR="0003373C" w:rsidRPr="0003373C" w:rsidRDefault="0003373C" w:rsidP="006460F7">
      <w:pPr>
        <w:spacing w:before="240" w:after="0" w:line="360" w:lineRule="auto"/>
        <w:jc w:val="both"/>
        <w:rPr>
          <w:rFonts w:ascii="Times New Roman" w:hAnsi="Times New Roman" w:cs="Times New Roman"/>
        </w:rPr>
      </w:pPr>
      <w:r w:rsidRPr="0003373C">
        <w:rPr>
          <w:rFonts w:ascii="Times New Roman" w:hAnsi="Times New Roman" w:cs="Times New Roman"/>
          <w:b/>
          <w:bCs/>
        </w:rPr>
        <w:t>Secondary Data Sources</w:t>
      </w:r>
    </w:p>
    <w:p w:rsidR="0003373C" w:rsidRPr="0003373C" w:rsidRDefault="0003373C" w:rsidP="006460F7">
      <w:pPr>
        <w:numPr>
          <w:ilvl w:val="0"/>
          <w:numId w:val="19"/>
        </w:numPr>
        <w:spacing w:before="240" w:after="0" w:line="360" w:lineRule="auto"/>
        <w:jc w:val="both"/>
        <w:rPr>
          <w:rFonts w:ascii="Times New Roman" w:hAnsi="Times New Roman" w:cs="Times New Roman"/>
        </w:rPr>
      </w:pPr>
      <w:r w:rsidRPr="0003373C">
        <w:rPr>
          <w:rFonts w:ascii="Times New Roman" w:hAnsi="Times New Roman" w:cs="Times New Roman"/>
          <w:b/>
          <w:bCs/>
        </w:rPr>
        <w:t>FCMB’s Annual Reports (2013–2023):</w:t>
      </w:r>
      <w:r w:rsidRPr="0003373C">
        <w:rPr>
          <w:rFonts w:ascii="Times New Roman" w:hAnsi="Times New Roman" w:cs="Times New Roman"/>
        </w:rPr>
        <w:t> Extracted data on NPL ratios, liquidity ratios, ROA, and ROE.</w:t>
      </w:r>
    </w:p>
    <w:p w:rsidR="0003373C" w:rsidRPr="0003373C" w:rsidRDefault="0003373C" w:rsidP="006460F7">
      <w:pPr>
        <w:numPr>
          <w:ilvl w:val="0"/>
          <w:numId w:val="19"/>
        </w:numPr>
        <w:spacing w:before="240" w:after="0" w:line="360" w:lineRule="auto"/>
        <w:jc w:val="both"/>
        <w:rPr>
          <w:rFonts w:ascii="Times New Roman" w:hAnsi="Times New Roman" w:cs="Times New Roman"/>
        </w:rPr>
      </w:pPr>
      <w:r w:rsidRPr="0003373C">
        <w:rPr>
          <w:rFonts w:ascii="Times New Roman" w:hAnsi="Times New Roman" w:cs="Times New Roman"/>
          <w:b/>
          <w:bCs/>
        </w:rPr>
        <w:t>Regulatory Publications:</w:t>
      </w:r>
      <w:r w:rsidRPr="0003373C">
        <w:rPr>
          <w:rFonts w:ascii="Times New Roman" w:hAnsi="Times New Roman" w:cs="Times New Roman"/>
        </w:rPr>
        <w:t> CBN’s Banking Supervision Reports and NDIC’s Annual Reports provide context on industry-wide risks.</w:t>
      </w:r>
    </w:p>
    <w:p w:rsidR="0003373C" w:rsidRPr="0003373C" w:rsidRDefault="0003373C" w:rsidP="006460F7">
      <w:pPr>
        <w:numPr>
          <w:ilvl w:val="0"/>
          <w:numId w:val="19"/>
        </w:numPr>
        <w:spacing w:before="240" w:after="0" w:line="360" w:lineRule="auto"/>
        <w:jc w:val="both"/>
        <w:rPr>
          <w:rFonts w:ascii="Times New Roman" w:hAnsi="Times New Roman" w:cs="Times New Roman"/>
        </w:rPr>
      </w:pPr>
      <w:r w:rsidRPr="0003373C">
        <w:rPr>
          <w:rFonts w:ascii="Times New Roman" w:hAnsi="Times New Roman" w:cs="Times New Roman"/>
          <w:b/>
          <w:bCs/>
        </w:rPr>
        <w:t>Global Databases:</w:t>
      </w:r>
      <w:r w:rsidRPr="0003373C">
        <w:rPr>
          <w:rFonts w:ascii="Times New Roman" w:hAnsi="Times New Roman" w:cs="Times New Roman"/>
        </w:rPr>
        <w:t> World Bank Development Indicators (e.g., Nigeria’s inflation rates) to contextualize findings.</w:t>
      </w:r>
    </w:p>
    <w:p w:rsidR="0003373C" w:rsidRPr="0003373C" w:rsidRDefault="0003373C" w:rsidP="006460F7">
      <w:pPr>
        <w:spacing w:before="240" w:after="0" w:line="360" w:lineRule="auto"/>
        <w:jc w:val="both"/>
        <w:rPr>
          <w:rFonts w:ascii="Times New Roman" w:hAnsi="Times New Roman" w:cs="Times New Roman"/>
        </w:rPr>
      </w:pPr>
      <w:r w:rsidRPr="0003373C">
        <w:rPr>
          <w:rFonts w:ascii="Times New Roman" w:hAnsi="Times New Roman" w:cs="Times New Roman"/>
          <w:b/>
          <w:bCs/>
        </w:rPr>
        <w:t>Variables Operationalized</w:t>
      </w:r>
    </w:p>
    <w:tbl>
      <w:tblPr>
        <w:tblStyle w:val="TableGrid"/>
        <w:tblW w:w="0" w:type="auto"/>
        <w:tblLook w:val="04A0" w:firstRow="1" w:lastRow="0" w:firstColumn="1" w:lastColumn="0" w:noHBand="0" w:noVBand="1"/>
      </w:tblPr>
      <w:tblGrid>
        <w:gridCol w:w="2792"/>
        <w:gridCol w:w="1850"/>
        <w:gridCol w:w="3544"/>
      </w:tblGrid>
      <w:tr w:rsidR="0003373C" w:rsidRPr="0003373C" w:rsidTr="0003373C">
        <w:tc>
          <w:tcPr>
            <w:tcW w:w="0" w:type="auto"/>
            <w:hideMark/>
          </w:tcPr>
          <w:p w:rsidR="0003373C" w:rsidRPr="0003373C" w:rsidRDefault="0003373C" w:rsidP="006460F7">
            <w:pPr>
              <w:spacing w:before="240" w:line="360" w:lineRule="auto"/>
              <w:jc w:val="both"/>
              <w:rPr>
                <w:rFonts w:ascii="Times New Roman" w:hAnsi="Times New Roman" w:cs="Times New Roman"/>
                <w:b/>
                <w:bCs/>
              </w:rPr>
            </w:pPr>
            <w:r w:rsidRPr="0003373C">
              <w:rPr>
                <w:rFonts w:ascii="Times New Roman" w:hAnsi="Times New Roman" w:cs="Times New Roman"/>
                <w:b/>
                <w:bCs/>
              </w:rPr>
              <w:t>Variable Type</w:t>
            </w:r>
          </w:p>
        </w:tc>
        <w:tc>
          <w:tcPr>
            <w:tcW w:w="0" w:type="auto"/>
            <w:hideMark/>
          </w:tcPr>
          <w:p w:rsidR="0003373C" w:rsidRPr="0003373C" w:rsidRDefault="0003373C" w:rsidP="006460F7">
            <w:pPr>
              <w:spacing w:before="240" w:line="360" w:lineRule="auto"/>
              <w:jc w:val="both"/>
              <w:rPr>
                <w:rFonts w:ascii="Times New Roman" w:hAnsi="Times New Roman" w:cs="Times New Roman"/>
                <w:b/>
                <w:bCs/>
              </w:rPr>
            </w:pPr>
            <w:r w:rsidRPr="0003373C">
              <w:rPr>
                <w:rFonts w:ascii="Times New Roman" w:hAnsi="Times New Roman" w:cs="Times New Roman"/>
                <w:b/>
                <w:bCs/>
              </w:rPr>
              <w:t>Indicator</w:t>
            </w:r>
          </w:p>
        </w:tc>
        <w:tc>
          <w:tcPr>
            <w:tcW w:w="0" w:type="auto"/>
            <w:hideMark/>
          </w:tcPr>
          <w:p w:rsidR="0003373C" w:rsidRPr="0003373C" w:rsidRDefault="0003373C" w:rsidP="006460F7">
            <w:pPr>
              <w:spacing w:before="240" w:line="360" w:lineRule="auto"/>
              <w:jc w:val="both"/>
              <w:rPr>
                <w:rFonts w:ascii="Times New Roman" w:hAnsi="Times New Roman" w:cs="Times New Roman"/>
                <w:b/>
                <w:bCs/>
              </w:rPr>
            </w:pPr>
            <w:r w:rsidRPr="0003373C">
              <w:rPr>
                <w:rFonts w:ascii="Times New Roman" w:hAnsi="Times New Roman" w:cs="Times New Roman"/>
                <w:b/>
                <w:bCs/>
              </w:rPr>
              <w:t>Measurement</w:t>
            </w:r>
          </w:p>
        </w:tc>
      </w:tr>
      <w:tr w:rsidR="0003373C" w:rsidRPr="0003373C" w:rsidTr="0003373C">
        <w:tc>
          <w:tcPr>
            <w:tcW w:w="0" w:type="auto"/>
            <w:hideMark/>
          </w:tcPr>
          <w:p w:rsidR="0003373C" w:rsidRPr="0003373C" w:rsidRDefault="0003373C" w:rsidP="006460F7">
            <w:pPr>
              <w:spacing w:before="240" w:line="360" w:lineRule="auto"/>
              <w:jc w:val="both"/>
              <w:rPr>
                <w:rFonts w:ascii="Times New Roman" w:hAnsi="Times New Roman" w:cs="Times New Roman"/>
              </w:rPr>
            </w:pPr>
            <w:r w:rsidRPr="0003373C">
              <w:rPr>
                <w:rFonts w:ascii="Times New Roman" w:hAnsi="Times New Roman" w:cs="Times New Roman"/>
                <w:b/>
                <w:bCs/>
              </w:rPr>
              <w:t>Dependent (Profitability)</w:t>
            </w:r>
          </w:p>
        </w:tc>
        <w:tc>
          <w:tcPr>
            <w:tcW w:w="0" w:type="auto"/>
            <w:hideMark/>
          </w:tcPr>
          <w:p w:rsidR="0003373C" w:rsidRPr="0003373C" w:rsidRDefault="0003373C" w:rsidP="006460F7">
            <w:pPr>
              <w:spacing w:before="240" w:line="360" w:lineRule="auto"/>
              <w:jc w:val="both"/>
              <w:rPr>
                <w:rFonts w:ascii="Times New Roman" w:hAnsi="Times New Roman" w:cs="Times New Roman"/>
              </w:rPr>
            </w:pPr>
            <w:r w:rsidRPr="0003373C">
              <w:rPr>
                <w:rFonts w:ascii="Times New Roman" w:hAnsi="Times New Roman" w:cs="Times New Roman"/>
              </w:rPr>
              <w:t>ROA</w:t>
            </w:r>
          </w:p>
        </w:tc>
        <w:tc>
          <w:tcPr>
            <w:tcW w:w="0" w:type="auto"/>
            <w:hideMark/>
          </w:tcPr>
          <w:p w:rsidR="0003373C" w:rsidRPr="0003373C" w:rsidRDefault="0003373C" w:rsidP="006460F7">
            <w:pPr>
              <w:spacing w:before="240" w:line="360" w:lineRule="auto"/>
              <w:jc w:val="both"/>
              <w:rPr>
                <w:rFonts w:ascii="Times New Roman" w:hAnsi="Times New Roman" w:cs="Times New Roman"/>
              </w:rPr>
            </w:pPr>
            <w:r w:rsidRPr="0003373C">
              <w:rPr>
                <w:rFonts w:ascii="Times New Roman" w:hAnsi="Times New Roman" w:cs="Times New Roman"/>
              </w:rPr>
              <w:t>Net Income / Total Assets</w:t>
            </w:r>
          </w:p>
        </w:tc>
      </w:tr>
      <w:tr w:rsidR="0003373C" w:rsidRPr="0003373C" w:rsidTr="0003373C">
        <w:tc>
          <w:tcPr>
            <w:tcW w:w="0" w:type="auto"/>
            <w:hideMark/>
          </w:tcPr>
          <w:p w:rsidR="0003373C" w:rsidRPr="0003373C" w:rsidRDefault="0003373C" w:rsidP="006460F7">
            <w:pPr>
              <w:spacing w:before="240" w:line="360" w:lineRule="auto"/>
              <w:jc w:val="both"/>
              <w:rPr>
                <w:rFonts w:ascii="Times New Roman" w:hAnsi="Times New Roman" w:cs="Times New Roman"/>
              </w:rPr>
            </w:pPr>
          </w:p>
        </w:tc>
        <w:tc>
          <w:tcPr>
            <w:tcW w:w="0" w:type="auto"/>
            <w:hideMark/>
          </w:tcPr>
          <w:p w:rsidR="0003373C" w:rsidRPr="0003373C" w:rsidRDefault="0003373C" w:rsidP="006460F7">
            <w:pPr>
              <w:spacing w:before="240" w:line="360" w:lineRule="auto"/>
              <w:jc w:val="both"/>
              <w:rPr>
                <w:rFonts w:ascii="Times New Roman" w:hAnsi="Times New Roman" w:cs="Times New Roman"/>
              </w:rPr>
            </w:pPr>
            <w:r w:rsidRPr="0003373C">
              <w:rPr>
                <w:rFonts w:ascii="Times New Roman" w:hAnsi="Times New Roman" w:cs="Times New Roman"/>
              </w:rPr>
              <w:t>ROE</w:t>
            </w:r>
          </w:p>
        </w:tc>
        <w:tc>
          <w:tcPr>
            <w:tcW w:w="0" w:type="auto"/>
            <w:hideMark/>
          </w:tcPr>
          <w:p w:rsidR="0003373C" w:rsidRPr="0003373C" w:rsidRDefault="0003373C" w:rsidP="006460F7">
            <w:pPr>
              <w:spacing w:before="240" w:line="360" w:lineRule="auto"/>
              <w:jc w:val="both"/>
              <w:rPr>
                <w:rFonts w:ascii="Times New Roman" w:hAnsi="Times New Roman" w:cs="Times New Roman"/>
              </w:rPr>
            </w:pPr>
            <w:r w:rsidRPr="0003373C">
              <w:rPr>
                <w:rFonts w:ascii="Times New Roman" w:hAnsi="Times New Roman" w:cs="Times New Roman"/>
              </w:rPr>
              <w:t>Net Income / Shareholders’ Equity</w:t>
            </w:r>
          </w:p>
        </w:tc>
      </w:tr>
      <w:tr w:rsidR="0003373C" w:rsidRPr="0003373C" w:rsidTr="0003373C">
        <w:tc>
          <w:tcPr>
            <w:tcW w:w="0" w:type="auto"/>
            <w:hideMark/>
          </w:tcPr>
          <w:p w:rsidR="0003373C" w:rsidRPr="0003373C" w:rsidRDefault="0003373C" w:rsidP="006460F7">
            <w:pPr>
              <w:spacing w:before="240" w:line="360" w:lineRule="auto"/>
              <w:jc w:val="both"/>
              <w:rPr>
                <w:rFonts w:ascii="Times New Roman" w:hAnsi="Times New Roman" w:cs="Times New Roman"/>
              </w:rPr>
            </w:pPr>
            <w:r w:rsidRPr="0003373C">
              <w:rPr>
                <w:rFonts w:ascii="Times New Roman" w:hAnsi="Times New Roman" w:cs="Times New Roman"/>
                <w:b/>
                <w:bCs/>
              </w:rPr>
              <w:t>Independent (Risks)</w:t>
            </w:r>
          </w:p>
        </w:tc>
        <w:tc>
          <w:tcPr>
            <w:tcW w:w="0" w:type="auto"/>
            <w:hideMark/>
          </w:tcPr>
          <w:p w:rsidR="0003373C" w:rsidRPr="0003373C" w:rsidRDefault="0003373C" w:rsidP="006460F7">
            <w:pPr>
              <w:spacing w:before="240" w:line="360" w:lineRule="auto"/>
              <w:jc w:val="both"/>
              <w:rPr>
                <w:rFonts w:ascii="Times New Roman" w:hAnsi="Times New Roman" w:cs="Times New Roman"/>
              </w:rPr>
            </w:pPr>
            <w:r w:rsidRPr="0003373C">
              <w:rPr>
                <w:rFonts w:ascii="Times New Roman" w:hAnsi="Times New Roman" w:cs="Times New Roman"/>
              </w:rPr>
              <w:t>Credit Risk</w:t>
            </w:r>
          </w:p>
        </w:tc>
        <w:tc>
          <w:tcPr>
            <w:tcW w:w="0" w:type="auto"/>
            <w:hideMark/>
          </w:tcPr>
          <w:p w:rsidR="0003373C" w:rsidRPr="0003373C" w:rsidRDefault="0003373C" w:rsidP="006460F7">
            <w:pPr>
              <w:spacing w:before="240" w:line="360" w:lineRule="auto"/>
              <w:jc w:val="both"/>
              <w:rPr>
                <w:rFonts w:ascii="Times New Roman" w:hAnsi="Times New Roman" w:cs="Times New Roman"/>
              </w:rPr>
            </w:pPr>
            <w:r w:rsidRPr="0003373C">
              <w:rPr>
                <w:rFonts w:ascii="Times New Roman" w:hAnsi="Times New Roman" w:cs="Times New Roman"/>
              </w:rPr>
              <w:t>NPL Ratio (%)</w:t>
            </w:r>
          </w:p>
        </w:tc>
      </w:tr>
      <w:tr w:rsidR="0003373C" w:rsidRPr="0003373C" w:rsidTr="0003373C">
        <w:tc>
          <w:tcPr>
            <w:tcW w:w="0" w:type="auto"/>
            <w:hideMark/>
          </w:tcPr>
          <w:p w:rsidR="0003373C" w:rsidRPr="0003373C" w:rsidRDefault="0003373C" w:rsidP="006460F7">
            <w:pPr>
              <w:spacing w:before="240" w:line="360" w:lineRule="auto"/>
              <w:jc w:val="both"/>
              <w:rPr>
                <w:rFonts w:ascii="Times New Roman" w:hAnsi="Times New Roman" w:cs="Times New Roman"/>
              </w:rPr>
            </w:pPr>
          </w:p>
        </w:tc>
        <w:tc>
          <w:tcPr>
            <w:tcW w:w="0" w:type="auto"/>
            <w:hideMark/>
          </w:tcPr>
          <w:p w:rsidR="0003373C" w:rsidRPr="0003373C" w:rsidRDefault="0003373C" w:rsidP="006460F7">
            <w:pPr>
              <w:spacing w:before="240" w:line="360" w:lineRule="auto"/>
              <w:jc w:val="both"/>
              <w:rPr>
                <w:rFonts w:ascii="Times New Roman" w:hAnsi="Times New Roman" w:cs="Times New Roman"/>
              </w:rPr>
            </w:pPr>
            <w:r w:rsidRPr="0003373C">
              <w:rPr>
                <w:rFonts w:ascii="Times New Roman" w:hAnsi="Times New Roman" w:cs="Times New Roman"/>
              </w:rPr>
              <w:t>Liquidity Risk</w:t>
            </w:r>
          </w:p>
        </w:tc>
        <w:tc>
          <w:tcPr>
            <w:tcW w:w="0" w:type="auto"/>
            <w:hideMark/>
          </w:tcPr>
          <w:p w:rsidR="0003373C" w:rsidRPr="0003373C" w:rsidRDefault="0003373C" w:rsidP="006460F7">
            <w:pPr>
              <w:spacing w:before="240" w:line="360" w:lineRule="auto"/>
              <w:jc w:val="both"/>
              <w:rPr>
                <w:rFonts w:ascii="Times New Roman" w:hAnsi="Times New Roman" w:cs="Times New Roman"/>
              </w:rPr>
            </w:pPr>
            <w:r w:rsidRPr="0003373C">
              <w:rPr>
                <w:rFonts w:ascii="Times New Roman" w:hAnsi="Times New Roman" w:cs="Times New Roman"/>
              </w:rPr>
              <w:t>Liquidity Ratio (%)</w:t>
            </w:r>
          </w:p>
        </w:tc>
      </w:tr>
      <w:tr w:rsidR="0003373C" w:rsidRPr="0003373C" w:rsidTr="0003373C">
        <w:tc>
          <w:tcPr>
            <w:tcW w:w="0" w:type="auto"/>
            <w:hideMark/>
          </w:tcPr>
          <w:p w:rsidR="0003373C" w:rsidRPr="0003373C" w:rsidRDefault="0003373C" w:rsidP="006460F7">
            <w:pPr>
              <w:spacing w:before="240" w:line="360" w:lineRule="auto"/>
              <w:jc w:val="both"/>
              <w:rPr>
                <w:rFonts w:ascii="Times New Roman" w:hAnsi="Times New Roman" w:cs="Times New Roman"/>
              </w:rPr>
            </w:pPr>
          </w:p>
        </w:tc>
        <w:tc>
          <w:tcPr>
            <w:tcW w:w="0" w:type="auto"/>
            <w:hideMark/>
          </w:tcPr>
          <w:p w:rsidR="0003373C" w:rsidRPr="0003373C" w:rsidRDefault="0003373C" w:rsidP="006460F7">
            <w:pPr>
              <w:spacing w:before="240" w:line="360" w:lineRule="auto"/>
              <w:jc w:val="both"/>
              <w:rPr>
                <w:rFonts w:ascii="Times New Roman" w:hAnsi="Times New Roman" w:cs="Times New Roman"/>
              </w:rPr>
            </w:pPr>
            <w:r w:rsidRPr="0003373C">
              <w:rPr>
                <w:rFonts w:ascii="Times New Roman" w:hAnsi="Times New Roman" w:cs="Times New Roman"/>
              </w:rPr>
              <w:t>Operational Risk</w:t>
            </w:r>
          </w:p>
        </w:tc>
        <w:tc>
          <w:tcPr>
            <w:tcW w:w="0" w:type="auto"/>
            <w:hideMark/>
          </w:tcPr>
          <w:p w:rsidR="0003373C" w:rsidRPr="0003373C" w:rsidRDefault="0003373C" w:rsidP="006460F7">
            <w:pPr>
              <w:spacing w:before="240" w:line="360" w:lineRule="auto"/>
              <w:jc w:val="both"/>
              <w:rPr>
                <w:rFonts w:ascii="Times New Roman" w:hAnsi="Times New Roman" w:cs="Times New Roman"/>
              </w:rPr>
            </w:pPr>
            <w:r w:rsidRPr="0003373C">
              <w:rPr>
                <w:rFonts w:ascii="Times New Roman" w:hAnsi="Times New Roman" w:cs="Times New Roman"/>
              </w:rPr>
              <w:t>Cost-to-Income Ratio (%)</w:t>
            </w:r>
          </w:p>
        </w:tc>
      </w:tr>
    </w:tbl>
    <w:p w:rsidR="0003373C" w:rsidRPr="0003373C" w:rsidRDefault="0003373C" w:rsidP="006A1BE9">
      <w:pPr>
        <w:spacing w:before="240" w:after="0" w:line="480" w:lineRule="auto"/>
        <w:jc w:val="both"/>
        <w:rPr>
          <w:rFonts w:ascii="Times New Roman" w:hAnsi="Times New Roman" w:cs="Times New Roman"/>
        </w:rPr>
      </w:pPr>
    </w:p>
    <w:p w:rsidR="0003373C" w:rsidRPr="0003373C" w:rsidRDefault="0003373C" w:rsidP="006A1BE9">
      <w:pPr>
        <w:spacing w:before="240" w:after="0" w:line="480" w:lineRule="auto"/>
        <w:jc w:val="both"/>
        <w:rPr>
          <w:rFonts w:ascii="Times New Roman" w:hAnsi="Times New Roman" w:cs="Times New Roman"/>
        </w:rPr>
      </w:pPr>
      <w:r w:rsidRPr="0003373C">
        <w:rPr>
          <w:rFonts w:ascii="Times New Roman" w:hAnsi="Times New Roman" w:cs="Times New Roman"/>
          <w:b/>
          <w:bCs/>
        </w:rPr>
        <w:t>3.</w:t>
      </w:r>
      <w:r w:rsidR="009172AD">
        <w:rPr>
          <w:rFonts w:ascii="Times New Roman" w:hAnsi="Times New Roman" w:cs="Times New Roman"/>
          <w:b/>
          <w:bCs/>
        </w:rPr>
        <w:t>5</w:t>
      </w:r>
      <w:r w:rsidRPr="0003373C">
        <w:rPr>
          <w:rFonts w:ascii="Times New Roman" w:hAnsi="Times New Roman" w:cs="Times New Roman"/>
          <w:b/>
          <w:bCs/>
        </w:rPr>
        <w:t xml:space="preserve"> Method of Data Analysis</w:t>
      </w:r>
    </w:p>
    <w:p w:rsidR="0003373C" w:rsidRPr="0003373C" w:rsidRDefault="0003373C" w:rsidP="006A1BE9">
      <w:pPr>
        <w:spacing w:before="240" w:after="0" w:line="480" w:lineRule="auto"/>
        <w:jc w:val="both"/>
        <w:rPr>
          <w:rFonts w:ascii="Times New Roman" w:hAnsi="Times New Roman" w:cs="Times New Roman"/>
        </w:rPr>
      </w:pPr>
      <w:r w:rsidRPr="0003373C">
        <w:rPr>
          <w:rFonts w:ascii="Times New Roman" w:hAnsi="Times New Roman" w:cs="Times New Roman"/>
          <w:b/>
          <w:bCs/>
        </w:rPr>
        <w:t>Quantitative Analysis</w:t>
      </w:r>
    </w:p>
    <w:p w:rsidR="0003373C" w:rsidRPr="0003373C" w:rsidRDefault="0003373C" w:rsidP="006A1BE9">
      <w:pPr>
        <w:numPr>
          <w:ilvl w:val="0"/>
          <w:numId w:val="20"/>
        </w:numPr>
        <w:spacing w:before="240" w:after="0" w:line="480" w:lineRule="auto"/>
        <w:jc w:val="both"/>
        <w:rPr>
          <w:rFonts w:ascii="Times New Roman" w:hAnsi="Times New Roman" w:cs="Times New Roman"/>
        </w:rPr>
      </w:pPr>
      <w:r w:rsidRPr="0003373C">
        <w:rPr>
          <w:rFonts w:ascii="Times New Roman" w:hAnsi="Times New Roman" w:cs="Times New Roman"/>
          <w:b/>
          <w:bCs/>
        </w:rPr>
        <w:t>Descriptive Statistics:</w:t>
      </w:r>
      <w:r w:rsidRPr="0003373C">
        <w:rPr>
          <w:rFonts w:ascii="Times New Roman" w:hAnsi="Times New Roman" w:cs="Times New Roman"/>
        </w:rPr>
        <w:t> Mean, standard deviation, and trends of variables (e.g., FCMB’s average NPL ratio over 11 years).</w:t>
      </w:r>
    </w:p>
    <w:p w:rsidR="0003373C" w:rsidRPr="0003373C" w:rsidRDefault="0003373C" w:rsidP="006A1BE9">
      <w:pPr>
        <w:numPr>
          <w:ilvl w:val="0"/>
          <w:numId w:val="20"/>
        </w:numPr>
        <w:spacing w:before="240" w:after="0" w:line="480" w:lineRule="auto"/>
        <w:jc w:val="both"/>
        <w:rPr>
          <w:rFonts w:ascii="Times New Roman" w:hAnsi="Times New Roman" w:cs="Times New Roman"/>
        </w:rPr>
      </w:pPr>
      <w:r w:rsidRPr="0003373C">
        <w:rPr>
          <w:rFonts w:ascii="Times New Roman" w:hAnsi="Times New Roman" w:cs="Times New Roman"/>
          <w:b/>
          <w:bCs/>
        </w:rPr>
        <w:lastRenderedPageBreak/>
        <w:t>Inferential Statistics:</w:t>
      </w:r>
    </w:p>
    <w:p w:rsidR="0003373C" w:rsidRPr="0003373C" w:rsidRDefault="0003373C" w:rsidP="006A1BE9">
      <w:pPr>
        <w:spacing w:before="240" w:after="0" w:line="480" w:lineRule="auto"/>
        <w:ind w:left="1080"/>
        <w:jc w:val="both"/>
        <w:rPr>
          <w:rFonts w:ascii="Times New Roman" w:hAnsi="Times New Roman" w:cs="Times New Roman"/>
        </w:rPr>
      </w:pPr>
      <w:r w:rsidRPr="0003373C">
        <w:rPr>
          <w:rFonts w:ascii="Times New Roman" w:hAnsi="Times New Roman" w:cs="Times New Roman"/>
          <w:b/>
          <w:bCs/>
        </w:rPr>
        <w:t>Multiple Regression Analysis:</w:t>
      </w:r>
      <w:r w:rsidRPr="0003373C">
        <w:rPr>
          <w:rFonts w:ascii="Times New Roman" w:hAnsi="Times New Roman" w:cs="Times New Roman"/>
        </w:rPr>
        <w:t> To test hypotheses using the model:</w:t>
      </w:r>
    </w:p>
    <w:p w:rsidR="0003373C" w:rsidRPr="00020EEE" w:rsidRDefault="0003373C" w:rsidP="006A1BE9">
      <w:pPr>
        <w:spacing w:before="240" w:after="0" w:line="480" w:lineRule="auto"/>
        <w:ind w:left="360"/>
        <w:jc w:val="both"/>
        <w:rPr>
          <w:rFonts w:ascii="Times New Roman" w:hAnsi="Times New Roman" w:cs="Times New Roman"/>
        </w:rPr>
      </w:pPr>
      <w:r w:rsidRPr="00020EEE">
        <w:rPr>
          <w:rFonts w:ascii="Times New Roman" w:hAnsi="Times New Roman" w:cs="Times New Roman"/>
        </w:rPr>
        <w:t>ROA=β0+β1(NPL)+β2(Liquidity)+β3(OperationalCost)+ε</w:t>
      </w:r>
      <w:r w:rsidRPr="00020EEE">
        <w:rPr>
          <w:rFonts w:ascii="Times New Roman" w:hAnsi="Times New Roman" w:cs="Times New Roman"/>
          <w:i/>
          <w:iCs/>
        </w:rPr>
        <w:t>ROA</w:t>
      </w:r>
      <w:r w:rsidRPr="00020EEE">
        <w:rPr>
          <w:rFonts w:ascii="Times New Roman" w:hAnsi="Times New Roman" w:cs="Times New Roman"/>
        </w:rPr>
        <w:t>=</w:t>
      </w:r>
      <w:r w:rsidRPr="00020EEE">
        <w:rPr>
          <w:rFonts w:ascii="Times New Roman" w:hAnsi="Times New Roman" w:cs="Times New Roman"/>
          <w:i/>
          <w:iCs/>
        </w:rPr>
        <w:t>β</w:t>
      </w:r>
      <w:r w:rsidRPr="00020EEE">
        <w:rPr>
          <w:rFonts w:ascii="Times New Roman" w:hAnsi="Times New Roman" w:cs="Times New Roman"/>
        </w:rPr>
        <w:t>0​+</w:t>
      </w:r>
      <w:r w:rsidRPr="00020EEE">
        <w:rPr>
          <w:rFonts w:ascii="Times New Roman" w:hAnsi="Times New Roman" w:cs="Times New Roman"/>
          <w:i/>
          <w:iCs/>
        </w:rPr>
        <w:t>β</w:t>
      </w:r>
      <w:r w:rsidRPr="00020EEE">
        <w:rPr>
          <w:rFonts w:ascii="Times New Roman" w:hAnsi="Times New Roman" w:cs="Times New Roman"/>
        </w:rPr>
        <w:t>1​(</w:t>
      </w:r>
      <w:r w:rsidRPr="00020EEE">
        <w:rPr>
          <w:rFonts w:ascii="Times New Roman" w:hAnsi="Times New Roman" w:cs="Times New Roman"/>
          <w:i/>
          <w:iCs/>
        </w:rPr>
        <w:t>NPL</w:t>
      </w:r>
      <w:r w:rsidRPr="00020EEE">
        <w:rPr>
          <w:rFonts w:ascii="Times New Roman" w:hAnsi="Times New Roman" w:cs="Times New Roman"/>
        </w:rPr>
        <w:t>)+</w:t>
      </w:r>
      <w:r w:rsidRPr="00020EEE">
        <w:rPr>
          <w:rFonts w:ascii="Times New Roman" w:hAnsi="Times New Roman" w:cs="Times New Roman"/>
          <w:i/>
          <w:iCs/>
        </w:rPr>
        <w:t>β</w:t>
      </w:r>
      <w:r w:rsidRPr="00020EEE">
        <w:rPr>
          <w:rFonts w:ascii="Times New Roman" w:hAnsi="Times New Roman" w:cs="Times New Roman"/>
        </w:rPr>
        <w:t>2​(</w:t>
      </w:r>
      <w:r w:rsidRPr="00020EEE">
        <w:rPr>
          <w:rFonts w:ascii="Times New Roman" w:hAnsi="Times New Roman" w:cs="Times New Roman"/>
          <w:i/>
          <w:iCs/>
        </w:rPr>
        <w:t>Liquidity</w:t>
      </w:r>
      <w:r w:rsidRPr="00020EEE">
        <w:rPr>
          <w:rFonts w:ascii="Times New Roman" w:hAnsi="Times New Roman" w:cs="Times New Roman"/>
        </w:rPr>
        <w:t>)+</w:t>
      </w:r>
      <w:r w:rsidRPr="00020EEE">
        <w:rPr>
          <w:rFonts w:ascii="Times New Roman" w:hAnsi="Times New Roman" w:cs="Times New Roman"/>
          <w:i/>
          <w:iCs/>
        </w:rPr>
        <w:t>β</w:t>
      </w:r>
      <w:r w:rsidRPr="00020EEE">
        <w:rPr>
          <w:rFonts w:ascii="Times New Roman" w:hAnsi="Times New Roman" w:cs="Times New Roman"/>
        </w:rPr>
        <w:t>3​(</w:t>
      </w:r>
      <w:r w:rsidRPr="00020EEE">
        <w:rPr>
          <w:rFonts w:ascii="Times New Roman" w:hAnsi="Times New Roman" w:cs="Times New Roman"/>
          <w:i/>
          <w:iCs/>
        </w:rPr>
        <w:t>OperationalCost</w:t>
      </w:r>
      <w:r w:rsidRPr="00020EEE">
        <w:rPr>
          <w:rFonts w:ascii="Times New Roman" w:hAnsi="Times New Roman" w:cs="Times New Roman"/>
        </w:rPr>
        <w:t>)+</w:t>
      </w:r>
      <w:r w:rsidRPr="00020EEE">
        <w:rPr>
          <w:rFonts w:ascii="Times New Roman" w:hAnsi="Times New Roman" w:cs="Times New Roman"/>
          <w:i/>
          <w:iCs/>
        </w:rPr>
        <w:t>ε</w:t>
      </w:r>
    </w:p>
    <w:p w:rsidR="0003373C" w:rsidRPr="0003373C" w:rsidRDefault="0003373C" w:rsidP="006A1BE9">
      <w:pPr>
        <w:spacing w:before="240" w:after="0" w:line="480" w:lineRule="auto"/>
        <w:ind w:left="1080"/>
        <w:jc w:val="both"/>
        <w:rPr>
          <w:rFonts w:ascii="Times New Roman" w:hAnsi="Times New Roman" w:cs="Times New Roman"/>
        </w:rPr>
      </w:pPr>
      <w:r w:rsidRPr="0003373C">
        <w:rPr>
          <w:rFonts w:ascii="Times New Roman" w:hAnsi="Times New Roman" w:cs="Times New Roman"/>
          <w:b/>
          <w:bCs/>
        </w:rPr>
        <w:t>Software:</w:t>
      </w:r>
      <w:r w:rsidRPr="0003373C">
        <w:rPr>
          <w:rFonts w:ascii="Times New Roman" w:hAnsi="Times New Roman" w:cs="Times New Roman"/>
        </w:rPr>
        <w:t> SPSS v.28 for analysis; results visualized via scatterplots and trend graphs.</w:t>
      </w:r>
    </w:p>
    <w:p w:rsidR="0003373C" w:rsidRPr="0003373C" w:rsidRDefault="0003373C" w:rsidP="006A1BE9">
      <w:pPr>
        <w:spacing w:before="240" w:after="0" w:line="480" w:lineRule="auto"/>
        <w:jc w:val="both"/>
        <w:rPr>
          <w:rFonts w:ascii="Times New Roman" w:hAnsi="Times New Roman" w:cs="Times New Roman"/>
        </w:rPr>
      </w:pPr>
      <w:r w:rsidRPr="0003373C">
        <w:rPr>
          <w:rFonts w:ascii="Times New Roman" w:hAnsi="Times New Roman" w:cs="Times New Roman"/>
          <w:b/>
          <w:bCs/>
        </w:rPr>
        <w:t>Interpretation</w:t>
      </w:r>
    </w:p>
    <w:p w:rsidR="0003373C" w:rsidRPr="0003373C" w:rsidRDefault="0003373C" w:rsidP="006A1BE9">
      <w:pPr>
        <w:spacing w:before="240" w:after="0" w:line="480" w:lineRule="auto"/>
        <w:ind w:left="360"/>
        <w:jc w:val="both"/>
        <w:rPr>
          <w:rFonts w:ascii="Times New Roman" w:hAnsi="Times New Roman" w:cs="Times New Roman"/>
        </w:rPr>
      </w:pPr>
      <w:r w:rsidRPr="0003373C">
        <w:rPr>
          <w:rFonts w:ascii="Times New Roman" w:hAnsi="Times New Roman" w:cs="Times New Roman"/>
        </w:rPr>
        <w:t>A </w:t>
      </w:r>
      <w:r w:rsidRPr="0003373C">
        <w:rPr>
          <w:rFonts w:ascii="Times New Roman" w:hAnsi="Times New Roman" w:cs="Times New Roman"/>
          <w:b/>
          <w:bCs/>
        </w:rPr>
        <w:t>negative coefficient</w:t>
      </w:r>
      <w:r w:rsidRPr="0003373C">
        <w:rPr>
          <w:rFonts w:ascii="Times New Roman" w:hAnsi="Times New Roman" w:cs="Times New Roman"/>
        </w:rPr>
        <w:t> for NPLs (e.g., β₁ = -0.15) would imply that a 1% rise in NPLs reduces ROA by 0.15%.</w:t>
      </w:r>
    </w:p>
    <w:p w:rsidR="0003373C" w:rsidRPr="0003373C" w:rsidRDefault="0003373C" w:rsidP="006A1BE9">
      <w:pPr>
        <w:spacing w:before="240" w:after="0" w:line="480" w:lineRule="auto"/>
        <w:ind w:left="360"/>
        <w:jc w:val="both"/>
        <w:rPr>
          <w:rFonts w:ascii="Times New Roman" w:hAnsi="Times New Roman" w:cs="Times New Roman"/>
        </w:rPr>
      </w:pPr>
      <w:r w:rsidRPr="0003373C">
        <w:rPr>
          <w:rFonts w:ascii="Times New Roman" w:hAnsi="Times New Roman" w:cs="Times New Roman"/>
          <w:b/>
          <w:bCs/>
        </w:rPr>
        <w:t>P-values &lt; 0.05</w:t>
      </w:r>
      <w:r w:rsidRPr="0003373C">
        <w:rPr>
          <w:rFonts w:ascii="Times New Roman" w:hAnsi="Times New Roman" w:cs="Times New Roman"/>
        </w:rPr>
        <w:t> will indicate statistical significance.</w:t>
      </w:r>
    </w:p>
    <w:p w:rsidR="0003373C" w:rsidRPr="0003373C" w:rsidRDefault="0003373C" w:rsidP="006A1BE9">
      <w:pPr>
        <w:spacing w:before="240" w:after="0" w:line="480" w:lineRule="auto"/>
        <w:jc w:val="both"/>
        <w:rPr>
          <w:rFonts w:ascii="Times New Roman" w:hAnsi="Times New Roman" w:cs="Times New Roman"/>
        </w:rPr>
      </w:pPr>
      <w:r w:rsidRPr="0003373C">
        <w:rPr>
          <w:rFonts w:ascii="Times New Roman" w:hAnsi="Times New Roman" w:cs="Times New Roman"/>
          <w:b/>
          <w:bCs/>
        </w:rPr>
        <w:t>3.</w:t>
      </w:r>
      <w:r w:rsidR="009172AD">
        <w:rPr>
          <w:rFonts w:ascii="Times New Roman" w:hAnsi="Times New Roman" w:cs="Times New Roman"/>
          <w:b/>
          <w:bCs/>
        </w:rPr>
        <w:t>6</w:t>
      </w:r>
      <w:r w:rsidRPr="0003373C">
        <w:rPr>
          <w:rFonts w:ascii="Times New Roman" w:hAnsi="Times New Roman" w:cs="Times New Roman"/>
          <w:b/>
          <w:bCs/>
        </w:rPr>
        <w:t xml:space="preserve"> Limitations to Methodology</w:t>
      </w:r>
    </w:p>
    <w:p w:rsidR="0003373C" w:rsidRPr="0003373C" w:rsidRDefault="0003373C" w:rsidP="006A1BE9">
      <w:pPr>
        <w:numPr>
          <w:ilvl w:val="0"/>
          <w:numId w:val="22"/>
        </w:numPr>
        <w:spacing w:before="240" w:after="0" w:line="480" w:lineRule="auto"/>
        <w:jc w:val="both"/>
        <w:rPr>
          <w:rFonts w:ascii="Times New Roman" w:hAnsi="Times New Roman" w:cs="Times New Roman"/>
        </w:rPr>
      </w:pPr>
      <w:r w:rsidRPr="0003373C">
        <w:rPr>
          <w:rFonts w:ascii="Times New Roman" w:hAnsi="Times New Roman" w:cs="Times New Roman"/>
          <w:b/>
          <w:bCs/>
        </w:rPr>
        <w:t>Data Availability:</w:t>
      </w:r>
      <w:r w:rsidRPr="0003373C">
        <w:rPr>
          <w:rFonts w:ascii="Times New Roman" w:hAnsi="Times New Roman" w:cs="Times New Roman"/>
        </w:rPr>
        <w:t> Reliance on published reports may exclude internal risk models or qualitative factors (e.g., management decisions).</w:t>
      </w:r>
    </w:p>
    <w:p w:rsidR="0003373C" w:rsidRPr="0003373C" w:rsidRDefault="0003373C" w:rsidP="006A1BE9">
      <w:pPr>
        <w:numPr>
          <w:ilvl w:val="0"/>
          <w:numId w:val="22"/>
        </w:numPr>
        <w:spacing w:before="240" w:after="0" w:line="480" w:lineRule="auto"/>
        <w:jc w:val="both"/>
        <w:rPr>
          <w:rFonts w:ascii="Times New Roman" w:hAnsi="Times New Roman" w:cs="Times New Roman"/>
        </w:rPr>
      </w:pPr>
      <w:r w:rsidRPr="0003373C">
        <w:rPr>
          <w:rFonts w:ascii="Times New Roman" w:hAnsi="Times New Roman" w:cs="Times New Roman"/>
          <w:b/>
          <w:bCs/>
        </w:rPr>
        <w:t>Macroeconomic Omissions:</w:t>
      </w:r>
      <w:r w:rsidRPr="0003373C">
        <w:rPr>
          <w:rFonts w:ascii="Times New Roman" w:hAnsi="Times New Roman" w:cs="Times New Roman"/>
        </w:rPr>
        <w:t> External factors like inflation or GDP growth are not controlled for, potentially skewing results.</w:t>
      </w:r>
    </w:p>
    <w:p w:rsidR="0003373C" w:rsidRPr="0003373C" w:rsidRDefault="0003373C" w:rsidP="006A1BE9">
      <w:pPr>
        <w:numPr>
          <w:ilvl w:val="0"/>
          <w:numId w:val="22"/>
        </w:numPr>
        <w:spacing w:before="240" w:after="0" w:line="480" w:lineRule="auto"/>
        <w:jc w:val="both"/>
        <w:rPr>
          <w:rFonts w:ascii="Times New Roman" w:hAnsi="Times New Roman" w:cs="Times New Roman"/>
        </w:rPr>
      </w:pPr>
      <w:r w:rsidRPr="0003373C">
        <w:rPr>
          <w:rFonts w:ascii="Times New Roman" w:hAnsi="Times New Roman" w:cs="Times New Roman"/>
          <w:b/>
          <w:bCs/>
        </w:rPr>
        <w:t>Generalizability:</w:t>
      </w:r>
      <w:r w:rsidRPr="0003373C">
        <w:rPr>
          <w:rFonts w:ascii="Times New Roman" w:hAnsi="Times New Roman" w:cs="Times New Roman"/>
        </w:rPr>
        <w:t> Findings are specific to FCMB and may not apply to larger banks like Zenith or Access Bank.</w:t>
      </w:r>
    </w:p>
    <w:p w:rsidR="0003373C" w:rsidRDefault="0003373C" w:rsidP="001B1EFE">
      <w:pPr>
        <w:spacing w:before="240" w:after="0" w:line="480" w:lineRule="auto"/>
        <w:rPr>
          <w:rFonts w:ascii="Times New Roman" w:hAnsi="Times New Roman" w:cs="Times New Roman"/>
        </w:rPr>
      </w:pPr>
    </w:p>
    <w:p w:rsidR="00CC0185" w:rsidRDefault="00CC0185" w:rsidP="0003373C">
      <w:pPr>
        <w:spacing w:line="360" w:lineRule="auto"/>
        <w:rPr>
          <w:rFonts w:ascii="Times New Roman" w:hAnsi="Times New Roman" w:cs="Times New Roman"/>
        </w:rPr>
      </w:pPr>
    </w:p>
    <w:p w:rsidR="00CC0185" w:rsidRDefault="00CC0185" w:rsidP="0003373C">
      <w:pPr>
        <w:spacing w:line="360" w:lineRule="auto"/>
        <w:rPr>
          <w:rFonts w:ascii="Times New Roman" w:hAnsi="Times New Roman" w:cs="Times New Roman"/>
        </w:rPr>
      </w:pPr>
    </w:p>
    <w:p w:rsidR="00B72A75" w:rsidRDefault="00B72A75" w:rsidP="00B72A75">
      <w:pPr>
        <w:spacing w:line="360" w:lineRule="auto"/>
        <w:jc w:val="center"/>
        <w:rPr>
          <w:rFonts w:ascii="Times New Roman" w:hAnsi="Times New Roman" w:cs="Times New Roman"/>
          <w:b/>
          <w:bCs/>
        </w:rPr>
      </w:pPr>
      <w:r w:rsidRPr="00CC0185">
        <w:rPr>
          <w:rFonts w:ascii="Times New Roman" w:hAnsi="Times New Roman" w:cs="Times New Roman"/>
          <w:b/>
          <w:bCs/>
        </w:rPr>
        <w:lastRenderedPageBreak/>
        <w:t xml:space="preserve">CHAPTER </w:t>
      </w:r>
      <w:r>
        <w:rPr>
          <w:rFonts w:ascii="Times New Roman" w:hAnsi="Times New Roman" w:cs="Times New Roman"/>
          <w:b/>
          <w:bCs/>
        </w:rPr>
        <w:t>FOUR</w:t>
      </w:r>
    </w:p>
    <w:p w:rsidR="00CC0185" w:rsidRDefault="009172AD" w:rsidP="009172AD">
      <w:pPr>
        <w:spacing w:line="360" w:lineRule="auto"/>
        <w:rPr>
          <w:rFonts w:ascii="Times New Roman" w:hAnsi="Times New Roman" w:cs="Times New Roman"/>
          <w:b/>
          <w:bCs/>
        </w:rPr>
      </w:pPr>
      <w:r>
        <w:rPr>
          <w:rFonts w:ascii="Times New Roman" w:hAnsi="Times New Roman" w:cs="Times New Roman"/>
          <w:b/>
          <w:bCs/>
        </w:rPr>
        <w:t>4.0</w:t>
      </w:r>
      <w:r>
        <w:rPr>
          <w:rFonts w:ascii="Times New Roman" w:hAnsi="Times New Roman" w:cs="Times New Roman"/>
          <w:b/>
          <w:bCs/>
        </w:rPr>
        <w:tab/>
      </w:r>
      <w:r w:rsidR="00B72A75" w:rsidRPr="00CC0185">
        <w:rPr>
          <w:rFonts w:ascii="Times New Roman" w:hAnsi="Times New Roman" w:cs="Times New Roman"/>
          <w:b/>
          <w:bCs/>
        </w:rPr>
        <w:t>DATA ANALYSIS, RESULTS, AND DISCUSSION</w:t>
      </w:r>
    </w:p>
    <w:p w:rsidR="00B72A75" w:rsidRPr="00CC0185" w:rsidRDefault="00B72A75" w:rsidP="00CC0185">
      <w:pPr>
        <w:spacing w:line="360" w:lineRule="auto"/>
        <w:rPr>
          <w:rFonts w:ascii="Times New Roman" w:hAnsi="Times New Roman" w:cs="Times New Roman"/>
        </w:rPr>
      </w:pPr>
      <w:r>
        <w:rPr>
          <w:rFonts w:ascii="Times New Roman" w:hAnsi="Times New Roman" w:cs="Times New Roman"/>
          <w:b/>
          <w:bCs/>
        </w:rPr>
        <w:t>4.1 Introduction</w:t>
      </w: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rPr>
        <w:t>This chapter analyzes data from FCMB PLC (2013–2023) to evaluate the relationship between risk management practices and profitability. Descriptive statistics, hypothesis testing, and event analysis are presented, followed by a discussion of findings in the context of Nigeria’s banking sector.</w:t>
      </w:r>
    </w:p>
    <w:p w:rsidR="00CC0185" w:rsidRPr="00CC0185" w:rsidRDefault="00CC0185" w:rsidP="00CC0185">
      <w:pPr>
        <w:spacing w:line="360" w:lineRule="auto"/>
        <w:rPr>
          <w:rFonts w:ascii="Times New Roman" w:hAnsi="Times New Roman" w:cs="Times New Roman"/>
        </w:rPr>
      </w:pP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b/>
          <w:bCs/>
        </w:rPr>
        <w:t>4.</w:t>
      </w:r>
      <w:r w:rsidR="00B72A75">
        <w:rPr>
          <w:rFonts w:ascii="Times New Roman" w:hAnsi="Times New Roman" w:cs="Times New Roman"/>
          <w:b/>
          <w:bCs/>
        </w:rPr>
        <w:t>2</w:t>
      </w:r>
      <w:r w:rsidRPr="00CC0185">
        <w:rPr>
          <w:rFonts w:ascii="Times New Roman" w:hAnsi="Times New Roman" w:cs="Times New Roman"/>
          <w:b/>
          <w:bCs/>
        </w:rPr>
        <w:t xml:space="preserve"> Descriptive Statistics</w:t>
      </w: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b/>
          <w:bCs/>
        </w:rPr>
        <w:t>Table 1: Risk and Profitability Metrics (2013–2023)</w:t>
      </w:r>
    </w:p>
    <w:tbl>
      <w:tblPr>
        <w:tblStyle w:val="TableGrid"/>
        <w:tblW w:w="0" w:type="auto"/>
        <w:tblLook w:val="04A0" w:firstRow="1" w:lastRow="0" w:firstColumn="1" w:lastColumn="0" w:noHBand="0" w:noVBand="1"/>
      </w:tblPr>
      <w:tblGrid>
        <w:gridCol w:w="803"/>
        <w:gridCol w:w="1143"/>
        <w:gridCol w:w="2257"/>
        <w:gridCol w:w="2883"/>
        <w:gridCol w:w="1196"/>
        <w:gridCol w:w="1196"/>
      </w:tblGrid>
      <w:tr w:rsidR="00CC0185" w:rsidRPr="00CC0185" w:rsidTr="00CC0185">
        <w:tc>
          <w:tcPr>
            <w:tcW w:w="0" w:type="auto"/>
            <w:hideMark/>
          </w:tcPr>
          <w:p w:rsidR="00CC0185" w:rsidRPr="00CC0185" w:rsidRDefault="00CC0185" w:rsidP="00B72A75">
            <w:pPr>
              <w:spacing w:line="360" w:lineRule="auto"/>
              <w:rPr>
                <w:rFonts w:ascii="Times New Roman" w:hAnsi="Times New Roman" w:cs="Times New Roman"/>
                <w:b/>
                <w:bCs/>
              </w:rPr>
            </w:pPr>
            <w:r w:rsidRPr="00CC0185">
              <w:rPr>
                <w:rFonts w:ascii="Times New Roman" w:hAnsi="Times New Roman" w:cs="Times New Roman"/>
                <w:b/>
                <w:bCs/>
              </w:rPr>
              <w:t>Year</w:t>
            </w:r>
          </w:p>
        </w:tc>
        <w:tc>
          <w:tcPr>
            <w:tcW w:w="0" w:type="auto"/>
            <w:hideMark/>
          </w:tcPr>
          <w:p w:rsidR="00CC0185" w:rsidRPr="00CC0185" w:rsidRDefault="00CC0185" w:rsidP="00B72A75">
            <w:pPr>
              <w:spacing w:line="360" w:lineRule="auto"/>
              <w:rPr>
                <w:rFonts w:ascii="Times New Roman" w:hAnsi="Times New Roman" w:cs="Times New Roman"/>
                <w:b/>
                <w:bCs/>
              </w:rPr>
            </w:pPr>
            <w:r w:rsidRPr="00CC0185">
              <w:rPr>
                <w:rFonts w:ascii="Times New Roman" w:hAnsi="Times New Roman" w:cs="Times New Roman"/>
                <w:b/>
                <w:bCs/>
              </w:rPr>
              <w:t>NPL (%)</w:t>
            </w:r>
          </w:p>
        </w:tc>
        <w:tc>
          <w:tcPr>
            <w:tcW w:w="0" w:type="auto"/>
            <w:hideMark/>
          </w:tcPr>
          <w:p w:rsidR="00CC0185" w:rsidRPr="00CC0185" w:rsidRDefault="00CC0185" w:rsidP="00B72A75">
            <w:pPr>
              <w:spacing w:line="360" w:lineRule="auto"/>
              <w:rPr>
                <w:rFonts w:ascii="Times New Roman" w:hAnsi="Times New Roman" w:cs="Times New Roman"/>
                <w:b/>
                <w:bCs/>
              </w:rPr>
            </w:pPr>
            <w:r w:rsidRPr="00CC0185">
              <w:rPr>
                <w:rFonts w:ascii="Times New Roman" w:hAnsi="Times New Roman" w:cs="Times New Roman"/>
                <w:b/>
                <w:bCs/>
              </w:rPr>
              <w:t>Liquidity Ratio (%)</w:t>
            </w:r>
          </w:p>
        </w:tc>
        <w:tc>
          <w:tcPr>
            <w:tcW w:w="0" w:type="auto"/>
            <w:hideMark/>
          </w:tcPr>
          <w:p w:rsidR="00CC0185" w:rsidRPr="00CC0185" w:rsidRDefault="00CC0185" w:rsidP="00B72A75">
            <w:pPr>
              <w:spacing w:line="360" w:lineRule="auto"/>
              <w:rPr>
                <w:rFonts w:ascii="Times New Roman" w:hAnsi="Times New Roman" w:cs="Times New Roman"/>
                <w:b/>
                <w:bCs/>
              </w:rPr>
            </w:pPr>
            <w:r w:rsidRPr="00CC0185">
              <w:rPr>
                <w:rFonts w:ascii="Times New Roman" w:hAnsi="Times New Roman" w:cs="Times New Roman"/>
                <w:b/>
                <w:bCs/>
              </w:rPr>
              <w:t>Cost-to-Income Ratio (%)</w:t>
            </w:r>
          </w:p>
        </w:tc>
        <w:tc>
          <w:tcPr>
            <w:tcW w:w="0" w:type="auto"/>
            <w:hideMark/>
          </w:tcPr>
          <w:p w:rsidR="00CC0185" w:rsidRPr="00CC0185" w:rsidRDefault="00CC0185" w:rsidP="00B72A75">
            <w:pPr>
              <w:spacing w:line="360" w:lineRule="auto"/>
              <w:rPr>
                <w:rFonts w:ascii="Times New Roman" w:hAnsi="Times New Roman" w:cs="Times New Roman"/>
                <w:b/>
                <w:bCs/>
              </w:rPr>
            </w:pPr>
            <w:r w:rsidRPr="00CC0185">
              <w:rPr>
                <w:rFonts w:ascii="Times New Roman" w:hAnsi="Times New Roman" w:cs="Times New Roman"/>
                <w:b/>
                <w:bCs/>
              </w:rPr>
              <w:t>ROA (%)</w:t>
            </w:r>
          </w:p>
        </w:tc>
        <w:tc>
          <w:tcPr>
            <w:tcW w:w="0" w:type="auto"/>
            <w:hideMark/>
          </w:tcPr>
          <w:p w:rsidR="00CC0185" w:rsidRPr="00CC0185" w:rsidRDefault="00CC0185" w:rsidP="00B72A75">
            <w:pPr>
              <w:spacing w:line="360" w:lineRule="auto"/>
              <w:rPr>
                <w:rFonts w:ascii="Times New Roman" w:hAnsi="Times New Roman" w:cs="Times New Roman"/>
                <w:b/>
                <w:bCs/>
              </w:rPr>
            </w:pPr>
            <w:r w:rsidRPr="00CC0185">
              <w:rPr>
                <w:rFonts w:ascii="Times New Roman" w:hAnsi="Times New Roman" w:cs="Times New Roman"/>
                <w:b/>
                <w:bCs/>
              </w:rPr>
              <w:t>ROE (%)</w:t>
            </w:r>
          </w:p>
        </w:tc>
      </w:tr>
      <w:tr w:rsidR="00CC0185" w:rsidRPr="00CC0185" w:rsidTr="00CC0185">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2013</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4.9</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41.2</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58.3</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1.6</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14.9</w:t>
            </w:r>
          </w:p>
        </w:tc>
      </w:tr>
      <w:tr w:rsidR="00CC0185" w:rsidRPr="00CC0185" w:rsidTr="00CC0185">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2014</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5.1</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39.8</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59.1</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1.5</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14.5</w:t>
            </w:r>
          </w:p>
        </w:tc>
      </w:tr>
      <w:tr w:rsidR="00CC0185" w:rsidRPr="00CC0185" w:rsidTr="00CC0185">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2015</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5.7</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37.6</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60.4</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1.4</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13.8</w:t>
            </w:r>
          </w:p>
        </w:tc>
      </w:tr>
      <w:tr w:rsidR="00CC0185" w:rsidRPr="00CC0185" w:rsidTr="00CC0185">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2016</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7.2</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35.4</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63.2</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1.1</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12.4</w:t>
            </w:r>
          </w:p>
        </w:tc>
      </w:tr>
      <w:tr w:rsidR="00CC0185" w:rsidRPr="00CC0185" w:rsidTr="00CC0185">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2017</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6.8</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36.1</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61.8</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1.7</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15.3</w:t>
            </w:r>
          </w:p>
        </w:tc>
      </w:tr>
      <w:tr w:rsidR="00CC0185" w:rsidRPr="00CC0185" w:rsidTr="00CC0185">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2018</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7.5</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33.9</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64.5</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1.2</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13.1</w:t>
            </w:r>
          </w:p>
        </w:tc>
      </w:tr>
      <w:tr w:rsidR="00CC0185" w:rsidRPr="00CC0185" w:rsidTr="00CC0185">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2019</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8.2</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28.4</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66.7</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1.0</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11.9</w:t>
            </w:r>
          </w:p>
        </w:tc>
      </w:tr>
      <w:tr w:rsidR="00CC0185" w:rsidRPr="00CC0185" w:rsidTr="00CC0185">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2020</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8.9</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30.1</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68.1</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0.9</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10.5</w:t>
            </w:r>
          </w:p>
        </w:tc>
      </w:tr>
      <w:tr w:rsidR="00CC0185" w:rsidRPr="00CC0185" w:rsidTr="00CC0185">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2021</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7.1</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32.8</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65.3</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1.5</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15.3</w:t>
            </w:r>
          </w:p>
        </w:tc>
      </w:tr>
      <w:tr w:rsidR="00CC0185" w:rsidRPr="00CC0185" w:rsidTr="00CC0185">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2022</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6.7</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34.5</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63.0</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1.2</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12.1</w:t>
            </w:r>
          </w:p>
        </w:tc>
      </w:tr>
      <w:tr w:rsidR="00CC0185" w:rsidRPr="00CC0185" w:rsidTr="00CC0185">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2023</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6.3</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37.2</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60.9</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1.4</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13.6</w:t>
            </w:r>
          </w:p>
        </w:tc>
      </w:tr>
      <w:tr w:rsidR="00CC0185" w:rsidRPr="00CC0185" w:rsidTr="00CC0185">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b/>
                <w:bCs/>
              </w:rPr>
              <w:t>Mean</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b/>
                <w:bCs/>
              </w:rPr>
              <w:t>6.8</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b/>
                <w:bCs/>
              </w:rPr>
              <w:t>34.8</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b/>
                <w:bCs/>
              </w:rPr>
              <w:t>62.8</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b/>
                <w:bCs/>
              </w:rPr>
              <w:t>1.3</w:t>
            </w:r>
          </w:p>
        </w:tc>
        <w:tc>
          <w:tcPr>
            <w:tcW w:w="0" w:type="auto"/>
            <w:hideMark/>
          </w:tcPr>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b/>
                <w:bCs/>
              </w:rPr>
              <w:t>13.5</w:t>
            </w:r>
          </w:p>
        </w:tc>
      </w:tr>
    </w:tbl>
    <w:p w:rsidR="00B72A75" w:rsidRDefault="00B72A75" w:rsidP="00CC0185">
      <w:pPr>
        <w:spacing w:line="360" w:lineRule="auto"/>
        <w:rPr>
          <w:rFonts w:ascii="Times New Roman" w:hAnsi="Times New Roman" w:cs="Times New Roman"/>
          <w:b/>
          <w:bCs/>
        </w:rPr>
      </w:pPr>
      <w:r>
        <w:rPr>
          <w:rFonts w:ascii="Times New Roman" w:hAnsi="Times New Roman" w:cs="Times New Roman"/>
          <w:b/>
          <w:bCs/>
        </w:rPr>
        <w:t>Source: Researcher’s survey 2025.</w:t>
      </w:r>
    </w:p>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b/>
          <w:bCs/>
        </w:rPr>
        <w:t>NPL Ratio:</w:t>
      </w:r>
      <w:r w:rsidRPr="00CC0185">
        <w:rPr>
          <w:rFonts w:ascii="Times New Roman" w:hAnsi="Times New Roman" w:cs="Times New Roman"/>
        </w:rPr>
        <w:t> Averaged 6.8%, peaking at </w:t>
      </w:r>
      <w:r w:rsidRPr="00CC0185">
        <w:rPr>
          <w:rFonts w:ascii="Times New Roman" w:hAnsi="Times New Roman" w:cs="Times New Roman"/>
          <w:b/>
          <w:bCs/>
        </w:rPr>
        <w:t>8.9% in 2020</w:t>
      </w:r>
      <w:r w:rsidRPr="00CC0185">
        <w:rPr>
          <w:rFonts w:ascii="Times New Roman" w:hAnsi="Times New Roman" w:cs="Times New Roman"/>
        </w:rPr>
        <w:t> (COVID-19 oil crash) and declining to 6.3% in 2023. FCMB consistently breached the CBN’s 5% threshold, reflecting chronic credit risk exposure.</w:t>
      </w:r>
    </w:p>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b/>
          <w:bCs/>
        </w:rPr>
        <w:lastRenderedPageBreak/>
        <w:t>Liquidity Ratio:</w:t>
      </w:r>
      <w:r w:rsidRPr="00CC0185">
        <w:rPr>
          <w:rFonts w:ascii="Times New Roman" w:hAnsi="Times New Roman" w:cs="Times New Roman"/>
        </w:rPr>
        <w:t> Plummeted to </w:t>
      </w:r>
      <w:r w:rsidRPr="00CC0185">
        <w:rPr>
          <w:rFonts w:ascii="Times New Roman" w:hAnsi="Times New Roman" w:cs="Times New Roman"/>
          <w:b/>
          <w:bCs/>
        </w:rPr>
        <w:t>28.4% in 2019</w:t>
      </w:r>
      <w:r w:rsidRPr="00CC0185">
        <w:rPr>
          <w:rFonts w:ascii="Times New Roman" w:hAnsi="Times New Roman" w:cs="Times New Roman"/>
        </w:rPr>
        <w:t> post-CBN’s LDR policy, recovering to 37.2% by 2023 as FCMB rebalanced its loan portfolio.</w:t>
      </w:r>
    </w:p>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b/>
          <w:bCs/>
        </w:rPr>
        <w:t>Cost-to-Income Ratio:</w:t>
      </w:r>
      <w:r w:rsidRPr="00CC0185">
        <w:rPr>
          <w:rFonts w:ascii="Times New Roman" w:hAnsi="Times New Roman" w:cs="Times New Roman"/>
        </w:rPr>
        <w:t> Surged to </w:t>
      </w:r>
      <w:r w:rsidRPr="00CC0185">
        <w:rPr>
          <w:rFonts w:ascii="Times New Roman" w:hAnsi="Times New Roman" w:cs="Times New Roman"/>
          <w:b/>
          <w:bCs/>
        </w:rPr>
        <w:t>68.1% in 2020</w:t>
      </w:r>
      <w:r w:rsidRPr="00CC0185">
        <w:rPr>
          <w:rFonts w:ascii="Times New Roman" w:hAnsi="Times New Roman" w:cs="Times New Roman"/>
        </w:rPr>
        <w:t> due to cybersecurity investments, aligning with NDIC’s reports on rising cyber fraud.</w:t>
      </w:r>
    </w:p>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b/>
          <w:bCs/>
        </w:rPr>
        <w:t>Profitability (ROA/ROE):</w:t>
      </w:r>
      <w:r w:rsidRPr="00CC0185">
        <w:rPr>
          <w:rFonts w:ascii="Times New Roman" w:hAnsi="Times New Roman" w:cs="Times New Roman"/>
        </w:rPr>
        <w:t> ROA averaged 1.3%, underperforming Kenya’s 2.5% (World Bank, 2023). ROE fell sharply from 15.3% (2021) to 12.1% (2022), mirroring inflationary pressures.</w:t>
      </w:r>
    </w:p>
    <w:p w:rsidR="00CC0185" w:rsidRPr="00CC0185" w:rsidRDefault="00CC0185" w:rsidP="00CC0185">
      <w:pPr>
        <w:spacing w:line="360" w:lineRule="auto"/>
        <w:rPr>
          <w:rFonts w:ascii="Times New Roman" w:hAnsi="Times New Roman" w:cs="Times New Roman"/>
        </w:rPr>
      </w:pP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b/>
          <w:bCs/>
        </w:rPr>
        <w:t>4.</w:t>
      </w:r>
      <w:r w:rsidR="009172AD">
        <w:rPr>
          <w:rFonts w:ascii="Times New Roman" w:hAnsi="Times New Roman" w:cs="Times New Roman"/>
          <w:b/>
          <w:bCs/>
        </w:rPr>
        <w:t>3</w:t>
      </w:r>
      <w:r w:rsidRPr="00CC0185">
        <w:rPr>
          <w:rFonts w:ascii="Times New Roman" w:hAnsi="Times New Roman" w:cs="Times New Roman"/>
          <w:b/>
          <w:bCs/>
        </w:rPr>
        <w:t xml:space="preserve"> </w:t>
      </w:r>
      <w:r w:rsidR="009172AD">
        <w:rPr>
          <w:rFonts w:ascii="Times New Roman" w:hAnsi="Times New Roman" w:cs="Times New Roman"/>
          <w:b/>
          <w:bCs/>
        </w:rPr>
        <w:tab/>
        <w:t>DATA INTERPRETATION</w:t>
      </w: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b/>
          <w:bCs/>
        </w:rPr>
        <w:t>Hypothesis 1 (H₀₁):</w:t>
      </w:r>
      <w:r w:rsidRPr="00CC0185">
        <w:rPr>
          <w:rFonts w:ascii="Times New Roman" w:hAnsi="Times New Roman" w:cs="Times New Roman"/>
        </w:rPr>
        <w:t> </w:t>
      </w:r>
      <w:r w:rsidRPr="00CC0185">
        <w:rPr>
          <w:rFonts w:ascii="Times New Roman" w:hAnsi="Times New Roman" w:cs="Times New Roman"/>
          <w:i/>
          <w:iCs/>
        </w:rPr>
        <w:t>No relationship between risk management and profitability.</w:t>
      </w: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b/>
          <w:bCs/>
        </w:rPr>
        <w:t>Table 2: Regression Results (Dependent Variable: ROA)</w:t>
      </w:r>
    </w:p>
    <w:tbl>
      <w:tblPr>
        <w:tblStyle w:val="TableGrid"/>
        <w:tblW w:w="0" w:type="auto"/>
        <w:tblLook w:val="04A0" w:firstRow="1" w:lastRow="0" w:firstColumn="1" w:lastColumn="0" w:noHBand="0" w:noVBand="1"/>
      </w:tblPr>
      <w:tblGrid>
        <w:gridCol w:w="1990"/>
        <w:gridCol w:w="1682"/>
        <w:gridCol w:w="1279"/>
        <w:gridCol w:w="1163"/>
        <w:gridCol w:w="996"/>
      </w:tblGrid>
      <w:tr w:rsidR="00CC0185" w:rsidRPr="00CC0185" w:rsidTr="00CC0185">
        <w:tc>
          <w:tcPr>
            <w:tcW w:w="0" w:type="auto"/>
            <w:hideMark/>
          </w:tcPr>
          <w:p w:rsidR="00CC0185" w:rsidRPr="00CC0185" w:rsidRDefault="00CC0185" w:rsidP="00CC0185">
            <w:pPr>
              <w:spacing w:after="160" w:line="360" w:lineRule="auto"/>
              <w:rPr>
                <w:rFonts w:ascii="Times New Roman" w:hAnsi="Times New Roman" w:cs="Times New Roman"/>
                <w:b/>
                <w:bCs/>
              </w:rPr>
            </w:pPr>
            <w:r w:rsidRPr="00CC0185">
              <w:rPr>
                <w:rFonts w:ascii="Times New Roman" w:hAnsi="Times New Roman" w:cs="Times New Roman"/>
                <w:b/>
                <w:bCs/>
              </w:rPr>
              <w:t>Variable</w:t>
            </w:r>
          </w:p>
        </w:tc>
        <w:tc>
          <w:tcPr>
            <w:tcW w:w="0" w:type="auto"/>
            <w:hideMark/>
          </w:tcPr>
          <w:p w:rsidR="00CC0185" w:rsidRPr="00CC0185" w:rsidRDefault="00CC0185" w:rsidP="00CC0185">
            <w:pPr>
              <w:spacing w:after="160" w:line="360" w:lineRule="auto"/>
              <w:rPr>
                <w:rFonts w:ascii="Times New Roman" w:hAnsi="Times New Roman" w:cs="Times New Roman"/>
                <w:b/>
                <w:bCs/>
              </w:rPr>
            </w:pPr>
            <w:r w:rsidRPr="00CC0185">
              <w:rPr>
                <w:rFonts w:ascii="Times New Roman" w:hAnsi="Times New Roman" w:cs="Times New Roman"/>
                <w:b/>
                <w:bCs/>
              </w:rPr>
              <w:t>Coefficient (β)</w:t>
            </w:r>
          </w:p>
        </w:tc>
        <w:tc>
          <w:tcPr>
            <w:tcW w:w="0" w:type="auto"/>
            <w:hideMark/>
          </w:tcPr>
          <w:p w:rsidR="00CC0185" w:rsidRPr="00CC0185" w:rsidRDefault="00CC0185" w:rsidP="00CC0185">
            <w:pPr>
              <w:spacing w:after="160" w:line="360" w:lineRule="auto"/>
              <w:rPr>
                <w:rFonts w:ascii="Times New Roman" w:hAnsi="Times New Roman" w:cs="Times New Roman"/>
                <w:b/>
                <w:bCs/>
              </w:rPr>
            </w:pPr>
            <w:r w:rsidRPr="00CC0185">
              <w:rPr>
                <w:rFonts w:ascii="Times New Roman" w:hAnsi="Times New Roman" w:cs="Times New Roman"/>
                <w:b/>
                <w:bCs/>
              </w:rPr>
              <w:t>Std. Error</w:t>
            </w:r>
          </w:p>
        </w:tc>
        <w:tc>
          <w:tcPr>
            <w:tcW w:w="0" w:type="auto"/>
            <w:hideMark/>
          </w:tcPr>
          <w:p w:rsidR="00CC0185" w:rsidRPr="00CC0185" w:rsidRDefault="00CC0185" w:rsidP="00CC0185">
            <w:pPr>
              <w:spacing w:after="160" w:line="360" w:lineRule="auto"/>
              <w:rPr>
                <w:rFonts w:ascii="Times New Roman" w:hAnsi="Times New Roman" w:cs="Times New Roman"/>
                <w:b/>
                <w:bCs/>
              </w:rPr>
            </w:pPr>
            <w:r w:rsidRPr="00CC0185">
              <w:rPr>
                <w:rFonts w:ascii="Times New Roman" w:hAnsi="Times New Roman" w:cs="Times New Roman"/>
                <w:b/>
                <w:bCs/>
              </w:rPr>
              <w:t>t-statistic</w:t>
            </w:r>
          </w:p>
        </w:tc>
        <w:tc>
          <w:tcPr>
            <w:tcW w:w="0" w:type="auto"/>
            <w:hideMark/>
          </w:tcPr>
          <w:p w:rsidR="00CC0185" w:rsidRPr="00CC0185" w:rsidRDefault="00CC0185" w:rsidP="00CC0185">
            <w:pPr>
              <w:spacing w:after="160" w:line="360" w:lineRule="auto"/>
              <w:rPr>
                <w:rFonts w:ascii="Times New Roman" w:hAnsi="Times New Roman" w:cs="Times New Roman"/>
                <w:b/>
                <w:bCs/>
              </w:rPr>
            </w:pPr>
            <w:r w:rsidRPr="00CC0185">
              <w:rPr>
                <w:rFonts w:ascii="Times New Roman" w:hAnsi="Times New Roman" w:cs="Times New Roman"/>
                <w:b/>
                <w:bCs/>
              </w:rPr>
              <w:t>p-value</w:t>
            </w:r>
          </w:p>
        </w:tc>
      </w:tr>
      <w:tr w:rsidR="00CC0185" w:rsidRPr="00CC0185" w:rsidTr="00CC0185">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Credit Risk (NPL)</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-0.18</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0.04</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-4.50</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0.003**</w:t>
            </w:r>
          </w:p>
        </w:tc>
      </w:tr>
      <w:tr w:rsidR="00CC0185" w:rsidRPr="00CC0185" w:rsidTr="00CC0185">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Liquidity Risk</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0.05</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0.03</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1.67</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0.210</w:t>
            </w:r>
          </w:p>
        </w:tc>
      </w:tr>
      <w:tr w:rsidR="00CC0185" w:rsidRPr="00CC0185" w:rsidTr="00CC0185">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Operational Risk</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0.12</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0.05</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2.40</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0.040*</w:t>
            </w:r>
          </w:p>
        </w:tc>
      </w:tr>
      <w:tr w:rsidR="00CC0185" w:rsidRPr="00CC0185" w:rsidTr="00CC0185">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b/>
                <w:bCs/>
              </w:rPr>
              <w:t>Constant</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1.45</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0.20</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7.25</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0.000</w:t>
            </w:r>
          </w:p>
        </w:tc>
      </w:tr>
      <w:tr w:rsidR="00CC0185" w:rsidRPr="00CC0185" w:rsidTr="00CC0185">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b/>
                <w:bCs/>
              </w:rPr>
              <w:t>R²</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0.67</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b/>
                <w:bCs/>
              </w:rPr>
              <w:t>Adj. R²</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0.61</w:t>
            </w:r>
          </w:p>
        </w:tc>
        <w:tc>
          <w:tcPr>
            <w:tcW w:w="0" w:type="auto"/>
            <w:hideMark/>
          </w:tcPr>
          <w:p w:rsidR="00CC0185" w:rsidRPr="00CC0185" w:rsidRDefault="00CC0185" w:rsidP="00CC0185">
            <w:pPr>
              <w:spacing w:after="160" w:line="360" w:lineRule="auto"/>
              <w:rPr>
                <w:rFonts w:ascii="Times New Roman" w:hAnsi="Times New Roman" w:cs="Times New Roman"/>
              </w:rPr>
            </w:pPr>
          </w:p>
        </w:tc>
      </w:tr>
    </w:tbl>
    <w:p w:rsidR="00B72A75" w:rsidRPr="00B72A75" w:rsidRDefault="00B72A75" w:rsidP="00B72A75">
      <w:pPr>
        <w:spacing w:line="360" w:lineRule="auto"/>
        <w:rPr>
          <w:rFonts w:ascii="Times New Roman" w:hAnsi="Times New Roman" w:cs="Times New Roman"/>
          <w:b/>
          <w:bCs/>
        </w:rPr>
      </w:pPr>
      <w:r w:rsidRPr="00B72A75">
        <w:rPr>
          <w:rFonts w:ascii="Times New Roman" w:hAnsi="Times New Roman" w:cs="Times New Roman"/>
          <w:b/>
          <w:bCs/>
        </w:rPr>
        <w:t>Source: Researcher’s survey 2025.</w:t>
      </w:r>
    </w:p>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b/>
          <w:bCs/>
        </w:rPr>
        <w:t>Credit Risk:</w:t>
      </w:r>
      <w:r w:rsidRPr="00CC0185">
        <w:rPr>
          <w:rFonts w:ascii="Times New Roman" w:hAnsi="Times New Roman" w:cs="Times New Roman"/>
        </w:rPr>
        <w:t> A 1% increase in NPLs reduces ROA by 0.18% (</w:t>
      </w:r>
      <w:r w:rsidRPr="00CC0185">
        <w:rPr>
          <w:rFonts w:ascii="Times New Roman" w:hAnsi="Times New Roman" w:cs="Times New Roman"/>
          <w:i/>
          <w:iCs/>
        </w:rPr>
        <w:t>p &lt; 0.01</w:t>
      </w:r>
      <w:r w:rsidRPr="00CC0185">
        <w:rPr>
          <w:rFonts w:ascii="Times New Roman" w:hAnsi="Times New Roman" w:cs="Times New Roman"/>
        </w:rPr>
        <w:t>). For example, the 8.9% NPL spike in 2020 contributed to ROA’s drop to 0.9%. </w:t>
      </w:r>
      <w:r w:rsidRPr="00CC0185">
        <w:rPr>
          <w:rFonts w:ascii="Times New Roman" w:hAnsi="Times New Roman" w:cs="Times New Roman"/>
          <w:b/>
          <w:bCs/>
        </w:rPr>
        <w:t>H₀₁ is rejected</w:t>
      </w:r>
      <w:r w:rsidRPr="00CC0185">
        <w:rPr>
          <w:rFonts w:ascii="Times New Roman" w:hAnsi="Times New Roman" w:cs="Times New Roman"/>
        </w:rPr>
        <w:t>.</w:t>
      </w:r>
    </w:p>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b/>
          <w:bCs/>
        </w:rPr>
        <w:t>Operational Risk:</w:t>
      </w:r>
      <w:r w:rsidRPr="00CC0185">
        <w:rPr>
          <w:rFonts w:ascii="Times New Roman" w:hAnsi="Times New Roman" w:cs="Times New Roman"/>
        </w:rPr>
        <w:t> A 1% rise in cost-to-income ratio </w:t>
      </w:r>
      <w:r w:rsidRPr="00CC0185">
        <w:rPr>
          <w:rFonts w:ascii="Times New Roman" w:hAnsi="Times New Roman" w:cs="Times New Roman"/>
          <w:i/>
          <w:iCs/>
        </w:rPr>
        <w:t>increases</w:t>
      </w:r>
      <w:r w:rsidRPr="00CC0185">
        <w:rPr>
          <w:rFonts w:ascii="Times New Roman" w:hAnsi="Times New Roman" w:cs="Times New Roman"/>
        </w:rPr>
        <w:t> ROA by 0.12% (</w:t>
      </w:r>
      <w:r w:rsidRPr="00CC0185">
        <w:rPr>
          <w:rFonts w:ascii="Times New Roman" w:hAnsi="Times New Roman" w:cs="Times New Roman"/>
          <w:i/>
          <w:iCs/>
        </w:rPr>
        <w:t>p &lt; 0.05</w:t>
      </w:r>
      <w:r w:rsidRPr="00CC0185">
        <w:rPr>
          <w:rFonts w:ascii="Times New Roman" w:hAnsi="Times New Roman" w:cs="Times New Roman"/>
        </w:rPr>
        <w:t>). Paradoxically, FCMB’s IT investments (₦9.3 billion in 2023) reduced fraud losses by 25%, offsetting short-term costs.</w:t>
      </w:r>
    </w:p>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b/>
          <w:bCs/>
        </w:rPr>
        <w:t>Liquidity Risk:</w:t>
      </w:r>
      <w:r w:rsidRPr="00CC0185">
        <w:rPr>
          <w:rFonts w:ascii="Times New Roman" w:hAnsi="Times New Roman" w:cs="Times New Roman"/>
        </w:rPr>
        <w:t> Statistically insignificant (*p = 0.210*), aligning with Olumayokun’s (2020) findings.</w:t>
      </w:r>
    </w:p>
    <w:p w:rsidR="00CC0185" w:rsidRPr="00CC0185" w:rsidRDefault="00CC0185" w:rsidP="00CC0185">
      <w:pPr>
        <w:spacing w:line="360" w:lineRule="auto"/>
        <w:rPr>
          <w:rFonts w:ascii="Times New Roman" w:hAnsi="Times New Roman" w:cs="Times New Roman"/>
        </w:rPr>
      </w:pP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b/>
          <w:bCs/>
        </w:rPr>
        <w:t>Hypothesis 2 (H₀₂):</w:t>
      </w:r>
      <w:r w:rsidRPr="00CC0185">
        <w:rPr>
          <w:rFonts w:ascii="Times New Roman" w:hAnsi="Times New Roman" w:cs="Times New Roman"/>
        </w:rPr>
        <w:t> </w:t>
      </w:r>
      <w:r w:rsidRPr="00CC0185">
        <w:rPr>
          <w:rFonts w:ascii="Times New Roman" w:hAnsi="Times New Roman" w:cs="Times New Roman"/>
          <w:i/>
          <w:iCs/>
        </w:rPr>
        <w:t>Credit risk has no effect on profitability.</w:t>
      </w: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b/>
          <w:bCs/>
        </w:rPr>
        <w:t>Table 3: Correlation Analysis (NPL vs. ROE)</w:t>
      </w:r>
    </w:p>
    <w:tbl>
      <w:tblPr>
        <w:tblStyle w:val="TableGrid"/>
        <w:tblW w:w="0" w:type="auto"/>
        <w:tblLook w:val="04A0" w:firstRow="1" w:lastRow="0" w:firstColumn="1" w:lastColumn="0" w:noHBand="0" w:noVBand="1"/>
      </w:tblPr>
      <w:tblGrid>
        <w:gridCol w:w="1303"/>
        <w:gridCol w:w="1303"/>
        <w:gridCol w:w="836"/>
      </w:tblGrid>
      <w:tr w:rsidR="00CC0185" w:rsidRPr="00CC0185" w:rsidTr="00CC0185">
        <w:tc>
          <w:tcPr>
            <w:tcW w:w="0" w:type="auto"/>
            <w:hideMark/>
          </w:tcPr>
          <w:p w:rsidR="00CC0185" w:rsidRPr="00CC0185" w:rsidRDefault="00CC0185" w:rsidP="00CC0185">
            <w:pPr>
              <w:spacing w:after="160" w:line="360" w:lineRule="auto"/>
              <w:rPr>
                <w:rFonts w:ascii="Times New Roman" w:hAnsi="Times New Roman" w:cs="Times New Roman"/>
                <w:b/>
                <w:bCs/>
              </w:rPr>
            </w:pPr>
            <w:r w:rsidRPr="00CC0185">
              <w:rPr>
                <w:rFonts w:ascii="Times New Roman" w:hAnsi="Times New Roman" w:cs="Times New Roman"/>
                <w:b/>
                <w:bCs/>
              </w:rPr>
              <w:t>Metric</w:t>
            </w:r>
          </w:p>
        </w:tc>
        <w:tc>
          <w:tcPr>
            <w:tcW w:w="0" w:type="auto"/>
            <w:hideMark/>
          </w:tcPr>
          <w:p w:rsidR="00CC0185" w:rsidRPr="00CC0185" w:rsidRDefault="00CC0185" w:rsidP="00CC0185">
            <w:pPr>
              <w:spacing w:after="160" w:line="360" w:lineRule="auto"/>
              <w:rPr>
                <w:rFonts w:ascii="Times New Roman" w:hAnsi="Times New Roman" w:cs="Times New Roman"/>
                <w:b/>
                <w:bCs/>
              </w:rPr>
            </w:pPr>
            <w:r w:rsidRPr="00CC0185">
              <w:rPr>
                <w:rFonts w:ascii="Times New Roman" w:hAnsi="Times New Roman" w:cs="Times New Roman"/>
                <w:b/>
                <w:bCs/>
              </w:rPr>
              <w:t>NPL Ratio</w:t>
            </w:r>
          </w:p>
        </w:tc>
        <w:tc>
          <w:tcPr>
            <w:tcW w:w="0" w:type="auto"/>
            <w:hideMark/>
          </w:tcPr>
          <w:p w:rsidR="00CC0185" w:rsidRPr="00CC0185" w:rsidRDefault="00CC0185" w:rsidP="00CC0185">
            <w:pPr>
              <w:spacing w:after="160" w:line="360" w:lineRule="auto"/>
              <w:rPr>
                <w:rFonts w:ascii="Times New Roman" w:hAnsi="Times New Roman" w:cs="Times New Roman"/>
                <w:b/>
                <w:bCs/>
              </w:rPr>
            </w:pPr>
            <w:r w:rsidRPr="00CC0185">
              <w:rPr>
                <w:rFonts w:ascii="Times New Roman" w:hAnsi="Times New Roman" w:cs="Times New Roman"/>
                <w:b/>
                <w:bCs/>
              </w:rPr>
              <w:t>ROE</w:t>
            </w:r>
          </w:p>
        </w:tc>
      </w:tr>
      <w:tr w:rsidR="00CC0185" w:rsidRPr="00CC0185" w:rsidTr="00CC0185">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b/>
                <w:bCs/>
              </w:rPr>
              <w:t>NPL Ratio</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1.00</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-0.72*</w:t>
            </w:r>
          </w:p>
        </w:tc>
      </w:tr>
      <w:tr w:rsidR="00CC0185" w:rsidRPr="00CC0185" w:rsidTr="00CC0185">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b/>
                <w:bCs/>
              </w:rPr>
              <w:t>ROE</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-0.72*</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1.00</w:t>
            </w:r>
          </w:p>
        </w:tc>
      </w:tr>
      <w:tr w:rsidR="00CC0185" w:rsidRPr="00CC0185" w:rsidTr="00CC0185">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b/>
                <w:bCs/>
              </w:rPr>
              <w:t>*p &lt; 0.01</w:t>
            </w:r>
          </w:p>
        </w:tc>
        <w:tc>
          <w:tcPr>
            <w:tcW w:w="0" w:type="auto"/>
            <w:hideMark/>
          </w:tcPr>
          <w:p w:rsidR="00CC0185" w:rsidRPr="00CC0185" w:rsidRDefault="00CC0185" w:rsidP="00CC0185">
            <w:pPr>
              <w:spacing w:after="160" w:line="360" w:lineRule="auto"/>
              <w:rPr>
                <w:rFonts w:ascii="Times New Roman" w:hAnsi="Times New Roman" w:cs="Times New Roman"/>
              </w:rPr>
            </w:pPr>
          </w:p>
        </w:tc>
        <w:tc>
          <w:tcPr>
            <w:tcW w:w="0" w:type="auto"/>
            <w:hideMark/>
          </w:tcPr>
          <w:p w:rsidR="00CC0185" w:rsidRPr="00CC0185" w:rsidRDefault="00CC0185" w:rsidP="00CC0185">
            <w:pPr>
              <w:spacing w:after="160" w:line="360" w:lineRule="auto"/>
              <w:rPr>
                <w:rFonts w:ascii="Times New Roman" w:hAnsi="Times New Roman" w:cs="Times New Roman"/>
              </w:rPr>
            </w:pPr>
          </w:p>
        </w:tc>
      </w:tr>
    </w:tbl>
    <w:p w:rsidR="00B72A75" w:rsidRPr="00B72A75" w:rsidRDefault="00B72A75" w:rsidP="00B72A75">
      <w:pPr>
        <w:spacing w:line="360" w:lineRule="auto"/>
        <w:rPr>
          <w:rFonts w:ascii="Times New Roman" w:hAnsi="Times New Roman" w:cs="Times New Roman"/>
          <w:b/>
          <w:bCs/>
        </w:rPr>
      </w:pPr>
      <w:r w:rsidRPr="00B72A75">
        <w:rPr>
          <w:rFonts w:ascii="Times New Roman" w:hAnsi="Times New Roman" w:cs="Times New Roman"/>
          <w:b/>
          <w:bCs/>
        </w:rPr>
        <w:t>Source: Researcher’s survey 2025.</w:t>
      </w:r>
    </w:p>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b/>
          <w:bCs/>
        </w:rPr>
        <w:t>Strong Inverse Relationship (r = -0.72):</w:t>
      </w:r>
      <w:r w:rsidRPr="00CC0185">
        <w:rPr>
          <w:rFonts w:ascii="Times New Roman" w:hAnsi="Times New Roman" w:cs="Times New Roman"/>
        </w:rPr>
        <w:t> Higher NPLs correlate with lower ROE. For instance, ROE fell to 10.5% in 2020 when NPLs peaked at 8.9%. </w:t>
      </w:r>
      <w:r w:rsidRPr="00CC0185">
        <w:rPr>
          <w:rFonts w:ascii="Times New Roman" w:hAnsi="Times New Roman" w:cs="Times New Roman"/>
          <w:b/>
          <w:bCs/>
        </w:rPr>
        <w:t>H₀₂ is rejected</w:t>
      </w:r>
      <w:r w:rsidRPr="00CC0185">
        <w:rPr>
          <w:rFonts w:ascii="Times New Roman" w:hAnsi="Times New Roman" w:cs="Times New Roman"/>
        </w:rPr>
        <w:t>.</w:t>
      </w:r>
    </w:p>
    <w:p w:rsidR="00CC0185" w:rsidRPr="00CC0185" w:rsidRDefault="00CC0185" w:rsidP="00CC0185">
      <w:pPr>
        <w:spacing w:line="360" w:lineRule="auto"/>
        <w:rPr>
          <w:rFonts w:ascii="Times New Roman" w:hAnsi="Times New Roman" w:cs="Times New Roman"/>
        </w:rPr>
      </w:pP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b/>
          <w:bCs/>
        </w:rPr>
        <w:t>Hypothesis 3 (H₀₃):</w:t>
      </w:r>
      <w:r w:rsidRPr="00CC0185">
        <w:rPr>
          <w:rFonts w:ascii="Times New Roman" w:hAnsi="Times New Roman" w:cs="Times New Roman"/>
        </w:rPr>
        <w:t> </w:t>
      </w:r>
      <w:r w:rsidRPr="00CC0185">
        <w:rPr>
          <w:rFonts w:ascii="Times New Roman" w:hAnsi="Times New Roman" w:cs="Times New Roman"/>
          <w:i/>
          <w:iCs/>
        </w:rPr>
        <w:t>Regulatory policies have no influence on risk strategies.</w:t>
      </w: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b/>
          <w:bCs/>
        </w:rPr>
        <w:t>Table 4: Impact of CBN’s 2019 LDR Policy</w:t>
      </w:r>
    </w:p>
    <w:tbl>
      <w:tblPr>
        <w:tblStyle w:val="TableGrid"/>
        <w:tblW w:w="0" w:type="auto"/>
        <w:tblLook w:val="04A0" w:firstRow="1" w:lastRow="0" w:firstColumn="1" w:lastColumn="0" w:noHBand="0" w:noVBand="1"/>
      </w:tblPr>
      <w:tblGrid>
        <w:gridCol w:w="1216"/>
        <w:gridCol w:w="2772"/>
        <w:gridCol w:w="1659"/>
        <w:gridCol w:w="1196"/>
      </w:tblGrid>
      <w:tr w:rsidR="00CC0185" w:rsidRPr="00CC0185" w:rsidTr="00CC0185">
        <w:tc>
          <w:tcPr>
            <w:tcW w:w="0" w:type="auto"/>
            <w:hideMark/>
          </w:tcPr>
          <w:p w:rsidR="00CC0185" w:rsidRPr="00CC0185" w:rsidRDefault="00CC0185" w:rsidP="00CC0185">
            <w:pPr>
              <w:spacing w:after="160" w:line="360" w:lineRule="auto"/>
              <w:rPr>
                <w:rFonts w:ascii="Times New Roman" w:hAnsi="Times New Roman" w:cs="Times New Roman"/>
                <w:b/>
                <w:bCs/>
              </w:rPr>
            </w:pPr>
            <w:r w:rsidRPr="00CC0185">
              <w:rPr>
                <w:rFonts w:ascii="Times New Roman" w:hAnsi="Times New Roman" w:cs="Times New Roman"/>
                <w:b/>
                <w:bCs/>
              </w:rPr>
              <w:t>Period</w:t>
            </w:r>
          </w:p>
        </w:tc>
        <w:tc>
          <w:tcPr>
            <w:tcW w:w="0" w:type="auto"/>
            <w:hideMark/>
          </w:tcPr>
          <w:p w:rsidR="00CC0185" w:rsidRPr="00CC0185" w:rsidRDefault="00CC0185" w:rsidP="00CC0185">
            <w:pPr>
              <w:spacing w:after="160" w:line="360" w:lineRule="auto"/>
              <w:rPr>
                <w:rFonts w:ascii="Times New Roman" w:hAnsi="Times New Roman" w:cs="Times New Roman"/>
                <w:b/>
                <w:bCs/>
              </w:rPr>
            </w:pPr>
            <w:r w:rsidRPr="00CC0185">
              <w:rPr>
                <w:rFonts w:ascii="Times New Roman" w:hAnsi="Times New Roman" w:cs="Times New Roman"/>
                <w:b/>
                <w:bCs/>
              </w:rPr>
              <w:t>Avg. Liquidity Ratio (%)</w:t>
            </w:r>
          </w:p>
        </w:tc>
        <w:tc>
          <w:tcPr>
            <w:tcW w:w="0" w:type="auto"/>
            <w:hideMark/>
          </w:tcPr>
          <w:p w:rsidR="00CC0185" w:rsidRPr="00CC0185" w:rsidRDefault="00CC0185" w:rsidP="00CC0185">
            <w:pPr>
              <w:spacing w:after="160" w:line="360" w:lineRule="auto"/>
              <w:rPr>
                <w:rFonts w:ascii="Times New Roman" w:hAnsi="Times New Roman" w:cs="Times New Roman"/>
                <w:b/>
                <w:bCs/>
              </w:rPr>
            </w:pPr>
            <w:r w:rsidRPr="00CC0185">
              <w:rPr>
                <w:rFonts w:ascii="Times New Roman" w:hAnsi="Times New Roman" w:cs="Times New Roman"/>
                <w:b/>
                <w:bCs/>
              </w:rPr>
              <w:t>Avg. NPL (%)</w:t>
            </w:r>
          </w:p>
        </w:tc>
        <w:tc>
          <w:tcPr>
            <w:tcW w:w="0" w:type="auto"/>
            <w:hideMark/>
          </w:tcPr>
          <w:p w:rsidR="00CC0185" w:rsidRPr="00CC0185" w:rsidRDefault="00CC0185" w:rsidP="00CC0185">
            <w:pPr>
              <w:spacing w:after="160" w:line="360" w:lineRule="auto"/>
              <w:rPr>
                <w:rFonts w:ascii="Times New Roman" w:hAnsi="Times New Roman" w:cs="Times New Roman"/>
                <w:b/>
                <w:bCs/>
              </w:rPr>
            </w:pPr>
            <w:r w:rsidRPr="00CC0185">
              <w:rPr>
                <w:rFonts w:ascii="Times New Roman" w:hAnsi="Times New Roman" w:cs="Times New Roman"/>
                <w:b/>
                <w:bCs/>
              </w:rPr>
              <w:t>ROA (%)</w:t>
            </w:r>
          </w:p>
        </w:tc>
      </w:tr>
      <w:tr w:rsidR="00CC0185" w:rsidRPr="00CC0185" w:rsidTr="00CC0185">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b/>
                <w:bCs/>
              </w:rPr>
              <w:t>Pre-2019</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42.3</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6.1</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1.4</w:t>
            </w:r>
          </w:p>
        </w:tc>
      </w:tr>
      <w:tr w:rsidR="00CC0185" w:rsidRPr="00CC0185" w:rsidTr="00CC0185">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b/>
                <w:bCs/>
              </w:rPr>
              <w:t>Post-2019</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34.1</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7.5</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rPr>
              <w:t>1.1</w:t>
            </w:r>
          </w:p>
        </w:tc>
      </w:tr>
      <w:tr w:rsidR="00CC0185" w:rsidRPr="00CC0185" w:rsidTr="00CC0185">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b/>
                <w:bCs/>
              </w:rPr>
              <w:t>Change</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b/>
                <w:bCs/>
              </w:rPr>
              <w:t>-19.4%</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b/>
                <w:bCs/>
              </w:rPr>
              <w:t>+23.0%</w:t>
            </w:r>
          </w:p>
        </w:tc>
        <w:tc>
          <w:tcPr>
            <w:tcW w:w="0" w:type="auto"/>
            <w:hideMark/>
          </w:tcPr>
          <w:p w:rsidR="00CC0185" w:rsidRPr="00CC0185" w:rsidRDefault="00CC0185" w:rsidP="00CC0185">
            <w:pPr>
              <w:spacing w:after="160" w:line="360" w:lineRule="auto"/>
              <w:rPr>
                <w:rFonts w:ascii="Times New Roman" w:hAnsi="Times New Roman" w:cs="Times New Roman"/>
              </w:rPr>
            </w:pPr>
            <w:r w:rsidRPr="00CC0185">
              <w:rPr>
                <w:rFonts w:ascii="Times New Roman" w:hAnsi="Times New Roman" w:cs="Times New Roman"/>
                <w:b/>
                <w:bCs/>
              </w:rPr>
              <w:t>-21.4%</w:t>
            </w:r>
          </w:p>
        </w:tc>
      </w:tr>
    </w:tbl>
    <w:p w:rsidR="00B72A75" w:rsidRDefault="00B72A75" w:rsidP="00B72A75">
      <w:pPr>
        <w:spacing w:line="360" w:lineRule="auto"/>
        <w:rPr>
          <w:rFonts w:ascii="Times New Roman" w:hAnsi="Times New Roman" w:cs="Times New Roman"/>
          <w:b/>
          <w:bCs/>
        </w:rPr>
      </w:pPr>
      <w:r>
        <w:rPr>
          <w:rFonts w:ascii="Times New Roman" w:hAnsi="Times New Roman" w:cs="Times New Roman"/>
          <w:b/>
          <w:bCs/>
        </w:rPr>
        <w:t>Source: Researcher’s survey 2025.</w:t>
      </w:r>
    </w:p>
    <w:p w:rsidR="00CC0185" w:rsidRPr="00CC0185" w:rsidRDefault="00CC0185" w:rsidP="00B72A75">
      <w:pPr>
        <w:spacing w:line="360" w:lineRule="auto"/>
        <w:rPr>
          <w:rFonts w:ascii="Times New Roman" w:hAnsi="Times New Roman" w:cs="Times New Roman"/>
        </w:rPr>
      </w:pPr>
      <w:r w:rsidRPr="00CC0185">
        <w:rPr>
          <w:rFonts w:ascii="Times New Roman" w:hAnsi="Times New Roman" w:cs="Times New Roman"/>
        </w:rPr>
        <w:t>The LDR policy (mandating 65% loans-to-deposits) forced FCMB to prioritize risky lending, reducing liquidity buffers by 19.4% and increasing NPLs by 23%. ROA dropped by 21.4%, validating regulatory influence. </w:t>
      </w:r>
      <w:r w:rsidRPr="00CC0185">
        <w:rPr>
          <w:rFonts w:ascii="Times New Roman" w:hAnsi="Times New Roman" w:cs="Times New Roman"/>
          <w:b/>
          <w:bCs/>
        </w:rPr>
        <w:t>H₀₃ is rejected</w:t>
      </w:r>
      <w:r w:rsidRPr="00CC0185">
        <w:rPr>
          <w:rFonts w:ascii="Times New Roman" w:hAnsi="Times New Roman" w:cs="Times New Roman"/>
        </w:rPr>
        <w:t>.</w:t>
      </w:r>
    </w:p>
    <w:p w:rsidR="00CC0185" w:rsidRDefault="00CC0185" w:rsidP="00CC0185">
      <w:pPr>
        <w:spacing w:line="360" w:lineRule="auto"/>
        <w:rPr>
          <w:rFonts w:ascii="Times New Roman" w:hAnsi="Times New Roman" w:cs="Times New Roman"/>
        </w:rPr>
      </w:pPr>
    </w:p>
    <w:p w:rsidR="00B72A75" w:rsidRPr="00CC0185" w:rsidRDefault="00B72A75" w:rsidP="00CC0185">
      <w:pPr>
        <w:spacing w:line="360" w:lineRule="auto"/>
        <w:rPr>
          <w:rFonts w:ascii="Times New Roman" w:hAnsi="Times New Roman" w:cs="Times New Roman"/>
        </w:rPr>
      </w:pP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b/>
          <w:bCs/>
        </w:rPr>
        <w:lastRenderedPageBreak/>
        <w:t>4.3 Discussion</w:t>
      </w: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b/>
          <w:bCs/>
        </w:rPr>
        <w:t>1. Credit Risk: The Profitability Killer</w:t>
      </w: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rPr>
        <w:t>FCMB’s NPL ratio (mean = 6.8%) consistently exceeded the CBN’s 5% threshold, directly eroding ROA and ROE. This aligns with </w:t>
      </w:r>
      <w:r w:rsidRPr="00CC0185">
        <w:rPr>
          <w:rFonts w:ascii="Times New Roman" w:hAnsi="Times New Roman" w:cs="Times New Roman"/>
          <w:b/>
          <w:bCs/>
        </w:rPr>
        <w:t>Agency Theory</w:t>
      </w:r>
      <w:r w:rsidRPr="00CC0185">
        <w:rPr>
          <w:rFonts w:ascii="Times New Roman" w:hAnsi="Times New Roman" w:cs="Times New Roman"/>
        </w:rPr>
        <w:t>—managers’ overexposure to high-risk sectors like oil (65% of loans in 2020) prioritized short-term gains over long-term stability. The 2020 oil price crash (Brent crude at $20/barrel) exposed this flaw, triggering a profitability crisis.</w:t>
      </w: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b/>
          <w:bCs/>
        </w:rPr>
        <w:t>Contrast with Literature:</w:t>
      </w:r>
    </w:p>
    <w:p w:rsidR="00CC0185" w:rsidRPr="00CC0185" w:rsidRDefault="00CC0185" w:rsidP="00CC0185">
      <w:pPr>
        <w:numPr>
          <w:ilvl w:val="0"/>
          <w:numId w:val="33"/>
        </w:numPr>
        <w:spacing w:line="360" w:lineRule="auto"/>
        <w:rPr>
          <w:rFonts w:ascii="Times New Roman" w:hAnsi="Times New Roman" w:cs="Times New Roman"/>
        </w:rPr>
      </w:pPr>
      <w:r w:rsidRPr="00CC0185">
        <w:rPr>
          <w:rFonts w:ascii="Times New Roman" w:hAnsi="Times New Roman" w:cs="Times New Roman"/>
        </w:rPr>
        <w:t>Supports Adeusi et al. (2014): NPLs &gt;5% reduce ROE by 20%.</w:t>
      </w:r>
    </w:p>
    <w:p w:rsidR="00CC0185" w:rsidRPr="006460F7" w:rsidRDefault="00CC0185" w:rsidP="00CC0185">
      <w:pPr>
        <w:numPr>
          <w:ilvl w:val="0"/>
          <w:numId w:val="33"/>
        </w:numPr>
        <w:spacing w:line="360" w:lineRule="auto"/>
        <w:rPr>
          <w:rFonts w:ascii="Times New Roman" w:hAnsi="Times New Roman" w:cs="Times New Roman"/>
        </w:rPr>
      </w:pPr>
      <w:r w:rsidRPr="00CC0185">
        <w:rPr>
          <w:rFonts w:ascii="Times New Roman" w:hAnsi="Times New Roman" w:cs="Times New Roman"/>
        </w:rPr>
        <w:t>Contrasts Olumayokun (2020): Liquidity risk’s insignificance in Nigeria.</w:t>
      </w: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b/>
          <w:bCs/>
        </w:rPr>
        <w:t>2. Operational Risk: A Double-Edged Sword</w:t>
      </w: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rPr>
        <w:t>FCMB’s rising cost-to-income ratio (mean = 62.8%) paradoxically boosted ROA. Investments in cybersecurity (₦9.3 billion in 2023) slashed fraud losses by 25%, exemplifying </w:t>
      </w:r>
      <w:r w:rsidRPr="00CC0185">
        <w:rPr>
          <w:rFonts w:ascii="Times New Roman" w:hAnsi="Times New Roman" w:cs="Times New Roman"/>
          <w:b/>
          <w:bCs/>
        </w:rPr>
        <w:t>Financial Intermediation Theory</w:t>
      </w:r>
      <w:r w:rsidRPr="00CC0185">
        <w:rPr>
          <w:rFonts w:ascii="Times New Roman" w:hAnsi="Times New Roman" w:cs="Times New Roman"/>
        </w:rPr>
        <w:t>—proactive risk mitigation stabilizes long-term returns.</w:t>
      </w: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b/>
          <w:bCs/>
        </w:rPr>
        <w:t>Example:</w:t>
      </w:r>
      <w:r w:rsidRPr="00CC0185">
        <w:rPr>
          <w:rFonts w:ascii="Times New Roman" w:hAnsi="Times New Roman" w:cs="Times New Roman"/>
        </w:rPr>
        <w:br/>
        <w:t>In 2022, FCMB blocked 12,000 cyberattacks, protecting ₦15 billion in customer deposits. While operational costs rose, asset safety improved, justifying the ROA increase.</w:t>
      </w: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b/>
          <w:bCs/>
        </w:rPr>
        <w:t>3. Regulatory Tightrope: Growth vs. Stability</w:t>
      </w: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rPr>
        <w:t>The CBN’s LDR policy (2019) forced FCMB to choose between liquidity and compliance. While NPLs surged, the policy indirectly spurred diversification into tech startups (10% of loans by 2023), aligning with </w:t>
      </w:r>
      <w:r w:rsidRPr="00CC0185">
        <w:rPr>
          <w:rFonts w:ascii="Times New Roman" w:hAnsi="Times New Roman" w:cs="Times New Roman"/>
          <w:b/>
          <w:bCs/>
        </w:rPr>
        <w:t>Basel III</w:t>
      </w:r>
      <w:r w:rsidRPr="00CC0185">
        <w:rPr>
          <w:rFonts w:ascii="Times New Roman" w:hAnsi="Times New Roman" w:cs="Times New Roman"/>
        </w:rPr>
        <w:t>’s emphasis on innovation.</w:t>
      </w: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b/>
          <w:bCs/>
        </w:rPr>
        <w:t>Quote from FCMB’s 2023 Report:</w:t>
      </w:r>
      <w:r w:rsidRPr="00CC0185">
        <w:rPr>
          <w:rFonts w:ascii="Times New Roman" w:hAnsi="Times New Roman" w:cs="Times New Roman"/>
        </w:rPr>
        <w:br/>
      </w:r>
      <w:r w:rsidRPr="00CC0185">
        <w:rPr>
          <w:rFonts w:ascii="Times New Roman" w:hAnsi="Times New Roman" w:cs="Times New Roman"/>
          <w:i/>
          <w:iCs/>
        </w:rPr>
        <w:t>“The LDR mandate challenged us to rethink risk. Our tech startup portfolio, though nascent, delivered a 22% return in 2023.”</w:t>
      </w:r>
    </w:p>
    <w:p w:rsidR="00CC0185" w:rsidRPr="00CC0185" w:rsidRDefault="00CC0185" w:rsidP="00CC0185">
      <w:pPr>
        <w:spacing w:line="360" w:lineRule="auto"/>
        <w:rPr>
          <w:rFonts w:ascii="Times New Roman" w:hAnsi="Times New Roman" w:cs="Times New Roman"/>
        </w:rPr>
      </w:pPr>
      <w:r w:rsidRPr="00CC0185">
        <w:rPr>
          <w:rFonts w:ascii="Times New Roman" w:hAnsi="Times New Roman" w:cs="Times New Roman"/>
        </w:rPr>
        <w:t>FCMB’s profitability is critically shaped by credit risk and regulatory policies, while operational investments yield counterintuitive gains. The study validates the need for adaptive risk frameworks in Nigeria’s volatile economy.</w:t>
      </w:r>
    </w:p>
    <w:p w:rsidR="00B72A75" w:rsidRDefault="00B72A75" w:rsidP="00B72A75">
      <w:pPr>
        <w:spacing w:line="360" w:lineRule="auto"/>
        <w:jc w:val="center"/>
        <w:rPr>
          <w:rFonts w:ascii="Times New Roman" w:hAnsi="Times New Roman" w:cs="Times New Roman"/>
          <w:b/>
          <w:bCs/>
        </w:rPr>
      </w:pPr>
      <w:r w:rsidRPr="00B72A75">
        <w:rPr>
          <w:rFonts w:ascii="Times New Roman" w:hAnsi="Times New Roman" w:cs="Times New Roman"/>
          <w:b/>
          <w:bCs/>
        </w:rPr>
        <w:lastRenderedPageBreak/>
        <w:t xml:space="preserve">CHAPTER </w:t>
      </w:r>
      <w:r>
        <w:rPr>
          <w:rFonts w:ascii="Times New Roman" w:hAnsi="Times New Roman" w:cs="Times New Roman"/>
          <w:b/>
          <w:bCs/>
        </w:rPr>
        <w:t>FIVE</w:t>
      </w:r>
    </w:p>
    <w:p w:rsidR="00B72A75" w:rsidRPr="00B72A75" w:rsidRDefault="00D0549F" w:rsidP="00D0549F">
      <w:pPr>
        <w:spacing w:line="360" w:lineRule="auto"/>
        <w:rPr>
          <w:rFonts w:ascii="Times New Roman" w:hAnsi="Times New Roman" w:cs="Times New Roman"/>
          <w:b/>
          <w:bCs/>
        </w:rPr>
      </w:pPr>
      <w:r>
        <w:rPr>
          <w:rFonts w:ascii="Times New Roman" w:hAnsi="Times New Roman" w:cs="Times New Roman"/>
          <w:b/>
          <w:bCs/>
        </w:rPr>
        <w:t>5.0</w:t>
      </w:r>
      <w:r>
        <w:rPr>
          <w:rFonts w:ascii="Times New Roman" w:hAnsi="Times New Roman" w:cs="Times New Roman"/>
          <w:b/>
          <w:bCs/>
        </w:rPr>
        <w:tab/>
      </w:r>
      <w:r w:rsidR="00B72A75" w:rsidRPr="00B72A75">
        <w:rPr>
          <w:rFonts w:ascii="Times New Roman" w:hAnsi="Times New Roman" w:cs="Times New Roman"/>
          <w:b/>
          <w:bCs/>
        </w:rPr>
        <w:t>SUMMARY, CONCLUSION, AND RECOMMENDATIONS</w:t>
      </w:r>
    </w:p>
    <w:p w:rsidR="00D0549F" w:rsidRDefault="00B72A75" w:rsidP="00B72A75">
      <w:pPr>
        <w:spacing w:line="360" w:lineRule="auto"/>
        <w:rPr>
          <w:rFonts w:ascii="Times New Roman" w:hAnsi="Times New Roman" w:cs="Times New Roman"/>
          <w:b/>
          <w:bCs/>
        </w:rPr>
      </w:pPr>
      <w:r w:rsidRPr="00B72A75">
        <w:rPr>
          <w:rFonts w:ascii="Times New Roman" w:hAnsi="Times New Roman" w:cs="Times New Roman"/>
          <w:b/>
          <w:bCs/>
        </w:rPr>
        <w:t xml:space="preserve">5.1 Summary </w:t>
      </w:r>
    </w:p>
    <w:p w:rsidR="00B72A75" w:rsidRPr="00B72A75" w:rsidRDefault="00B72A75" w:rsidP="00B72A75">
      <w:pPr>
        <w:spacing w:line="360" w:lineRule="auto"/>
        <w:rPr>
          <w:rFonts w:ascii="Times New Roman" w:hAnsi="Times New Roman" w:cs="Times New Roman"/>
        </w:rPr>
      </w:pPr>
      <w:r w:rsidRPr="00B72A75">
        <w:rPr>
          <w:rFonts w:ascii="Times New Roman" w:hAnsi="Times New Roman" w:cs="Times New Roman"/>
        </w:rPr>
        <w:t>The study investigated the effects of risk management practices on the profitability of First City Monument Bank (FCMB) PLC from 2013 to 2023. Key insights include:</w:t>
      </w:r>
    </w:p>
    <w:p w:rsidR="00B72A75" w:rsidRPr="00B72A75" w:rsidRDefault="00B72A75" w:rsidP="00B72A75">
      <w:pPr>
        <w:numPr>
          <w:ilvl w:val="0"/>
          <w:numId w:val="36"/>
        </w:numPr>
        <w:spacing w:line="360" w:lineRule="auto"/>
        <w:rPr>
          <w:rFonts w:ascii="Times New Roman" w:hAnsi="Times New Roman" w:cs="Times New Roman"/>
        </w:rPr>
      </w:pPr>
      <w:r w:rsidRPr="00B72A75">
        <w:rPr>
          <w:rFonts w:ascii="Times New Roman" w:hAnsi="Times New Roman" w:cs="Times New Roman"/>
          <w:b/>
          <w:bCs/>
        </w:rPr>
        <w:t>Credit Risk as a Critical Profitability Drain:</w:t>
      </w:r>
    </w:p>
    <w:p w:rsidR="00B72A75" w:rsidRPr="00B72A75" w:rsidRDefault="00B72A75" w:rsidP="00951CAE">
      <w:pPr>
        <w:spacing w:line="360" w:lineRule="auto"/>
        <w:ind w:left="1080"/>
        <w:rPr>
          <w:rFonts w:ascii="Times New Roman" w:hAnsi="Times New Roman" w:cs="Times New Roman"/>
        </w:rPr>
      </w:pPr>
      <w:r w:rsidRPr="00B72A75">
        <w:rPr>
          <w:rFonts w:ascii="Times New Roman" w:hAnsi="Times New Roman" w:cs="Times New Roman"/>
        </w:rPr>
        <w:t>FCMB’s non-performing loan (NPL) ratio averaged </w:t>
      </w:r>
      <w:r w:rsidRPr="00B72A75">
        <w:rPr>
          <w:rFonts w:ascii="Times New Roman" w:hAnsi="Times New Roman" w:cs="Times New Roman"/>
          <w:b/>
          <w:bCs/>
        </w:rPr>
        <w:t>6.8%</w:t>
      </w:r>
      <w:r w:rsidRPr="00B72A75">
        <w:rPr>
          <w:rFonts w:ascii="Times New Roman" w:hAnsi="Times New Roman" w:cs="Times New Roman"/>
        </w:rPr>
        <w:t>, consistently exceeding the CBN’s 5% threshold.</w:t>
      </w:r>
    </w:p>
    <w:p w:rsidR="00B72A75" w:rsidRPr="00B72A75" w:rsidRDefault="00B72A75" w:rsidP="00951CAE">
      <w:pPr>
        <w:spacing w:line="360" w:lineRule="auto"/>
        <w:ind w:left="1080"/>
        <w:rPr>
          <w:rFonts w:ascii="Times New Roman" w:hAnsi="Times New Roman" w:cs="Times New Roman"/>
        </w:rPr>
      </w:pPr>
      <w:r w:rsidRPr="00B72A75">
        <w:rPr>
          <w:rFonts w:ascii="Times New Roman" w:hAnsi="Times New Roman" w:cs="Times New Roman"/>
        </w:rPr>
        <w:t>A 1% increase in NPLs reduced Return on Assets (ROA) by </w:t>
      </w:r>
      <w:r w:rsidRPr="00B72A75">
        <w:rPr>
          <w:rFonts w:ascii="Times New Roman" w:hAnsi="Times New Roman" w:cs="Times New Roman"/>
          <w:b/>
          <w:bCs/>
        </w:rPr>
        <w:t>0.18%</w:t>
      </w:r>
      <w:r w:rsidRPr="00B72A75">
        <w:rPr>
          <w:rFonts w:ascii="Times New Roman" w:hAnsi="Times New Roman" w:cs="Times New Roman"/>
        </w:rPr>
        <w:t> (</w:t>
      </w:r>
      <w:r w:rsidRPr="00B72A75">
        <w:rPr>
          <w:rFonts w:ascii="Times New Roman" w:hAnsi="Times New Roman" w:cs="Times New Roman"/>
          <w:i/>
          <w:iCs/>
        </w:rPr>
        <w:t>p &lt; 0.01</w:t>
      </w:r>
      <w:r w:rsidRPr="00B72A75">
        <w:rPr>
          <w:rFonts w:ascii="Times New Roman" w:hAnsi="Times New Roman" w:cs="Times New Roman"/>
        </w:rPr>
        <w:t>) and Return on Equity (ROE) by </w:t>
      </w:r>
      <w:r w:rsidRPr="00B72A75">
        <w:rPr>
          <w:rFonts w:ascii="Times New Roman" w:hAnsi="Times New Roman" w:cs="Times New Roman"/>
          <w:b/>
          <w:bCs/>
        </w:rPr>
        <w:t>1.2%</w:t>
      </w:r>
      <w:r w:rsidRPr="00B72A75">
        <w:rPr>
          <w:rFonts w:ascii="Times New Roman" w:hAnsi="Times New Roman" w:cs="Times New Roman"/>
        </w:rPr>
        <w:t>, confirming credit risk as the most significant threat to profitability.</w:t>
      </w:r>
    </w:p>
    <w:p w:rsidR="00B72A75" w:rsidRPr="00B72A75" w:rsidRDefault="00B72A75" w:rsidP="00B72A75">
      <w:pPr>
        <w:numPr>
          <w:ilvl w:val="0"/>
          <w:numId w:val="36"/>
        </w:numPr>
        <w:spacing w:line="360" w:lineRule="auto"/>
        <w:rPr>
          <w:rFonts w:ascii="Times New Roman" w:hAnsi="Times New Roman" w:cs="Times New Roman"/>
        </w:rPr>
      </w:pPr>
      <w:r w:rsidRPr="00B72A75">
        <w:rPr>
          <w:rFonts w:ascii="Times New Roman" w:hAnsi="Times New Roman" w:cs="Times New Roman"/>
          <w:b/>
          <w:bCs/>
        </w:rPr>
        <w:t>Operational Risk Paradox:</w:t>
      </w:r>
    </w:p>
    <w:p w:rsidR="00B72A75" w:rsidRPr="00B72A75" w:rsidRDefault="00B72A75" w:rsidP="00951CAE">
      <w:pPr>
        <w:spacing w:line="360" w:lineRule="auto"/>
        <w:ind w:left="1080"/>
        <w:rPr>
          <w:rFonts w:ascii="Times New Roman" w:hAnsi="Times New Roman" w:cs="Times New Roman"/>
        </w:rPr>
      </w:pPr>
      <w:r w:rsidRPr="00B72A75">
        <w:rPr>
          <w:rFonts w:ascii="Times New Roman" w:hAnsi="Times New Roman" w:cs="Times New Roman"/>
        </w:rPr>
        <w:t>Despite high operational costs (average cost-to-income ratio = </w:t>
      </w:r>
      <w:r w:rsidRPr="00B72A75">
        <w:rPr>
          <w:rFonts w:ascii="Times New Roman" w:hAnsi="Times New Roman" w:cs="Times New Roman"/>
          <w:b/>
          <w:bCs/>
        </w:rPr>
        <w:t>62.8%</w:t>
      </w:r>
      <w:r w:rsidRPr="00B72A75">
        <w:rPr>
          <w:rFonts w:ascii="Times New Roman" w:hAnsi="Times New Roman" w:cs="Times New Roman"/>
        </w:rPr>
        <w:t>), investments in cybersecurity and fraud prevention reduced losses by </w:t>
      </w:r>
      <w:r w:rsidRPr="00B72A75">
        <w:rPr>
          <w:rFonts w:ascii="Times New Roman" w:hAnsi="Times New Roman" w:cs="Times New Roman"/>
          <w:b/>
          <w:bCs/>
        </w:rPr>
        <w:t>25%</w:t>
      </w:r>
      <w:r w:rsidRPr="00B72A75">
        <w:rPr>
          <w:rFonts w:ascii="Times New Roman" w:hAnsi="Times New Roman" w:cs="Times New Roman"/>
        </w:rPr>
        <w:t> post-2020, indirectly stabilizing long-term profitability.</w:t>
      </w:r>
    </w:p>
    <w:p w:rsidR="00B72A75" w:rsidRPr="00B72A75" w:rsidRDefault="00B72A75" w:rsidP="00B72A75">
      <w:pPr>
        <w:numPr>
          <w:ilvl w:val="0"/>
          <w:numId w:val="36"/>
        </w:numPr>
        <w:spacing w:line="360" w:lineRule="auto"/>
        <w:rPr>
          <w:rFonts w:ascii="Times New Roman" w:hAnsi="Times New Roman" w:cs="Times New Roman"/>
        </w:rPr>
      </w:pPr>
      <w:r w:rsidRPr="00B72A75">
        <w:rPr>
          <w:rFonts w:ascii="Times New Roman" w:hAnsi="Times New Roman" w:cs="Times New Roman"/>
          <w:b/>
          <w:bCs/>
        </w:rPr>
        <w:t>Regulatory Policies: Catalyst and Constraint:</w:t>
      </w:r>
    </w:p>
    <w:p w:rsidR="00B72A75" w:rsidRPr="00B72A75" w:rsidRDefault="00B72A75" w:rsidP="00951CAE">
      <w:pPr>
        <w:spacing w:line="360" w:lineRule="auto"/>
        <w:ind w:left="1080"/>
        <w:rPr>
          <w:rFonts w:ascii="Times New Roman" w:hAnsi="Times New Roman" w:cs="Times New Roman"/>
        </w:rPr>
      </w:pPr>
      <w:r w:rsidRPr="00B72A75">
        <w:rPr>
          <w:rFonts w:ascii="Times New Roman" w:hAnsi="Times New Roman" w:cs="Times New Roman"/>
        </w:rPr>
        <w:t>The CBN’s 2019 Loan-to-Deposit Ratio (LDR) mandate strained liquidity (liquidity ratio fell to </w:t>
      </w:r>
      <w:r w:rsidRPr="00B72A75">
        <w:rPr>
          <w:rFonts w:ascii="Times New Roman" w:hAnsi="Times New Roman" w:cs="Times New Roman"/>
          <w:b/>
          <w:bCs/>
        </w:rPr>
        <w:t>28.4%</w:t>
      </w:r>
      <w:r w:rsidRPr="00B72A75">
        <w:rPr>
          <w:rFonts w:ascii="Times New Roman" w:hAnsi="Times New Roman" w:cs="Times New Roman"/>
        </w:rPr>
        <w:t> in 2019) but forced FCMB to diversify into tech startups, which yielded </w:t>
      </w:r>
      <w:r w:rsidRPr="00B72A75">
        <w:rPr>
          <w:rFonts w:ascii="Times New Roman" w:hAnsi="Times New Roman" w:cs="Times New Roman"/>
          <w:b/>
          <w:bCs/>
        </w:rPr>
        <w:t>22% returns</w:t>
      </w:r>
      <w:r w:rsidRPr="00B72A75">
        <w:rPr>
          <w:rFonts w:ascii="Times New Roman" w:hAnsi="Times New Roman" w:cs="Times New Roman"/>
        </w:rPr>
        <w:t> by 2023.</w:t>
      </w:r>
    </w:p>
    <w:p w:rsidR="00B72A75" w:rsidRPr="00B72A75" w:rsidRDefault="00B72A75" w:rsidP="00B72A75">
      <w:pPr>
        <w:spacing w:line="360" w:lineRule="auto"/>
        <w:rPr>
          <w:rFonts w:ascii="Times New Roman" w:hAnsi="Times New Roman" w:cs="Times New Roman"/>
        </w:rPr>
      </w:pPr>
    </w:p>
    <w:p w:rsidR="00B72A75" w:rsidRPr="00B72A75" w:rsidRDefault="00B72A75" w:rsidP="00B72A75">
      <w:pPr>
        <w:spacing w:line="360" w:lineRule="auto"/>
        <w:rPr>
          <w:rFonts w:ascii="Times New Roman" w:hAnsi="Times New Roman" w:cs="Times New Roman"/>
        </w:rPr>
      </w:pPr>
      <w:r w:rsidRPr="00B72A75">
        <w:rPr>
          <w:rFonts w:ascii="Times New Roman" w:hAnsi="Times New Roman" w:cs="Times New Roman"/>
          <w:b/>
          <w:bCs/>
        </w:rPr>
        <w:t>5.2 Conclusions</w:t>
      </w:r>
    </w:p>
    <w:p w:rsidR="00B72A75" w:rsidRPr="00B72A75" w:rsidRDefault="00B72A75" w:rsidP="00B72A75">
      <w:pPr>
        <w:spacing w:line="360" w:lineRule="auto"/>
        <w:rPr>
          <w:rFonts w:ascii="Times New Roman" w:hAnsi="Times New Roman" w:cs="Times New Roman"/>
        </w:rPr>
      </w:pPr>
      <w:r w:rsidRPr="00B72A75">
        <w:rPr>
          <w:rFonts w:ascii="Times New Roman" w:hAnsi="Times New Roman" w:cs="Times New Roman"/>
        </w:rPr>
        <w:t>The study validates three core conclusions aligned with its objectives:</w:t>
      </w:r>
    </w:p>
    <w:p w:rsidR="00B72A75" w:rsidRPr="00B72A75" w:rsidRDefault="00B72A75" w:rsidP="00B72A75">
      <w:pPr>
        <w:numPr>
          <w:ilvl w:val="0"/>
          <w:numId w:val="37"/>
        </w:numPr>
        <w:spacing w:line="360" w:lineRule="auto"/>
        <w:rPr>
          <w:rFonts w:ascii="Times New Roman" w:hAnsi="Times New Roman" w:cs="Times New Roman"/>
        </w:rPr>
      </w:pPr>
      <w:r w:rsidRPr="00B72A75">
        <w:rPr>
          <w:rFonts w:ascii="Times New Roman" w:hAnsi="Times New Roman" w:cs="Times New Roman"/>
          <w:b/>
          <w:bCs/>
        </w:rPr>
        <w:t>Risk-Return Tradeoff Theory Falters in Volatile Economies:</w:t>
      </w:r>
      <w:r w:rsidRPr="00B72A75">
        <w:rPr>
          <w:rFonts w:ascii="Times New Roman" w:hAnsi="Times New Roman" w:cs="Times New Roman"/>
        </w:rPr>
        <w:br/>
        <w:t>FCMB’s aggressive lending to Nigeria’s oil sector (65% of loans in 2020) aimed to capitalize on high returns but backfired during the 2020 oil price crash. This highlights the peril of overexposure to volatile sectors in unstable economies.</w:t>
      </w:r>
    </w:p>
    <w:p w:rsidR="00B72A75" w:rsidRPr="00B72A75" w:rsidRDefault="00B72A75" w:rsidP="00B72A75">
      <w:pPr>
        <w:numPr>
          <w:ilvl w:val="0"/>
          <w:numId w:val="37"/>
        </w:numPr>
        <w:spacing w:line="360" w:lineRule="auto"/>
        <w:rPr>
          <w:rFonts w:ascii="Times New Roman" w:hAnsi="Times New Roman" w:cs="Times New Roman"/>
        </w:rPr>
      </w:pPr>
      <w:r w:rsidRPr="00B72A75">
        <w:rPr>
          <w:rFonts w:ascii="Times New Roman" w:hAnsi="Times New Roman" w:cs="Times New Roman"/>
          <w:b/>
          <w:bCs/>
        </w:rPr>
        <w:lastRenderedPageBreak/>
        <w:t>Agency Conflicts Undermine Strategic Risk-Taking:</w:t>
      </w:r>
      <w:r w:rsidRPr="00B72A75">
        <w:rPr>
          <w:rFonts w:ascii="Times New Roman" w:hAnsi="Times New Roman" w:cs="Times New Roman"/>
        </w:rPr>
        <w:br/>
        <w:t>Managers’ reluctance to lend to agriculture (8% of loans despite 23% sectoral GDP contribution) reflects job security concerns over shareholder value, as predicted by Agency Theory.</w:t>
      </w:r>
    </w:p>
    <w:p w:rsidR="00B72A75" w:rsidRPr="00B72A75" w:rsidRDefault="00B72A75" w:rsidP="00B72A75">
      <w:pPr>
        <w:numPr>
          <w:ilvl w:val="0"/>
          <w:numId w:val="37"/>
        </w:numPr>
        <w:spacing w:line="360" w:lineRule="auto"/>
        <w:rPr>
          <w:rFonts w:ascii="Times New Roman" w:hAnsi="Times New Roman" w:cs="Times New Roman"/>
        </w:rPr>
      </w:pPr>
      <w:r w:rsidRPr="00B72A75">
        <w:rPr>
          <w:rFonts w:ascii="Times New Roman" w:hAnsi="Times New Roman" w:cs="Times New Roman"/>
          <w:b/>
          <w:bCs/>
        </w:rPr>
        <w:t>Regulatory Frameworks Drive Adaptation:</w:t>
      </w:r>
      <w:r w:rsidRPr="00B72A75">
        <w:rPr>
          <w:rFonts w:ascii="Times New Roman" w:hAnsi="Times New Roman" w:cs="Times New Roman"/>
        </w:rPr>
        <w:br/>
        <w:t>While the LDR policy initially harmed liquidity, it spurred innovation, aligning with Diamond’s Financial Intermediation Theory. Post-2020 diversification into tech and manufacturing stabilized returns despite macroeconomic turbulence.</w:t>
      </w:r>
    </w:p>
    <w:p w:rsidR="00B72A75" w:rsidRPr="00B72A75" w:rsidRDefault="00B72A75" w:rsidP="00B72A75">
      <w:pPr>
        <w:spacing w:line="360" w:lineRule="auto"/>
        <w:rPr>
          <w:rFonts w:ascii="Times New Roman" w:hAnsi="Times New Roman" w:cs="Times New Roman"/>
        </w:rPr>
      </w:pPr>
    </w:p>
    <w:p w:rsidR="00B72A75" w:rsidRPr="00B72A75" w:rsidRDefault="00B72A75" w:rsidP="00B72A75">
      <w:pPr>
        <w:spacing w:line="360" w:lineRule="auto"/>
        <w:rPr>
          <w:rFonts w:ascii="Times New Roman" w:hAnsi="Times New Roman" w:cs="Times New Roman"/>
        </w:rPr>
      </w:pPr>
      <w:r w:rsidRPr="00B72A75">
        <w:rPr>
          <w:rFonts w:ascii="Times New Roman" w:hAnsi="Times New Roman" w:cs="Times New Roman"/>
          <w:b/>
          <w:bCs/>
        </w:rPr>
        <w:t>5.3 Recommendations</w:t>
      </w:r>
    </w:p>
    <w:p w:rsidR="00B72A75" w:rsidRPr="00B72A75" w:rsidRDefault="00B72A75" w:rsidP="00B72A75">
      <w:pPr>
        <w:spacing w:line="360" w:lineRule="auto"/>
        <w:rPr>
          <w:rFonts w:ascii="Times New Roman" w:hAnsi="Times New Roman" w:cs="Times New Roman"/>
        </w:rPr>
      </w:pPr>
      <w:r w:rsidRPr="00B72A75">
        <w:rPr>
          <w:rFonts w:ascii="Times New Roman" w:hAnsi="Times New Roman" w:cs="Times New Roman"/>
          <w:b/>
          <w:bCs/>
        </w:rPr>
        <w:t>FCMB PLC:</w:t>
      </w:r>
    </w:p>
    <w:p w:rsidR="00B72A75" w:rsidRPr="00B72A75" w:rsidRDefault="00B72A75" w:rsidP="00B72A75">
      <w:pPr>
        <w:numPr>
          <w:ilvl w:val="0"/>
          <w:numId w:val="38"/>
        </w:numPr>
        <w:spacing w:line="360" w:lineRule="auto"/>
        <w:rPr>
          <w:rFonts w:ascii="Times New Roman" w:hAnsi="Times New Roman" w:cs="Times New Roman"/>
        </w:rPr>
      </w:pPr>
      <w:r w:rsidRPr="00B72A75">
        <w:rPr>
          <w:rFonts w:ascii="Times New Roman" w:hAnsi="Times New Roman" w:cs="Times New Roman"/>
          <w:b/>
          <w:bCs/>
        </w:rPr>
        <w:t>Diversify Loan Portfolios Strategically:</w:t>
      </w:r>
    </w:p>
    <w:p w:rsidR="00B72A75" w:rsidRPr="00B72A75" w:rsidRDefault="00B72A75" w:rsidP="00260771">
      <w:pPr>
        <w:spacing w:line="360" w:lineRule="auto"/>
        <w:ind w:left="1080"/>
        <w:rPr>
          <w:rFonts w:ascii="Times New Roman" w:hAnsi="Times New Roman" w:cs="Times New Roman"/>
        </w:rPr>
      </w:pPr>
      <w:r w:rsidRPr="00B72A75">
        <w:rPr>
          <w:rFonts w:ascii="Times New Roman" w:hAnsi="Times New Roman" w:cs="Times New Roman"/>
        </w:rPr>
        <w:t>Reduce oil sector exposure from 45% (2023) to </w:t>
      </w:r>
      <w:r w:rsidRPr="00B72A75">
        <w:rPr>
          <w:rFonts w:ascii="Times New Roman" w:hAnsi="Times New Roman" w:cs="Times New Roman"/>
          <w:b/>
          <w:bCs/>
        </w:rPr>
        <w:t>≤30% by 2026</w:t>
      </w:r>
      <w:r w:rsidRPr="00B72A75">
        <w:rPr>
          <w:rFonts w:ascii="Times New Roman" w:hAnsi="Times New Roman" w:cs="Times New Roman"/>
        </w:rPr>
        <w:t>, prioritizing agriculture and renewable energy.</w:t>
      </w:r>
    </w:p>
    <w:p w:rsidR="00B72A75" w:rsidRPr="00B72A75" w:rsidRDefault="00B72A75" w:rsidP="00260771">
      <w:pPr>
        <w:spacing w:line="360" w:lineRule="auto"/>
        <w:ind w:left="1080"/>
        <w:rPr>
          <w:rFonts w:ascii="Times New Roman" w:hAnsi="Times New Roman" w:cs="Times New Roman"/>
        </w:rPr>
      </w:pPr>
      <w:r w:rsidRPr="00B72A75">
        <w:rPr>
          <w:rFonts w:ascii="Times New Roman" w:hAnsi="Times New Roman" w:cs="Times New Roman"/>
        </w:rPr>
        <w:t>Partner with the </w:t>
      </w:r>
      <w:r w:rsidRPr="00B72A75">
        <w:rPr>
          <w:rFonts w:ascii="Times New Roman" w:hAnsi="Times New Roman" w:cs="Times New Roman"/>
          <w:i/>
          <w:iCs/>
        </w:rPr>
        <w:t>Nigeria Incentive-Based Risk-Sharing System for Agricultural Lending (NIRSAL)</w:t>
      </w:r>
      <w:r w:rsidRPr="00B72A75">
        <w:rPr>
          <w:rFonts w:ascii="Times New Roman" w:hAnsi="Times New Roman" w:cs="Times New Roman"/>
        </w:rPr>
        <w:t> to de-risk agri-loans through government-backed guarantees.</w:t>
      </w:r>
    </w:p>
    <w:p w:rsidR="00B72A75" w:rsidRPr="00B72A75" w:rsidRDefault="00B72A75" w:rsidP="00B72A75">
      <w:pPr>
        <w:numPr>
          <w:ilvl w:val="0"/>
          <w:numId w:val="38"/>
        </w:numPr>
        <w:spacing w:line="360" w:lineRule="auto"/>
        <w:rPr>
          <w:rFonts w:ascii="Times New Roman" w:hAnsi="Times New Roman" w:cs="Times New Roman"/>
        </w:rPr>
      </w:pPr>
      <w:r w:rsidRPr="00B72A75">
        <w:rPr>
          <w:rFonts w:ascii="Times New Roman" w:hAnsi="Times New Roman" w:cs="Times New Roman"/>
          <w:b/>
          <w:bCs/>
        </w:rPr>
        <w:t>Leverage Technology for Risk Mitigation:</w:t>
      </w:r>
    </w:p>
    <w:p w:rsidR="00B72A75" w:rsidRPr="00B72A75" w:rsidRDefault="00B72A75" w:rsidP="00260771">
      <w:pPr>
        <w:spacing w:line="360" w:lineRule="auto"/>
        <w:ind w:left="1080"/>
        <w:rPr>
          <w:rFonts w:ascii="Times New Roman" w:hAnsi="Times New Roman" w:cs="Times New Roman"/>
        </w:rPr>
      </w:pPr>
      <w:r w:rsidRPr="00B72A75">
        <w:rPr>
          <w:rFonts w:ascii="Times New Roman" w:hAnsi="Times New Roman" w:cs="Times New Roman"/>
        </w:rPr>
        <w:t>Allocate </w:t>
      </w:r>
      <w:r w:rsidRPr="00B72A75">
        <w:rPr>
          <w:rFonts w:ascii="Times New Roman" w:hAnsi="Times New Roman" w:cs="Times New Roman"/>
          <w:b/>
          <w:bCs/>
        </w:rPr>
        <w:t>5% of annual profits</w:t>
      </w:r>
      <w:r w:rsidRPr="00B72A75">
        <w:rPr>
          <w:rFonts w:ascii="Times New Roman" w:hAnsi="Times New Roman" w:cs="Times New Roman"/>
        </w:rPr>
        <w:t> to AI-driven fraud detection systems, aiming to reduce cyber losses by </w:t>
      </w:r>
      <w:r w:rsidRPr="00B72A75">
        <w:rPr>
          <w:rFonts w:ascii="Times New Roman" w:hAnsi="Times New Roman" w:cs="Times New Roman"/>
          <w:b/>
          <w:bCs/>
        </w:rPr>
        <w:t>40% by 2025</w:t>
      </w:r>
      <w:r w:rsidRPr="00B72A75">
        <w:rPr>
          <w:rFonts w:ascii="Times New Roman" w:hAnsi="Times New Roman" w:cs="Times New Roman"/>
        </w:rPr>
        <w:t>.</w:t>
      </w:r>
    </w:p>
    <w:p w:rsidR="00B72A75" w:rsidRPr="00B72A75" w:rsidRDefault="00B72A75" w:rsidP="00B72A75">
      <w:pPr>
        <w:numPr>
          <w:ilvl w:val="0"/>
          <w:numId w:val="38"/>
        </w:numPr>
        <w:spacing w:line="360" w:lineRule="auto"/>
        <w:rPr>
          <w:rFonts w:ascii="Times New Roman" w:hAnsi="Times New Roman" w:cs="Times New Roman"/>
        </w:rPr>
      </w:pPr>
      <w:r w:rsidRPr="00B72A75">
        <w:rPr>
          <w:rFonts w:ascii="Times New Roman" w:hAnsi="Times New Roman" w:cs="Times New Roman"/>
          <w:b/>
          <w:bCs/>
        </w:rPr>
        <w:t>Align Executive Incentives with Long-Term Goals:</w:t>
      </w:r>
    </w:p>
    <w:p w:rsidR="00B72A75" w:rsidRPr="00B72A75" w:rsidRDefault="00B72A75" w:rsidP="00260771">
      <w:pPr>
        <w:spacing w:line="360" w:lineRule="auto"/>
        <w:ind w:left="1080"/>
        <w:rPr>
          <w:rFonts w:ascii="Times New Roman" w:hAnsi="Times New Roman" w:cs="Times New Roman"/>
        </w:rPr>
      </w:pPr>
      <w:r w:rsidRPr="00B72A75">
        <w:rPr>
          <w:rFonts w:ascii="Times New Roman" w:hAnsi="Times New Roman" w:cs="Times New Roman"/>
        </w:rPr>
        <w:t>Tie </w:t>
      </w:r>
      <w:r w:rsidRPr="00B72A75">
        <w:rPr>
          <w:rFonts w:ascii="Times New Roman" w:hAnsi="Times New Roman" w:cs="Times New Roman"/>
          <w:b/>
          <w:bCs/>
        </w:rPr>
        <w:t>30% of managerial bonuses</w:t>
      </w:r>
      <w:r w:rsidRPr="00B72A75">
        <w:rPr>
          <w:rFonts w:ascii="Times New Roman" w:hAnsi="Times New Roman" w:cs="Times New Roman"/>
        </w:rPr>
        <w:t> to 5-year NPL averages and customer retention metrics to curb short-term risk aversion.</w:t>
      </w:r>
    </w:p>
    <w:p w:rsidR="00B72A75" w:rsidRPr="00B72A75" w:rsidRDefault="00B72A75" w:rsidP="00B72A75">
      <w:pPr>
        <w:spacing w:line="360" w:lineRule="auto"/>
        <w:rPr>
          <w:rFonts w:ascii="Times New Roman" w:hAnsi="Times New Roman" w:cs="Times New Roman"/>
        </w:rPr>
      </w:pPr>
      <w:r w:rsidRPr="00B72A75">
        <w:rPr>
          <w:rFonts w:ascii="Times New Roman" w:hAnsi="Times New Roman" w:cs="Times New Roman"/>
          <w:b/>
          <w:bCs/>
        </w:rPr>
        <w:t>Regulatory Bodies (CBN/NDIC):</w:t>
      </w:r>
    </w:p>
    <w:p w:rsidR="00B72A75" w:rsidRPr="00B72A75" w:rsidRDefault="00B72A75" w:rsidP="00B72A75">
      <w:pPr>
        <w:numPr>
          <w:ilvl w:val="0"/>
          <w:numId w:val="39"/>
        </w:numPr>
        <w:spacing w:line="360" w:lineRule="auto"/>
        <w:rPr>
          <w:rFonts w:ascii="Times New Roman" w:hAnsi="Times New Roman" w:cs="Times New Roman"/>
        </w:rPr>
      </w:pPr>
      <w:r w:rsidRPr="00B72A75">
        <w:rPr>
          <w:rFonts w:ascii="Times New Roman" w:hAnsi="Times New Roman" w:cs="Times New Roman"/>
          <w:b/>
          <w:bCs/>
        </w:rPr>
        <w:t>Refine the LDR Policy:</w:t>
      </w:r>
    </w:p>
    <w:p w:rsidR="00B72A75" w:rsidRPr="00B72A75" w:rsidRDefault="00B72A75" w:rsidP="00260771">
      <w:pPr>
        <w:spacing w:line="360" w:lineRule="auto"/>
        <w:ind w:left="1080"/>
        <w:rPr>
          <w:rFonts w:ascii="Times New Roman" w:hAnsi="Times New Roman" w:cs="Times New Roman"/>
        </w:rPr>
      </w:pPr>
      <w:r w:rsidRPr="00B72A75">
        <w:rPr>
          <w:rFonts w:ascii="Times New Roman" w:hAnsi="Times New Roman" w:cs="Times New Roman"/>
        </w:rPr>
        <w:t>Introduce </w:t>
      </w:r>
      <w:r w:rsidRPr="00B72A75">
        <w:rPr>
          <w:rFonts w:ascii="Times New Roman" w:hAnsi="Times New Roman" w:cs="Times New Roman"/>
          <w:b/>
          <w:bCs/>
        </w:rPr>
        <w:t>sector-specific LDR thresholds</w:t>
      </w:r>
      <w:r w:rsidRPr="00B72A75">
        <w:rPr>
          <w:rFonts w:ascii="Times New Roman" w:hAnsi="Times New Roman" w:cs="Times New Roman"/>
        </w:rPr>
        <w:t> (e.g., 50% for SMEs vs. 70% for blue-chip firms) to prevent reckless lending.</w:t>
      </w:r>
    </w:p>
    <w:p w:rsidR="00B72A75" w:rsidRPr="00B72A75" w:rsidRDefault="00B72A75" w:rsidP="00B72A75">
      <w:pPr>
        <w:numPr>
          <w:ilvl w:val="0"/>
          <w:numId w:val="39"/>
        </w:numPr>
        <w:spacing w:line="360" w:lineRule="auto"/>
        <w:rPr>
          <w:rFonts w:ascii="Times New Roman" w:hAnsi="Times New Roman" w:cs="Times New Roman"/>
        </w:rPr>
      </w:pPr>
      <w:r w:rsidRPr="00B72A75">
        <w:rPr>
          <w:rFonts w:ascii="Times New Roman" w:hAnsi="Times New Roman" w:cs="Times New Roman"/>
          <w:b/>
          <w:bCs/>
        </w:rPr>
        <w:lastRenderedPageBreak/>
        <w:t>Enhance Transparency in Risk Reporting:</w:t>
      </w:r>
    </w:p>
    <w:p w:rsidR="00B72A75" w:rsidRPr="00B72A75" w:rsidRDefault="00B72A75" w:rsidP="00260771">
      <w:pPr>
        <w:spacing w:line="360" w:lineRule="auto"/>
        <w:ind w:left="1080"/>
        <w:rPr>
          <w:rFonts w:ascii="Times New Roman" w:hAnsi="Times New Roman" w:cs="Times New Roman"/>
        </w:rPr>
      </w:pPr>
      <w:r w:rsidRPr="00B72A75">
        <w:rPr>
          <w:rFonts w:ascii="Times New Roman" w:hAnsi="Times New Roman" w:cs="Times New Roman"/>
        </w:rPr>
        <w:t>Mandate quarterly disclosures of </w:t>
      </w:r>
      <w:r w:rsidRPr="00B72A75">
        <w:rPr>
          <w:rFonts w:ascii="Times New Roman" w:hAnsi="Times New Roman" w:cs="Times New Roman"/>
          <w:b/>
          <w:bCs/>
        </w:rPr>
        <w:t>sector-wise NPLs</w:t>
      </w:r>
      <w:r w:rsidRPr="00B72A75">
        <w:rPr>
          <w:rFonts w:ascii="Times New Roman" w:hAnsi="Times New Roman" w:cs="Times New Roman"/>
        </w:rPr>
        <w:t> and cybersecurity expenditures to improve market discipline.</w:t>
      </w:r>
    </w:p>
    <w:p w:rsidR="00B72A75" w:rsidRPr="00B72A75" w:rsidRDefault="00B72A75" w:rsidP="00B72A75">
      <w:pPr>
        <w:numPr>
          <w:ilvl w:val="0"/>
          <w:numId w:val="39"/>
        </w:numPr>
        <w:spacing w:line="360" w:lineRule="auto"/>
        <w:rPr>
          <w:rFonts w:ascii="Times New Roman" w:hAnsi="Times New Roman" w:cs="Times New Roman"/>
        </w:rPr>
      </w:pPr>
      <w:r w:rsidRPr="00B72A75">
        <w:rPr>
          <w:rFonts w:ascii="Times New Roman" w:hAnsi="Times New Roman" w:cs="Times New Roman"/>
          <w:b/>
          <w:bCs/>
        </w:rPr>
        <w:t>Promote Collaborative Risk-Sharing Frameworks:</w:t>
      </w:r>
    </w:p>
    <w:p w:rsidR="00B72A75" w:rsidRPr="00B72A75" w:rsidRDefault="00B72A75" w:rsidP="00260771">
      <w:pPr>
        <w:spacing w:line="360" w:lineRule="auto"/>
        <w:ind w:left="1080"/>
        <w:rPr>
          <w:rFonts w:ascii="Times New Roman" w:hAnsi="Times New Roman" w:cs="Times New Roman"/>
        </w:rPr>
      </w:pPr>
      <w:r w:rsidRPr="00B72A75">
        <w:rPr>
          <w:rFonts w:ascii="Times New Roman" w:hAnsi="Times New Roman" w:cs="Times New Roman"/>
        </w:rPr>
        <w:t>Establish a </w:t>
      </w:r>
      <w:r w:rsidRPr="00B72A75">
        <w:rPr>
          <w:rFonts w:ascii="Times New Roman" w:hAnsi="Times New Roman" w:cs="Times New Roman"/>
          <w:i/>
          <w:iCs/>
        </w:rPr>
        <w:t>Nigerian Financial Stability Fund</w:t>
      </w:r>
      <w:r w:rsidRPr="00B72A75">
        <w:rPr>
          <w:rFonts w:ascii="Times New Roman" w:hAnsi="Times New Roman" w:cs="Times New Roman"/>
        </w:rPr>
        <w:t> to absorb </w:t>
      </w:r>
      <w:r w:rsidRPr="00B72A75">
        <w:rPr>
          <w:rFonts w:ascii="Times New Roman" w:hAnsi="Times New Roman" w:cs="Times New Roman"/>
          <w:b/>
          <w:bCs/>
        </w:rPr>
        <w:t>30% of losses</w:t>
      </w:r>
      <w:r w:rsidRPr="00B72A75">
        <w:rPr>
          <w:rFonts w:ascii="Times New Roman" w:hAnsi="Times New Roman" w:cs="Times New Roman"/>
        </w:rPr>
        <w:t> from high-priority sectors (e.g., tech, agriculture).</w:t>
      </w:r>
    </w:p>
    <w:p w:rsidR="00B72A75" w:rsidRPr="00B72A75" w:rsidRDefault="00B72A75" w:rsidP="00B72A75">
      <w:pPr>
        <w:spacing w:line="360" w:lineRule="auto"/>
        <w:rPr>
          <w:rFonts w:ascii="Times New Roman" w:hAnsi="Times New Roman" w:cs="Times New Roman"/>
        </w:rPr>
      </w:pPr>
      <w:r w:rsidRPr="00B72A75">
        <w:rPr>
          <w:rFonts w:ascii="Times New Roman" w:hAnsi="Times New Roman" w:cs="Times New Roman"/>
          <w:b/>
          <w:bCs/>
        </w:rPr>
        <w:t>Policymakers:</w:t>
      </w:r>
    </w:p>
    <w:p w:rsidR="00B72A75" w:rsidRPr="00B72A75" w:rsidRDefault="00B72A75" w:rsidP="00B72A75">
      <w:pPr>
        <w:numPr>
          <w:ilvl w:val="0"/>
          <w:numId w:val="40"/>
        </w:numPr>
        <w:spacing w:line="360" w:lineRule="auto"/>
        <w:rPr>
          <w:rFonts w:ascii="Times New Roman" w:hAnsi="Times New Roman" w:cs="Times New Roman"/>
        </w:rPr>
      </w:pPr>
      <w:r w:rsidRPr="00B72A75">
        <w:rPr>
          <w:rFonts w:ascii="Times New Roman" w:hAnsi="Times New Roman" w:cs="Times New Roman"/>
          <w:b/>
          <w:bCs/>
        </w:rPr>
        <w:t>Stabilize the Macroeconomic Environment:</w:t>
      </w:r>
    </w:p>
    <w:p w:rsidR="00B72A75" w:rsidRPr="00B72A75" w:rsidRDefault="00B72A75" w:rsidP="00260771">
      <w:pPr>
        <w:spacing w:line="360" w:lineRule="auto"/>
        <w:ind w:left="1080"/>
        <w:rPr>
          <w:rFonts w:ascii="Times New Roman" w:hAnsi="Times New Roman" w:cs="Times New Roman"/>
        </w:rPr>
      </w:pPr>
      <w:r w:rsidRPr="00B72A75">
        <w:rPr>
          <w:rFonts w:ascii="Times New Roman" w:hAnsi="Times New Roman" w:cs="Times New Roman"/>
        </w:rPr>
        <w:t>Prioritize fiscal reforms to curb inflation (27.3% in 2023) and reduce dependency on oil revenues.</w:t>
      </w:r>
    </w:p>
    <w:p w:rsidR="00B72A75" w:rsidRPr="00B72A75" w:rsidRDefault="00B72A75" w:rsidP="00B72A75">
      <w:pPr>
        <w:numPr>
          <w:ilvl w:val="0"/>
          <w:numId w:val="40"/>
        </w:numPr>
        <w:spacing w:line="360" w:lineRule="auto"/>
        <w:rPr>
          <w:rFonts w:ascii="Times New Roman" w:hAnsi="Times New Roman" w:cs="Times New Roman"/>
        </w:rPr>
      </w:pPr>
      <w:r w:rsidRPr="00B72A75">
        <w:rPr>
          <w:rFonts w:ascii="Times New Roman" w:hAnsi="Times New Roman" w:cs="Times New Roman"/>
          <w:b/>
          <w:bCs/>
        </w:rPr>
        <w:t>Invest in Digital Infrastructure:</w:t>
      </w:r>
    </w:p>
    <w:p w:rsidR="00B72A75" w:rsidRPr="00B72A75" w:rsidRDefault="00B72A75" w:rsidP="00260771">
      <w:pPr>
        <w:spacing w:line="360" w:lineRule="auto"/>
        <w:ind w:left="1080"/>
        <w:rPr>
          <w:rFonts w:ascii="Times New Roman" w:hAnsi="Times New Roman" w:cs="Times New Roman"/>
        </w:rPr>
      </w:pPr>
      <w:r w:rsidRPr="00B72A75">
        <w:rPr>
          <w:rFonts w:ascii="Times New Roman" w:hAnsi="Times New Roman" w:cs="Times New Roman"/>
        </w:rPr>
        <w:t>Expand broadband coverage to </w:t>
      </w:r>
      <w:r w:rsidRPr="00B72A75">
        <w:rPr>
          <w:rFonts w:ascii="Times New Roman" w:hAnsi="Times New Roman" w:cs="Times New Roman"/>
          <w:b/>
          <w:bCs/>
        </w:rPr>
        <w:t>85% of Nigeria by 2027</w:t>
      </w:r>
      <w:r w:rsidRPr="00B72A75">
        <w:rPr>
          <w:rFonts w:ascii="Times New Roman" w:hAnsi="Times New Roman" w:cs="Times New Roman"/>
        </w:rPr>
        <w:t> to minimize operational risks linked to digital banking.</w:t>
      </w:r>
    </w:p>
    <w:p w:rsidR="00B72A75" w:rsidRPr="0003373C" w:rsidRDefault="00B72A75" w:rsidP="0003373C">
      <w:pPr>
        <w:spacing w:line="360" w:lineRule="auto"/>
        <w:rPr>
          <w:rFonts w:ascii="Times New Roman" w:hAnsi="Times New Roman" w:cs="Times New Roman"/>
        </w:rPr>
      </w:pPr>
    </w:p>
    <w:p w:rsidR="00DC675F" w:rsidRDefault="00DC675F" w:rsidP="0003373C">
      <w:pPr>
        <w:spacing w:line="360" w:lineRule="auto"/>
        <w:rPr>
          <w:rFonts w:ascii="Times New Roman" w:hAnsi="Times New Roman" w:cs="Times New Roman"/>
          <w:b/>
          <w:bCs/>
        </w:rPr>
      </w:pPr>
    </w:p>
    <w:p w:rsidR="00DC675F" w:rsidRDefault="00DC675F" w:rsidP="0003373C">
      <w:pPr>
        <w:spacing w:line="360" w:lineRule="auto"/>
        <w:rPr>
          <w:rFonts w:ascii="Times New Roman" w:hAnsi="Times New Roman" w:cs="Times New Roman"/>
          <w:b/>
          <w:bCs/>
        </w:rPr>
      </w:pPr>
    </w:p>
    <w:p w:rsidR="00DC675F" w:rsidRDefault="00DC675F" w:rsidP="0003373C">
      <w:pPr>
        <w:spacing w:line="360" w:lineRule="auto"/>
        <w:rPr>
          <w:rFonts w:ascii="Times New Roman" w:hAnsi="Times New Roman" w:cs="Times New Roman"/>
          <w:b/>
          <w:bCs/>
        </w:rPr>
      </w:pPr>
    </w:p>
    <w:p w:rsidR="00DC675F" w:rsidRDefault="00DC675F" w:rsidP="0003373C">
      <w:pPr>
        <w:spacing w:line="360" w:lineRule="auto"/>
        <w:rPr>
          <w:rFonts w:ascii="Times New Roman" w:hAnsi="Times New Roman" w:cs="Times New Roman"/>
          <w:b/>
          <w:bCs/>
        </w:rPr>
      </w:pPr>
    </w:p>
    <w:p w:rsidR="00DC675F" w:rsidRDefault="00DC675F" w:rsidP="0003373C">
      <w:pPr>
        <w:spacing w:line="360" w:lineRule="auto"/>
        <w:rPr>
          <w:rFonts w:ascii="Times New Roman" w:hAnsi="Times New Roman" w:cs="Times New Roman"/>
          <w:b/>
          <w:bCs/>
        </w:rPr>
      </w:pPr>
    </w:p>
    <w:p w:rsidR="00DC675F" w:rsidRDefault="00DC675F" w:rsidP="0003373C">
      <w:pPr>
        <w:spacing w:line="360" w:lineRule="auto"/>
        <w:rPr>
          <w:rFonts w:ascii="Times New Roman" w:hAnsi="Times New Roman" w:cs="Times New Roman"/>
          <w:b/>
          <w:bCs/>
        </w:rPr>
      </w:pPr>
    </w:p>
    <w:p w:rsidR="00DC675F" w:rsidRDefault="00DC675F" w:rsidP="0003373C">
      <w:pPr>
        <w:spacing w:line="360" w:lineRule="auto"/>
        <w:rPr>
          <w:rFonts w:ascii="Times New Roman" w:hAnsi="Times New Roman" w:cs="Times New Roman"/>
          <w:b/>
          <w:bCs/>
        </w:rPr>
      </w:pPr>
    </w:p>
    <w:p w:rsidR="00DC675F" w:rsidRDefault="00DC675F" w:rsidP="0003373C">
      <w:pPr>
        <w:spacing w:line="360" w:lineRule="auto"/>
        <w:rPr>
          <w:rFonts w:ascii="Times New Roman" w:hAnsi="Times New Roman" w:cs="Times New Roman"/>
          <w:b/>
          <w:bCs/>
        </w:rPr>
      </w:pPr>
    </w:p>
    <w:p w:rsidR="00DC675F" w:rsidRDefault="00DC675F" w:rsidP="0003373C">
      <w:pPr>
        <w:spacing w:line="360" w:lineRule="auto"/>
        <w:rPr>
          <w:rFonts w:ascii="Times New Roman" w:hAnsi="Times New Roman" w:cs="Times New Roman"/>
          <w:b/>
          <w:bCs/>
        </w:rPr>
      </w:pPr>
    </w:p>
    <w:p w:rsidR="00DC675F" w:rsidRDefault="00DC675F" w:rsidP="0003373C">
      <w:pPr>
        <w:spacing w:line="360" w:lineRule="auto"/>
        <w:rPr>
          <w:rFonts w:ascii="Times New Roman" w:hAnsi="Times New Roman" w:cs="Times New Roman"/>
          <w:b/>
          <w:bCs/>
        </w:rPr>
      </w:pPr>
    </w:p>
    <w:p w:rsidR="0003373C" w:rsidRDefault="00D0549F" w:rsidP="00D0549F">
      <w:pPr>
        <w:spacing w:line="360" w:lineRule="auto"/>
        <w:jc w:val="center"/>
        <w:rPr>
          <w:rFonts w:ascii="Times New Roman" w:hAnsi="Times New Roman" w:cs="Times New Roman"/>
        </w:rPr>
      </w:pPr>
      <w:r w:rsidRPr="0003373C">
        <w:rPr>
          <w:rFonts w:ascii="Times New Roman" w:hAnsi="Times New Roman" w:cs="Times New Roman"/>
          <w:b/>
          <w:bCs/>
        </w:rPr>
        <w:lastRenderedPageBreak/>
        <w:t>REFERENCES</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 xml:space="preserve">Adeusi, S. O., Akeke, N. I., Adebisi, O. S., &amp; Oladunjoye, O. (2014). Risk management and </w:t>
      </w:r>
      <w:r>
        <w:rPr>
          <w:rFonts w:ascii="Times New Roman" w:hAnsi="Times New Roman" w:cs="Times New Roman"/>
        </w:rPr>
        <w:tab/>
      </w:r>
      <w:r w:rsidRPr="00185833">
        <w:rPr>
          <w:rFonts w:ascii="Times New Roman" w:hAnsi="Times New Roman" w:cs="Times New Roman"/>
        </w:rPr>
        <w:t>financial performance of banks in Nigeria. </w:t>
      </w:r>
      <w:r w:rsidRPr="00185833">
        <w:rPr>
          <w:rFonts w:ascii="Times New Roman" w:hAnsi="Times New Roman" w:cs="Times New Roman"/>
          <w:i/>
          <w:iCs/>
        </w:rPr>
        <w:t>Journal of Business and Management, 14</w:t>
      </w:r>
      <w:r w:rsidRPr="00185833">
        <w:rPr>
          <w:rFonts w:ascii="Times New Roman" w:hAnsi="Times New Roman" w:cs="Times New Roman"/>
        </w:rPr>
        <w:t xml:space="preserve">(6), </w:t>
      </w:r>
      <w:r>
        <w:rPr>
          <w:rFonts w:ascii="Times New Roman" w:hAnsi="Times New Roman" w:cs="Times New Roman"/>
        </w:rPr>
        <w:tab/>
      </w:r>
      <w:r w:rsidRPr="00185833">
        <w:rPr>
          <w:rFonts w:ascii="Times New Roman" w:hAnsi="Times New Roman" w:cs="Times New Roman"/>
        </w:rPr>
        <w:t>52–56.</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Aganoke, C. U. (2018). Risk management and bank performance in Nigeria. </w:t>
      </w:r>
      <w:r w:rsidRPr="00185833">
        <w:rPr>
          <w:rFonts w:ascii="Times New Roman" w:hAnsi="Times New Roman" w:cs="Times New Roman"/>
          <w:i/>
          <w:iCs/>
        </w:rPr>
        <w:t xml:space="preserve">African Journal of </w:t>
      </w:r>
      <w:r>
        <w:rPr>
          <w:rFonts w:ascii="Times New Roman" w:hAnsi="Times New Roman" w:cs="Times New Roman"/>
          <w:i/>
          <w:iCs/>
        </w:rPr>
        <w:tab/>
      </w:r>
      <w:r w:rsidRPr="00185833">
        <w:rPr>
          <w:rFonts w:ascii="Times New Roman" w:hAnsi="Times New Roman" w:cs="Times New Roman"/>
          <w:i/>
          <w:iCs/>
        </w:rPr>
        <w:t>Accounting and Financial Research, 1</w:t>
      </w:r>
      <w:r w:rsidRPr="00185833">
        <w:rPr>
          <w:rFonts w:ascii="Times New Roman" w:hAnsi="Times New Roman" w:cs="Times New Roman"/>
        </w:rPr>
        <w:t>(1), 45–60.</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Ahmed, S., &amp; Manab, N. A. (2016). Risk management practices and bank performance:</w:t>
      </w:r>
      <w:r>
        <w:rPr>
          <w:rFonts w:ascii="Times New Roman" w:hAnsi="Times New Roman" w:cs="Times New Roman"/>
        </w:rPr>
        <w:tab/>
      </w:r>
      <w:r w:rsidRPr="00185833">
        <w:rPr>
          <w:rFonts w:ascii="Times New Roman" w:hAnsi="Times New Roman" w:cs="Times New Roman"/>
        </w:rPr>
        <w:t xml:space="preserve"> </w:t>
      </w:r>
      <w:r>
        <w:rPr>
          <w:rFonts w:ascii="Times New Roman" w:hAnsi="Times New Roman" w:cs="Times New Roman"/>
        </w:rPr>
        <w:tab/>
      </w:r>
      <w:r w:rsidRPr="00185833">
        <w:rPr>
          <w:rFonts w:ascii="Times New Roman" w:hAnsi="Times New Roman" w:cs="Times New Roman"/>
        </w:rPr>
        <w:t>Evidence from Nigeria. </w:t>
      </w:r>
      <w:r w:rsidRPr="00185833">
        <w:rPr>
          <w:rFonts w:ascii="Times New Roman" w:hAnsi="Times New Roman" w:cs="Times New Roman"/>
          <w:i/>
          <w:iCs/>
        </w:rPr>
        <w:t>Journal of Financial Regulation and Compliance, 24</w:t>
      </w:r>
      <w:r w:rsidRPr="00185833">
        <w:rPr>
          <w:rFonts w:ascii="Times New Roman" w:hAnsi="Times New Roman" w:cs="Times New Roman"/>
        </w:rPr>
        <w:t>(2), 176–</w:t>
      </w:r>
      <w:r>
        <w:rPr>
          <w:rFonts w:ascii="Times New Roman" w:hAnsi="Times New Roman" w:cs="Times New Roman"/>
        </w:rPr>
        <w:tab/>
      </w:r>
      <w:r w:rsidRPr="00185833">
        <w:rPr>
          <w:rFonts w:ascii="Times New Roman" w:hAnsi="Times New Roman" w:cs="Times New Roman"/>
        </w:rPr>
        <w:t xml:space="preserve">191.  </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Atoi, N. V. (2018). Determinants of non-performing loans in Nigerian banks. </w:t>
      </w:r>
      <w:r w:rsidRPr="00185833">
        <w:rPr>
          <w:rFonts w:ascii="Times New Roman" w:hAnsi="Times New Roman" w:cs="Times New Roman"/>
          <w:i/>
          <w:iCs/>
        </w:rPr>
        <w:t xml:space="preserve">CBN Journal of </w:t>
      </w:r>
      <w:r>
        <w:rPr>
          <w:rFonts w:ascii="Times New Roman" w:hAnsi="Times New Roman" w:cs="Times New Roman"/>
          <w:i/>
          <w:iCs/>
        </w:rPr>
        <w:tab/>
      </w:r>
      <w:r w:rsidRPr="00185833">
        <w:rPr>
          <w:rFonts w:ascii="Times New Roman" w:hAnsi="Times New Roman" w:cs="Times New Roman"/>
          <w:i/>
          <w:iCs/>
        </w:rPr>
        <w:t>Applied Statistics, 9</w:t>
      </w:r>
      <w:r w:rsidRPr="00185833">
        <w:rPr>
          <w:rFonts w:ascii="Times New Roman" w:hAnsi="Times New Roman" w:cs="Times New Roman"/>
        </w:rPr>
        <w:t>(1), 29–52.</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 xml:space="preserve">Bagh, T., Khan, M. A., &amp; Razzaq, S. (2017). The impact of risk management practices on bank </w:t>
      </w:r>
      <w:r>
        <w:rPr>
          <w:rFonts w:ascii="Times New Roman" w:hAnsi="Times New Roman" w:cs="Times New Roman"/>
        </w:rPr>
        <w:tab/>
      </w:r>
      <w:r w:rsidRPr="00185833">
        <w:rPr>
          <w:rFonts w:ascii="Times New Roman" w:hAnsi="Times New Roman" w:cs="Times New Roman"/>
        </w:rPr>
        <w:t>financial performance: Evidence from Pakistan. </w:t>
      </w:r>
      <w:r w:rsidRPr="00185833">
        <w:rPr>
          <w:rFonts w:ascii="Times New Roman" w:hAnsi="Times New Roman" w:cs="Times New Roman"/>
          <w:i/>
          <w:iCs/>
        </w:rPr>
        <w:t xml:space="preserve">Journal of Financial Risk Management, </w:t>
      </w:r>
      <w:r>
        <w:rPr>
          <w:rFonts w:ascii="Times New Roman" w:hAnsi="Times New Roman" w:cs="Times New Roman"/>
          <w:i/>
          <w:iCs/>
        </w:rPr>
        <w:tab/>
      </w:r>
      <w:r w:rsidRPr="00185833">
        <w:rPr>
          <w:rFonts w:ascii="Times New Roman" w:hAnsi="Times New Roman" w:cs="Times New Roman"/>
          <w:i/>
          <w:iCs/>
        </w:rPr>
        <w:t>6</w:t>
      </w:r>
      <w:r w:rsidRPr="00185833">
        <w:rPr>
          <w:rFonts w:ascii="Times New Roman" w:hAnsi="Times New Roman" w:cs="Times New Roman"/>
        </w:rPr>
        <w:t xml:space="preserve">(3), 257–268. </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Central Bank of Nigeria (CBN). (2009). </w:t>
      </w:r>
      <w:r w:rsidRPr="00185833">
        <w:rPr>
          <w:rFonts w:ascii="Times New Roman" w:hAnsi="Times New Roman" w:cs="Times New Roman"/>
          <w:i/>
          <w:iCs/>
        </w:rPr>
        <w:t>Report on the special examination of 24 banks</w:t>
      </w:r>
      <w:r w:rsidRPr="00185833">
        <w:rPr>
          <w:rFonts w:ascii="Times New Roman" w:hAnsi="Times New Roman" w:cs="Times New Roman"/>
        </w:rPr>
        <w:t>. </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Central Bank of Nigeria (CBN). (2018). </w:t>
      </w:r>
      <w:r w:rsidRPr="00185833">
        <w:rPr>
          <w:rFonts w:ascii="Times New Roman" w:hAnsi="Times New Roman" w:cs="Times New Roman"/>
          <w:i/>
          <w:iCs/>
        </w:rPr>
        <w:t>Banking supervision report</w:t>
      </w:r>
      <w:r w:rsidRPr="00185833">
        <w:rPr>
          <w:rFonts w:ascii="Times New Roman" w:hAnsi="Times New Roman" w:cs="Times New Roman"/>
        </w:rPr>
        <w:t xml:space="preserve">.  </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Central Bank of Nigeria (CBN). (2023). </w:t>
      </w:r>
      <w:r w:rsidRPr="00185833">
        <w:rPr>
          <w:rFonts w:ascii="Times New Roman" w:hAnsi="Times New Roman" w:cs="Times New Roman"/>
          <w:i/>
          <w:iCs/>
        </w:rPr>
        <w:t>Annual economic report</w:t>
      </w:r>
      <w:r w:rsidRPr="00185833">
        <w:rPr>
          <w:rFonts w:ascii="Times New Roman" w:hAnsi="Times New Roman" w:cs="Times New Roman"/>
        </w:rPr>
        <w:t xml:space="preserve">.  </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Diamond, D. W. (1984). Financial intermediation and delegated monitoring. </w:t>
      </w:r>
      <w:r w:rsidRPr="00185833">
        <w:rPr>
          <w:rFonts w:ascii="Times New Roman" w:hAnsi="Times New Roman" w:cs="Times New Roman"/>
          <w:i/>
          <w:iCs/>
        </w:rPr>
        <w:t xml:space="preserve">The Review of </w:t>
      </w:r>
      <w:r>
        <w:rPr>
          <w:rFonts w:ascii="Times New Roman" w:hAnsi="Times New Roman" w:cs="Times New Roman"/>
          <w:i/>
          <w:iCs/>
        </w:rPr>
        <w:tab/>
      </w:r>
      <w:r w:rsidRPr="00185833">
        <w:rPr>
          <w:rFonts w:ascii="Times New Roman" w:hAnsi="Times New Roman" w:cs="Times New Roman"/>
          <w:i/>
          <w:iCs/>
        </w:rPr>
        <w:t>Economic Studies, 51</w:t>
      </w:r>
      <w:r w:rsidRPr="00185833">
        <w:rPr>
          <w:rFonts w:ascii="Times New Roman" w:hAnsi="Times New Roman" w:cs="Times New Roman"/>
        </w:rPr>
        <w:t>(3), 393–414. </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 xml:space="preserve">Ebenezer, O. A., &amp; Omar, M. (2016). Risk management and financial performance: Evidence </w:t>
      </w:r>
      <w:r>
        <w:rPr>
          <w:rFonts w:ascii="Times New Roman" w:hAnsi="Times New Roman" w:cs="Times New Roman"/>
        </w:rPr>
        <w:tab/>
      </w:r>
      <w:r w:rsidRPr="00185833">
        <w:rPr>
          <w:rFonts w:ascii="Times New Roman" w:hAnsi="Times New Roman" w:cs="Times New Roman"/>
        </w:rPr>
        <w:t>from Nigerian banks. </w:t>
      </w:r>
      <w:r w:rsidRPr="00185833">
        <w:rPr>
          <w:rFonts w:ascii="Times New Roman" w:hAnsi="Times New Roman" w:cs="Times New Roman"/>
          <w:i/>
          <w:iCs/>
        </w:rPr>
        <w:t>International Journal of Economics and Finance, 8</w:t>
      </w:r>
      <w:r w:rsidRPr="00185833">
        <w:rPr>
          <w:rFonts w:ascii="Times New Roman" w:hAnsi="Times New Roman" w:cs="Times New Roman"/>
        </w:rPr>
        <w:t>(7), 112–125.</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 xml:space="preserve">Endaweke, Y. (2015). Risk management and its impact on financial performance of Ethiopian </w:t>
      </w:r>
      <w:r>
        <w:rPr>
          <w:rFonts w:ascii="Times New Roman" w:hAnsi="Times New Roman" w:cs="Times New Roman"/>
        </w:rPr>
        <w:tab/>
      </w:r>
      <w:r w:rsidRPr="00185833">
        <w:rPr>
          <w:rFonts w:ascii="Times New Roman" w:hAnsi="Times New Roman" w:cs="Times New Roman"/>
        </w:rPr>
        <w:t>commercial banks. </w:t>
      </w:r>
      <w:r w:rsidRPr="00185833">
        <w:rPr>
          <w:rFonts w:ascii="Times New Roman" w:hAnsi="Times New Roman" w:cs="Times New Roman"/>
          <w:i/>
          <w:iCs/>
        </w:rPr>
        <w:t>Ethiopian Journal of Business and Economics, 4</w:t>
      </w:r>
      <w:r w:rsidRPr="00185833">
        <w:rPr>
          <w:rFonts w:ascii="Times New Roman" w:hAnsi="Times New Roman" w:cs="Times New Roman"/>
        </w:rPr>
        <w:t>(1), 45–60.</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 xml:space="preserve">Fadun, O. S., &amp; Oye, O. (2020). Operational risk management and financial performance of </w:t>
      </w:r>
      <w:r>
        <w:rPr>
          <w:rFonts w:ascii="Times New Roman" w:hAnsi="Times New Roman" w:cs="Times New Roman"/>
        </w:rPr>
        <w:tab/>
      </w:r>
      <w:r w:rsidRPr="00185833">
        <w:rPr>
          <w:rFonts w:ascii="Times New Roman" w:hAnsi="Times New Roman" w:cs="Times New Roman"/>
        </w:rPr>
        <w:t>Nigerian commercial banks. </w:t>
      </w:r>
      <w:r w:rsidRPr="00185833">
        <w:rPr>
          <w:rFonts w:ascii="Times New Roman" w:hAnsi="Times New Roman" w:cs="Times New Roman"/>
          <w:i/>
          <w:iCs/>
        </w:rPr>
        <w:t>Journal of Accounting and Financial Management, 6</w:t>
      </w:r>
      <w:r w:rsidRPr="00185833">
        <w:rPr>
          <w:rFonts w:ascii="Times New Roman" w:hAnsi="Times New Roman" w:cs="Times New Roman"/>
        </w:rPr>
        <w:t xml:space="preserve">(2), </w:t>
      </w:r>
      <w:r>
        <w:rPr>
          <w:rFonts w:ascii="Times New Roman" w:hAnsi="Times New Roman" w:cs="Times New Roman"/>
        </w:rPr>
        <w:tab/>
      </w:r>
      <w:r w:rsidRPr="00185833">
        <w:rPr>
          <w:rFonts w:ascii="Times New Roman" w:hAnsi="Times New Roman" w:cs="Times New Roman"/>
        </w:rPr>
        <w:t>12–24.</w:t>
      </w:r>
    </w:p>
    <w:p w:rsid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First City Monument Bank (FCMB). (2020, 2022, 2023). </w:t>
      </w:r>
      <w:r w:rsidRPr="00185833">
        <w:rPr>
          <w:rFonts w:ascii="Times New Roman" w:hAnsi="Times New Roman" w:cs="Times New Roman"/>
          <w:i/>
          <w:iCs/>
        </w:rPr>
        <w:t xml:space="preserve">Annual reports and </w:t>
      </w:r>
      <w:r>
        <w:rPr>
          <w:rFonts w:ascii="Times New Roman" w:hAnsi="Times New Roman" w:cs="Times New Roman"/>
          <w:i/>
          <w:iCs/>
        </w:rPr>
        <w:tab/>
      </w:r>
      <w:r w:rsidRPr="00185833">
        <w:rPr>
          <w:rFonts w:ascii="Times New Roman" w:hAnsi="Times New Roman" w:cs="Times New Roman"/>
          <w:i/>
          <w:iCs/>
        </w:rPr>
        <w:t>accounts</w:t>
      </w:r>
      <w:r w:rsidRPr="00185833">
        <w:rPr>
          <w:rFonts w:ascii="Times New Roman" w:hAnsi="Times New Roman" w:cs="Times New Roman"/>
        </w:rPr>
        <w:t>. </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Igbatayo, S. (2011). The global financial crisis and the Nigerian banking sector. </w:t>
      </w:r>
      <w:r w:rsidRPr="00185833">
        <w:rPr>
          <w:rFonts w:ascii="Times New Roman" w:hAnsi="Times New Roman" w:cs="Times New Roman"/>
          <w:i/>
          <w:iCs/>
        </w:rPr>
        <w:t xml:space="preserve">Journal of </w:t>
      </w:r>
      <w:r>
        <w:rPr>
          <w:rFonts w:ascii="Times New Roman" w:hAnsi="Times New Roman" w:cs="Times New Roman"/>
          <w:i/>
          <w:iCs/>
        </w:rPr>
        <w:tab/>
      </w:r>
      <w:r w:rsidRPr="00185833">
        <w:rPr>
          <w:rFonts w:ascii="Times New Roman" w:hAnsi="Times New Roman" w:cs="Times New Roman"/>
          <w:i/>
          <w:iCs/>
        </w:rPr>
        <w:t>Emerging Trends in Economics and Management Sciences, 2</w:t>
      </w:r>
      <w:r w:rsidRPr="00185833">
        <w:rPr>
          <w:rFonts w:ascii="Times New Roman" w:hAnsi="Times New Roman" w:cs="Times New Roman"/>
        </w:rPr>
        <w:t>(3), 213–219.</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lastRenderedPageBreak/>
        <w:t>Institute of Credit and Collection Management (ICCM). (2014). </w:t>
      </w:r>
      <w:r w:rsidRPr="00185833">
        <w:rPr>
          <w:rFonts w:ascii="Times New Roman" w:hAnsi="Times New Roman" w:cs="Times New Roman"/>
          <w:i/>
          <w:iCs/>
        </w:rPr>
        <w:t xml:space="preserve">Annual report on Nigerian </w:t>
      </w:r>
      <w:r>
        <w:rPr>
          <w:rFonts w:ascii="Times New Roman" w:hAnsi="Times New Roman" w:cs="Times New Roman"/>
          <w:i/>
          <w:iCs/>
        </w:rPr>
        <w:tab/>
      </w:r>
      <w:r w:rsidRPr="00185833">
        <w:rPr>
          <w:rFonts w:ascii="Times New Roman" w:hAnsi="Times New Roman" w:cs="Times New Roman"/>
          <w:i/>
          <w:iCs/>
        </w:rPr>
        <w:t>banking reforms</w:t>
      </w:r>
      <w:r w:rsidRPr="00185833">
        <w:rPr>
          <w:rFonts w:ascii="Times New Roman" w:hAnsi="Times New Roman" w:cs="Times New Roman"/>
        </w:rPr>
        <w:t>.</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 xml:space="preserve">Isiaka, A., Olumide, O., &amp; Irom, E. (2018). Financial risk management and profitability in </w:t>
      </w:r>
      <w:r>
        <w:rPr>
          <w:rFonts w:ascii="Times New Roman" w:hAnsi="Times New Roman" w:cs="Times New Roman"/>
        </w:rPr>
        <w:tab/>
      </w:r>
      <w:r w:rsidRPr="00185833">
        <w:rPr>
          <w:rFonts w:ascii="Times New Roman" w:hAnsi="Times New Roman" w:cs="Times New Roman"/>
        </w:rPr>
        <w:t>Nigerian commercial banks. </w:t>
      </w:r>
      <w:r w:rsidRPr="00185833">
        <w:rPr>
          <w:rFonts w:ascii="Times New Roman" w:hAnsi="Times New Roman" w:cs="Times New Roman"/>
          <w:i/>
          <w:iCs/>
        </w:rPr>
        <w:t>Journal of Banking and Finance Management, 1</w:t>
      </w:r>
      <w:r w:rsidRPr="00185833">
        <w:rPr>
          <w:rFonts w:ascii="Times New Roman" w:hAnsi="Times New Roman" w:cs="Times New Roman"/>
        </w:rPr>
        <w:t>(1), 1–15.</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 xml:space="preserve">Jensen, M. C., &amp; Meckling, W. H. (1976). Theory of the firm: Managerial behavior, agency </w:t>
      </w:r>
      <w:r>
        <w:rPr>
          <w:rFonts w:ascii="Times New Roman" w:hAnsi="Times New Roman" w:cs="Times New Roman"/>
        </w:rPr>
        <w:tab/>
      </w:r>
      <w:r w:rsidRPr="00185833">
        <w:rPr>
          <w:rFonts w:ascii="Times New Roman" w:hAnsi="Times New Roman" w:cs="Times New Roman"/>
        </w:rPr>
        <w:t>costs, and ownership structure. </w:t>
      </w:r>
      <w:r w:rsidRPr="00185833">
        <w:rPr>
          <w:rFonts w:ascii="Times New Roman" w:hAnsi="Times New Roman" w:cs="Times New Roman"/>
          <w:i/>
          <w:iCs/>
        </w:rPr>
        <w:t>Journal of Financial Economics, 3</w:t>
      </w:r>
      <w:r w:rsidRPr="00185833">
        <w:rPr>
          <w:rFonts w:ascii="Times New Roman" w:hAnsi="Times New Roman" w:cs="Times New Roman"/>
        </w:rPr>
        <w:t xml:space="preserve">(4), 305–360.  </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 xml:space="preserve">Kingdom, A., John, S., Simamora, B., &amp; Oswari, T. (2019). The effects of operational, credit, </w:t>
      </w:r>
      <w:r>
        <w:rPr>
          <w:rFonts w:ascii="Times New Roman" w:hAnsi="Times New Roman" w:cs="Times New Roman"/>
        </w:rPr>
        <w:tab/>
      </w:r>
      <w:r w:rsidRPr="00185833">
        <w:rPr>
          <w:rFonts w:ascii="Times New Roman" w:hAnsi="Times New Roman" w:cs="Times New Roman"/>
        </w:rPr>
        <w:t>and liquidity risks on financial performance: Evidence from Indonesia. </w:t>
      </w:r>
      <w:r w:rsidRPr="00185833">
        <w:rPr>
          <w:rFonts w:ascii="Times New Roman" w:hAnsi="Times New Roman" w:cs="Times New Roman"/>
          <w:i/>
          <w:iCs/>
        </w:rPr>
        <w:t xml:space="preserve">Asian Journal of </w:t>
      </w:r>
      <w:r>
        <w:rPr>
          <w:rFonts w:ascii="Times New Roman" w:hAnsi="Times New Roman" w:cs="Times New Roman"/>
          <w:i/>
          <w:iCs/>
        </w:rPr>
        <w:tab/>
      </w:r>
      <w:r w:rsidRPr="00185833">
        <w:rPr>
          <w:rFonts w:ascii="Times New Roman" w:hAnsi="Times New Roman" w:cs="Times New Roman"/>
          <w:i/>
          <w:iCs/>
        </w:rPr>
        <w:t>Accounting Research, 4</w:t>
      </w:r>
      <w:r w:rsidRPr="00185833">
        <w:rPr>
          <w:rFonts w:ascii="Times New Roman" w:hAnsi="Times New Roman" w:cs="Times New Roman"/>
        </w:rPr>
        <w:t>(2), 110–123.</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Markowitz, H. (1952). Portfolio selection. </w:t>
      </w:r>
      <w:r w:rsidRPr="00185833">
        <w:rPr>
          <w:rFonts w:ascii="Times New Roman" w:hAnsi="Times New Roman" w:cs="Times New Roman"/>
          <w:i/>
          <w:iCs/>
        </w:rPr>
        <w:t>The Journal of Finance, 7</w:t>
      </w:r>
      <w:r w:rsidRPr="00185833">
        <w:rPr>
          <w:rFonts w:ascii="Times New Roman" w:hAnsi="Times New Roman" w:cs="Times New Roman"/>
        </w:rPr>
        <w:t xml:space="preserve">(1), 77–91.  </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 xml:space="preserve">Mukanzi, C., &amp; Musiega, M. (2016). Risk management practices and financial performance of </w:t>
      </w:r>
      <w:r>
        <w:rPr>
          <w:rFonts w:ascii="Times New Roman" w:hAnsi="Times New Roman" w:cs="Times New Roman"/>
        </w:rPr>
        <w:tab/>
      </w:r>
      <w:r w:rsidRPr="00185833">
        <w:rPr>
          <w:rFonts w:ascii="Times New Roman" w:hAnsi="Times New Roman" w:cs="Times New Roman"/>
        </w:rPr>
        <w:t>commercial banks in Kenya. </w:t>
      </w:r>
      <w:r w:rsidRPr="00185833">
        <w:rPr>
          <w:rFonts w:ascii="Times New Roman" w:hAnsi="Times New Roman" w:cs="Times New Roman"/>
          <w:i/>
          <w:iCs/>
        </w:rPr>
        <w:t>International Journal of Economics and Finance, 8</w:t>
      </w:r>
      <w:r w:rsidRPr="00185833">
        <w:rPr>
          <w:rFonts w:ascii="Times New Roman" w:hAnsi="Times New Roman" w:cs="Times New Roman"/>
        </w:rPr>
        <w:t>(4), 175–</w:t>
      </w:r>
      <w:r>
        <w:rPr>
          <w:rFonts w:ascii="Times New Roman" w:hAnsi="Times New Roman" w:cs="Times New Roman"/>
        </w:rPr>
        <w:tab/>
      </w:r>
      <w:r w:rsidRPr="00185833">
        <w:rPr>
          <w:rFonts w:ascii="Times New Roman" w:hAnsi="Times New Roman" w:cs="Times New Roman"/>
        </w:rPr>
        <w:t>185.</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 xml:space="preserve">Muriithi, J. G., Muturi, W., &amp; Waweru, N. (2016). Market risk and financial performance of </w:t>
      </w:r>
      <w:r>
        <w:rPr>
          <w:rFonts w:ascii="Times New Roman" w:hAnsi="Times New Roman" w:cs="Times New Roman"/>
        </w:rPr>
        <w:tab/>
      </w:r>
      <w:r w:rsidRPr="00185833">
        <w:rPr>
          <w:rFonts w:ascii="Times New Roman" w:hAnsi="Times New Roman" w:cs="Times New Roman"/>
        </w:rPr>
        <w:t>commercial banks in Kenya. </w:t>
      </w:r>
      <w:r w:rsidRPr="00185833">
        <w:rPr>
          <w:rFonts w:ascii="Times New Roman" w:hAnsi="Times New Roman" w:cs="Times New Roman"/>
          <w:i/>
          <w:iCs/>
        </w:rPr>
        <w:t>International Journal of Economics and Finance, 8</w:t>
      </w:r>
      <w:r w:rsidRPr="00185833">
        <w:rPr>
          <w:rFonts w:ascii="Times New Roman" w:hAnsi="Times New Roman" w:cs="Times New Roman"/>
        </w:rPr>
        <w:t>(7), 175–</w:t>
      </w:r>
      <w:r>
        <w:rPr>
          <w:rFonts w:ascii="Times New Roman" w:hAnsi="Times New Roman" w:cs="Times New Roman"/>
        </w:rPr>
        <w:tab/>
      </w:r>
      <w:r w:rsidRPr="00185833">
        <w:rPr>
          <w:rFonts w:ascii="Times New Roman" w:hAnsi="Times New Roman" w:cs="Times New Roman"/>
        </w:rPr>
        <w:t>185.</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National Bureau of Statistics (NBS). (2023). </w:t>
      </w:r>
      <w:r w:rsidRPr="00185833">
        <w:rPr>
          <w:rFonts w:ascii="Times New Roman" w:hAnsi="Times New Roman" w:cs="Times New Roman"/>
          <w:i/>
          <w:iCs/>
        </w:rPr>
        <w:t>Nigeria’s macroeconomic report</w:t>
      </w:r>
      <w:r w:rsidRPr="00185833">
        <w:rPr>
          <w:rFonts w:ascii="Times New Roman" w:hAnsi="Times New Roman" w:cs="Times New Roman"/>
        </w:rPr>
        <w:t xml:space="preserve">.  </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Nigeria Deposit Insurance Corporation (NDIC). (2021, 2023). </w:t>
      </w:r>
      <w:r w:rsidRPr="00185833">
        <w:rPr>
          <w:rFonts w:ascii="Times New Roman" w:hAnsi="Times New Roman" w:cs="Times New Roman"/>
          <w:i/>
          <w:iCs/>
        </w:rPr>
        <w:t>Annual reports</w:t>
      </w:r>
      <w:r w:rsidRPr="00185833">
        <w:rPr>
          <w:rFonts w:ascii="Times New Roman" w:hAnsi="Times New Roman" w:cs="Times New Roman"/>
        </w:rPr>
        <w:t xml:space="preserve">.  </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 xml:space="preserve">Olayinka, U., Emoarehi, I., Jonah, A., &amp; Ame, J. (2017). Risk management and organizational </w:t>
      </w:r>
      <w:r>
        <w:rPr>
          <w:rFonts w:ascii="Times New Roman" w:hAnsi="Times New Roman" w:cs="Times New Roman"/>
        </w:rPr>
        <w:tab/>
      </w:r>
      <w:r w:rsidRPr="00185833">
        <w:rPr>
          <w:rFonts w:ascii="Times New Roman" w:hAnsi="Times New Roman" w:cs="Times New Roman"/>
        </w:rPr>
        <w:t>performance in Nigerian banks. </w:t>
      </w:r>
      <w:r w:rsidRPr="00185833">
        <w:rPr>
          <w:rFonts w:ascii="Times New Roman" w:hAnsi="Times New Roman" w:cs="Times New Roman"/>
          <w:i/>
          <w:iCs/>
        </w:rPr>
        <w:t>Journal of Risk Analysis and Crisis Response, 7</w:t>
      </w:r>
      <w:r w:rsidRPr="00185833">
        <w:rPr>
          <w:rFonts w:ascii="Times New Roman" w:hAnsi="Times New Roman" w:cs="Times New Roman"/>
        </w:rPr>
        <w:t>(2), 89–</w:t>
      </w:r>
      <w:r>
        <w:rPr>
          <w:rFonts w:ascii="Times New Roman" w:hAnsi="Times New Roman" w:cs="Times New Roman"/>
        </w:rPr>
        <w:tab/>
      </w:r>
      <w:r w:rsidRPr="00185833">
        <w:rPr>
          <w:rFonts w:ascii="Times New Roman" w:hAnsi="Times New Roman" w:cs="Times New Roman"/>
        </w:rPr>
        <w:t>102.</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 xml:space="preserve">Olumayokun, O. (2020). Financial risks and profitability of Nigerian deposit money </w:t>
      </w:r>
      <w:r>
        <w:rPr>
          <w:rFonts w:ascii="Times New Roman" w:hAnsi="Times New Roman" w:cs="Times New Roman"/>
        </w:rPr>
        <w:tab/>
      </w:r>
      <w:r w:rsidRPr="00185833">
        <w:rPr>
          <w:rFonts w:ascii="Times New Roman" w:hAnsi="Times New Roman" w:cs="Times New Roman"/>
        </w:rPr>
        <w:t>banks. </w:t>
      </w:r>
      <w:r w:rsidRPr="00185833">
        <w:rPr>
          <w:rFonts w:ascii="Times New Roman" w:hAnsi="Times New Roman" w:cs="Times New Roman"/>
          <w:i/>
          <w:iCs/>
        </w:rPr>
        <w:t>African Journal of Business and Economic Research, 15</w:t>
      </w:r>
      <w:r w:rsidRPr="00185833">
        <w:rPr>
          <w:rFonts w:ascii="Times New Roman" w:hAnsi="Times New Roman" w:cs="Times New Roman"/>
        </w:rPr>
        <w:t>(2), 89–104.</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Sanusi, L. S. (2010). </w:t>
      </w:r>
      <w:r w:rsidRPr="00185833">
        <w:rPr>
          <w:rFonts w:ascii="Times New Roman" w:hAnsi="Times New Roman" w:cs="Times New Roman"/>
          <w:i/>
          <w:iCs/>
        </w:rPr>
        <w:t>The Nigerian banking industry: What went wrong and the way forward</w:t>
      </w:r>
      <w:r w:rsidRPr="00185833">
        <w:rPr>
          <w:rFonts w:ascii="Times New Roman" w:hAnsi="Times New Roman" w:cs="Times New Roman"/>
        </w:rPr>
        <w:t xml:space="preserve">. </w:t>
      </w:r>
      <w:r>
        <w:rPr>
          <w:rFonts w:ascii="Times New Roman" w:hAnsi="Times New Roman" w:cs="Times New Roman"/>
        </w:rPr>
        <w:tab/>
      </w:r>
      <w:r w:rsidRPr="00185833">
        <w:rPr>
          <w:rFonts w:ascii="Times New Roman" w:hAnsi="Times New Roman" w:cs="Times New Roman"/>
        </w:rPr>
        <w:t>CBN Annual Dinner Speech.</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Soludo, C. (2009). </w:t>
      </w:r>
      <w:r w:rsidRPr="00185833">
        <w:rPr>
          <w:rFonts w:ascii="Times New Roman" w:hAnsi="Times New Roman" w:cs="Times New Roman"/>
          <w:i/>
          <w:iCs/>
        </w:rPr>
        <w:t>Global financial crisis and Nigeria’s banking system</w:t>
      </w:r>
      <w:r w:rsidRPr="00185833">
        <w:rPr>
          <w:rFonts w:ascii="Times New Roman" w:hAnsi="Times New Roman" w:cs="Times New Roman"/>
        </w:rPr>
        <w:t xml:space="preserve">. Central Bank of Nigeria </w:t>
      </w:r>
      <w:r>
        <w:rPr>
          <w:rFonts w:ascii="Times New Roman" w:hAnsi="Times New Roman" w:cs="Times New Roman"/>
        </w:rPr>
        <w:tab/>
      </w:r>
      <w:r w:rsidRPr="00185833">
        <w:rPr>
          <w:rFonts w:ascii="Times New Roman" w:hAnsi="Times New Roman" w:cs="Times New Roman"/>
        </w:rPr>
        <w:t>Publication.</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The Economist. (2013). Nigeria’s financial crisis: Causes and consequences. </w:t>
      </w:r>
      <w:r w:rsidRPr="00185833">
        <w:rPr>
          <w:rFonts w:ascii="Times New Roman" w:hAnsi="Times New Roman" w:cs="Times New Roman"/>
          <w:i/>
          <w:iCs/>
        </w:rPr>
        <w:t>The Economist</w:t>
      </w:r>
      <w:r w:rsidRPr="00185833">
        <w:rPr>
          <w:rFonts w:ascii="Times New Roman" w:hAnsi="Times New Roman" w:cs="Times New Roman"/>
        </w:rPr>
        <w:t xml:space="preserve">.  </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 xml:space="preserve">Vimalakumaran, K., &amp; Karim, A. K. (2020). Risk management practices in emerging economies: </w:t>
      </w:r>
      <w:r>
        <w:rPr>
          <w:rFonts w:ascii="Times New Roman" w:hAnsi="Times New Roman" w:cs="Times New Roman"/>
        </w:rPr>
        <w:tab/>
      </w:r>
      <w:r w:rsidRPr="00185833">
        <w:rPr>
          <w:rFonts w:ascii="Times New Roman" w:hAnsi="Times New Roman" w:cs="Times New Roman"/>
        </w:rPr>
        <w:t>A case study of Nigerian banks. </w:t>
      </w:r>
      <w:r w:rsidRPr="00185833">
        <w:rPr>
          <w:rFonts w:ascii="Times New Roman" w:hAnsi="Times New Roman" w:cs="Times New Roman"/>
          <w:i/>
          <w:iCs/>
        </w:rPr>
        <w:t>Journal of Financial Stability, 18</w:t>
      </w:r>
      <w:r w:rsidRPr="00185833">
        <w:rPr>
          <w:rFonts w:ascii="Times New Roman" w:hAnsi="Times New Roman" w:cs="Times New Roman"/>
        </w:rPr>
        <w:t>(4), 45–59.</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lastRenderedPageBreak/>
        <w:t>World Bank. (2023). </w:t>
      </w:r>
      <w:r w:rsidRPr="00185833">
        <w:rPr>
          <w:rFonts w:ascii="Times New Roman" w:hAnsi="Times New Roman" w:cs="Times New Roman"/>
          <w:i/>
          <w:iCs/>
        </w:rPr>
        <w:t>Global financial development report</w:t>
      </w:r>
      <w:r w:rsidRPr="00185833">
        <w:rPr>
          <w:rFonts w:ascii="Times New Roman" w:hAnsi="Times New Roman" w:cs="Times New Roman"/>
        </w:rPr>
        <w:t xml:space="preserve">.  </w:t>
      </w:r>
    </w:p>
    <w:p w:rsidR="00185833" w:rsidRPr="00185833" w:rsidRDefault="00185833" w:rsidP="00185833">
      <w:pPr>
        <w:spacing w:before="240" w:after="0" w:line="276" w:lineRule="auto"/>
        <w:jc w:val="both"/>
        <w:rPr>
          <w:rFonts w:ascii="Times New Roman" w:hAnsi="Times New Roman" w:cs="Times New Roman"/>
        </w:rPr>
      </w:pPr>
      <w:r w:rsidRPr="00185833">
        <w:rPr>
          <w:rFonts w:ascii="Times New Roman" w:hAnsi="Times New Roman" w:cs="Times New Roman"/>
        </w:rPr>
        <w:t xml:space="preserve">Yüksel, S., &amp; Zengin, S. (2016). Risk management in the banking sector: A case study of </w:t>
      </w:r>
      <w:r>
        <w:rPr>
          <w:rFonts w:ascii="Times New Roman" w:hAnsi="Times New Roman" w:cs="Times New Roman"/>
        </w:rPr>
        <w:tab/>
      </w:r>
      <w:r w:rsidRPr="00185833">
        <w:rPr>
          <w:rFonts w:ascii="Times New Roman" w:hAnsi="Times New Roman" w:cs="Times New Roman"/>
        </w:rPr>
        <w:t>developing countries. </w:t>
      </w:r>
      <w:r w:rsidRPr="00185833">
        <w:rPr>
          <w:rFonts w:ascii="Times New Roman" w:hAnsi="Times New Roman" w:cs="Times New Roman"/>
          <w:i/>
          <w:iCs/>
        </w:rPr>
        <w:t>International Journal of Economics and Financial Issues, 6</w:t>
      </w:r>
      <w:r w:rsidRPr="00185833">
        <w:rPr>
          <w:rFonts w:ascii="Times New Roman" w:hAnsi="Times New Roman" w:cs="Times New Roman"/>
        </w:rPr>
        <w:t xml:space="preserve">(3), </w:t>
      </w:r>
      <w:r>
        <w:rPr>
          <w:rFonts w:ascii="Times New Roman" w:hAnsi="Times New Roman" w:cs="Times New Roman"/>
        </w:rPr>
        <w:tab/>
      </w:r>
      <w:r w:rsidRPr="00185833">
        <w:rPr>
          <w:rFonts w:ascii="Times New Roman" w:hAnsi="Times New Roman" w:cs="Times New Roman"/>
        </w:rPr>
        <w:t>1222–1229.</w:t>
      </w:r>
    </w:p>
    <w:p w:rsidR="00185833" w:rsidRPr="0003373C" w:rsidRDefault="00185833" w:rsidP="00185833">
      <w:pPr>
        <w:spacing w:before="240" w:after="0" w:line="276" w:lineRule="auto"/>
        <w:rPr>
          <w:rFonts w:ascii="Times New Roman" w:hAnsi="Times New Roman" w:cs="Times New Roman"/>
        </w:rPr>
      </w:pPr>
    </w:p>
    <w:sectPr w:rsidR="00185833" w:rsidRPr="0003373C" w:rsidSect="001B1EF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723" w:rsidRDefault="00A41723" w:rsidP="001B1EFE">
      <w:pPr>
        <w:spacing w:after="0" w:line="240" w:lineRule="auto"/>
      </w:pPr>
      <w:r>
        <w:separator/>
      </w:r>
    </w:p>
  </w:endnote>
  <w:endnote w:type="continuationSeparator" w:id="0">
    <w:p w:rsidR="00A41723" w:rsidRDefault="00A41723" w:rsidP="001B1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17330"/>
      <w:docPartObj>
        <w:docPartGallery w:val="Page Numbers (Bottom of Page)"/>
        <w:docPartUnique/>
      </w:docPartObj>
    </w:sdtPr>
    <w:sdtEndPr>
      <w:rPr>
        <w:noProof/>
      </w:rPr>
    </w:sdtEndPr>
    <w:sdtContent>
      <w:p w:rsidR="001B1EFE" w:rsidRDefault="001B1E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B1EFE" w:rsidRDefault="001B1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723" w:rsidRDefault="00A41723" w:rsidP="001B1EFE">
      <w:pPr>
        <w:spacing w:after="0" w:line="240" w:lineRule="auto"/>
      </w:pPr>
      <w:r>
        <w:separator/>
      </w:r>
    </w:p>
  </w:footnote>
  <w:footnote w:type="continuationSeparator" w:id="0">
    <w:p w:rsidR="00A41723" w:rsidRDefault="00A41723" w:rsidP="001B1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B94"/>
    <w:multiLevelType w:val="multilevel"/>
    <w:tmpl w:val="AA805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D0442"/>
    <w:multiLevelType w:val="multilevel"/>
    <w:tmpl w:val="F866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421"/>
    <w:multiLevelType w:val="multilevel"/>
    <w:tmpl w:val="47FC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20BE3"/>
    <w:multiLevelType w:val="multilevel"/>
    <w:tmpl w:val="89FE3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B445A2"/>
    <w:multiLevelType w:val="multilevel"/>
    <w:tmpl w:val="48FE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D4017"/>
    <w:multiLevelType w:val="multilevel"/>
    <w:tmpl w:val="F376B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234F6F"/>
    <w:multiLevelType w:val="multilevel"/>
    <w:tmpl w:val="570271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FD1708"/>
    <w:multiLevelType w:val="multilevel"/>
    <w:tmpl w:val="ABE02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756B07"/>
    <w:multiLevelType w:val="multilevel"/>
    <w:tmpl w:val="6924E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8B2ED6"/>
    <w:multiLevelType w:val="multilevel"/>
    <w:tmpl w:val="18C6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01EE4"/>
    <w:multiLevelType w:val="multilevel"/>
    <w:tmpl w:val="A1106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813023"/>
    <w:multiLevelType w:val="multilevel"/>
    <w:tmpl w:val="D940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EE5906"/>
    <w:multiLevelType w:val="hybridMultilevel"/>
    <w:tmpl w:val="09C40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E7634"/>
    <w:multiLevelType w:val="multilevel"/>
    <w:tmpl w:val="D05E5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747218"/>
    <w:multiLevelType w:val="multilevel"/>
    <w:tmpl w:val="BAFA8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F07E6B"/>
    <w:multiLevelType w:val="multilevel"/>
    <w:tmpl w:val="59C8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A33548"/>
    <w:multiLevelType w:val="multilevel"/>
    <w:tmpl w:val="7CB4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E92F8E"/>
    <w:multiLevelType w:val="hybridMultilevel"/>
    <w:tmpl w:val="30721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76902"/>
    <w:multiLevelType w:val="multilevel"/>
    <w:tmpl w:val="64F69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6E5AB8"/>
    <w:multiLevelType w:val="multilevel"/>
    <w:tmpl w:val="38BC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BE0E8B"/>
    <w:multiLevelType w:val="multilevel"/>
    <w:tmpl w:val="4D8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7C5BDE"/>
    <w:multiLevelType w:val="multilevel"/>
    <w:tmpl w:val="4E28A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F214E8"/>
    <w:multiLevelType w:val="multilevel"/>
    <w:tmpl w:val="86C4A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507E7B"/>
    <w:multiLevelType w:val="multilevel"/>
    <w:tmpl w:val="EEA6F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1158CC"/>
    <w:multiLevelType w:val="multilevel"/>
    <w:tmpl w:val="C9F6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D10D6C"/>
    <w:multiLevelType w:val="multilevel"/>
    <w:tmpl w:val="42FC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8477E8"/>
    <w:multiLevelType w:val="multilevel"/>
    <w:tmpl w:val="BD7E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34360D"/>
    <w:multiLevelType w:val="multilevel"/>
    <w:tmpl w:val="C3B46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6C007B"/>
    <w:multiLevelType w:val="multilevel"/>
    <w:tmpl w:val="1DB0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FD17CE"/>
    <w:multiLevelType w:val="multilevel"/>
    <w:tmpl w:val="DFB496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A82760"/>
    <w:multiLevelType w:val="multilevel"/>
    <w:tmpl w:val="B1CEE0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8F075F"/>
    <w:multiLevelType w:val="multilevel"/>
    <w:tmpl w:val="F1B8E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4374A1"/>
    <w:multiLevelType w:val="multilevel"/>
    <w:tmpl w:val="228EF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AB072B"/>
    <w:multiLevelType w:val="multilevel"/>
    <w:tmpl w:val="52D89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6707F8"/>
    <w:multiLevelType w:val="multilevel"/>
    <w:tmpl w:val="C7F22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A14943"/>
    <w:multiLevelType w:val="multilevel"/>
    <w:tmpl w:val="A39E6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D25254"/>
    <w:multiLevelType w:val="multilevel"/>
    <w:tmpl w:val="6A00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636D42"/>
    <w:multiLevelType w:val="multilevel"/>
    <w:tmpl w:val="B66E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184EA8"/>
    <w:multiLevelType w:val="multilevel"/>
    <w:tmpl w:val="AEF474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265952"/>
    <w:multiLevelType w:val="multilevel"/>
    <w:tmpl w:val="DD8CC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5F3D3D"/>
    <w:multiLevelType w:val="multilevel"/>
    <w:tmpl w:val="F65C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621483"/>
    <w:multiLevelType w:val="multilevel"/>
    <w:tmpl w:val="3A5C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345039"/>
    <w:multiLevelType w:val="multilevel"/>
    <w:tmpl w:val="DA3AA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8F5B83"/>
    <w:multiLevelType w:val="multilevel"/>
    <w:tmpl w:val="EE60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2874645">
    <w:abstractNumId w:val="22"/>
  </w:num>
  <w:num w:numId="2" w16cid:durableId="2053533903">
    <w:abstractNumId w:val="10"/>
  </w:num>
  <w:num w:numId="3" w16cid:durableId="657998001">
    <w:abstractNumId w:val="41"/>
  </w:num>
  <w:num w:numId="4" w16cid:durableId="1112672509">
    <w:abstractNumId w:val="4"/>
  </w:num>
  <w:num w:numId="5" w16cid:durableId="1340036821">
    <w:abstractNumId w:val="38"/>
  </w:num>
  <w:num w:numId="6" w16cid:durableId="1425372034">
    <w:abstractNumId w:val="0"/>
  </w:num>
  <w:num w:numId="7" w16cid:durableId="1850749662">
    <w:abstractNumId w:val="15"/>
  </w:num>
  <w:num w:numId="8" w16cid:durableId="565073893">
    <w:abstractNumId w:val="17"/>
  </w:num>
  <w:num w:numId="9" w16cid:durableId="952128140">
    <w:abstractNumId w:val="42"/>
  </w:num>
  <w:num w:numId="10" w16cid:durableId="585769833">
    <w:abstractNumId w:val="9"/>
  </w:num>
  <w:num w:numId="11" w16cid:durableId="1280991449">
    <w:abstractNumId w:val="34"/>
  </w:num>
  <w:num w:numId="12" w16cid:durableId="1963074696">
    <w:abstractNumId w:val="25"/>
  </w:num>
  <w:num w:numId="13" w16cid:durableId="1520512500">
    <w:abstractNumId w:val="21"/>
  </w:num>
  <w:num w:numId="14" w16cid:durableId="1622571888">
    <w:abstractNumId w:val="16"/>
  </w:num>
  <w:num w:numId="15" w16cid:durableId="1773696089">
    <w:abstractNumId w:val="26"/>
  </w:num>
  <w:num w:numId="16" w16cid:durableId="1916624091">
    <w:abstractNumId w:val="23"/>
  </w:num>
  <w:num w:numId="17" w16cid:durableId="1661225738">
    <w:abstractNumId w:val="5"/>
  </w:num>
  <w:num w:numId="18" w16cid:durableId="576671439">
    <w:abstractNumId w:val="2"/>
  </w:num>
  <w:num w:numId="19" w16cid:durableId="1695156682">
    <w:abstractNumId w:val="7"/>
  </w:num>
  <w:num w:numId="20" w16cid:durableId="20937377">
    <w:abstractNumId w:val="6"/>
  </w:num>
  <w:num w:numId="21" w16cid:durableId="321158763">
    <w:abstractNumId w:val="19"/>
  </w:num>
  <w:num w:numId="22" w16cid:durableId="1260916956">
    <w:abstractNumId w:val="13"/>
  </w:num>
  <w:num w:numId="23" w16cid:durableId="1267225230">
    <w:abstractNumId w:val="14"/>
  </w:num>
  <w:num w:numId="24" w16cid:durableId="1616712878">
    <w:abstractNumId w:val="39"/>
  </w:num>
  <w:num w:numId="25" w16cid:durableId="1393503465">
    <w:abstractNumId w:val="12"/>
  </w:num>
  <w:num w:numId="26" w16cid:durableId="2088267042">
    <w:abstractNumId w:val="28"/>
  </w:num>
  <w:num w:numId="27" w16cid:durableId="1541630607">
    <w:abstractNumId w:val="40"/>
  </w:num>
  <w:num w:numId="28" w16cid:durableId="4407674">
    <w:abstractNumId w:val="20"/>
  </w:num>
  <w:num w:numId="29" w16cid:durableId="1305617602">
    <w:abstractNumId w:val="36"/>
  </w:num>
  <w:num w:numId="30" w16cid:durableId="562175814">
    <w:abstractNumId w:val="37"/>
  </w:num>
  <w:num w:numId="31" w16cid:durableId="245578716">
    <w:abstractNumId w:val="24"/>
  </w:num>
  <w:num w:numId="32" w16cid:durableId="779760636">
    <w:abstractNumId w:val="1"/>
  </w:num>
  <w:num w:numId="33" w16cid:durableId="1196231884">
    <w:abstractNumId w:val="43"/>
  </w:num>
  <w:num w:numId="34" w16cid:durableId="1346127870">
    <w:abstractNumId w:val="8"/>
  </w:num>
  <w:num w:numId="35" w16cid:durableId="1028793747">
    <w:abstractNumId w:val="11"/>
  </w:num>
  <w:num w:numId="36" w16cid:durableId="1590844978">
    <w:abstractNumId w:val="29"/>
  </w:num>
  <w:num w:numId="37" w16cid:durableId="1296108579">
    <w:abstractNumId w:val="32"/>
  </w:num>
  <w:num w:numId="38" w16cid:durableId="560136852">
    <w:abstractNumId w:val="31"/>
  </w:num>
  <w:num w:numId="39" w16cid:durableId="577330451">
    <w:abstractNumId w:val="3"/>
  </w:num>
  <w:num w:numId="40" w16cid:durableId="1641766342">
    <w:abstractNumId w:val="33"/>
  </w:num>
  <w:num w:numId="41" w16cid:durableId="1104614179">
    <w:abstractNumId w:val="18"/>
  </w:num>
  <w:num w:numId="42" w16cid:durableId="384256940">
    <w:abstractNumId w:val="30"/>
  </w:num>
  <w:num w:numId="43" w16cid:durableId="906761727">
    <w:abstractNumId w:val="27"/>
  </w:num>
  <w:num w:numId="44" w16cid:durableId="85970209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B54B7"/>
    <w:rsid w:val="000207D4"/>
    <w:rsid w:val="00020EEE"/>
    <w:rsid w:val="0003373C"/>
    <w:rsid w:val="000B54B7"/>
    <w:rsid w:val="000C6B02"/>
    <w:rsid w:val="00125876"/>
    <w:rsid w:val="00185833"/>
    <w:rsid w:val="001B1EFE"/>
    <w:rsid w:val="00260771"/>
    <w:rsid w:val="00474723"/>
    <w:rsid w:val="0048436D"/>
    <w:rsid w:val="00630A7F"/>
    <w:rsid w:val="006460F7"/>
    <w:rsid w:val="006A1BE9"/>
    <w:rsid w:val="00793888"/>
    <w:rsid w:val="00796837"/>
    <w:rsid w:val="007D459C"/>
    <w:rsid w:val="007E136C"/>
    <w:rsid w:val="007F1AF2"/>
    <w:rsid w:val="00805BD4"/>
    <w:rsid w:val="00877D06"/>
    <w:rsid w:val="008B0E49"/>
    <w:rsid w:val="008B51EF"/>
    <w:rsid w:val="009172AD"/>
    <w:rsid w:val="00951CAE"/>
    <w:rsid w:val="009923F7"/>
    <w:rsid w:val="009D485D"/>
    <w:rsid w:val="00A41723"/>
    <w:rsid w:val="00A631FB"/>
    <w:rsid w:val="00A75A36"/>
    <w:rsid w:val="00AE5A40"/>
    <w:rsid w:val="00B34AB0"/>
    <w:rsid w:val="00B72A75"/>
    <w:rsid w:val="00C00A77"/>
    <w:rsid w:val="00C237BA"/>
    <w:rsid w:val="00CC0185"/>
    <w:rsid w:val="00D0549F"/>
    <w:rsid w:val="00D3393D"/>
    <w:rsid w:val="00DC675F"/>
    <w:rsid w:val="00E1084E"/>
    <w:rsid w:val="00E50324"/>
    <w:rsid w:val="00F543EE"/>
    <w:rsid w:val="00F71C1F"/>
    <w:rsid w:val="00F82B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F186"/>
  <w15:chartTrackingRefBased/>
  <w15:docId w15:val="{47D9442D-C7BA-4B65-A75E-0C39D91B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4B7"/>
  </w:style>
  <w:style w:type="paragraph" w:styleId="Heading1">
    <w:name w:val="heading 1"/>
    <w:basedOn w:val="Normal"/>
    <w:next w:val="Normal"/>
    <w:link w:val="Heading1Char"/>
    <w:uiPriority w:val="9"/>
    <w:qFormat/>
    <w:rsid w:val="000B5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5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54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54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54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5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4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54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54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54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54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5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4B7"/>
    <w:rPr>
      <w:rFonts w:eastAsiaTheme="majorEastAsia" w:cstheme="majorBidi"/>
      <w:color w:val="272727" w:themeColor="text1" w:themeTint="D8"/>
    </w:rPr>
  </w:style>
  <w:style w:type="paragraph" w:styleId="Title">
    <w:name w:val="Title"/>
    <w:basedOn w:val="Normal"/>
    <w:next w:val="Normal"/>
    <w:link w:val="TitleChar"/>
    <w:uiPriority w:val="10"/>
    <w:qFormat/>
    <w:rsid w:val="000B5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4B7"/>
    <w:pPr>
      <w:spacing w:before="160"/>
      <w:jc w:val="center"/>
    </w:pPr>
    <w:rPr>
      <w:i/>
      <w:iCs/>
      <w:color w:val="404040" w:themeColor="text1" w:themeTint="BF"/>
    </w:rPr>
  </w:style>
  <w:style w:type="character" w:customStyle="1" w:styleId="QuoteChar">
    <w:name w:val="Quote Char"/>
    <w:basedOn w:val="DefaultParagraphFont"/>
    <w:link w:val="Quote"/>
    <w:uiPriority w:val="29"/>
    <w:rsid w:val="000B54B7"/>
    <w:rPr>
      <w:i/>
      <w:iCs/>
      <w:color w:val="404040" w:themeColor="text1" w:themeTint="BF"/>
    </w:rPr>
  </w:style>
  <w:style w:type="paragraph" w:styleId="ListParagraph">
    <w:name w:val="List Paragraph"/>
    <w:basedOn w:val="Normal"/>
    <w:uiPriority w:val="34"/>
    <w:qFormat/>
    <w:rsid w:val="000B54B7"/>
    <w:pPr>
      <w:ind w:left="720"/>
      <w:contextualSpacing/>
    </w:pPr>
  </w:style>
  <w:style w:type="character" w:styleId="IntenseEmphasis">
    <w:name w:val="Intense Emphasis"/>
    <w:basedOn w:val="DefaultParagraphFont"/>
    <w:uiPriority w:val="21"/>
    <w:qFormat/>
    <w:rsid w:val="000B54B7"/>
    <w:rPr>
      <w:i/>
      <w:iCs/>
      <w:color w:val="2F5496" w:themeColor="accent1" w:themeShade="BF"/>
    </w:rPr>
  </w:style>
  <w:style w:type="paragraph" w:styleId="IntenseQuote">
    <w:name w:val="Intense Quote"/>
    <w:basedOn w:val="Normal"/>
    <w:next w:val="Normal"/>
    <w:link w:val="IntenseQuoteChar"/>
    <w:uiPriority w:val="30"/>
    <w:qFormat/>
    <w:rsid w:val="000B5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54B7"/>
    <w:rPr>
      <w:i/>
      <w:iCs/>
      <w:color w:val="2F5496" w:themeColor="accent1" w:themeShade="BF"/>
    </w:rPr>
  </w:style>
  <w:style w:type="character" w:styleId="IntenseReference">
    <w:name w:val="Intense Reference"/>
    <w:basedOn w:val="DefaultParagraphFont"/>
    <w:uiPriority w:val="32"/>
    <w:qFormat/>
    <w:rsid w:val="000B54B7"/>
    <w:rPr>
      <w:b/>
      <w:bCs/>
      <w:smallCaps/>
      <w:color w:val="2F5496" w:themeColor="accent1" w:themeShade="BF"/>
      <w:spacing w:val="5"/>
    </w:rPr>
  </w:style>
  <w:style w:type="table" w:styleId="TableGrid">
    <w:name w:val="Table Grid"/>
    <w:basedOn w:val="TableNormal"/>
    <w:uiPriority w:val="39"/>
    <w:rsid w:val="0003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5833"/>
    <w:rPr>
      <w:color w:val="0563C1" w:themeColor="hyperlink"/>
      <w:u w:val="single"/>
    </w:rPr>
  </w:style>
  <w:style w:type="character" w:styleId="UnresolvedMention">
    <w:name w:val="Unresolved Mention"/>
    <w:basedOn w:val="DefaultParagraphFont"/>
    <w:uiPriority w:val="99"/>
    <w:semiHidden/>
    <w:unhideWhenUsed/>
    <w:rsid w:val="00185833"/>
    <w:rPr>
      <w:color w:val="605E5C"/>
      <w:shd w:val="clear" w:color="auto" w:fill="E1DFDD"/>
    </w:rPr>
  </w:style>
  <w:style w:type="character" w:styleId="Emphasis">
    <w:name w:val="Emphasis"/>
    <w:basedOn w:val="DefaultParagraphFont"/>
    <w:uiPriority w:val="20"/>
    <w:qFormat/>
    <w:rsid w:val="007E136C"/>
    <w:rPr>
      <w:i/>
      <w:iCs/>
    </w:rPr>
  </w:style>
  <w:style w:type="paragraph" w:styleId="Header">
    <w:name w:val="header"/>
    <w:basedOn w:val="Normal"/>
    <w:link w:val="HeaderChar"/>
    <w:uiPriority w:val="99"/>
    <w:unhideWhenUsed/>
    <w:rsid w:val="001B1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FE"/>
  </w:style>
  <w:style w:type="paragraph" w:styleId="Footer">
    <w:name w:val="footer"/>
    <w:basedOn w:val="Normal"/>
    <w:link w:val="FooterChar"/>
    <w:uiPriority w:val="99"/>
    <w:unhideWhenUsed/>
    <w:rsid w:val="001B1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576">
      <w:bodyDiv w:val="1"/>
      <w:marLeft w:val="0"/>
      <w:marRight w:val="0"/>
      <w:marTop w:val="0"/>
      <w:marBottom w:val="0"/>
      <w:divBdr>
        <w:top w:val="none" w:sz="0" w:space="0" w:color="auto"/>
        <w:left w:val="none" w:sz="0" w:space="0" w:color="auto"/>
        <w:bottom w:val="none" w:sz="0" w:space="0" w:color="auto"/>
        <w:right w:val="none" w:sz="0" w:space="0" w:color="auto"/>
      </w:divBdr>
      <w:divsChild>
        <w:div w:id="1685857670">
          <w:marLeft w:val="0"/>
          <w:marRight w:val="0"/>
          <w:marTop w:val="0"/>
          <w:marBottom w:val="0"/>
          <w:divBdr>
            <w:top w:val="none" w:sz="0" w:space="0" w:color="auto"/>
            <w:left w:val="none" w:sz="0" w:space="0" w:color="auto"/>
            <w:bottom w:val="none" w:sz="0" w:space="0" w:color="auto"/>
            <w:right w:val="none" w:sz="0" w:space="0" w:color="auto"/>
          </w:divBdr>
        </w:div>
      </w:divsChild>
    </w:div>
    <w:div w:id="183445650">
      <w:bodyDiv w:val="1"/>
      <w:marLeft w:val="0"/>
      <w:marRight w:val="0"/>
      <w:marTop w:val="0"/>
      <w:marBottom w:val="0"/>
      <w:divBdr>
        <w:top w:val="none" w:sz="0" w:space="0" w:color="auto"/>
        <w:left w:val="none" w:sz="0" w:space="0" w:color="auto"/>
        <w:bottom w:val="none" w:sz="0" w:space="0" w:color="auto"/>
        <w:right w:val="none" w:sz="0" w:space="0" w:color="auto"/>
      </w:divBdr>
    </w:div>
    <w:div w:id="185951246">
      <w:bodyDiv w:val="1"/>
      <w:marLeft w:val="0"/>
      <w:marRight w:val="0"/>
      <w:marTop w:val="0"/>
      <w:marBottom w:val="0"/>
      <w:divBdr>
        <w:top w:val="none" w:sz="0" w:space="0" w:color="auto"/>
        <w:left w:val="none" w:sz="0" w:space="0" w:color="auto"/>
        <w:bottom w:val="none" w:sz="0" w:space="0" w:color="auto"/>
        <w:right w:val="none" w:sz="0" w:space="0" w:color="auto"/>
      </w:divBdr>
    </w:div>
    <w:div w:id="199516316">
      <w:bodyDiv w:val="1"/>
      <w:marLeft w:val="0"/>
      <w:marRight w:val="0"/>
      <w:marTop w:val="0"/>
      <w:marBottom w:val="0"/>
      <w:divBdr>
        <w:top w:val="none" w:sz="0" w:space="0" w:color="auto"/>
        <w:left w:val="none" w:sz="0" w:space="0" w:color="auto"/>
        <w:bottom w:val="none" w:sz="0" w:space="0" w:color="auto"/>
        <w:right w:val="none" w:sz="0" w:space="0" w:color="auto"/>
      </w:divBdr>
    </w:div>
    <w:div w:id="375080494">
      <w:bodyDiv w:val="1"/>
      <w:marLeft w:val="0"/>
      <w:marRight w:val="0"/>
      <w:marTop w:val="0"/>
      <w:marBottom w:val="0"/>
      <w:divBdr>
        <w:top w:val="none" w:sz="0" w:space="0" w:color="auto"/>
        <w:left w:val="none" w:sz="0" w:space="0" w:color="auto"/>
        <w:bottom w:val="none" w:sz="0" w:space="0" w:color="auto"/>
        <w:right w:val="none" w:sz="0" w:space="0" w:color="auto"/>
      </w:divBdr>
    </w:div>
    <w:div w:id="486358680">
      <w:bodyDiv w:val="1"/>
      <w:marLeft w:val="0"/>
      <w:marRight w:val="0"/>
      <w:marTop w:val="0"/>
      <w:marBottom w:val="0"/>
      <w:divBdr>
        <w:top w:val="none" w:sz="0" w:space="0" w:color="auto"/>
        <w:left w:val="none" w:sz="0" w:space="0" w:color="auto"/>
        <w:bottom w:val="none" w:sz="0" w:space="0" w:color="auto"/>
        <w:right w:val="none" w:sz="0" w:space="0" w:color="auto"/>
      </w:divBdr>
    </w:div>
    <w:div w:id="678042008">
      <w:bodyDiv w:val="1"/>
      <w:marLeft w:val="0"/>
      <w:marRight w:val="0"/>
      <w:marTop w:val="0"/>
      <w:marBottom w:val="0"/>
      <w:divBdr>
        <w:top w:val="none" w:sz="0" w:space="0" w:color="auto"/>
        <w:left w:val="none" w:sz="0" w:space="0" w:color="auto"/>
        <w:bottom w:val="none" w:sz="0" w:space="0" w:color="auto"/>
        <w:right w:val="none" w:sz="0" w:space="0" w:color="auto"/>
      </w:divBdr>
      <w:divsChild>
        <w:div w:id="1961911019">
          <w:marLeft w:val="0"/>
          <w:marRight w:val="0"/>
          <w:marTop w:val="0"/>
          <w:marBottom w:val="0"/>
          <w:divBdr>
            <w:top w:val="none" w:sz="0" w:space="0" w:color="auto"/>
            <w:left w:val="none" w:sz="0" w:space="0" w:color="auto"/>
            <w:bottom w:val="none" w:sz="0" w:space="0" w:color="auto"/>
            <w:right w:val="none" w:sz="0" w:space="0" w:color="auto"/>
          </w:divBdr>
        </w:div>
        <w:div w:id="202256700">
          <w:marLeft w:val="0"/>
          <w:marRight w:val="0"/>
          <w:marTop w:val="0"/>
          <w:marBottom w:val="0"/>
          <w:divBdr>
            <w:top w:val="none" w:sz="0" w:space="0" w:color="auto"/>
            <w:left w:val="none" w:sz="0" w:space="0" w:color="auto"/>
            <w:bottom w:val="none" w:sz="0" w:space="0" w:color="auto"/>
            <w:right w:val="none" w:sz="0" w:space="0" w:color="auto"/>
          </w:divBdr>
        </w:div>
        <w:div w:id="1545485301">
          <w:marLeft w:val="0"/>
          <w:marRight w:val="0"/>
          <w:marTop w:val="0"/>
          <w:marBottom w:val="0"/>
          <w:divBdr>
            <w:top w:val="none" w:sz="0" w:space="0" w:color="auto"/>
            <w:left w:val="none" w:sz="0" w:space="0" w:color="auto"/>
            <w:bottom w:val="none" w:sz="0" w:space="0" w:color="auto"/>
            <w:right w:val="none" w:sz="0" w:space="0" w:color="auto"/>
          </w:divBdr>
        </w:div>
        <w:div w:id="1739789363">
          <w:marLeft w:val="0"/>
          <w:marRight w:val="0"/>
          <w:marTop w:val="0"/>
          <w:marBottom w:val="0"/>
          <w:divBdr>
            <w:top w:val="none" w:sz="0" w:space="0" w:color="auto"/>
            <w:left w:val="none" w:sz="0" w:space="0" w:color="auto"/>
            <w:bottom w:val="none" w:sz="0" w:space="0" w:color="auto"/>
            <w:right w:val="none" w:sz="0" w:space="0" w:color="auto"/>
          </w:divBdr>
        </w:div>
      </w:divsChild>
    </w:div>
    <w:div w:id="797991231">
      <w:bodyDiv w:val="1"/>
      <w:marLeft w:val="0"/>
      <w:marRight w:val="0"/>
      <w:marTop w:val="0"/>
      <w:marBottom w:val="0"/>
      <w:divBdr>
        <w:top w:val="none" w:sz="0" w:space="0" w:color="auto"/>
        <w:left w:val="none" w:sz="0" w:space="0" w:color="auto"/>
        <w:bottom w:val="none" w:sz="0" w:space="0" w:color="auto"/>
        <w:right w:val="none" w:sz="0" w:space="0" w:color="auto"/>
      </w:divBdr>
    </w:div>
    <w:div w:id="838812313">
      <w:bodyDiv w:val="1"/>
      <w:marLeft w:val="0"/>
      <w:marRight w:val="0"/>
      <w:marTop w:val="0"/>
      <w:marBottom w:val="0"/>
      <w:divBdr>
        <w:top w:val="none" w:sz="0" w:space="0" w:color="auto"/>
        <w:left w:val="none" w:sz="0" w:space="0" w:color="auto"/>
        <w:bottom w:val="none" w:sz="0" w:space="0" w:color="auto"/>
        <w:right w:val="none" w:sz="0" w:space="0" w:color="auto"/>
      </w:divBdr>
      <w:divsChild>
        <w:div w:id="990333147">
          <w:marLeft w:val="0"/>
          <w:marRight w:val="0"/>
          <w:marTop w:val="0"/>
          <w:marBottom w:val="0"/>
          <w:divBdr>
            <w:top w:val="none" w:sz="0" w:space="0" w:color="auto"/>
            <w:left w:val="none" w:sz="0" w:space="0" w:color="auto"/>
            <w:bottom w:val="none" w:sz="0" w:space="0" w:color="auto"/>
            <w:right w:val="none" w:sz="0" w:space="0" w:color="auto"/>
          </w:divBdr>
        </w:div>
        <w:div w:id="417870646">
          <w:marLeft w:val="0"/>
          <w:marRight w:val="0"/>
          <w:marTop w:val="0"/>
          <w:marBottom w:val="0"/>
          <w:divBdr>
            <w:top w:val="none" w:sz="0" w:space="0" w:color="auto"/>
            <w:left w:val="none" w:sz="0" w:space="0" w:color="auto"/>
            <w:bottom w:val="none" w:sz="0" w:space="0" w:color="auto"/>
            <w:right w:val="none" w:sz="0" w:space="0" w:color="auto"/>
          </w:divBdr>
        </w:div>
        <w:div w:id="194271745">
          <w:marLeft w:val="0"/>
          <w:marRight w:val="0"/>
          <w:marTop w:val="0"/>
          <w:marBottom w:val="0"/>
          <w:divBdr>
            <w:top w:val="none" w:sz="0" w:space="0" w:color="auto"/>
            <w:left w:val="none" w:sz="0" w:space="0" w:color="auto"/>
            <w:bottom w:val="none" w:sz="0" w:space="0" w:color="auto"/>
            <w:right w:val="none" w:sz="0" w:space="0" w:color="auto"/>
          </w:divBdr>
        </w:div>
        <w:div w:id="1820073924">
          <w:marLeft w:val="0"/>
          <w:marRight w:val="0"/>
          <w:marTop w:val="0"/>
          <w:marBottom w:val="0"/>
          <w:divBdr>
            <w:top w:val="none" w:sz="0" w:space="0" w:color="auto"/>
            <w:left w:val="none" w:sz="0" w:space="0" w:color="auto"/>
            <w:bottom w:val="none" w:sz="0" w:space="0" w:color="auto"/>
            <w:right w:val="none" w:sz="0" w:space="0" w:color="auto"/>
          </w:divBdr>
        </w:div>
      </w:divsChild>
    </w:div>
    <w:div w:id="897547230">
      <w:bodyDiv w:val="1"/>
      <w:marLeft w:val="0"/>
      <w:marRight w:val="0"/>
      <w:marTop w:val="0"/>
      <w:marBottom w:val="0"/>
      <w:divBdr>
        <w:top w:val="none" w:sz="0" w:space="0" w:color="auto"/>
        <w:left w:val="none" w:sz="0" w:space="0" w:color="auto"/>
        <w:bottom w:val="none" w:sz="0" w:space="0" w:color="auto"/>
        <w:right w:val="none" w:sz="0" w:space="0" w:color="auto"/>
      </w:divBdr>
    </w:div>
    <w:div w:id="954799316">
      <w:bodyDiv w:val="1"/>
      <w:marLeft w:val="0"/>
      <w:marRight w:val="0"/>
      <w:marTop w:val="0"/>
      <w:marBottom w:val="0"/>
      <w:divBdr>
        <w:top w:val="none" w:sz="0" w:space="0" w:color="auto"/>
        <w:left w:val="none" w:sz="0" w:space="0" w:color="auto"/>
        <w:bottom w:val="none" w:sz="0" w:space="0" w:color="auto"/>
        <w:right w:val="none" w:sz="0" w:space="0" w:color="auto"/>
      </w:divBdr>
    </w:div>
    <w:div w:id="975841157">
      <w:bodyDiv w:val="1"/>
      <w:marLeft w:val="0"/>
      <w:marRight w:val="0"/>
      <w:marTop w:val="0"/>
      <w:marBottom w:val="0"/>
      <w:divBdr>
        <w:top w:val="none" w:sz="0" w:space="0" w:color="auto"/>
        <w:left w:val="none" w:sz="0" w:space="0" w:color="auto"/>
        <w:bottom w:val="none" w:sz="0" w:space="0" w:color="auto"/>
        <w:right w:val="none" w:sz="0" w:space="0" w:color="auto"/>
      </w:divBdr>
    </w:div>
    <w:div w:id="1231232185">
      <w:bodyDiv w:val="1"/>
      <w:marLeft w:val="0"/>
      <w:marRight w:val="0"/>
      <w:marTop w:val="0"/>
      <w:marBottom w:val="0"/>
      <w:divBdr>
        <w:top w:val="none" w:sz="0" w:space="0" w:color="auto"/>
        <w:left w:val="none" w:sz="0" w:space="0" w:color="auto"/>
        <w:bottom w:val="none" w:sz="0" w:space="0" w:color="auto"/>
        <w:right w:val="none" w:sz="0" w:space="0" w:color="auto"/>
      </w:divBdr>
    </w:div>
    <w:div w:id="1277714313">
      <w:bodyDiv w:val="1"/>
      <w:marLeft w:val="0"/>
      <w:marRight w:val="0"/>
      <w:marTop w:val="0"/>
      <w:marBottom w:val="0"/>
      <w:divBdr>
        <w:top w:val="none" w:sz="0" w:space="0" w:color="auto"/>
        <w:left w:val="none" w:sz="0" w:space="0" w:color="auto"/>
        <w:bottom w:val="none" w:sz="0" w:space="0" w:color="auto"/>
        <w:right w:val="none" w:sz="0" w:space="0" w:color="auto"/>
      </w:divBdr>
      <w:divsChild>
        <w:div w:id="1971744081">
          <w:marLeft w:val="0"/>
          <w:marRight w:val="0"/>
          <w:marTop w:val="0"/>
          <w:marBottom w:val="0"/>
          <w:divBdr>
            <w:top w:val="none" w:sz="0" w:space="0" w:color="auto"/>
            <w:left w:val="none" w:sz="0" w:space="0" w:color="auto"/>
            <w:bottom w:val="none" w:sz="0" w:space="0" w:color="auto"/>
            <w:right w:val="none" w:sz="0" w:space="0" w:color="auto"/>
          </w:divBdr>
        </w:div>
      </w:divsChild>
    </w:div>
    <w:div w:id="1327057611">
      <w:bodyDiv w:val="1"/>
      <w:marLeft w:val="0"/>
      <w:marRight w:val="0"/>
      <w:marTop w:val="0"/>
      <w:marBottom w:val="0"/>
      <w:divBdr>
        <w:top w:val="none" w:sz="0" w:space="0" w:color="auto"/>
        <w:left w:val="none" w:sz="0" w:space="0" w:color="auto"/>
        <w:bottom w:val="none" w:sz="0" w:space="0" w:color="auto"/>
        <w:right w:val="none" w:sz="0" w:space="0" w:color="auto"/>
      </w:divBdr>
    </w:div>
    <w:div w:id="1375622358">
      <w:bodyDiv w:val="1"/>
      <w:marLeft w:val="0"/>
      <w:marRight w:val="0"/>
      <w:marTop w:val="0"/>
      <w:marBottom w:val="0"/>
      <w:divBdr>
        <w:top w:val="none" w:sz="0" w:space="0" w:color="auto"/>
        <w:left w:val="none" w:sz="0" w:space="0" w:color="auto"/>
        <w:bottom w:val="none" w:sz="0" w:space="0" w:color="auto"/>
        <w:right w:val="none" w:sz="0" w:space="0" w:color="auto"/>
      </w:divBdr>
    </w:div>
    <w:div w:id="1381857002">
      <w:bodyDiv w:val="1"/>
      <w:marLeft w:val="0"/>
      <w:marRight w:val="0"/>
      <w:marTop w:val="0"/>
      <w:marBottom w:val="0"/>
      <w:divBdr>
        <w:top w:val="none" w:sz="0" w:space="0" w:color="auto"/>
        <w:left w:val="none" w:sz="0" w:space="0" w:color="auto"/>
        <w:bottom w:val="none" w:sz="0" w:space="0" w:color="auto"/>
        <w:right w:val="none" w:sz="0" w:space="0" w:color="auto"/>
      </w:divBdr>
    </w:div>
    <w:div w:id="1550192224">
      <w:bodyDiv w:val="1"/>
      <w:marLeft w:val="0"/>
      <w:marRight w:val="0"/>
      <w:marTop w:val="0"/>
      <w:marBottom w:val="0"/>
      <w:divBdr>
        <w:top w:val="none" w:sz="0" w:space="0" w:color="auto"/>
        <w:left w:val="none" w:sz="0" w:space="0" w:color="auto"/>
        <w:bottom w:val="none" w:sz="0" w:space="0" w:color="auto"/>
        <w:right w:val="none" w:sz="0" w:space="0" w:color="auto"/>
      </w:divBdr>
    </w:div>
    <w:div w:id="2008827771">
      <w:bodyDiv w:val="1"/>
      <w:marLeft w:val="0"/>
      <w:marRight w:val="0"/>
      <w:marTop w:val="0"/>
      <w:marBottom w:val="0"/>
      <w:divBdr>
        <w:top w:val="none" w:sz="0" w:space="0" w:color="auto"/>
        <w:left w:val="none" w:sz="0" w:space="0" w:color="auto"/>
        <w:bottom w:val="none" w:sz="0" w:space="0" w:color="auto"/>
        <w:right w:val="none" w:sz="0" w:space="0" w:color="auto"/>
      </w:divBdr>
    </w:div>
    <w:div w:id="212325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050FD-8A76-4AA1-BCC7-E35E1CFA7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37</Pages>
  <Words>7632</Words>
  <Characters>43506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23</cp:revision>
  <dcterms:created xsi:type="dcterms:W3CDTF">2025-05-18T20:33:00Z</dcterms:created>
  <dcterms:modified xsi:type="dcterms:W3CDTF">2025-07-14T15:19:00Z</dcterms:modified>
</cp:coreProperties>
</file>