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03" w:rsidRDefault="00452A9F">
      <w:pPr>
        <w:spacing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EFFECTS OF </w:t>
      </w:r>
      <w:r>
        <w:rPr>
          <w:rFonts w:ascii="Times New Roman" w:eastAsia="Times New Roman" w:hAnsi="Times New Roman" w:cs="Times New Roman"/>
          <w:b/>
          <w:i/>
          <w:iCs/>
          <w:sz w:val="32"/>
          <w:szCs w:val="32"/>
        </w:rPr>
        <w:t>Syzygium</w:t>
      </w:r>
      <w:r>
        <w:rPr>
          <w:rFonts w:ascii="Times New Roman" w:hAnsi="Times New Roman" w:cs="Times New Roman"/>
          <w:b/>
          <w:sz w:val="32"/>
          <w:szCs w:val="32"/>
        </w:rPr>
        <w:t xml:space="preserve"> a</w:t>
      </w:r>
      <w:r>
        <w:rPr>
          <w:rFonts w:ascii="Times New Roman" w:hAnsi="Times New Roman" w:cs="Times New Roman"/>
          <w:b/>
          <w:i/>
          <w:sz w:val="32"/>
          <w:szCs w:val="32"/>
        </w:rPr>
        <w:t>romaticum</w:t>
      </w:r>
      <w:r>
        <w:rPr>
          <w:rFonts w:ascii="Times New Roman" w:hAnsi="Times New Roman" w:cs="Times New Roman"/>
          <w:b/>
          <w:sz w:val="32"/>
          <w:szCs w:val="32"/>
        </w:rPr>
        <w:t xml:space="preserve"> (CLOVES) AQUEOUS EXTRACT ON PAROXETINE -INDUCED DYSFUNCTIONAL RATS</w:t>
      </w:r>
    </w:p>
    <w:p w:rsidR="00BC5E03" w:rsidRDefault="00452A9F">
      <w:pPr>
        <w:wordWrap w:val="0"/>
        <w:spacing w:line="196" w:lineRule="auto"/>
        <w:jc w:val="center"/>
        <w:rPr>
          <w:rFonts w:ascii="Times New Roman" w:hAnsi="Times New Roman" w:cs="Times New Roman"/>
          <w:sz w:val="28"/>
          <w:szCs w:val="28"/>
        </w:rPr>
      </w:pPr>
      <w:r>
        <w:rPr>
          <w:rFonts w:ascii="Times New Roman" w:eastAsia="Calibri" w:hAnsi="Times New Roman" w:cs="Times New Roman"/>
          <w:i/>
          <w:color w:val="000000"/>
          <w:sz w:val="28"/>
          <w:szCs w:val="28"/>
        </w:rPr>
        <w:t>BY:</w:t>
      </w:r>
    </w:p>
    <w:p w:rsidR="00BC5E03" w:rsidRDefault="00BC5E03">
      <w:pPr>
        <w:wordWrap w:val="0"/>
        <w:jc w:val="both"/>
        <w:rPr>
          <w:rFonts w:ascii="Times New Roman" w:eastAsia="SimSun" w:hAnsi="Times New Roman" w:cs="Times New Roman"/>
          <w:color w:val="000000"/>
          <w:sz w:val="28"/>
          <w:szCs w:val="28"/>
        </w:rPr>
      </w:pPr>
    </w:p>
    <w:p w:rsidR="00BC5E03" w:rsidRDefault="00452A9F">
      <w:pPr>
        <w:wordWrap w:val="0"/>
        <w:spacing w:line="220" w:lineRule="auto"/>
        <w:jc w:val="center"/>
        <w:rPr>
          <w:rFonts w:ascii="Times New Roman" w:hAnsi="Times New Roman" w:cs="Times New Roman"/>
          <w:b/>
          <w:bCs/>
          <w:sz w:val="44"/>
          <w:szCs w:val="44"/>
        </w:rPr>
      </w:pPr>
      <w:r>
        <w:rPr>
          <w:rFonts w:ascii="Times New Roman" w:hAnsi="Times New Roman" w:cs="Times New Roman"/>
          <w:b/>
          <w:bCs/>
          <w:sz w:val="44"/>
          <w:szCs w:val="44"/>
        </w:rPr>
        <w:t>ISHOLA MUTIAT ASABI</w:t>
      </w:r>
    </w:p>
    <w:p w:rsidR="00BC5E03" w:rsidRDefault="00452A9F">
      <w:pPr>
        <w:wordWrap w:val="0"/>
        <w:spacing w:line="191" w:lineRule="auto"/>
        <w:jc w:val="center"/>
        <w:rPr>
          <w:rFonts w:ascii="Times New Roman" w:hAnsi="Times New Roman" w:cs="Times New Roman"/>
          <w:sz w:val="44"/>
          <w:szCs w:val="44"/>
        </w:rPr>
      </w:pPr>
      <w:r>
        <w:rPr>
          <w:rFonts w:ascii="Times New Roman" w:eastAsia="Calibri" w:hAnsi="Times New Roman" w:cs="Times New Roman"/>
          <w:b/>
          <w:color w:val="000000"/>
          <w:sz w:val="44"/>
          <w:szCs w:val="44"/>
        </w:rPr>
        <w:t>HND/23/SLT/FT/0255</w:t>
      </w:r>
    </w:p>
    <w:p w:rsidR="00BC5E03" w:rsidRDefault="00BC5E03">
      <w:pPr>
        <w:wordWrap w:val="0"/>
        <w:jc w:val="both"/>
        <w:rPr>
          <w:rFonts w:ascii="Times New Roman" w:eastAsia="SimSun" w:hAnsi="Times New Roman" w:cs="Times New Roman"/>
          <w:color w:val="000000"/>
          <w:sz w:val="28"/>
          <w:szCs w:val="28"/>
        </w:rPr>
      </w:pPr>
    </w:p>
    <w:p w:rsidR="00BC5E03" w:rsidRDefault="00452A9F" w:rsidP="00612247">
      <w:pPr>
        <w:wordWrap w:val="0"/>
        <w:ind w:left="2940" w:firstLineChars="350" w:firstLine="984"/>
        <w:jc w:val="both"/>
        <w:rPr>
          <w:rFonts w:ascii="Times New Roman" w:hAnsi="Times New Roman" w:cs="Times New Roman"/>
          <w:sz w:val="28"/>
          <w:szCs w:val="28"/>
        </w:rPr>
      </w:pPr>
      <w:r>
        <w:rPr>
          <w:rFonts w:ascii="Times New Roman" w:eastAsia="Calibri" w:hAnsi="Times New Roman" w:cs="Times New Roman"/>
          <w:b/>
          <w:i/>
          <w:color w:val="000000"/>
          <w:sz w:val="28"/>
          <w:szCs w:val="28"/>
        </w:rPr>
        <w:t>SUBMITTED</w:t>
      </w:r>
      <w:r>
        <w:rPr>
          <w:rFonts w:ascii="Times New Roman" w:eastAsia="Calibri" w:hAnsi="Times New Roman" w:cs="Times New Roman"/>
          <w:i/>
          <w:color w:val="000000"/>
          <w:sz w:val="28"/>
          <w:szCs w:val="28"/>
        </w:rPr>
        <w:t xml:space="preserve"> TO</w:t>
      </w:r>
    </w:p>
    <w:p w:rsidR="00BC5E03" w:rsidRDefault="00452A9F">
      <w:pPr>
        <w:wordWrap w:val="0"/>
        <w:ind w:firstLineChars="200" w:firstLine="560"/>
        <w:jc w:val="both"/>
        <w:rPr>
          <w:rFonts w:ascii="Times New Roman" w:hAnsi="Times New Roman" w:cs="Times New Roman"/>
          <w:sz w:val="28"/>
          <w:szCs w:val="28"/>
        </w:rPr>
      </w:pPr>
      <w:r>
        <w:rPr>
          <w:rFonts w:ascii="Times New Roman" w:eastAsia="Calibri" w:hAnsi="Times New Roman" w:cs="Times New Roman"/>
          <w:color w:val="000000"/>
          <w:sz w:val="28"/>
          <w:szCs w:val="28"/>
        </w:rPr>
        <w:t>THE DEPARTMENT OF SCIENCE LABORATORY TECHNOLOGY,</w:t>
      </w:r>
    </w:p>
    <w:p w:rsidR="00BC5E03" w:rsidRDefault="00452A9F">
      <w:pPr>
        <w:wordWrap w:val="0"/>
        <w:spacing w:line="216" w:lineRule="auto"/>
        <w:ind w:firstLineChars="1200" w:firstLine="3360"/>
        <w:jc w:val="both"/>
        <w:rPr>
          <w:rFonts w:ascii="Times New Roman" w:hAnsi="Times New Roman" w:cs="Times New Roman"/>
          <w:sz w:val="28"/>
          <w:szCs w:val="28"/>
        </w:rPr>
      </w:pPr>
      <w:r>
        <w:rPr>
          <w:rFonts w:ascii="Times New Roman" w:eastAsia="Calibri" w:hAnsi="Times New Roman" w:cs="Times New Roman"/>
          <w:color w:val="000000"/>
          <w:sz w:val="28"/>
          <w:szCs w:val="28"/>
        </w:rPr>
        <w:t>(BIOCHEMISTRY UNIT),</w:t>
      </w:r>
    </w:p>
    <w:p w:rsidR="00BC5E03" w:rsidRDefault="00452A9F">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INSTITUTE OF APPLIED</w:t>
      </w:r>
      <w:r>
        <w:rPr>
          <w:rFonts w:ascii="Times New Roman" w:eastAsia="Calibri" w:hAnsi="Times New Roman" w:cs="Times New Roman"/>
          <w:color w:val="000000"/>
          <w:sz w:val="28"/>
          <w:szCs w:val="28"/>
        </w:rPr>
        <w:t xml:space="preserve"> SCIENCES (IAS)</w:t>
      </w:r>
    </w:p>
    <w:p w:rsidR="00BC5E03" w:rsidRDefault="00452A9F">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KWARA STATE POLYTECHNIC,ILORIN.</w:t>
      </w:r>
    </w:p>
    <w:p w:rsidR="00BC5E03" w:rsidRDefault="00BC5E03">
      <w:pPr>
        <w:wordWrap w:val="0"/>
        <w:jc w:val="both"/>
        <w:rPr>
          <w:rFonts w:ascii="Times New Roman" w:eastAsia="SimSun" w:hAnsi="Times New Roman" w:cs="Times New Roman"/>
          <w:color w:val="000000"/>
          <w:sz w:val="28"/>
          <w:szCs w:val="28"/>
        </w:rPr>
      </w:pPr>
    </w:p>
    <w:p w:rsidR="00BC5E03" w:rsidRDefault="00BC5E03">
      <w:pPr>
        <w:wordWrap w:val="0"/>
        <w:jc w:val="both"/>
        <w:rPr>
          <w:rFonts w:ascii="Times New Roman" w:eastAsia="SimSun" w:hAnsi="Times New Roman" w:cs="Times New Roman"/>
          <w:color w:val="000000"/>
          <w:sz w:val="28"/>
          <w:szCs w:val="28"/>
        </w:rPr>
      </w:pPr>
    </w:p>
    <w:p w:rsidR="00BC5E03" w:rsidRDefault="00452A9F">
      <w:pPr>
        <w:wordWrap w:val="0"/>
        <w:spacing w:line="191" w:lineRule="auto"/>
        <w:ind w:firstLineChars="263" w:firstLine="736"/>
        <w:jc w:val="both"/>
        <w:rPr>
          <w:rFonts w:ascii="Times New Roman" w:hAnsi="Times New Roman" w:cs="Times New Roman"/>
          <w:sz w:val="28"/>
          <w:szCs w:val="28"/>
        </w:rPr>
      </w:pPr>
      <w:r>
        <w:rPr>
          <w:rFonts w:ascii="Times New Roman" w:eastAsia="Calibri" w:hAnsi="Times New Roman" w:cs="Times New Roman"/>
          <w:color w:val="000000"/>
          <w:sz w:val="28"/>
          <w:szCs w:val="28"/>
        </w:rPr>
        <w:t>IN PARTIAL FULFILMENT OF THE REQUIREMENTS FOR THE</w:t>
      </w:r>
    </w:p>
    <w:p w:rsidR="00BC5E03" w:rsidRDefault="00452A9F">
      <w:pPr>
        <w:wordWrap w:val="0"/>
        <w:spacing w:before="13"/>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AWARD OF HIGHER NATIONAL DIPLOMA (HND)</w:t>
      </w:r>
    </w:p>
    <w:p w:rsidR="00BC5E03" w:rsidRDefault="00452A9F">
      <w:pPr>
        <w:wordWrap w:val="0"/>
        <w:spacing w:before="32"/>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IN SCIENCE LABORATORY TECHNOLOGY (SLT)</w:t>
      </w:r>
    </w:p>
    <w:p w:rsidR="00BC5E03" w:rsidRDefault="00BC5E03">
      <w:pPr>
        <w:wordWrap w:val="0"/>
        <w:jc w:val="both"/>
        <w:rPr>
          <w:rFonts w:ascii="Times New Roman" w:eastAsia="SimSun" w:hAnsi="Times New Roman" w:cs="Times New Roman"/>
          <w:color w:val="000000"/>
          <w:sz w:val="28"/>
          <w:szCs w:val="28"/>
        </w:rPr>
      </w:pPr>
    </w:p>
    <w:p w:rsidR="00BC5E03" w:rsidRDefault="00452A9F">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rsidR="00BC5E03" w:rsidRDefault="00452A9F">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rsidR="00BC5E03" w:rsidRDefault="00BC5E03">
      <w:pPr>
        <w:wordWrap w:val="0"/>
        <w:jc w:val="both"/>
        <w:rPr>
          <w:rFonts w:ascii="Times New Roman" w:eastAsia="SimSun" w:hAnsi="Times New Roman" w:cs="Times New Roman"/>
          <w:color w:val="000000"/>
          <w:sz w:val="28"/>
          <w:szCs w:val="28"/>
        </w:rPr>
      </w:pPr>
    </w:p>
    <w:p w:rsidR="00BC5E03" w:rsidRDefault="00452A9F">
      <w:pPr>
        <w:wordWrap w:val="0"/>
        <w:ind w:left="7560" w:firstLine="420"/>
        <w:jc w:val="both"/>
        <w:rPr>
          <w:rFonts w:ascii="Times New Roman" w:eastAsia="SimSun" w:hAnsi="Times New Roman" w:cs="Times New Roman"/>
          <w:color w:val="000000"/>
          <w:sz w:val="32"/>
          <w:szCs w:val="32"/>
        </w:rPr>
      </w:pPr>
      <w:r>
        <w:rPr>
          <w:rFonts w:ascii="Times New Roman" w:eastAsia="SimSun" w:hAnsi="Times New Roman" w:cs="Times New Roman"/>
          <w:color w:val="000000"/>
          <w:sz w:val="32"/>
          <w:szCs w:val="32"/>
        </w:rPr>
        <w:t>July, 2025.</w:t>
      </w:r>
    </w:p>
    <w:p w:rsidR="00BC5E03" w:rsidRDefault="00452A9F">
      <w:pPr>
        <w:rPr>
          <w:rFonts w:ascii="Times New Roman" w:hAnsi="Times New Roman" w:cs="Times New Roman"/>
          <w:b/>
          <w:bCs/>
          <w:sz w:val="24"/>
          <w:szCs w:val="24"/>
        </w:rPr>
      </w:pPr>
      <w:r>
        <w:rPr>
          <w:rFonts w:ascii="Times New Roman" w:hAnsi="Times New Roman" w:cs="Times New Roman"/>
          <w:b/>
          <w:bCs/>
          <w:sz w:val="24"/>
          <w:szCs w:val="24"/>
        </w:rPr>
        <w:br w:type="page"/>
      </w:r>
    </w:p>
    <w:p w:rsidR="00BC5E03" w:rsidRDefault="00452A9F" w:rsidP="00612247">
      <w:pPr>
        <w:pStyle w:val="Heading1"/>
        <w:spacing w:line="240" w:lineRule="auto"/>
        <w:jc w:val="center"/>
      </w:pPr>
      <w:r>
        <w:lastRenderedPageBreak/>
        <w:t>CERTIFICATION</w:t>
      </w:r>
    </w:p>
    <w:p w:rsidR="00BC5E03" w:rsidRDefault="00452A9F">
      <w:pPr>
        <w:wordWrap w:val="0"/>
        <w:spacing w:line="360" w:lineRule="auto"/>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This is to certify that this project work presented by</w:t>
      </w:r>
      <w:r>
        <w:rPr>
          <w:rFonts w:ascii="Times New Roman" w:eastAsia="Calibri" w:hAnsi="Times New Roman" w:cs="Times New Roman"/>
          <w:b/>
          <w:color w:val="000000"/>
          <w:sz w:val="28"/>
          <w:szCs w:val="28"/>
        </w:rPr>
        <w:t xml:space="preserve"> ISHOLA MUTI</w:t>
      </w:r>
      <w:bookmarkStart w:id="0" w:name="_GoBack"/>
      <w:bookmarkEnd w:id="0"/>
      <w:r>
        <w:rPr>
          <w:rFonts w:ascii="Times New Roman" w:eastAsia="Calibri" w:hAnsi="Times New Roman" w:cs="Times New Roman"/>
          <w:b/>
          <w:color w:val="000000"/>
          <w:sz w:val="28"/>
          <w:szCs w:val="28"/>
        </w:rPr>
        <w:t>AT ASABI</w:t>
      </w:r>
    </w:p>
    <w:p w:rsidR="00BC5E03" w:rsidRDefault="00452A9F">
      <w:pPr>
        <w:wordWrap w:val="0"/>
        <w:spacing w:line="36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with Matric No: </w:t>
      </w:r>
      <w:r>
        <w:rPr>
          <w:rFonts w:ascii="Times New Roman" w:eastAsia="Calibri" w:hAnsi="Times New Roman"/>
          <w:b/>
          <w:bCs/>
          <w:color w:val="000000"/>
          <w:sz w:val="28"/>
          <w:szCs w:val="28"/>
        </w:rPr>
        <w:t>HND/23/SLT/FT/0255</w:t>
      </w:r>
      <w:r>
        <w:rPr>
          <w:rFonts w:ascii="Times New Roman" w:eastAsia="Calibri" w:hAnsi="Times New Roman" w:cs="Times New Roman"/>
          <w:color w:val="000000"/>
          <w:sz w:val="28"/>
          <w:szCs w:val="28"/>
        </w:rPr>
        <w:t xml:space="preserve"> has been read, approved and submitted to Department of Science Laboratory Technology (Biochemistry Unit), Institute of Applied Scie</w:t>
      </w:r>
      <w:r>
        <w:rPr>
          <w:rFonts w:ascii="Times New Roman" w:eastAsia="Calibri" w:hAnsi="Times New Roman" w:cs="Times New Roman"/>
          <w:color w:val="000000"/>
          <w:sz w:val="28"/>
          <w:szCs w:val="28"/>
        </w:rPr>
        <w:t>nces (IAS), Kwara State Polytechnic, Ilorin.</w:t>
      </w:r>
    </w:p>
    <w:p w:rsidR="00BC5E03" w:rsidRDefault="00BC5E03">
      <w:pPr>
        <w:wordWrap w:val="0"/>
        <w:spacing w:line="360" w:lineRule="auto"/>
        <w:jc w:val="center"/>
        <w:rPr>
          <w:rFonts w:ascii="Times New Roman" w:eastAsia="SimSun" w:hAnsi="Times New Roman" w:cs="Times New Roman"/>
          <w:color w:val="000000"/>
          <w:sz w:val="28"/>
          <w:szCs w:val="28"/>
        </w:rPr>
      </w:pPr>
    </w:p>
    <w:p w:rsidR="00BC5E03" w:rsidRDefault="00BC5E03">
      <w:pPr>
        <w:wordWrap w:val="0"/>
        <w:jc w:val="both"/>
        <w:rPr>
          <w:rFonts w:ascii="Times New Roman" w:eastAsia="SimSun" w:hAnsi="Times New Roman" w:cs="Times New Roman"/>
          <w:color w:val="000000"/>
          <w:sz w:val="28"/>
          <w:szCs w:val="28"/>
        </w:rPr>
      </w:pPr>
    </w:p>
    <w:p w:rsidR="00BC5E03" w:rsidRDefault="00452A9F">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u w:val="single"/>
        </w:rPr>
        <w:t xml:space="preserve"> _______     </w:t>
      </w:r>
    </w:p>
    <w:p w:rsidR="00BC5E03" w:rsidRDefault="00452A9F">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Pr>
          <w:rFonts w:ascii="Times New Roman" w:eastAsia="Calibri" w:hAnsi="Times New Roman" w:cs="Times New Roman"/>
          <w:color w:val="000000"/>
          <w:sz w:val="28"/>
          <w:szCs w:val="28"/>
        </w:rPr>
        <w:tab/>
        <w:t>DATE</w:t>
      </w:r>
    </w:p>
    <w:p w:rsidR="00BC5E03" w:rsidRDefault="00452A9F">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rsidR="00BC5E03" w:rsidRDefault="00BC5E03">
      <w:pPr>
        <w:wordWrap w:val="0"/>
        <w:jc w:val="both"/>
        <w:rPr>
          <w:rFonts w:ascii="Times New Roman" w:eastAsia="SimSun" w:hAnsi="Times New Roman" w:cs="Times New Roman"/>
          <w:color w:val="000000"/>
          <w:sz w:val="28"/>
          <w:szCs w:val="28"/>
        </w:rPr>
      </w:pPr>
    </w:p>
    <w:p w:rsidR="00BC5E03" w:rsidRDefault="00BC5E03">
      <w:pPr>
        <w:wordWrap w:val="0"/>
        <w:jc w:val="both"/>
        <w:rPr>
          <w:rFonts w:ascii="Times New Roman" w:eastAsia="SimSun" w:hAnsi="Times New Roman" w:cs="Times New Roman"/>
          <w:color w:val="000000"/>
          <w:sz w:val="28"/>
          <w:szCs w:val="28"/>
        </w:rPr>
      </w:pPr>
    </w:p>
    <w:p w:rsidR="00BC5E03" w:rsidRDefault="00452A9F">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u w:val="single"/>
        </w:rPr>
        <w:t xml:space="preserve">      ________</w:t>
      </w:r>
    </w:p>
    <w:p w:rsidR="00BC5E03" w:rsidRDefault="00452A9F">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SALAUDEEN, K. A.</w:t>
      </w:r>
      <w:r>
        <w:rPr>
          <w:rFonts w:ascii="Times New Roman" w:eastAsia="Calibri" w:hAnsi="Times New Roman" w:cs="Times New Roman"/>
          <w:color w:val="000000"/>
          <w:sz w:val="28"/>
          <w:szCs w:val="28"/>
        </w:rPr>
        <w:tab/>
        <w:t>DATE</w:t>
      </w:r>
    </w:p>
    <w:p w:rsidR="00BC5E03" w:rsidRDefault="00452A9F">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rsidR="00BC5E03" w:rsidRDefault="00BC5E03">
      <w:pPr>
        <w:wordWrap w:val="0"/>
        <w:jc w:val="both"/>
        <w:rPr>
          <w:rFonts w:ascii="Times New Roman" w:eastAsia="SimSun" w:hAnsi="Times New Roman" w:cs="Times New Roman"/>
          <w:color w:val="000000"/>
          <w:sz w:val="28"/>
          <w:szCs w:val="28"/>
        </w:rPr>
      </w:pPr>
    </w:p>
    <w:p w:rsidR="00BC5E03" w:rsidRDefault="00BC5E03">
      <w:pPr>
        <w:wordWrap w:val="0"/>
        <w:jc w:val="both"/>
        <w:rPr>
          <w:rFonts w:ascii="Times New Roman" w:eastAsia="SimSun" w:hAnsi="Times New Roman" w:cs="Times New Roman"/>
          <w:color w:val="000000"/>
          <w:sz w:val="28"/>
          <w:szCs w:val="28"/>
        </w:rPr>
      </w:pPr>
    </w:p>
    <w:p w:rsidR="00BC5E03" w:rsidRDefault="00452A9F">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u w:val="single"/>
        </w:rPr>
        <w:t xml:space="preserve">      ________</w:t>
      </w:r>
    </w:p>
    <w:p w:rsidR="00BC5E03" w:rsidRDefault="00452A9F">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USMAN, A.</w:t>
      </w:r>
      <w:r>
        <w:rPr>
          <w:rFonts w:ascii="Times New Roman" w:eastAsia="Calibri" w:hAnsi="Times New Roman" w:cs="Times New Roman"/>
          <w:color w:val="000000"/>
          <w:sz w:val="28"/>
          <w:szCs w:val="28"/>
        </w:rPr>
        <w:tab/>
        <w:t>DATE</w:t>
      </w:r>
    </w:p>
    <w:p w:rsidR="00BC5E03" w:rsidRDefault="00452A9F">
      <w:pPr>
        <w:wordWrap w:val="0"/>
        <w:spacing w:before="12"/>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DEPARTMENT(SLT)</w:t>
      </w:r>
    </w:p>
    <w:p w:rsidR="00BC5E03" w:rsidRDefault="00BC5E03">
      <w:pPr>
        <w:pStyle w:val="Heading1"/>
        <w:spacing w:line="240" w:lineRule="auto"/>
        <w:ind w:left="2880" w:firstLine="720"/>
      </w:pPr>
    </w:p>
    <w:p w:rsidR="00BC5E03" w:rsidRDefault="00452A9F">
      <w:pPr>
        <w:rPr>
          <w:rFonts w:ascii="Times New Roman" w:hAnsi="Times New Roman" w:cs="Times New Roman"/>
          <w:b/>
          <w:bCs/>
          <w:sz w:val="24"/>
          <w:szCs w:val="24"/>
        </w:rPr>
      </w:pPr>
      <w:r>
        <w:rPr>
          <w:rFonts w:ascii="Times New Roman" w:hAnsi="Times New Roman" w:cs="Times New Roman"/>
          <w:b/>
          <w:bCs/>
          <w:sz w:val="24"/>
          <w:szCs w:val="24"/>
        </w:rPr>
        <w:br w:type="page"/>
      </w:r>
    </w:p>
    <w:p w:rsidR="00BC5E03" w:rsidRDefault="00452A9F">
      <w:pPr>
        <w:pStyle w:val="Heading1"/>
        <w:spacing w:line="240" w:lineRule="auto"/>
        <w:ind w:left="2880" w:firstLine="720"/>
        <w:rPr>
          <w:rFonts w:cs="Times New Roman"/>
          <w:szCs w:val="24"/>
        </w:rPr>
      </w:pPr>
      <w:bookmarkStart w:id="1" w:name="_Toc66"/>
      <w:r>
        <w:lastRenderedPageBreak/>
        <w:t>DEDICATION</w:t>
      </w:r>
      <w:bookmarkEnd w:id="1"/>
    </w:p>
    <w:p w:rsidR="00BC5E03" w:rsidRDefault="00452A9F">
      <w:pPr>
        <w:spacing w:line="360" w:lineRule="auto"/>
        <w:rPr>
          <w:rFonts w:ascii="Times New Roman" w:hAnsi="Times New Roman" w:cs="Times New Roman"/>
          <w:sz w:val="24"/>
          <w:szCs w:val="24"/>
        </w:rPr>
      </w:pPr>
      <w:bookmarkStart w:id="2" w:name="_Toc9979"/>
      <w:r>
        <w:rPr>
          <w:rFonts w:ascii="Times New Roman" w:hAnsi="Times New Roman" w:cs="Times New Roman"/>
          <w:sz w:val="24"/>
          <w:szCs w:val="24"/>
        </w:rPr>
        <w:t xml:space="preserve">I dedicate this project to Almighty Allah,the highest and the most beneficent who has been there for me right from the beginning and to the end of my </w:t>
      </w:r>
      <w:r>
        <w:rPr>
          <w:rFonts w:ascii="Times New Roman" w:hAnsi="Times New Roman" w:cs="Times New Roman"/>
          <w:sz w:val="24"/>
          <w:szCs w:val="24"/>
        </w:rPr>
        <w:t>Higher National Diploma (HND),and I also want to dedicate this to my parents (MR and MRS ISHOLA).</w:t>
      </w:r>
    </w:p>
    <w:p w:rsidR="00BC5E03" w:rsidRDefault="00452A9F">
      <w:pPr>
        <w:rPr>
          <w:rFonts w:ascii="Times New Roman" w:hAnsi="Times New Roman" w:cs="Times New Roman"/>
          <w:sz w:val="24"/>
          <w:szCs w:val="24"/>
        </w:rPr>
      </w:pPr>
      <w:r>
        <w:rPr>
          <w:rFonts w:ascii="Times New Roman" w:hAnsi="Times New Roman" w:cs="Times New Roman"/>
          <w:sz w:val="24"/>
          <w:szCs w:val="24"/>
        </w:rPr>
        <w:br w:type="page"/>
      </w:r>
    </w:p>
    <w:p w:rsidR="00BC5E03" w:rsidRDefault="00452A9F">
      <w:pPr>
        <w:pStyle w:val="Heading1"/>
        <w:spacing w:line="240" w:lineRule="auto"/>
        <w:ind w:left="1440" w:firstLine="720"/>
        <w:rPr>
          <w:rFonts w:cs="Times New Roman"/>
          <w:szCs w:val="24"/>
        </w:rPr>
      </w:pPr>
      <w:r>
        <w:lastRenderedPageBreak/>
        <w:t>ACKNOWLEDGEMENT</w:t>
      </w:r>
      <w:bookmarkEnd w:id="2"/>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all praise and thanks are due to Almighty Allah (SWT), the Most Gracious, the Most Merciful, for granting me the strengt</w:t>
      </w:r>
      <w:r>
        <w:rPr>
          <w:rFonts w:ascii="Times New Roman" w:hAnsi="Times New Roman" w:cs="Times New Roman"/>
          <w:sz w:val="24"/>
          <w:szCs w:val="24"/>
        </w:rPr>
        <w:t>h, knowledge, patience, and good health to complete this project. Without His guidance and blessings, this accomplishment would not have been possible.</w:t>
      </w:r>
    </w:p>
    <w:p w:rsidR="00BC5E03" w:rsidRDefault="00BC5E03">
      <w:pPr>
        <w:spacing w:line="360" w:lineRule="auto"/>
        <w:jc w:val="both"/>
        <w:rPr>
          <w:rFonts w:ascii="Times New Roman" w:hAnsi="Times New Roman" w:cs="Times New Roman"/>
          <w:sz w:val="24"/>
          <w:szCs w:val="24"/>
        </w:rPr>
      </w:pP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deepest gratitude goes to my beloved parents MR and MRS ISHOLA, whose prayers, love, and unwavering </w:t>
      </w:r>
      <w:r>
        <w:rPr>
          <w:rFonts w:ascii="Times New Roman" w:hAnsi="Times New Roman" w:cs="Times New Roman"/>
          <w:sz w:val="24"/>
          <w:szCs w:val="24"/>
        </w:rPr>
        <w:t>support have been my greatest source of strength. Your sacrifices and belief in me have been the foundation of my journey.</w:t>
      </w:r>
    </w:p>
    <w:p w:rsidR="00BC5E03" w:rsidRDefault="00BC5E03">
      <w:pPr>
        <w:spacing w:line="360" w:lineRule="auto"/>
        <w:jc w:val="both"/>
        <w:rPr>
          <w:rFonts w:ascii="Times New Roman" w:hAnsi="Times New Roman" w:cs="Times New Roman"/>
          <w:sz w:val="24"/>
          <w:szCs w:val="24"/>
        </w:rPr>
      </w:pP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 so,my appreciation goes to my amiable supervisor (MR ALLI,A.O) for his support,advice and kindness toward the success of this </w:t>
      </w:r>
      <w:r>
        <w:rPr>
          <w:rFonts w:ascii="Times New Roman" w:hAnsi="Times New Roman" w:cs="Times New Roman"/>
          <w:sz w:val="24"/>
          <w:szCs w:val="24"/>
        </w:rPr>
        <w:t>projects.I pray Almighty Allah enrich you abundantly.</w:t>
      </w:r>
    </w:p>
    <w:p w:rsidR="00BC5E03" w:rsidRDefault="00BC5E03">
      <w:pPr>
        <w:spacing w:line="360" w:lineRule="auto"/>
        <w:jc w:val="both"/>
        <w:rPr>
          <w:rFonts w:ascii="Times New Roman" w:hAnsi="Times New Roman" w:cs="Times New Roman"/>
          <w:sz w:val="24"/>
          <w:szCs w:val="24"/>
        </w:rPr>
      </w:pP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grateful acknowledge the moral and fatherly support of my H.O.D (Dr USMAN.A)for his advice, and also to my H.O.U ( MRS SALAUDEEN,K.A) for her advice,support and kindness.I pray Almighty Allah reward </w:t>
      </w:r>
      <w:r>
        <w:rPr>
          <w:rFonts w:ascii="Times New Roman" w:hAnsi="Times New Roman" w:cs="Times New Roman"/>
          <w:sz w:val="24"/>
          <w:szCs w:val="24"/>
        </w:rPr>
        <w:t>you abundantly.</w:t>
      </w:r>
    </w:p>
    <w:p w:rsidR="00BC5E03" w:rsidRDefault="00BC5E03">
      <w:pPr>
        <w:spacing w:line="360" w:lineRule="auto"/>
        <w:jc w:val="both"/>
        <w:rPr>
          <w:rFonts w:ascii="Times New Roman" w:hAnsi="Times New Roman" w:cs="Times New Roman"/>
          <w:sz w:val="24"/>
          <w:szCs w:val="24"/>
        </w:rPr>
      </w:pP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my dear sister (MRS ADEKUNLE) and my brothers(brotherAfeez,brotherSulaumon and Toheeb ), thank you for your continuous encouragement, emotional support, and for always being there in both good and challenging times. Your presence in my </w:t>
      </w:r>
      <w:r>
        <w:rPr>
          <w:rFonts w:ascii="Times New Roman" w:hAnsi="Times New Roman" w:cs="Times New Roman"/>
          <w:sz w:val="24"/>
          <w:szCs w:val="24"/>
        </w:rPr>
        <w:t>life means more than words can express.</w:t>
      </w:r>
    </w:p>
    <w:p w:rsidR="00BC5E03" w:rsidRDefault="00BC5E03">
      <w:pPr>
        <w:spacing w:line="360" w:lineRule="auto"/>
        <w:jc w:val="both"/>
        <w:rPr>
          <w:rFonts w:ascii="Times New Roman" w:hAnsi="Times New Roman" w:cs="Times New Roman"/>
          <w:sz w:val="24"/>
          <w:szCs w:val="24"/>
        </w:rPr>
      </w:pP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Finally, I extend my appreciation to everyone who contributed directly or indirectly to the successful completion of this project. May Allah reward you all abundantly.</w:t>
      </w: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Alhamdulillah.</w:t>
      </w:r>
    </w:p>
    <w:p w:rsidR="00BC5E03" w:rsidRDefault="00BC5E03">
      <w:pPr>
        <w:spacing w:line="360" w:lineRule="auto"/>
        <w:jc w:val="both"/>
        <w:rPr>
          <w:rFonts w:ascii="Times New Roman" w:hAnsi="Times New Roman" w:cs="Times New Roman"/>
          <w:sz w:val="24"/>
          <w:szCs w:val="24"/>
        </w:rPr>
      </w:pPr>
    </w:p>
    <w:p w:rsidR="00BC5E03" w:rsidRDefault="00BC5E03">
      <w:pPr>
        <w:spacing w:line="360" w:lineRule="auto"/>
        <w:jc w:val="both"/>
        <w:rPr>
          <w:rFonts w:ascii="Times New Roman" w:hAnsi="Times New Roman" w:cs="Times New Roman"/>
          <w:sz w:val="24"/>
          <w:szCs w:val="24"/>
        </w:rPr>
      </w:pPr>
    </w:p>
    <w:p w:rsidR="00BC5E03" w:rsidRDefault="00452A9F">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C5E03" w:rsidRDefault="00452A9F">
      <w:pPr>
        <w:pStyle w:val="Heading1"/>
        <w:spacing w:line="240" w:lineRule="auto"/>
        <w:ind w:left="2880" w:firstLine="720"/>
        <w:rPr>
          <w:rFonts w:cs="Times New Roman"/>
          <w:szCs w:val="24"/>
        </w:rPr>
      </w:pPr>
      <w:bookmarkStart w:id="3" w:name="_Toc11818"/>
      <w:r>
        <w:lastRenderedPageBreak/>
        <w:t>ABSTRACT</w:t>
      </w:r>
      <w:bookmarkEnd w:id="3"/>
    </w:p>
    <w:p w:rsidR="00BC5E03" w:rsidRDefault="00452A9F">
      <w:pPr>
        <w:spacing w:line="480" w:lineRule="auto"/>
        <w:jc w:val="both"/>
        <w:rPr>
          <w:rFonts w:ascii="Times New Roman" w:hAnsi="Times New Roman"/>
          <w:sz w:val="24"/>
          <w:szCs w:val="24"/>
        </w:rPr>
      </w:pPr>
      <w:r>
        <w:rPr>
          <w:rFonts w:ascii="Times New Roman" w:hAnsi="Times New Roman"/>
          <w:sz w:val="24"/>
          <w:szCs w:val="24"/>
        </w:rPr>
        <w:t>Erectile dysfunctio</w:t>
      </w:r>
      <w:r>
        <w:rPr>
          <w:rFonts w:ascii="Times New Roman" w:hAnsi="Times New Roman"/>
          <w:sz w:val="24"/>
          <w:szCs w:val="24"/>
        </w:rPr>
        <w:t xml:space="preserve">n (ED) is a prevalent side effect associated with long-term use of selective serotonin re-uptake inhibitors (SSRIs) such as paroxetine, mainly due to the disruption of nitric oxide (NO) signaling and upregulation of phosphodiesterase-5 (PDE5) and arginase </w:t>
      </w:r>
      <w:r>
        <w:rPr>
          <w:rFonts w:ascii="Times New Roman" w:hAnsi="Times New Roman"/>
          <w:sz w:val="24"/>
          <w:szCs w:val="24"/>
        </w:rPr>
        <w:t xml:space="preserve">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t>
      </w:r>
      <w:r>
        <w:rPr>
          <w:rFonts w:ascii="Times New Roman" w:hAnsi="Times New Roman"/>
          <w:sz w:val="24"/>
          <w:szCs w:val="24"/>
        </w:rPr>
        <w:t xml:space="preserve">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w:t>
      </w:r>
      <w:r>
        <w:rPr>
          <w:rFonts w:ascii="Times New Roman" w:hAnsi="Times New Roman"/>
          <w:sz w:val="24"/>
          <w:szCs w:val="24"/>
        </w:rPr>
        <w:t>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arginase activity (8.4 ± 0.7 mg/dL vs. 6.2 ± 0.5 mg/dL), and reduced penile nitric oxide concentration (24.8 ± 2.6 µmol/L vs. 45.6 ± 3.4 </w:t>
      </w:r>
      <w:r>
        <w:rPr>
          <w:rFonts w:ascii="Times New Roman" w:hAnsi="Times New Roman"/>
          <w:sz w:val="24"/>
          <w:szCs w:val="24"/>
        </w:rPr>
        <w:t xml:space="preserve">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reduced PDE5 and arginase activities and, respectively, while increasing nitric oxide concentration compared to the paroxetine-onl</w:t>
      </w:r>
      <w:r>
        <w:rPr>
          <w:rFonts w:ascii="Times New Roman" w:hAnsi="Times New Roman"/>
          <w:sz w:val="24"/>
          <w:szCs w:val="24"/>
        </w:rPr>
        <w:t xml:space="preserve">y group. Additionally, paroxetine elevated total cholesterol (5.86 ± 0.27 mmol/L), triglycerides (2.83 ± 0.16 mmol/L), 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extract at 400 mg/kg</w:t>
      </w:r>
      <w:r>
        <w:rPr>
          <w:rFonts w:ascii="Times New Roman" w:hAnsi="Times New Roman"/>
          <w:sz w:val="24"/>
          <w:szCs w:val="24"/>
        </w:rPr>
        <w:t xml:space="preserve">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w:t>
      </w:r>
      <w:r>
        <w:rPr>
          <w:rFonts w:ascii="Times New Roman" w:hAnsi="Times New Roman"/>
          <w:sz w:val="24"/>
          <w:szCs w:val="24"/>
        </w:rPr>
        <w:t>al therapeutic agent capable of mitigating paroxetine-induced erectile dysfunction through modulation of PDE5 and arginase activities, enhancement of NO bioavailability, and lipid profile improvement.</w:t>
      </w:r>
    </w:p>
    <w:p w:rsidR="00BC5E03" w:rsidRDefault="00BC5E03">
      <w:pPr>
        <w:rPr>
          <w:rFonts w:ascii="Times New Roman" w:hAnsi="Times New Roman" w:cs="Times New Roman"/>
          <w:b/>
          <w:bCs/>
          <w:sz w:val="24"/>
          <w:szCs w:val="24"/>
        </w:rPr>
      </w:pPr>
    </w:p>
    <w:p w:rsidR="00BC5E03" w:rsidRDefault="00452A9F">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C5E03" w:rsidRDefault="00452A9F">
      <w:pPr>
        <w:pStyle w:val="Heading1"/>
        <w:spacing w:line="240" w:lineRule="auto"/>
        <w:ind w:left="2880" w:firstLine="720"/>
      </w:pPr>
      <w:bookmarkStart w:id="4" w:name="_Toc8836"/>
      <w:r>
        <w:lastRenderedPageBreak/>
        <w:t>LIST OF FIGURES</w:t>
      </w:r>
      <w:bookmarkEnd w:id="4"/>
    </w:p>
    <w:p w:rsidR="00BC5E03" w:rsidRDefault="00452A9F">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rsidR="00BC5E03" w:rsidRDefault="00452A9F">
      <w:pPr>
        <w:spacing w:line="360" w:lineRule="auto"/>
        <w:rPr>
          <w:rFonts w:ascii="Times New Roman" w:hAnsi="Times New Roman"/>
          <w:sz w:val="24"/>
          <w:szCs w:val="24"/>
        </w:rPr>
      </w:pPr>
      <w:r>
        <w:rPr>
          <w:rFonts w:ascii="Times New Roman" w:hAnsi="Times New Roman" w:cs="Times New Roman"/>
          <w:sz w:val="24"/>
          <w:szCs w:val="24"/>
        </w:rPr>
        <w:t>Figure 2</w:t>
      </w: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BC5E03" w:rsidRDefault="00452A9F">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C5E03" w:rsidRDefault="00452A9F">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BC5E03" w:rsidRDefault="00452A9F">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rsidR="00BC5E03" w:rsidRDefault="00452A9F">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rsidR="00BC5E03" w:rsidRDefault="00452A9F">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E03" w:rsidRDefault="00452A9F">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Syzygiumaromatic</w:t>
      </w:r>
      <w:r>
        <w:rPr>
          <w:rFonts w:ascii="Times New Roman" w:hAnsi="Times New Roman" w:cs="Times New Roman"/>
          <w:sz w:val="24"/>
          <w:szCs w:val="24"/>
        </w:rPr>
        <w:t xml:space="preserve"> Extract (SAAE)</w:t>
      </w:r>
    </w:p>
    <w:p w:rsidR="00BC5E03" w:rsidRDefault="00452A9F">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rsidR="00BC5E03" w:rsidRDefault="00452A9F">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w:t>
      </w:r>
      <w:r>
        <w:rPr>
          <w:rFonts w:ascii="Times New Roman" w:hAnsi="Times New Roman" w:cs="Times New Roman"/>
          <w:sz w:val="24"/>
          <w:szCs w:val="24"/>
        </w:rPr>
        <w:t>tract (SAAE)</w:t>
      </w:r>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C5E03" w:rsidRDefault="00452A9F">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Syzygiumaromatic</w:t>
      </w:r>
      <w:r>
        <w:rPr>
          <w:rFonts w:ascii="Times New Roman" w:hAnsi="Times New Roman" w:cs="Times New Roman"/>
          <w:sz w:val="24"/>
          <w:szCs w:val="24"/>
        </w:rPr>
        <w:t xml:space="preserve"> Extract (SAAE)</w:t>
      </w:r>
    </w:p>
    <w:p w:rsidR="00BC5E03" w:rsidRDefault="00BC5E03">
      <w:pPr>
        <w:rPr>
          <w:rFonts w:ascii="Times New Roman" w:hAnsi="Times New Roman" w:cs="Times New Roman"/>
          <w:sz w:val="24"/>
          <w:szCs w:val="24"/>
        </w:rPr>
      </w:pPr>
    </w:p>
    <w:p w:rsidR="00BC5E03" w:rsidRDefault="00452A9F">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BC5E03" w:rsidRDefault="00452A9F">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w:t>
      </w:r>
      <w:r>
        <w:rPr>
          <w:rFonts w:ascii="Times New Roman" w:hAnsi="Times New Roman" w:cs="Times New Roman"/>
          <w:i/>
          <w:iCs/>
          <w:sz w:val="24"/>
          <w:szCs w:val="24"/>
        </w:rPr>
        <w:t>c</w:t>
      </w:r>
      <w:r>
        <w:rPr>
          <w:rFonts w:ascii="Times New Roman" w:hAnsi="Times New Roman" w:cs="Times New Roman"/>
          <w:sz w:val="24"/>
          <w:szCs w:val="24"/>
        </w:rPr>
        <w:t xml:space="preserve"> Extract (SAAE)</w:t>
      </w:r>
    </w:p>
    <w:p w:rsidR="00BC5E03" w:rsidRDefault="00452A9F">
      <w:pPr>
        <w:rPr>
          <w:rFonts w:ascii="Times New Roman" w:hAnsi="Times New Roman" w:cs="Times New Roman"/>
          <w:sz w:val="24"/>
          <w:szCs w:val="24"/>
        </w:rPr>
      </w:pPr>
      <w:r>
        <w:rPr>
          <w:rFonts w:ascii="Times New Roman" w:hAnsi="Times New Roman" w:cs="Times New Roman"/>
          <w:sz w:val="24"/>
          <w:szCs w:val="24"/>
        </w:rPr>
        <w:br w:type="page"/>
      </w:r>
    </w:p>
    <w:p w:rsidR="00BC5E03" w:rsidRDefault="00452A9F">
      <w:pPr>
        <w:pStyle w:val="Heading1"/>
        <w:spacing w:line="240" w:lineRule="auto"/>
        <w:ind w:left="2880" w:firstLine="720"/>
      </w:pPr>
      <w:bookmarkStart w:id="5" w:name="_Toc19016"/>
      <w:r>
        <w:lastRenderedPageBreak/>
        <w:t>LIST OF TABLES</w:t>
      </w:r>
      <w:bookmarkEnd w:id="5"/>
    </w:p>
    <w:p w:rsidR="00BC5E03" w:rsidRDefault="00452A9F">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Page</w:t>
      </w:r>
    </w:p>
    <w:p w:rsidR="00BC5E03" w:rsidRDefault="00452A9F">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t xml:space="preserve">      28</w:t>
      </w:r>
    </w:p>
    <w:p w:rsidR="00BC5E03" w:rsidRDefault="00452A9F">
      <w:pPr>
        <w:rPr>
          <w:rFonts w:ascii="Times New Roman" w:hAnsi="Times New Roman" w:cs="Times New Roman"/>
          <w:sz w:val="24"/>
          <w:szCs w:val="24"/>
        </w:rPr>
      </w:pPr>
      <w:r>
        <w:rPr>
          <w:rFonts w:ascii="Times New Roman" w:hAnsi="Times New Roman" w:cs="Times New Roman"/>
          <w:sz w:val="24"/>
          <w:szCs w:val="24"/>
        </w:rPr>
        <w:t xml:space="preserve">Table 4.2       Serum Lipid Profile of Paroxetine-Induced Dysfunctional Rats </w:t>
      </w:r>
      <w:r>
        <w:rPr>
          <w:rFonts w:ascii="Times New Roman" w:hAnsi="Times New Roman" w:cs="Times New Roman"/>
          <w:sz w:val="24"/>
          <w:szCs w:val="24"/>
        </w:rPr>
        <w:tab/>
      </w:r>
      <w:r>
        <w:rPr>
          <w:rFonts w:ascii="Times New Roman" w:hAnsi="Times New Roman" w:cs="Times New Roman"/>
          <w:sz w:val="24"/>
          <w:szCs w:val="24"/>
        </w:rPr>
        <w:tab/>
        <w:t xml:space="preserve">      33</w:t>
      </w:r>
    </w:p>
    <w:p w:rsidR="00BC5E03" w:rsidRDefault="00452A9F">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w:t>
      </w:r>
      <w:r>
        <w:rPr>
          <w:rFonts w:ascii="Times New Roman" w:hAnsi="Times New Roman" w:cs="Times New Roman"/>
          <w:i/>
          <w:iCs/>
          <w:sz w:val="24"/>
          <w:szCs w:val="24"/>
        </w:rPr>
        <w:t>zygium aromatic</w:t>
      </w:r>
      <w:r>
        <w:rPr>
          <w:rFonts w:ascii="Times New Roman" w:hAnsi="Times New Roman" w:cs="Times New Roman"/>
          <w:sz w:val="24"/>
          <w:szCs w:val="24"/>
        </w:rPr>
        <w:t xml:space="preserve"> Extract</w:t>
      </w:r>
    </w:p>
    <w:p w:rsidR="00BC5E03" w:rsidRDefault="00BC5E03">
      <w:pPr>
        <w:rPr>
          <w:rFonts w:ascii="Times New Roman" w:hAnsi="Times New Roman" w:cs="Times New Roman"/>
          <w:sz w:val="24"/>
          <w:szCs w:val="24"/>
        </w:rPr>
      </w:pPr>
    </w:p>
    <w:p w:rsidR="00BC5E03" w:rsidRDefault="00BC5E03">
      <w:pPr>
        <w:spacing w:line="360" w:lineRule="auto"/>
        <w:rPr>
          <w:rFonts w:ascii="Times New Roman" w:hAnsi="Times New Roman" w:cs="Times New Roman"/>
          <w:sz w:val="24"/>
          <w:szCs w:val="24"/>
        </w:rPr>
      </w:pPr>
    </w:p>
    <w:p w:rsidR="00BC5E03" w:rsidRDefault="00452A9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C5E03" w:rsidRDefault="00452A9F">
      <w:pPr>
        <w:spacing w:line="360" w:lineRule="auto"/>
        <w:rPr>
          <w:rFonts w:ascii="Times New Roman" w:hAnsi="Times New Roman" w:cs="Times New Roman"/>
          <w:b/>
          <w:bCs/>
          <w:sz w:val="24"/>
          <w:szCs w:val="24"/>
        </w:rPr>
      </w:pPr>
      <w:r>
        <w:rPr>
          <w:sz w:val="24"/>
          <w:szCs w:val="24"/>
        </w:rPr>
        <w:br w:type="page"/>
      </w:r>
    </w:p>
    <w:p w:rsidR="00BC5E03" w:rsidRDefault="00452A9F">
      <w:pPr>
        <w:pStyle w:val="Heading1"/>
        <w:spacing w:line="240" w:lineRule="auto"/>
        <w:ind w:left="2160" w:firstLine="720"/>
      </w:pPr>
      <w:bookmarkStart w:id="6" w:name="_Toc1905"/>
      <w:r>
        <w:lastRenderedPageBreak/>
        <w:t>TABLE OF CONTENT</w:t>
      </w:r>
      <w:bookmarkEnd w:id="6"/>
    </w:p>
    <w:sdt>
      <w:sdtPr>
        <w:rPr>
          <w:rFonts w:ascii="SimSun" w:eastAsia="SimSun" w:hAnsi="SimSun"/>
          <w:sz w:val="21"/>
        </w:rPr>
        <w:id w:val="147477542"/>
      </w:sdtPr>
      <w:sdtEndPr>
        <w:rPr>
          <w:rFonts w:ascii="Times New Roman" w:hAnsi="Times New Roman" w:cs="Times New Roman"/>
          <w:b/>
          <w:sz w:val="24"/>
          <w:szCs w:val="24"/>
        </w:rPr>
      </w:sdtEndPr>
      <w:sdtContent>
        <w:p w:rsidR="00BC5E03" w:rsidRDefault="00BC5E03">
          <w:pPr>
            <w:jc w:val="center"/>
          </w:pPr>
        </w:p>
        <w:p w:rsidR="00BC5E03" w:rsidRDefault="00BC5E03">
          <w:pPr>
            <w:pStyle w:val="WPSOffice1"/>
            <w:tabs>
              <w:tab w:val="right" w:leader="dot" w:pos="9746"/>
            </w:tabs>
            <w:rPr>
              <w:rFonts w:ascii="Times New Roman" w:hAnsi="Times New Roman" w:cs="Times New Roman"/>
              <w:b/>
              <w:sz w:val="24"/>
              <w:szCs w:val="24"/>
            </w:rPr>
          </w:pPr>
          <w:r w:rsidRPr="00BC5E03">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TOC \o "1-2" \h \u </w:instrText>
          </w:r>
          <w:r w:rsidRPr="00BC5E03">
            <w:rPr>
              <w:rFonts w:ascii="Times New Roman" w:hAnsi="Times New Roman" w:cs="Times New Roman"/>
              <w:sz w:val="24"/>
              <w:szCs w:val="24"/>
            </w:rPr>
            <w:fldChar w:fldCharType="separate"/>
          </w:r>
          <w:hyperlink w:anchor="_Toc18234" w:history="1">
            <w:r w:rsidR="00452A9F">
              <w:rPr>
                <w:rFonts w:ascii="Times New Roman" w:hAnsi="Times New Roman" w:cs="Times New Roman"/>
                <w:b/>
                <w:sz w:val="24"/>
                <w:szCs w:val="24"/>
              </w:rPr>
              <w:t>CERTIFICATION</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II</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30012" w:history="1">
            <w:r w:rsidR="00452A9F">
              <w:rPr>
                <w:rFonts w:ascii="Times New Roman" w:hAnsi="Times New Roman" w:cs="Times New Roman"/>
                <w:b/>
                <w:sz w:val="24"/>
                <w:szCs w:val="24"/>
              </w:rPr>
              <w:t>DEDICATION</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III</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24339" w:history="1">
            <w:r w:rsidR="00452A9F">
              <w:rPr>
                <w:rFonts w:ascii="Times New Roman" w:hAnsi="Times New Roman" w:cs="Times New Roman"/>
                <w:b/>
                <w:sz w:val="24"/>
                <w:szCs w:val="24"/>
              </w:rPr>
              <w:t>ACKNOWLEDGEMENT</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I</w:t>
            </w:r>
            <w:r w:rsidR="00452A9F">
              <w:rPr>
                <w:rFonts w:ascii="Times New Roman" w:hAnsi="Times New Roman" w:cs="Times New Roman"/>
                <w:b/>
                <w:sz w:val="24"/>
                <w:szCs w:val="24"/>
              </w:rPr>
              <w:t>V</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11818" w:history="1">
            <w:r w:rsidR="00452A9F">
              <w:rPr>
                <w:rFonts w:ascii="Times New Roman" w:hAnsi="Times New Roman" w:cs="Times New Roman"/>
                <w:b/>
                <w:sz w:val="24"/>
                <w:szCs w:val="24"/>
              </w:rPr>
              <w:t>ABSTRACT</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V</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8836" w:history="1">
            <w:r w:rsidR="00452A9F">
              <w:rPr>
                <w:rFonts w:ascii="Times New Roman" w:hAnsi="Times New Roman" w:cs="Times New Roman"/>
                <w:b/>
                <w:sz w:val="24"/>
                <w:szCs w:val="24"/>
              </w:rPr>
              <w:t>LIST OF FIGURES</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VI</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19016" w:history="1">
            <w:r w:rsidR="00452A9F">
              <w:rPr>
                <w:rFonts w:ascii="Times New Roman" w:hAnsi="Times New Roman" w:cs="Times New Roman"/>
                <w:b/>
                <w:sz w:val="24"/>
                <w:szCs w:val="24"/>
              </w:rPr>
              <w:t>LIST OF TABLES</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VII</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1905" w:history="1">
            <w:r w:rsidR="00452A9F">
              <w:rPr>
                <w:rFonts w:ascii="Times New Roman" w:hAnsi="Times New Roman" w:cs="Times New Roman"/>
                <w:b/>
                <w:sz w:val="24"/>
                <w:szCs w:val="24"/>
              </w:rPr>
              <w:t>TABLE OF CONTENT</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VIII</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10697" w:history="1">
            <w:r w:rsidR="00452A9F">
              <w:rPr>
                <w:rFonts w:ascii="Times New Roman" w:hAnsi="Times New Roman" w:cs="Times New Roman"/>
                <w:b/>
                <w:sz w:val="24"/>
                <w:szCs w:val="24"/>
              </w:rPr>
              <w:t>CHAPTER ONE</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1</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4022" w:history="1">
            <w:r w:rsidR="00452A9F">
              <w:rPr>
                <w:rFonts w:ascii="Times New Roman" w:hAnsi="Times New Roman" w:cs="Times New Roman"/>
                <w:b/>
                <w:sz w:val="24"/>
                <w:szCs w:val="24"/>
              </w:rPr>
              <w:t>1.0 INTRODUCTI</w:t>
            </w:r>
            <w:r w:rsidR="00452A9F">
              <w:rPr>
                <w:rFonts w:ascii="Times New Roman" w:hAnsi="Times New Roman" w:cs="Times New Roman"/>
                <w:b/>
                <w:sz w:val="24"/>
                <w:szCs w:val="24"/>
              </w:rPr>
              <w:t>ON</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1</w:t>
            </w:r>
            <w:r>
              <w:rPr>
                <w:rFonts w:ascii="Times New Roman" w:hAnsi="Times New Roman" w:cs="Times New Roman"/>
                <w:b/>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0179" w:history="1">
            <w:r w:rsidR="00452A9F">
              <w:rPr>
                <w:rFonts w:ascii="Times New Roman" w:hAnsi="Times New Roman" w:cs="Times New Roman"/>
                <w:sz w:val="24"/>
                <w:szCs w:val="24"/>
              </w:rPr>
              <w:t>1.1 Background of the Study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2307" w:history="1">
            <w:r w:rsidR="00452A9F">
              <w:rPr>
                <w:rFonts w:ascii="Times New Roman" w:hAnsi="Times New Roman" w:cs="Times New Roman"/>
                <w:sz w:val="24"/>
                <w:szCs w:val="24"/>
              </w:rPr>
              <w:t>1.2 Justification for the Study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3532" w:history="1">
            <w:r w:rsidR="00452A9F">
              <w:rPr>
                <w:rFonts w:ascii="Times New Roman" w:hAnsi="Times New Roman" w:cs="Times New Roman"/>
                <w:sz w:val="24"/>
                <w:szCs w:val="24"/>
              </w:rPr>
              <w:t>1.3 Problem Statement</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0104" w:history="1">
            <w:r w:rsidR="00452A9F">
              <w:rPr>
                <w:rFonts w:ascii="Times New Roman" w:hAnsi="Times New Roman" w:cs="Times New Roman"/>
                <w:sz w:val="24"/>
                <w:szCs w:val="24"/>
              </w:rPr>
              <w:t>1.4 Significance of the Study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4</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6192" w:history="1">
            <w:r w:rsidR="00452A9F">
              <w:rPr>
                <w:rFonts w:ascii="Times New Roman" w:hAnsi="Times New Roman" w:cs="Times New Roman"/>
                <w:sz w:val="24"/>
                <w:szCs w:val="24"/>
              </w:rPr>
              <w:t>1.5 Objectives of the Study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5</w:t>
            </w:r>
            <w:r>
              <w:rPr>
                <w:rFonts w:ascii="Times New Roman" w:hAnsi="Times New Roman" w:cs="Times New Roman"/>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4495" w:history="1">
            <w:r w:rsidR="00452A9F">
              <w:rPr>
                <w:rFonts w:ascii="Times New Roman" w:hAnsi="Times New Roman" w:cs="Times New Roman"/>
                <w:b/>
                <w:sz w:val="24"/>
                <w:szCs w:val="24"/>
              </w:rPr>
              <w:t>CHAPTER TWO</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6</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29404" w:history="1">
            <w:r w:rsidR="00452A9F">
              <w:rPr>
                <w:rFonts w:ascii="Times New Roman" w:hAnsi="Times New Roman" w:cs="Times New Roman"/>
                <w:b/>
                <w:sz w:val="24"/>
                <w:szCs w:val="24"/>
              </w:rPr>
              <w:t>2.0 LITERATURE REVIEW</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6</w:t>
            </w:r>
            <w:r>
              <w:rPr>
                <w:rFonts w:ascii="Times New Roman" w:hAnsi="Times New Roman" w:cs="Times New Roman"/>
                <w:b/>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5816" w:history="1">
            <w:r w:rsidR="00452A9F">
              <w:rPr>
                <w:rFonts w:ascii="Times New Roman" w:hAnsi="Times New Roman" w:cs="Times New Roman"/>
                <w:sz w:val="24"/>
                <w:szCs w:val="24"/>
              </w:rPr>
              <w:t>2.1 Erectile Dysfunction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6</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8841" w:history="1">
            <w:r w:rsidR="00452A9F">
              <w:rPr>
                <w:rFonts w:ascii="Times New Roman" w:hAnsi="Times New Roman" w:cs="Times New Roman"/>
                <w:sz w:val="24"/>
                <w:szCs w:val="24"/>
              </w:rPr>
              <w:t>2.2 Epidemiology of Erectile Dy</w:t>
            </w:r>
            <w:r w:rsidR="00452A9F">
              <w:rPr>
                <w:rFonts w:ascii="Times New Roman" w:hAnsi="Times New Roman" w:cs="Times New Roman"/>
                <w:sz w:val="24"/>
                <w:szCs w:val="24"/>
              </w:rPr>
              <w:t>sfunction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7</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7865" w:history="1">
            <w:r w:rsidR="00452A9F">
              <w:rPr>
                <w:rFonts w:ascii="Times New Roman" w:hAnsi="Times New Roman" w:cs="Times New Roman"/>
                <w:sz w:val="24"/>
                <w:szCs w:val="24"/>
              </w:rPr>
              <w:t>2.3 Pathophysiology of Erectile Dysfunction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9</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255" w:history="1">
            <w:r w:rsidR="00452A9F">
              <w:rPr>
                <w:rFonts w:ascii="Times New Roman" w:hAnsi="Times New Roman" w:cs="Times New Roman"/>
                <w:sz w:val="24"/>
                <w:szCs w:val="24"/>
              </w:rPr>
              <w:t>2.3.1 Phosphodiesterase 5</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11</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4250" w:history="1">
            <w:r w:rsidR="00452A9F">
              <w:rPr>
                <w:rFonts w:ascii="Times New Roman" w:hAnsi="Times New Roman" w:cs="Times New Roman"/>
                <w:sz w:val="24"/>
                <w:szCs w:val="24"/>
              </w:rPr>
              <w:t>2.3.2 Arginase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193" w:history="1">
            <w:r w:rsidR="00452A9F">
              <w:rPr>
                <w:rFonts w:ascii="Times New Roman" w:hAnsi="Times New Roman" w:cs="Times New Roman"/>
                <w:sz w:val="24"/>
                <w:szCs w:val="24"/>
              </w:rPr>
              <w:t>2.3.3 Nitric oxide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13</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175" w:history="1">
            <w:r w:rsidR="00452A9F">
              <w:rPr>
                <w:rFonts w:ascii="Times New Roman" w:hAnsi="Times New Roman" w:cs="Times New Roman"/>
                <w:sz w:val="24"/>
                <w:szCs w:val="24"/>
              </w:rPr>
              <w:t>2.3.4 Creatinine Kinase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15</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2405" w:history="1">
            <w:r w:rsidR="00452A9F">
              <w:rPr>
                <w:rFonts w:ascii="Times New Roman" w:hAnsi="Times New Roman" w:cs="Times New Roman"/>
                <w:sz w:val="24"/>
                <w:szCs w:val="24"/>
              </w:rPr>
              <w:t>2.4 Treatment of Erectile Dysfunction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16</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5373" w:history="1">
            <w:r w:rsidR="00452A9F">
              <w:rPr>
                <w:rFonts w:ascii="Times New Roman" w:hAnsi="Times New Roman" w:cs="Times New Roman"/>
                <w:sz w:val="24"/>
                <w:szCs w:val="24"/>
              </w:rPr>
              <w:t>2.4.1 Limitations of Current Erectile Dysfunction Treatment</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18</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4234" w:history="1">
            <w:r w:rsidR="00452A9F">
              <w:rPr>
                <w:rFonts w:ascii="Times New Roman" w:hAnsi="Times New Roman" w:cs="Times New Roman"/>
                <w:sz w:val="24"/>
                <w:szCs w:val="24"/>
              </w:rPr>
              <w:t>2.5 Syzygium aromaticum</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19</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4722" w:history="1">
            <w:r w:rsidR="00452A9F">
              <w:rPr>
                <w:rFonts w:ascii="Times New Roman" w:hAnsi="Times New Roman" w:cs="Times New Roman"/>
                <w:sz w:val="24"/>
                <w:szCs w:val="24"/>
              </w:rPr>
              <w:t xml:space="preserve">2.5.1 Bioactive Components </w:t>
            </w:r>
            <w:r w:rsidR="00452A9F">
              <w:rPr>
                <w:rFonts w:ascii="Times New Roman" w:hAnsi="Times New Roman" w:cs="Times New Roman"/>
                <w:sz w:val="24"/>
                <w:szCs w:val="24"/>
              </w:rPr>
              <w:t>of Syzygium aromaticum</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20</w:t>
            </w:r>
            <w:r>
              <w:rPr>
                <w:rFonts w:ascii="Times New Roman" w:hAnsi="Times New Roman" w:cs="Times New Roman"/>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12238" w:history="1">
            <w:r w:rsidR="00452A9F">
              <w:rPr>
                <w:rFonts w:ascii="Times New Roman" w:hAnsi="Times New Roman" w:cs="Times New Roman"/>
                <w:b/>
                <w:sz w:val="24"/>
                <w:szCs w:val="24"/>
              </w:rPr>
              <w:t>CHAPTER THREE</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22</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19633" w:history="1">
            <w:r w:rsidR="00452A9F">
              <w:rPr>
                <w:rFonts w:ascii="Times New Roman" w:hAnsi="Times New Roman" w:cs="Times New Roman"/>
                <w:b/>
                <w:sz w:val="24"/>
                <w:szCs w:val="24"/>
              </w:rPr>
              <w:t>3.0 MATERIALS AND METHODS</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22</w:t>
            </w:r>
            <w:r>
              <w:rPr>
                <w:rFonts w:ascii="Times New Roman" w:hAnsi="Times New Roman" w:cs="Times New Roman"/>
                <w:b/>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1224" w:history="1">
            <w:r w:rsidR="00452A9F">
              <w:rPr>
                <w:rFonts w:ascii="Times New Roman" w:hAnsi="Times New Roman" w:cs="Times New Roman"/>
                <w:sz w:val="24"/>
                <w:szCs w:val="24"/>
              </w:rPr>
              <w:t>3.1 Materials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5168" w:history="1">
            <w:r w:rsidR="00452A9F">
              <w:rPr>
                <w:rFonts w:ascii="Times New Roman" w:hAnsi="Times New Roman" w:cs="Times New Roman"/>
                <w:sz w:val="24"/>
                <w:szCs w:val="24"/>
              </w:rPr>
              <w:t>3.1.1 Plant Materials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3870" w:history="1">
            <w:r w:rsidR="00452A9F">
              <w:rPr>
                <w:rFonts w:ascii="Times New Roman" w:hAnsi="Times New Roman" w:cs="Times New Roman"/>
                <w:sz w:val="24"/>
                <w:szCs w:val="24"/>
              </w:rPr>
              <w:t>3.1.2 Experimental Animal</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w:instrText>
            </w:r>
            <w:r w:rsidR="00452A9F">
              <w:rPr>
                <w:rFonts w:ascii="Times New Roman" w:hAnsi="Times New Roman" w:cs="Times New Roman"/>
                <w:sz w:val="24"/>
                <w:szCs w:val="24"/>
              </w:rPr>
              <w:instrText xml:space="preserve">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6950" w:history="1">
            <w:r w:rsidR="00452A9F">
              <w:rPr>
                <w:rFonts w:ascii="Times New Roman" w:hAnsi="Times New Roman" w:cs="Times New Roman"/>
                <w:sz w:val="24"/>
                <w:szCs w:val="24"/>
              </w:rPr>
              <w:t>3.1.3 Reagents and Kits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2038" w:history="1">
            <w:r w:rsidR="00452A9F">
              <w:rPr>
                <w:rFonts w:ascii="Times New Roman" w:hAnsi="Times New Roman" w:cs="Times New Roman"/>
                <w:sz w:val="24"/>
                <w:szCs w:val="24"/>
              </w:rPr>
              <w:t>3.2</w:t>
            </w:r>
            <w:r w:rsidR="00452A9F">
              <w:rPr>
                <w:rFonts w:ascii="Times New Roman" w:hAnsi="Times New Roman" w:cs="Times New Roman"/>
                <w:sz w:val="24"/>
                <w:szCs w:val="24"/>
              </w:rPr>
              <w:t xml:space="preserve"> Methods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8352" w:history="1">
            <w:r w:rsidR="00452A9F">
              <w:rPr>
                <w:rFonts w:ascii="Times New Roman" w:hAnsi="Times New Roman" w:cs="Times New Roman"/>
                <w:sz w:val="24"/>
                <w:szCs w:val="24"/>
              </w:rPr>
              <w:t>3.2.1 Preparation of Clove Extract</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1219" w:history="1">
            <w:r w:rsidR="00452A9F">
              <w:rPr>
                <w:rFonts w:ascii="Times New Roman" w:hAnsi="Times New Roman" w:cs="Times New Roman"/>
                <w:sz w:val="24"/>
                <w:szCs w:val="24"/>
              </w:rPr>
              <w:t>3.2.2 Experimental Design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23</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3318" w:history="1">
            <w:r w:rsidR="00452A9F">
              <w:rPr>
                <w:rFonts w:ascii="Times New Roman" w:hAnsi="Times New Roman" w:cs="Times New Roman"/>
                <w:sz w:val="24"/>
                <w:szCs w:val="24"/>
              </w:rPr>
              <w:t>3.2.3 Induction of Erecti</w:t>
            </w:r>
            <w:r w:rsidR="00452A9F">
              <w:rPr>
                <w:rFonts w:ascii="Times New Roman" w:hAnsi="Times New Roman" w:cs="Times New Roman"/>
                <w:sz w:val="24"/>
                <w:szCs w:val="24"/>
              </w:rPr>
              <w:t>le Dysfunction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23</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8007" w:history="1">
            <w:r w:rsidR="00452A9F">
              <w:rPr>
                <w:rFonts w:ascii="Times New Roman" w:hAnsi="Times New Roman" w:cs="Times New Roman"/>
                <w:sz w:val="24"/>
                <w:szCs w:val="24"/>
              </w:rPr>
              <w:t>3.2.4 Determination of Body-Organ Weight Ratio</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23</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1493" w:history="1">
            <w:r w:rsidR="00452A9F">
              <w:rPr>
                <w:rFonts w:ascii="Times New Roman" w:hAnsi="Times New Roman" w:cs="Times New Roman"/>
                <w:sz w:val="24"/>
                <w:szCs w:val="24"/>
              </w:rPr>
              <w:t>3.2.5 Determination of Phosphodiesterase 5 Activity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24</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7686" w:history="1">
            <w:r w:rsidR="00452A9F">
              <w:rPr>
                <w:rFonts w:ascii="Times New Roman" w:hAnsi="Times New Roman" w:cs="Times New Roman"/>
                <w:sz w:val="24"/>
                <w:szCs w:val="24"/>
              </w:rPr>
              <w:t xml:space="preserve">3.2.6 Determination of Penile Nitric Oxide </w:t>
            </w:r>
            <w:r w:rsidR="00452A9F">
              <w:rPr>
                <w:rFonts w:ascii="Times New Roman" w:hAnsi="Times New Roman" w:cs="Times New Roman"/>
                <w:sz w:val="24"/>
                <w:szCs w:val="24"/>
              </w:rPr>
              <w:t>Concentrations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24</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4838" w:history="1">
            <w:r w:rsidR="00452A9F">
              <w:rPr>
                <w:rFonts w:ascii="Times New Roman" w:hAnsi="Times New Roman" w:cs="Times New Roman"/>
                <w:sz w:val="24"/>
                <w:szCs w:val="24"/>
              </w:rPr>
              <w:t>3.2.7 Arginase Activity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24</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1072" w:history="1">
            <w:r w:rsidR="00452A9F">
              <w:rPr>
                <w:rFonts w:ascii="Times New Roman" w:hAnsi="Times New Roman" w:cs="Times New Roman"/>
                <w:sz w:val="24"/>
                <w:szCs w:val="24"/>
              </w:rPr>
              <w:t>3.2.8 Creatine Kinase (CK) Activity Assay</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25</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1671" w:history="1">
            <w:r w:rsidR="00452A9F">
              <w:rPr>
                <w:rFonts w:ascii="Times New Roman" w:hAnsi="Times New Roman" w:cs="Times New Roman"/>
                <w:sz w:val="24"/>
                <w:szCs w:val="24"/>
              </w:rPr>
              <w:t>3.2.9 Lipid Profile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25</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6784" w:history="1">
            <w:r w:rsidR="00452A9F">
              <w:rPr>
                <w:rFonts w:ascii="Times New Roman" w:hAnsi="Times New Roman" w:cs="Times New Roman"/>
                <w:sz w:val="24"/>
                <w:szCs w:val="24"/>
              </w:rPr>
              <w:t>3.2.9.1 Serum Total Cholesterol Concentration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25</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2472" w:history="1">
            <w:r w:rsidR="00452A9F">
              <w:rPr>
                <w:rFonts w:ascii="Times New Roman" w:hAnsi="Times New Roman" w:cs="Times New Roman"/>
                <w:sz w:val="24"/>
                <w:szCs w:val="24"/>
              </w:rPr>
              <w:t>3.2.9.2 Triglycerides concentration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w:instrText>
            </w:r>
            <w:r w:rsidR="00452A9F">
              <w:rPr>
                <w:rFonts w:ascii="Times New Roman" w:hAnsi="Times New Roman" w:cs="Times New Roman"/>
                <w:sz w:val="24"/>
                <w:szCs w:val="24"/>
              </w:rPr>
              <w:instrText xml:space="preserv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26</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1284" w:history="1">
            <w:r w:rsidR="00452A9F">
              <w:rPr>
                <w:rFonts w:ascii="Times New Roman" w:hAnsi="Times New Roman" w:cs="Times New Roman"/>
                <w:sz w:val="24"/>
                <w:szCs w:val="24"/>
              </w:rPr>
              <w:t>3.2.9.3 Serum High Density Lipoprotein-Cholesterol Concentration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26</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958" w:history="1">
            <w:r w:rsidR="00452A9F">
              <w:rPr>
                <w:rFonts w:ascii="Times New Roman" w:hAnsi="Times New Roman" w:cs="Times New Roman"/>
                <w:sz w:val="24"/>
                <w:szCs w:val="24"/>
              </w:rPr>
              <w:t>3.2.9.4 Serum Low Density Lipoprotein-Cholesterol Concentration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27</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5856" w:history="1">
            <w:r w:rsidR="00452A9F">
              <w:rPr>
                <w:rFonts w:ascii="Times New Roman" w:hAnsi="Times New Roman" w:cs="Times New Roman"/>
                <w:sz w:val="24"/>
                <w:szCs w:val="24"/>
              </w:rPr>
              <w:t>3.2.9.5 Atherogenic Index</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27</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1381" w:history="1">
            <w:r w:rsidR="00452A9F">
              <w:rPr>
                <w:rFonts w:ascii="Times New Roman" w:hAnsi="Times New Roman" w:cs="Times New Roman"/>
                <w:sz w:val="24"/>
                <w:szCs w:val="24"/>
              </w:rPr>
              <w:t>3.2.10 Statistical Analysis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27</w:t>
            </w:r>
            <w:r>
              <w:rPr>
                <w:rFonts w:ascii="Times New Roman" w:hAnsi="Times New Roman" w:cs="Times New Roman"/>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27551" w:history="1">
            <w:r w:rsidR="00452A9F">
              <w:rPr>
                <w:rFonts w:ascii="Times New Roman" w:hAnsi="Times New Roman" w:cs="Times New Roman"/>
                <w:b/>
                <w:sz w:val="24"/>
                <w:szCs w:val="24"/>
              </w:rPr>
              <w:t>CHAPTER FOUR</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28</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9504" w:history="1">
            <w:r w:rsidR="00452A9F">
              <w:rPr>
                <w:rFonts w:ascii="Times New Roman" w:hAnsi="Times New Roman" w:cs="Times New Roman"/>
                <w:b/>
                <w:sz w:val="24"/>
                <w:szCs w:val="24"/>
              </w:rPr>
              <w:t>4.0 RESULTS</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28</w:t>
            </w:r>
            <w:r>
              <w:rPr>
                <w:rFonts w:ascii="Times New Roman" w:hAnsi="Times New Roman" w:cs="Times New Roman"/>
                <w:b/>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8506" w:history="1">
            <w:r w:rsidR="00452A9F">
              <w:rPr>
                <w:rFonts w:ascii="Times New Roman" w:hAnsi="Times New Roman" w:cs="Times New Roman"/>
                <w:sz w:val="24"/>
                <w:szCs w:val="24"/>
              </w:rPr>
              <w:t>4.1 Percentage Yield of the Extract</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28</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30697" w:history="1">
            <w:r w:rsidR="00452A9F">
              <w:rPr>
                <w:rFonts w:ascii="Times New Roman" w:hAnsi="Times New Roman" w:cs="Times New Roman"/>
                <w:sz w:val="24"/>
                <w:szCs w:val="24"/>
              </w:rPr>
              <w:t>4.2 Phytochemic</w:t>
            </w:r>
            <w:r w:rsidR="00452A9F">
              <w:rPr>
                <w:rFonts w:ascii="Times New Roman" w:hAnsi="Times New Roman" w:cs="Times New Roman"/>
                <w:sz w:val="24"/>
                <w:szCs w:val="24"/>
              </w:rPr>
              <w:t>al Screening of Syzygium aromaticum Aqueous Extract</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28</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592" w:history="1">
            <w:r w:rsidR="00452A9F">
              <w:rPr>
                <w:rFonts w:ascii="Times New Roman" w:hAnsi="Times New Roman" w:cs="Times New Roman"/>
                <w:sz w:val="24"/>
                <w:szCs w:val="24"/>
              </w:rPr>
              <w:t>4.3 Penile Organ-Body Ratios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29</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629" w:history="1">
            <w:r w:rsidR="00452A9F">
              <w:rPr>
                <w:rFonts w:ascii="Times New Roman" w:hAnsi="Times New Roman" w:cs="Times New Roman"/>
                <w:sz w:val="24"/>
                <w:szCs w:val="24"/>
              </w:rPr>
              <w:t>4.4 Nitric Oxide Concentration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29</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5457" w:history="1">
            <w:r w:rsidR="00452A9F">
              <w:rPr>
                <w:rFonts w:ascii="Times New Roman" w:hAnsi="Times New Roman" w:cs="Times New Roman"/>
                <w:sz w:val="24"/>
                <w:szCs w:val="24"/>
              </w:rPr>
              <w:t>4.5 In vivo Enzyme Assays</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30</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8863" w:history="1">
            <w:r w:rsidR="00452A9F">
              <w:rPr>
                <w:rFonts w:ascii="Times New Roman" w:hAnsi="Times New Roman" w:cs="Times New Roman"/>
                <w:sz w:val="24"/>
                <w:szCs w:val="24"/>
              </w:rPr>
              <w:t>4.5.1 Phosphodiesterase 5</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30</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3441" w:history="1">
            <w:r w:rsidR="00452A9F">
              <w:rPr>
                <w:rFonts w:ascii="Times New Roman" w:hAnsi="Times New Roman" w:cs="Times New Roman"/>
                <w:sz w:val="24"/>
                <w:szCs w:val="24"/>
              </w:rPr>
              <w:t>4.5.2 Arginase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31</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19066" w:history="1">
            <w:r w:rsidR="00452A9F">
              <w:rPr>
                <w:rFonts w:ascii="Times New Roman" w:hAnsi="Times New Roman" w:cs="Times New Roman"/>
                <w:sz w:val="24"/>
                <w:szCs w:val="24"/>
              </w:rPr>
              <w:t>4.5.3 C</w:t>
            </w:r>
            <w:r w:rsidR="00452A9F">
              <w:rPr>
                <w:rFonts w:ascii="Times New Roman" w:hAnsi="Times New Roman" w:cs="Times New Roman"/>
                <w:sz w:val="24"/>
                <w:szCs w:val="24"/>
              </w:rPr>
              <w:t>reatinine Kinase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32</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3112" w:history="1">
            <w:r w:rsidR="00452A9F">
              <w:rPr>
                <w:rFonts w:ascii="Times New Roman" w:hAnsi="Times New Roman" w:cs="Times New Roman"/>
                <w:sz w:val="24"/>
                <w:szCs w:val="24"/>
              </w:rPr>
              <w:t>4.6 Serum Lipid Profile</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32</w:t>
            </w:r>
            <w:r>
              <w:rPr>
                <w:rFonts w:ascii="Times New Roman" w:hAnsi="Times New Roman" w:cs="Times New Roman"/>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30383" w:history="1">
            <w:r w:rsidR="00452A9F">
              <w:rPr>
                <w:rFonts w:ascii="Times New Roman" w:hAnsi="Times New Roman" w:cs="Times New Roman"/>
                <w:b/>
                <w:sz w:val="24"/>
                <w:szCs w:val="24"/>
              </w:rPr>
              <w:t>CHAPTER FIVE</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34</w:t>
            </w:r>
            <w:r>
              <w:rPr>
                <w:rFonts w:ascii="Times New Roman" w:hAnsi="Times New Roman" w:cs="Times New Roman"/>
                <w:b/>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22960" w:history="1">
            <w:r w:rsidR="00452A9F">
              <w:rPr>
                <w:rFonts w:ascii="Times New Roman" w:hAnsi="Times New Roman" w:cs="Times New Roman"/>
                <w:b/>
                <w:sz w:val="24"/>
                <w:szCs w:val="24"/>
              </w:rPr>
              <w:t>5.0 DISCUSSION, CONCLUSION AND RECOMM</w:t>
            </w:r>
            <w:r w:rsidR="00452A9F">
              <w:rPr>
                <w:rFonts w:ascii="Times New Roman" w:hAnsi="Times New Roman" w:cs="Times New Roman"/>
                <w:b/>
                <w:sz w:val="24"/>
                <w:szCs w:val="24"/>
              </w:rPr>
              <w:t>ENDATION</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34</w:t>
            </w:r>
            <w:r>
              <w:rPr>
                <w:rFonts w:ascii="Times New Roman" w:hAnsi="Times New Roman" w:cs="Times New Roman"/>
                <w:b/>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9947" w:history="1">
            <w:r w:rsidR="00452A9F">
              <w:rPr>
                <w:rFonts w:ascii="Times New Roman" w:hAnsi="Times New Roman" w:cs="Times New Roman"/>
                <w:sz w:val="24"/>
                <w:szCs w:val="24"/>
              </w:rPr>
              <w:t>5.1 Discussion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34</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20326" w:history="1">
            <w:r w:rsidR="00452A9F">
              <w:rPr>
                <w:rFonts w:ascii="Times New Roman" w:hAnsi="Times New Roman" w:cs="Times New Roman"/>
                <w:sz w:val="24"/>
                <w:szCs w:val="24"/>
              </w:rPr>
              <w:t>5.2 Conclusion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36</w:t>
            </w:r>
            <w:r>
              <w:rPr>
                <w:rFonts w:ascii="Times New Roman" w:hAnsi="Times New Roman" w:cs="Times New Roman"/>
                <w:sz w:val="24"/>
                <w:szCs w:val="24"/>
              </w:rPr>
              <w:fldChar w:fldCharType="end"/>
            </w:r>
          </w:hyperlink>
        </w:p>
        <w:p w:rsidR="00BC5E03" w:rsidRDefault="00BC5E03">
          <w:pPr>
            <w:pStyle w:val="WPSOffice2"/>
            <w:tabs>
              <w:tab w:val="right" w:leader="dot" w:pos="9746"/>
            </w:tabs>
            <w:ind w:left="400"/>
            <w:rPr>
              <w:rFonts w:ascii="Times New Roman" w:hAnsi="Times New Roman" w:cs="Times New Roman"/>
              <w:sz w:val="24"/>
              <w:szCs w:val="24"/>
            </w:rPr>
          </w:pPr>
          <w:hyperlink w:anchor="_Toc8899" w:history="1">
            <w:r w:rsidR="00452A9F">
              <w:rPr>
                <w:rFonts w:ascii="Times New Roman" w:hAnsi="Times New Roman" w:cs="Times New Roman"/>
                <w:sz w:val="24"/>
                <w:szCs w:val="24"/>
              </w:rPr>
              <w:t>5.3 Recommendation</w:t>
            </w:r>
            <w:r w:rsidR="00452A9F">
              <w:rPr>
                <w:rFonts w:ascii="Times New Roman" w:hAnsi="Times New Roman" w:cs="Times New Roman"/>
                <w:sz w:val="24"/>
                <w:szCs w:val="24"/>
              </w:rPr>
              <w:tab/>
            </w:r>
            <w:r>
              <w:rPr>
                <w:rFonts w:ascii="Times New Roman" w:hAnsi="Times New Roman" w:cs="Times New Roman"/>
                <w:sz w:val="24"/>
                <w:szCs w:val="24"/>
              </w:rPr>
              <w:fldChar w:fldCharType="begin"/>
            </w:r>
            <w:r w:rsidR="00452A9F">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52A9F">
              <w:rPr>
                <w:rFonts w:ascii="Times New Roman" w:hAnsi="Times New Roman" w:cs="Times New Roman"/>
                <w:sz w:val="24"/>
                <w:szCs w:val="24"/>
              </w:rPr>
              <w:t>37</w:t>
            </w:r>
            <w:r>
              <w:rPr>
                <w:rFonts w:ascii="Times New Roman" w:hAnsi="Times New Roman" w:cs="Times New Roman"/>
                <w:sz w:val="24"/>
                <w:szCs w:val="24"/>
              </w:rPr>
              <w:fldChar w:fldCharType="end"/>
            </w:r>
          </w:hyperlink>
        </w:p>
        <w:p w:rsidR="00BC5E03" w:rsidRDefault="00BC5E03">
          <w:pPr>
            <w:pStyle w:val="WPSOffice1"/>
            <w:tabs>
              <w:tab w:val="right" w:leader="dot" w:pos="9746"/>
            </w:tabs>
            <w:rPr>
              <w:rFonts w:ascii="Times New Roman" w:hAnsi="Times New Roman" w:cs="Times New Roman"/>
              <w:b/>
              <w:sz w:val="24"/>
              <w:szCs w:val="24"/>
            </w:rPr>
          </w:pPr>
          <w:hyperlink w:anchor="_Toc26004" w:history="1">
            <w:r w:rsidR="00452A9F">
              <w:rPr>
                <w:rFonts w:ascii="Times New Roman" w:hAnsi="Times New Roman" w:cs="Times New Roman"/>
                <w:b/>
                <w:sz w:val="24"/>
                <w:szCs w:val="24"/>
              </w:rPr>
              <w:t>REFERENCES</w:t>
            </w:r>
            <w:r w:rsidR="00452A9F">
              <w:rPr>
                <w:rFonts w:ascii="Times New Roman" w:hAnsi="Times New Roman" w:cs="Times New Roman"/>
                <w:b/>
                <w:sz w:val="24"/>
                <w:szCs w:val="24"/>
              </w:rPr>
              <w:tab/>
            </w:r>
            <w:r>
              <w:rPr>
                <w:rFonts w:ascii="Times New Roman" w:hAnsi="Times New Roman" w:cs="Times New Roman"/>
                <w:b/>
                <w:sz w:val="24"/>
                <w:szCs w:val="24"/>
              </w:rPr>
              <w:fldChar w:fldCharType="begin"/>
            </w:r>
            <w:r w:rsidR="00452A9F">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452A9F">
              <w:rPr>
                <w:rFonts w:ascii="Times New Roman" w:hAnsi="Times New Roman" w:cs="Times New Roman"/>
                <w:b/>
                <w:sz w:val="24"/>
                <w:szCs w:val="24"/>
              </w:rPr>
              <w:t>38</w:t>
            </w:r>
            <w:r>
              <w:rPr>
                <w:rFonts w:ascii="Times New Roman" w:hAnsi="Times New Roman" w:cs="Times New Roman"/>
                <w:b/>
                <w:sz w:val="24"/>
                <w:szCs w:val="24"/>
              </w:rPr>
              <w:fldChar w:fldCharType="end"/>
            </w:r>
          </w:hyperlink>
        </w:p>
        <w:p w:rsidR="00BC5E03" w:rsidRDefault="00BC5E03">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rsidR="00BC5E03" w:rsidRDefault="00BC5E03">
      <w:pPr>
        <w:rPr>
          <w:b/>
        </w:rPr>
      </w:pPr>
    </w:p>
    <w:p w:rsidR="00BC5E03" w:rsidRDefault="00452A9F">
      <w:pPr>
        <w:rPr>
          <w:rFonts w:ascii="SimSun" w:eastAsia="SimSun" w:hAnsi="SimSun"/>
          <w:b/>
        </w:rPr>
      </w:pPr>
      <w:r>
        <w:rPr>
          <w:rFonts w:ascii="SimSun" w:eastAsia="SimSun" w:hAnsi="SimSun"/>
          <w:b/>
        </w:rPr>
        <w:br w:type="page"/>
      </w:r>
    </w:p>
    <w:p w:rsidR="00BC5E03" w:rsidRDefault="00BC5E03">
      <w:pPr>
        <w:pStyle w:val="Heading1"/>
        <w:spacing w:line="240" w:lineRule="auto"/>
        <w:ind w:left="2880" w:firstLine="720"/>
        <w:sectPr w:rsidR="00BC5E03">
          <w:footerReference w:type="default" r:id="rId8"/>
          <w:footerReference w:type="first" r:id="rId9"/>
          <w:pgSz w:w="11906" w:h="16838"/>
          <w:pgMar w:top="1440" w:right="1080" w:bottom="1440" w:left="1080" w:header="720" w:footer="720" w:gutter="0"/>
          <w:pgNumType w:fmt="upperRoman"/>
          <w:cols w:space="720"/>
          <w:titlePg/>
          <w:docGrid w:linePitch="360"/>
        </w:sectPr>
      </w:pPr>
    </w:p>
    <w:p w:rsidR="00BC5E03" w:rsidRDefault="00452A9F">
      <w:pPr>
        <w:pStyle w:val="Heading1"/>
        <w:spacing w:line="240" w:lineRule="auto"/>
        <w:ind w:left="2880" w:firstLine="720"/>
      </w:pPr>
      <w:bookmarkStart w:id="7" w:name="_Toc10697"/>
      <w:r>
        <w:lastRenderedPageBreak/>
        <w:t>CHAPTER ONE</w:t>
      </w:r>
      <w:bookmarkEnd w:id="7"/>
    </w:p>
    <w:p w:rsidR="00BC5E03" w:rsidRDefault="00452A9F">
      <w:pPr>
        <w:pStyle w:val="Heading1"/>
        <w:spacing w:line="240" w:lineRule="auto"/>
      </w:pPr>
      <w:bookmarkStart w:id="8" w:name="_Toc4022"/>
      <w:r>
        <w:t>1.0 INTRODUCTION</w:t>
      </w:r>
      <w:bookmarkEnd w:id="8"/>
    </w:p>
    <w:p w:rsidR="00BC5E03" w:rsidRDefault="00452A9F">
      <w:pPr>
        <w:pStyle w:val="Heading2"/>
        <w:numPr>
          <w:ilvl w:val="1"/>
          <w:numId w:val="1"/>
        </w:numPr>
        <w:spacing w:line="360" w:lineRule="auto"/>
        <w:jc w:val="both"/>
      </w:pPr>
      <w:bookmarkStart w:id="9" w:name="_Toc10179"/>
      <w:r>
        <w:t>Background of the Study</w:t>
      </w:r>
      <w:bookmarkEnd w:id="9"/>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w:t>
      </w:r>
      <w:r>
        <w:rPr>
          <w:rFonts w:ascii="Times New Roman" w:hAnsi="Times New Roman"/>
          <w:sz w:val="24"/>
          <w:szCs w:val="24"/>
        </w:rPr>
        <w:t>gies, but increasing evidence points toward pharmacological etiologies, particularly antidepressants like paroxetine, as significant etiologies. Paroxetine, an SSRI, is usually used to cure depression and anxiety but has been associated with adverse sexual</w:t>
      </w:r>
      <w:r>
        <w:rPr>
          <w:rFonts w:ascii="Times New Roman" w:hAnsi="Times New Roman"/>
          <w:sz w:val="24"/>
          <w:szCs w:val="24"/>
        </w:rPr>
        <w:t xml:space="preserve"> side effects such as low libido, delayed ejaculation, and impaired erectile function (Odetayo &amp; Olayaki, 2023). These are mostly due to the blocking of serotonergic and dopaminergic, and nitric oxide, mechanisms that play significant roles in sexual arous</w:t>
      </w:r>
      <w:r>
        <w:rPr>
          <w:rFonts w:ascii="Times New Roman" w:hAnsi="Times New Roman"/>
          <w:sz w:val="24"/>
          <w:szCs w:val="24"/>
        </w:rPr>
        <w:t xml:space="preserve">al and penile erection (Besong </w:t>
      </w:r>
      <w:r>
        <w:rPr>
          <w:rFonts w:ascii="Times New Roman" w:hAnsi="Times New Roman"/>
          <w:i/>
          <w:iCs/>
          <w:sz w:val="24"/>
          <w:szCs w:val="24"/>
        </w:rPr>
        <w:t>et al.,</w:t>
      </w:r>
      <w:r>
        <w:rPr>
          <w:rFonts w:ascii="Times New Roman" w:hAnsi="Times New Roman"/>
          <w:sz w:val="24"/>
          <w:szCs w:val="24"/>
        </w:rPr>
        <w:t xml:space="preserve"> 2023; Odetayo &amp; Olayaki, 2023).</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w:t>
      </w:r>
      <w:r>
        <w:rPr>
          <w:rFonts w:ascii="Times New Roman" w:hAnsi="Times New Roman"/>
          <w:sz w:val="24"/>
          <w:szCs w:val="24"/>
        </w:rPr>
        <w:t xml:space="preserve">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w:t>
      </w:r>
      <w:r>
        <w:rPr>
          <w:rFonts w:ascii="Times New Roman" w:hAnsi="Times New Roman"/>
          <w:sz w:val="24"/>
          <w:szCs w:val="24"/>
        </w:rPr>
        <w:t xml:space="preserve">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w:t>
      </w:r>
      <w:r>
        <w:rPr>
          <w:rFonts w:ascii="Times New Roman" w:hAnsi="Times New Roman"/>
          <w:sz w:val="24"/>
          <w:szCs w:val="24"/>
        </w:rPr>
        <w:t xml:space="preserve">er </w:t>
      </w:r>
      <w:r>
        <w:rPr>
          <w:rFonts w:ascii="Times New Roman" w:hAnsi="Times New Roman"/>
          <w:i/>
          <w:iCs/>
          <w:sz w:val="24"/>
          <w:szCs w:val="24"/>
        </w:rPr>
        <w:t>et al.,</w:t>
      </w:r>
      <w:r>
        <w:rPr>
          <w:rFonts w:ascii="Times New Roman" w:hAnsi="Times New Roman"/>
          <w:sz w:val="24"/>
          <w:szCs w:val="24"/>
        </w:rPr>
        <w:t xml:space="preserve"> 2021).</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w:t>
      </w:r>
      <w:r>
        <w:rPr>
          <w:rFonts w:ascii="Times New Roman" w:hAnsi="Times New Roman"/>
          <w:sz w:val="24"/>
          <w:szCs w:val="24"/>
        </w:rPr>
        <w:t xml:space="preserve">dysfunction. Other studies have indicated that antioxidants from medicinal plants can reverse the oxidative stress and hormonal imbalance caused </w:t>
      </w:r>
      <w:r>
        <w:rPr>
          <w:rFonts w:ascii="Times New Roman" w:hAnsi="Times New Roman"/>
          <w:sz w:val="24"/>
          <w:szCs w:val="24"/>
        </w:rPr>
        <w:lastRenderedPageBreak/>
        <w:t xml:space="preserve">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Kpomah </w:t>
      </w:r>
      <w:r>
        <w:rPr>
          <w:rFonts w:ascii="Times New Roman" w:hAnsi="Times New Roman"/>
          <w:i/>
          <w:iCs/>
          <w:sz w:val="24"/>
          <w:szCs w:val="24"/>
        </w:rPr>
        <w:t>et al.,</w:t>
      </w:r>
      <w:r>
        <w:rPr>
          <w:rFonts w:ascii="Times New Roman" w:hAnsi="Times New Roman"/>
          <w:sz w:val="24"/>
          <w:szCs w:val="24"/>
        </w:rPr>
        <w:t xml:space="preserve"> 2024). It is a strong</w:t>
      </w:r>
      <w:r>
        <w:rPr>
          <w:rFonts w:ascii="Times New Roman" w:hAnsi="Times New Roman"/>
          <w:sz w:val="24"/>
          <w:szCs w:val="24"/>
        </w:rPr>
        <w:t xml:space="preserve"> rationale for investigating the aqueous extract 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w:t>
      </w:r>
      <w:r>
        <w:rPr>
          <w:rFonts w:ascii="Times New Roman" w:hAnsi="Times New Roman"/>
          <w:sz w:val="24"/>
          <w:szCs w:val="24"/>
        </w:rPr>
        <w:t>ly where access to mainstream pharmacological interventions is limited.</w:t>
      </w:r>
    </w:p>
    <w:p w:rsidR="00BC5E03" w:rsidRDefault="00452A9F">
      <w:pPr>
        <w:pStyle w:val="Heading2"/>
        <w:spacing w:line="240" w:lineRule="auto"/>
      </w:pPr>
      <w:bookmarkStart w:id="10" w:name="_Toc12307"/>
      <w:r>
        <w:t>1.2 Justification for the Study</w:t>
      </w:r>
      <w:bookmarkEnd w:id="10"/>
    </w:p>
    <w:p w:rsidR="00BC5E03" w:rsidRDefault="00452A9F">
      <w:pPr>
        <w:spacing w:line="480" w:lineRule="auto"/>
        <w:jc w:val="both"/>
        <w:rPr>
          <w:rFonts w:ascii="Times New Roman" w:hAnsi="Times New Roman"/>
          <w:sz w:val="24"/>
          <w:szCs w:val="24"/>
        </w:rPr>
      </w:pPr>
      <w:r>
        <w:rPr>
          <w:rFonts w:ascii="Times New Roman" w:hAnsi="Times New Roman"/>
          <w:sz w:val="24"/>
          <w:szCs w:val="24"/>
        </w:rPr>
        <w:t>Sexual dysfunction is a prevalent side effect of selective serotonin re-uptake inhibitors (SSRIs), particularly paroxetine, that adversely affects sexua</w:t>
      </w:r>
      <w:r>
        <w:rPr>
          <w:rFonts w:ascii="Times New Roman" w:hAnsi="Times New Roman"/>
          <w:sz w:val="24"/>
          <w:szCs w:val="24"/>
        </w:rPr>
        <w:t>l desire, erection, and ejaculation (Odetayo &amp; Olayaki, 2023). While one of the most effective medications for depression and anxiety disorders, long-term treatment has been linked with heavy impairment of male sexual function by disruption of hormonal con</w:t>
      </w:r>
      <w:r>
        <w:rPr>
          <w:rFonts w:ascii="Times New Roman" w:hAnsi="Times New Roman"/>
          <w:sz w:val="24"/>
          <w:szCs w:val="24"/>
        </w:rPr>
        <w:t xml:space="preserve">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Odetayo &amp; Olayaki, 2023). These effects not only decrease the quality of life but also threaten medication compliance in patients taking SSRIs. Pharmacologic treatments for erecti</w:t>
      </w:r>
      <w:r>
        <w:rPr>
          <w:rFonts w:ascii="Times New Roman" w:hAnsi="Times New Roman"/>
          <w:sz w:val="24"/>
          <w:szCs w:val="24"/>
        </w:rPr>
        <w:t>le dysfunction, such as phosphodiesterase type 5 inhibitors, have no effect in all and may be cardiotoxic in certain populations (Odetayo &amp; Olayaki, 2023). It has prompted the search for other safe, accessible, and affordable therapies.</w:t>
      </w:r>
    </w:p>
    <w:p w:rsidR="00BC5E03" w:rsidRDefault="00452A9F">
      <w:pPr>
        <w:spacing w:line="480" w:lineRule="auto"/>
        <w:jc w:val="both"/>
        <w:rPr>
          <w:rFonts w:ascii="Times New Roman" w:hAnsi="Times New Roman"/>
          <w:b/>
          <w:bCs/>
          <w:sz w:val="24"/>
          <w:szCs w:val="24"/>
        </w:rPr>
      </w:pPr>
      <w:r>
        <w:rPr>
          <w:rFonts w:ascii="Times New Roman" w:hAnsi="Times New Roman"/>
          <w:sz w:val="24"/>
          <w:szCs w:val="24"/>
        </w:rPr>
        <w:t xml:space="preserve">Medicinal herbs </w:t>
      </w:r>
      <w:r>
        <w:rPr>
          <w:rFonts w:ascii="Times New Roman" w:hAnsi="Times New Roman"/>
          <w:sz w:val="24"/>
          <w:szCs w:val="24"/>
        </w:rPr>
        <w:t>have been used traditionally to enhance sexual function from ancient times in many systems of traditional medicine.Syzygium aromaticum (clove) is among them, which is known for its widespread availability and traditional use as an aphrodisiac. Its bioactiv</w:t>
      </w:r>
      <w:r>
        <w:rPr>
          <w:rFonts w:ascii="Times New Roman" w:hAnsi="Times New Roman"/>
          <w:sz w:val="24"/>
          <w:szCs w:val="24"/>
        </w:rPr>
        <w:t xml:space="preserve">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w:t>
      </w:r>
      <w:r>
        <w:rPr>
          <w:rFonts w:ascii="Times New Roman" w:hAnsi="Times New Roman"/>
          <w:sz w:val="24"/>
          <w:szCs w:val="24"/>
        </w:rPr>
        <w:t xml:space="preserve">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aromaticum's pro-sexual activity in healthy rodents, evidence of </w:t>
      </w:r>
      <w:r>
        <w:rPr>
          <w:rFonts w:ascii="Times New Roman" w:hAnsi="Times New Roman"/>
          <w:sz w:val="24"/>
          <w:szCs w:val="24"/>
        </w:rPr>
        <w:lastRenderedPageBreak/>
        <w:t>its action in models of pharmacologically induced sexual dysfunction, and in models specifically representin</w:t>
      </w:r>
      <w:r>
        <w:rPr>
          <w:rFonts w:ascii="Times New Roman" w:hAnsi="Times New Roman"/>
          <w:sz w:val="24"/>
          <w:szCs w:val="24"/>
        </w:rPr>
        <w:t>g clinical conditions such as SSRI-induced sexual dysfunction, is extremely meager.</w:t>
      </w:r>
    </w:p>
    <w:p w:rsidR="00BC5E03" w:rsidRDefault="00452A9F">
      <w:pPr>
        <w:pStyle w:val="Heading2"/>
        <w:spacing w:line="240" w:lineRule="auto"/>
      </w:pPr>
      <w:bookmarkStart w:id="11" w:name="_Toc23532"/>
      <w:r>
        <w:t>1.3 Problem Statement</w:t>
      </w:r>
      <w:bookmarkEnd w:id="11"/>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w:t>
      </w:r>
      <w:r>
        <w:rPr>
          <w:rFonts w:ascii="Times New Roman" w:hAnsi="Times New Roman"/>
          <w:sz w:val="24"/>
          <w:szCs w:val="24"/>
        </w:rPr>
        <w:t>serotonin re-uptake inhibitors (SSRIs) such as paroxetine. Paroxetine, useful in treating various psychological disorders, has been consistently reported to suppress sexual desire, decrease testosterone levels, delay ejaculation, and interfere with erectio</w:t>
      </w:r>
      <w:r>
        <w:rPr>
          <w:rFonts w:ascii="Times New Roman" w:hAnsi="Times New Roman"/>
          <w:sz w:val="24"/>
          <w:szCs w:val="24"/>
        </w:rPr>
        <w:t xml:space="preserve">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Odetayo &amp; Olayaki, 2023). This poses a double clinical challenge: while the underlying psychiatric disorder is alleviated, the consequent sexual dysfunction can cause n</w:t>
      </w:r>
      <w:r>
        <w:rPr>
          <w:rFonts w:ascii="Times New Roman" w:hAnsi="Times New Roman"/>
          <w:sz w:val="24"/>
          <w:szCs w:val="24"/>
        </w:rPr>
        <w:t>egative impact on the patient's quality of life, marital relationship, and adherence to treatment.</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Although drug therapies such as sildenafil are a possibility, they are not always effective for sexual dysfunction caused by SSRI and may have contraindicati</w:t>
      </w:r>
      <w:r>
        <w:rPr>
          <w:rFonts w:ascii="Times New Roman" w:hAnsi="Times New Roman"/>
          <w:sz w:val="24"/>
          <w:szCs w:val="24"/>
        </w:rPr>
        <w:t>ons in certain groups of patients. Moreover, these man-made drugs are not always accessible or affordable in resource-poor environments. Thus, interest is growing in the treatment of sexual dysfunction using natural products, e.g., medicinal plants, with f</w:t>
      </w:r>
      <w:r>
        <w:rPr>
          <w:rFonts w:ascii="Times New Roman" w:hAnsi="Times New Roman"/>
          <w:sz w:val="24"/>
          <w:szCs w:val="24"/>
        </w:rPr>
        <w:t xml:space="preserve">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w:t>
      </w:r>
      <w:r>
        <w:rPr>
          <w:rFonts w:ascii="Times New Roman" w:hAnsi="Times New Roman"/>
          <w:sz w:val="24"/>
          <w:szCs w:val="24"/>
        </w:rPr>
        <w:t>er, the majority of studies that have been performed to date have focused on its effect in normal animals or on non-specific models of sexual disorder, without first-hand analysis of its effectiveness against SSRI-induced sexual disorder.</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The absence of sc</w:t>
      </w:r>
      <w:r>
        <w:rPr>
          <w:rFonts w:ascii="Times New Roman" w:hAnsi="Times New Roman"/>
          <w:sz w:val="24"/>
          <w:szCs w:val="24"/>
        </w:rPr>
        <w:t xml:space="preserve">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against paroxetine-induced erectile dysfunction is a critical knowledge gap. In the absence of targeted research, its clinical usefulness in controlling antidepressant-induced sexual sid</w:t>
      </w:r>
      <w:r>
        <w:rPr>
          <w:rFonts w:ascii="Times New Roman" w:hAnsi="Times New Roman"/>
          <w:sz w:val="24"/>
          <w:szCs w:val="24"/>
        </w:rPr>
        <w:t xml:space="preserve">e effects can only be </w:t>
      </w:r>
      <w:r>
        <w:rPr>
          <w:rFonts w:ascii="Times New Roman" w:hAnsi="Times New Roman"/>
          <w:sz w:val="24"/>
          <w:szCs w:val="24"/>
        </w:rPr>
        <w:lastRenderedPageBreak/>
        <w:t xml:space="preserve">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is able to reverse the sexual impairments induced by paroxetine and identify the mechanisms underlying. The current research will</w:t>
      </w:r>
      <w:r>
        <w:rPr>
          <w:rFonts w:ascii="Times New Roman" w:hAnsi="Times New Roman"/>
          <w:sz w:val="24"/>
          <w:szCs w:val="24"/>
        </w:rPr>
        <w:t xml:space="preserve">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rsidR="00BC5E03" w:rsidRDefault="00452A9F">
      <w:pPr>
        <w:pStyle w:val="Heading2"/>
        <w:spacing w:line="240" w:lineRule="auto"/>
      </w:pPr>
      <w:bookmarkStart w:id="12" w:name="_Toc10104"/>
      <w:r>
        <w:t>1.4 Significance of the Study</w:t>
      </w:r>
      <w:bookmarkEnd w:id="12"/>
    </w:p>
    <w:p w:rsidR="00BC5E03" w:rsidRDefault="00452A9F">
      <w:pPr>
        <w:spacing w:line="480" w:lineRule="auto"/>
        <w:jc w:val="both"/>
        <w:rPr>
          <w:rFonts w:ascii="Times New Roman" w:hAnsi="Times New Roman"/>
          <w:sz w:val="24"/>
          <w:szCs w:val="24"/>
        </w:rPr>
      </w:pPr>
      <w:r>
        <w:rPr>
          <w:rFonts w:ascii="Times New Roman" w:hAnsi="Times New Roman"/>
          <w:sz w:val="24"/>
          <w:szCs w:val="24"/>
        </w:rPr>
        <w:t>The present study involves a significant interface between</w:t>
      </w:r>
      <w:r>
        <w:rPr>
          <w:rFonts w:ascii="Times New Roman" w:hAnsi="Times New Roman"/>
          <w:sz w:val="24"/>
          <w:szCs w:val="24"/>
        </w:rPr>
        <w:t xml:space="preserve">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Odeta</w:t>
      </w:r>
      <w:r>
        <w:rPr>
          <w:rFonts w:ascii="Times New Roman" w:hAnsi="Times New Roman"/>
          <w:sz w:val="24"/>
          <w:szCs w:val="24"/>
        </w:rPr>
        <w:t>yo &amp; Olayaki, 2023). These adverse effects can exert a significant detrimental effect on quality of life, discourage treatment compliance, and increase emotional distress, especially in male patients of reproductive age.</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The significance of this study is t</w:t>
      </w:r>
      <w:r>
        <w:rPr>
          <w:rFonts w:ascii="Times New Roman" w:hAnsi="Times New Roman"/>
          <w:sz w:val="24"/>
          <w:szCs w:val="24"/>
        </w:rPr>
        <w:t xml:space="preserve">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contains pharmacologically active compounds such as eugenol and flavonoids with antioxidant, androg</w:t>
      </w:r>
      <w:r>
        <w:rPr>
          <w:rFonts w:ascii="Times New Roman" w:hAnsi="Times New Roman"/>
          <w:sz w:val="24"/>
          <w:szCs w:val="24"/>
        </w:rPr>
        <w:t xml:space="preserve">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w:t>
      </w:r>
      <w:r>
        <w:rPr>
          <w:rFonts w:ascii="Times New Roman" w:hAnsi="Times New Roman"/>
          <w:sz w:val="24"/>
          <w:szCs w:val="24"/>
        </w:rPr>
        <w:t>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w:t>
      </w:r>
      <w:r>
        <w:rPr>
          <w:rFonts w:ascii="Times New Roman" w:hAnsi="Times New Roman"/>
          <w:sz w:val="24"/>
          <w:szCs w:val="24"/>
        </w:rPr>
        <w:t>munities, where conventional ED treatments are normally unattainable because of exorbitant cost or contraindications. In addition, the study may be used as a basis for developing safer and cheaper phytotherapeutic treatments to manage SSRI-induced sexual d</w:t>
      </w:r>
      <w:r>
        <w:rPr>
          <w:rFonts w:ascii="Times New Roman" w:hAnsi="Times New Roman"/>
          <w:sz w:val="24"/>
          <w:szCs w:val="24"/>
        </w:rPr>
        <w:t>ysfunction.</w:t>
      </w:r>
    </w:p>
    <w:p w:rsidR="00BC5E03" w:rsidRDefault="00BC5E03">
      <w:pPr>
        <w:pStyle w:val="Heading3"/>
        <w:spacing w:line="360" w:lineRule="auto"/>
        <w:jc w:val="both"/>
        <w:rPr>
          <w:rStyle w:val="Strong"/>
          <w:rFonts w:ascii="Times New Roman" w:hAnsi="Times New Roman" w:hint="default"/>
          <w:b/>
          <w:bCs/>
          <w:sz w:val="24"/>
          <w:szCs w:val="24"/>
        </w:rPr>
      </w:pPr>
    </w:p>
    <w:p w:rsidR="00BC5E03" w:rsidRDefault="00BC5E03">
      <w:pPr>
        <w:pStyle w:val="Heading3"/>
        <w:spacing w:line="360" w:lineRule="auto"/>
        <w:jc w:val="both"/>
        <w:rPr>
          <w:rStyle w:val="Strong"/>
          <w:rFonts w:ascii="Times New Roman" w:hAnsi="Times New Roman" w:hint="default"/>
          <w:b/>
          <w:bCs/>
          <w:sz w:val="24"/>
          <w:szCs w:val="24"/>
        </w:rPr>
      </w:pPr>
    </w:p>
    <w:p w:rsidR="00BC5E03" w:rsidRDefault="00BC5E03">
      <w:pPr>
        <w:pStyle w:val="Heading3"/>
        <w:spacing w:line="360" w:lineRule="auto"/>
        <w:jc w:val="both"/>
        <w:rPr>
          <w:rStyle w:val="Strong"/>
          <w:rFonts w:ascii="Times New Roman" w:hAnsi="Times New Roman" w:hint="default"/>
          <w:b/>
          <w:bCs/>
          <w:sz w:val="24"/>
          <w:szCs w:val="24"/>
        </w:rPr>
      </w:pPr>
    </w:p>
    <w:p w:rsidR="00BC5E03" w:rsidRDefault="00452A9F">
      <w:pPr>
        <w:pStyle w:val="Heading2"/>
        <w:spacing w:line="360" w:lineRule="auto"/>
      </w:pPr>
      <w:bookmarkStart w:id="13" w:name="_Toc16192"/>
      <w:r>
        <w:t>1.5 Objectives of the Study</w:t>
      </w:r>
      <w:bookmarkEnd w:id="13"/>
    </w:p>
    <w:p w:rsidR="00BC5E03" w:rsidRDefault="00452A9F">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r>
        <w:rPr>
          <w:rStyle w:val="Emphasis"/>
          <w:rFonts w:ascii="Times New Roman" w:hAnsi="Times New Roman" w:hint="default"/>
          <w:b w:val="0"/>
          <w:bCs w:val="0"/>
        </w:rPr>
        <w:t>Syzygium aromaticum</w:t>
      </w:r>
      <w:r>
        <w:rPr>
          <w:rFonts w:ascii="Times New Roman" w:hAnsi="Times New Roman" w:hint="default"/>
          <w:b w:val="0"/>
          <w:bCs w:val="0"/>
        </w:rPr>
        <w:t xml:space="preserve">on erectile dysfunction induced by paroxetine in male Wistar rats. The specific objectives of the </w:t>
      </w:r>
      <w:r>
        <w:rPr>
          <w:rFonts w:ascii="Times New Roman" w:hAnsi="Times New Roman" w:hint="default"/>
          <w:b w:val="0"/>
          <w:bCs w:val="0"/>
        </w:rPr>
        <w:t>study were to:</w:t>
      </w:r>
    </w:p>
    <w:p w:rsidR="00BC5E03" w:rsidRDefault="00452A9F">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rsidR="00BC5E03" w:rsidRDefault="00452A9F">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rsidR="00BC5E03" w:rsidRDefault="00452A9F">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rsidR="00BC5E03" w:rsidRDefault="00452A9F">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assess the enzymatic biomarker of erectile dysfunction (PDE 5 and </w:t>
      </w:r>
      <w:r>
        <w:rPr>
          <w:rFonts w:ascii="Times New Roman" w:hAnsi="Times New Roman" w:cs="Times New Roman"/>
          <w:sz w:val="24"/>
          <w:szCs w:val="24"/>
        </w:rPr>
        <w:t>Arginase) in the penile organs of experimental rats;</w:t>
      </w:r>
    </w:p>
    <w:p w:rsidR="00BC5E03" w:rsidRDefault="00452A9F">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rsidR="00BC5E03" w:rsidRDefault="00452A9F">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rsidR="00BC5E03" w:rsidRDefault="00452A9F">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w:t>
      </w:r>
      <w:r>
        <w:rPr>
          <w:rFonts w:ascii="Times New Roman" w:hAnsi="Times New Roman" w:cs="Times New Roman"/>
          <w:sz w:val="24"/>
          <w:szCs w:val="24"/>
        </w:rPr>
        <w:t xml:space="preserve"> rats.</w:t>
      </w:r>
    </w:p>
    <w:p w:rsidR="00BC5E03" w:rsidRDefault="00452A9F">
      <w:pPr>
        <w:rPr>
          <w:rFonts w:ascii="Times New Roman" w:hAnsi="Times New Roman"/>
          <w:sz w:val="24"/>
          <w:szCs w:val="24"/>
        </w:rPr>
      </w:pPr>
      <w:r>
        <w:rPr>
          <w:rFonts w:ascii="Times New Roman" w:hAnsi="Times New Roman"/>
          <w:sz w:val="24"/>
          <w:szCs w:val="24"/>
        </w:rPr>
        <w:br w:type="page"/>
      </w:r>
    </w:p>
    <w:p w:rsidR="00BC5E03" w:rsidRDefault="00452A9F">
      <w:pPr>
        <w:pStyle w:val="Heading1"/>
        <w:spacing w:line="240" w:lineRule="auto"/>
        <w:ind w:left="2160" w:firstLine="720"/>
      </w:pPr>
      <w:bookmarkStart w:id="14" w:name="_Toc4495"/>
      <w:r>
        <w:lastRenderedPageBreak/>
        <w:t>CHAPTER TWO</w:t>
      </w:r>
      <w:bookmarkEnd w:id="14"/>
    </w:p>
    <w:p w:rsidR="00BC5E03" w:rsidRDefault="00452A9F">
      <w:pPr>
        <w:pStyle w:val="Heading1"/>
        <w:spacing w:line="240" w:lineRule="auto"/>
        <w:rPr>
          <w:szCs w:val="24"/>
        </w:rPr>
      </w:pPr>
      <w:bookmarkStart w:id="15" w:name="_Toc29404"/>
      <w:r>
        <w:t>2.0 LITERATURE REVIEW</w:t>
      </w:r>
      <w:bookmarkEnd w:id="15"/>
    </w:p>
    <w:p w:rsidR="00BC5E03" w:rsidRDefault="00452A9F">
      <w:pPr>
        <w:pStyle w:val="Heading2"/>
        <w:spacing w:line="240" w:lineRule="auto"/>
      </w:pPr>
      <w:bookmarkStart w:id="16" w:name="_Toc5816"/>
      <w:r>
        <w:t>2.1 Erectile Dysfunction</w:t>
      </w:r>
      <w:bookmarkEnd w:id="16"/>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w:t>
      </w:r>
      <w:r>
        <w:rPr>
          <w:rFonts w:ascii="Times New Roman" w:hAnsi="Times New Roman"/>
          <w:sz w:val="24"/>
          <w:szCs w:val="24"/>
        </w:rPr>
        <w:t xml:space="preserv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w:t>
      </w:r>
      <w:r>
        <w:rPr>
          <w:rFonts w:ascii="Times New Roman" w:hAnsi="Times New Roman"/>
          <w:sz w:val="24"/>
          <w:szCs w:val="24"/>
        </w:rPr>
        <w:t>is a complex process involving neural, vascular, and endocrine interaction. Nitric oxide (NO) is a key mediator that induces relaxation of corpus cavernosum smooth muscle through stimulation of the guanylate cyclase-cGMP pathway, thus enabling flow of bloo</w:t>
      </w:r>
      <w:r>
        <w:rPr>
          <w:rFonts w:ascii="Times New Roman" w:hAnsi="Times New Roman"/>
          <w:sz w:val="24"/>
          <w:szCs w:val="24"/>
        </w:rPr>
        <w:t xml:space="preserve">d into the penile tissue (Mobley </w:t>
      </w:r>
      <w:r>
        <w:rPr>
          <w:rFonts w:ascii="Times New Roman" w:hAnsi="Times New Roman"/>
          <w:i/>
          <w:iCs/>
          <w:sz w:val="24"/>
          <w:szCs w:val="24"/>
        </w:rPr>
        <w:t>et al.,</w:t>
      </w:r>
      <w:r>
        <w:rPr>
          <w:rFonts w:ascii="Times New Roman" w:hAnsi="Times New Roman"/>
          <w:sz w:val="24"/>
          <w:szCs w:val="24"/>
        </w:rPr>
        <w:t xml:space="preserve"> 2017; Elekofehinti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w:t>
      </w:r>
      <w:r>
        <w:rPr>
          <w:rFonts w:ascii="Times New Roman" w:hAnsi="Times New Roman"/>
          <w:sz w:val="24"/>
          <w:szCs w:val="24"/>
        </w:rPr>
        <w:t xml:space="preserve">ssential for NO synthesis (Kaltsas </w:t>
      </w:r>
      <w:r>
        <w:rPr>
          <w:rFonts w:ascii="Times New Roman" w:hAnsi="Times New Roman"/>
          <w:i/>
          <w:iCs/>
          <w:sz w:val="24"/>
          <w:szCs w:val="24"/>
        </w:rPr>
        <w:t>et al.,</w:t>
      </w:r>
      <w:r>
        <w:rPr>
          <w:rFonts w:ascii="Times New Roman" w:hAnsi="Times New Roman"/>
          <w:sz w:val="24"/>
          <w:szCs w:val="24"/>
        </w:rPr>
        <w:t xml:space="preserve"> 2024; Ademosun </w:t>
      </w:r>
      <w:r>
        <w:rPr>
          <w:rFonts w:ascii="Times New Roman" w:hAnsi="Times New Roman"/>
          <w:i/>
          <w:iCs/>
          <w:sz w:val="24"/>
          <w:szCs w:val="24"/>
        </w:rPr>
        <w:t>et al.,</w:t>
      </w:r>
      <w:r>
        <w:rPr>
          <w:rFonts w:ascii="Times New Roman" w:hAnsi="Times New Roman"/>
          <w:sz w:val="24"/>
          <w:szCs w:val="24"/>
        </w:rPr>
        <w:t xml:space="preserve"> 2019).</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Oxidative stress is also strongly implicated in the pathophysiology of ED. Elevated reactive oxygen species (ROS) such as superoxide anions reduce the bioavailability of NO by forming</w:t>
      </w:r>
      <w:r>
        <w:rPr>
          <w:rFonts w:ascii="Times New Roman" w:hAnsi="Times New Roman"/>
          <w:sz w:val="24"/>
          <w:szCs w:val="24"/>
        </w:rPr>
        <w:t xml:space="preserve"> peroxynitrite, thus inhibiting vasodilation and leading to endothelial dysfunction. Chronic oxidative damage also impairs penile architecture, promotes fibrosis, and reduces sensitivity to endogenous vasodilators (Ademosun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w:t>
      </w:r>
      <w:r>
        <w:rPr>
          <w:rFonts w:ascii="Times New Roman" w:hAnsi="Times New Roman"/>
          <w:sz w:val="24"/>
          <w:szCs w:val="24"/>
        </w:rPr>
        <w:t xml:space="preserve">3). This emphasizes the role of antioxidant defense 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lastRenderedPageBreak/>
        <w:t>Pharmacological therapies, particularly selective serotonin reupt</w:t>
      </w:r>
      <w:r>
        <w:rPr>
          <w:rFonts w:ascii="Times New Roman" w:hAnsi="Times New Roman"/>
          <w:sz w:val="24"/>
          <w:szCs w:val="24"/>
        </w:rPr>
        <w:t>ake inhibitors (SSRIs) like paroxetine, can also induce erectile dysfunction. Paroxetine is used for depression and anxiety disorders but is strongly associated with undesirable sexual effects, including delayed ejaculation, anorgasmia, and decreased erect</w:t>
      </w:r>
      <w:r>
        <w:rPr>
          <w:rFonts w:ascii="Times New Roman" w:hAnsi="Times New Roman"/>
          <w:sz w:val="24"/>
          <w:szCs w:val="24"/>
        </w:rPr>
        <w:t xml:space="preserve">ile function. These actions are mainly the result of increased serotonergic activity that suppresses dopaminergic and NO-mediated pathways, in addition to reductions in testosterone levels (Muritala &amp; Bewaji, 2021; Stefan </w:t>
      </w:r>
      <w:r>
        <w:rPr>
          <w:rFonts w:ascii="Times New Roman" w:hAnsi="Times New Roman"/>
          <w:i/>
          <w:iCs/>
          <w:sz w:val="24"/>
          <w:szCs w:val="24"/>
        </w:rPr>
        <w:t>et al.,</w:t>
      </w:r>
      <w:r>
        <w:rPr>
          <w:rFonts w:ascii="Times New Roman" w:hAnsi="Times New Roman"/>
          <w:sz w:val="24"/>
          <w:szCs w:val="24"/>
        </w:rPr>
        <w:t xml:space="preserve"> 2020). Experiments using a</w:t>
      </w:r>
      <w:r>
        <w:rPr>
          <w:rFonts w:ascii="Times New Roman" w:hAnsi="Times New Roman"/>
          <w:sz w:val="24"/>
          <w:szCs w:val="24"/>
        </w:rPr>
        <w:t xml:space="preserve">nimal models have shown that paroxetine decreases testicular weight, serum testosterone, and penile NO levels, testifying to its negative action on sexual function (Ademosun </w:t>
      </w:r>
      <w:r>
        <w:rPr>
          <w:rFonts w:ascii="Times New Roman" w:hAnsi="Times New Roman"/>
          <w:i/>
          <w:iCs/>
          <w:sz w:val="24"/>
          <w:szCs w:val="24"/>
        </w:rPr>
        <w:t>et al.,</w:t>
      </w:r>
      <w:r>
        <w:rPr>
          <w:rFonts w:ascii="Times New Roman" w:hAnsi="Times New Roman"/>
          <w:sz w:val="24"/>
          <w:szCs w:val="24"/>
        </w:rPr>
        <w:t xml:space="preserve"> 2019; Elekofehinti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Because of the limitations of convention</w:t>
      </w:r>
      <w:r>
        <w:rPr>
          <w:rFonts w:ascii="Times New Roman" w:hAnsi="Times New Roman"/>
          <w:sz w:val="24"/>
          <w:szCs w:val="24"/>
        </w:rPr>
        <w:t>al therapies and their potential contraindications in patients with cardiovascular or psychiatric comorbidities, recent research has leaned towards the exploration of herbal remedies. These natural alternatives are often gifted with antioxidant, androgenic</w:t>
      </w:r>
      <w:r>
        <w:rPr>
          <w:rFonts w:ascii="Times New Roman" w:hAnsi="Times New Roman"/>
          <w:sz w:val="24"/>
          <w:szCs w:val="24"/>
        </w:rPr>
        <w:t xml:space="preserve">, and NO-modulatory properties, offering a multimodal approach to the management of ED. Medicinal plants such as Carpolobia lutea and </w:t>
      </w:r>
      <w:r>
        <w:rPr>
          <w:rFonts w:ascii="Times New Roman" w:hAnsi="Times New Roman"/>
          <w:i/>
          <w:iCs/>
          <w:sz w:val="24"/>
          <w:szCs w:val="24"/>
        </w:rPr>
        <w:t xml:space="preserve">Syzygium aromaticum </w:t>
      </w:r>
      <w:r>
        <w:rPr>
          <w:rFonts w:ascii="Times New Roman" w:hAnsi="Times New Roman"/>
          <w:sz w:val="24"/>
          <w:szCs w:val="24"/>
        </w:rPr>
        <w:t xml:space="preserve">have also demonstrated promising results in experimental models via testosterone level enhancement, NO synthesis, and reversal of SSRI-induced dysfunction (Elekofehinti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rsidR="00BC5E03" w:rsidRDefault="00452A9F">
      <w:pPr>
        <w:pStyle w:val="Heading2"/>
        <w:spacing w:line="240" w:lineRule="auto"/>
      </w:pPr>
      <w:bookmarkStart w:id="17" w:name="_Toc8841"/>
      <w:r>
        <w:t>2.2 Epidemiology of Erectile Dysfunction</w:t>
      </w:r>
      <w:bookmarkEnd w:id="17"/>
    </w:p>
    <w:p w:rsidR="00BC5E03" w:rsidRDefault="00452A9F">
      <w:pPr>
        <w:spacing w:line="480" w:lineRule="auto"/>
        <w:jc w:val="both"/>
        <w:rPr>
          <w:rFonts w:ascii="Times New Roman" w:hAnsi="Times New Roman"/>
          <w:sz w:val="24"/>
          <w:szCs w:val="24"/>
        </w:rPr>
      </w:pPr>
      <w:r>
        <w:rPr>
          <w:rFonts w:ascii="Times New Roman" w:hAnsi="Times New Roman"/>
          <w:sz w:val="24"/>
          <w:szCs w:val="24"/>
        </w:rPr>
        <w:t>Erectile dysfunction (ED) is a universal disorder among men across all adult age groups, with risk increasing very rapidly with increasing age and with chronic comorbidity. Recent meta-analysis of over 20 countries has recently reported the universal preva</w:t>
      </w:r>
      <w:r>
        <w:rPr>
          <w:rFonts w:ascii="Times New Roman" w:hAnsi="Times New Roman"/>
          <w:sz w:val="24"/>
          <w:szCs w:val="24"/>
        </w:rPr>
        <w:t xml:space="preserve">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(Dilix</w:t>
      </w:r>
      <w:r>
        <w:rPr>
          <w:rFonts w:ascii="Times New Roman" w:hAnsi="Times New Roman"/>
          <w:sz w:val="24"/>
          <w:szCs w:val="24"/>
        </w:rPr>
        <w:t xml:space="preserve">iati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lastRenderedPageBreak/>
        <w:t>Age is consistently identified as the most significant non-modifiable risk factor for ED. The Massachusetts Male Aging Stu</w:t>
      </w:r>
      <w:r>
        <w:rPr>
          <w:rFonts w:ascii="Times New Roman" w:hAnsi="Times New Roman"/>
          <w:sz w:val="24"/>
          <w:szCs w:val="24"/>
        </w:rPr>
        <w:t>dy and subsequent global replications have shown a strong age gradient in ED incidence. For example, Svennersten and Reus (2024) reported that more than half of men over 60 exhibit moderate-to-severe forms of ED. Similarly, Dutch general population estimat</w:t>
      </w:r>
      <w:r>
        <w:rPr>
          <w:rFonts w:ascii="Times New Roman" w:hAnsi="Times New Roman"/>
          <w:sz w:val="24"/>
          <w:szCs w:val="24"/>
        </w:rPr>
        <w:t xml:space="preserve">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w:t>
      </w:r>
      <w:r>
        <w:rPr>
          <w:rFonts w:ascii="Times New Roman" w:hAnsi="Times New Roman"/>
          <w:sz w:val="24"/>
          <w:szCs w:val="24"/>
        </w:rPr>
        <w:t>redictors of erectile capability.</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Comorbidities such as diabetes mellitus, hypertension, cardiovascular disease, obesity, and chronic kidney disease also increase ED risk and severity. A Saudi Arabian cross-sectional study found diabetic men had 72% higher</w:t>
      </w:r>
      <w:r>
        <w:rPr>
          <w:rFonts w:ascii="Times New Roman" w:hAnsi="Times New Roman"/>
          <w:sz w:val="24"/>
          <w:szCs w:val="24"/>
        </w:rPr>
        <w:t xml:space="preserve">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Ziapour et al. (2024) emphasized the observation that ED is more prevalent in cardiovascular risk factor-positive m</w:t>
      </w:r>
      <w:r>
        <w:rPr>
          <w:rFonts w:ascii="Times New Roman" w:hAnsi="Times New Roman"/>
          <w:sz w:val="24"/>
          <w:szCs w:val="24"/>
        </w:rPr>
        <w:t>en, particularly those with reduced ejection fraction or systemic endothelial dysfunction. The relationship between ED and these chronic conditions is bidirectional, with ED serving as an early predictor of systemic vascular pathology.</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Socioeconomic and ps</w:t>
      </w:r>
      <w:r>
        <w:rPr>
          <w:rFonts w:ascii="Times New Roman" w:hAnsi="Times New Roman"/>
          <w:sz w:val="24"/>
          <w:szCs w:val="24"/>
        </w:rPr>
        <w:t>ychological determinants are also crucial in ED epidemiology. Psychosocial distress, depression, low educational levels, and restricted healthcare access are associated with higher rates of undiagnosed and untreated ED, particularly in low- and middle-inco</w:t>
      </w:r>
      <w:r>
        <w:rPr>
          <w:rFonts w:ascii="Times New Roman" w:hAnsi="Times New Roman"/>
          <w:sz w:val="24"/>
          <w:szCs w:val="24"/>
        </w:rPr>
        <w:t xml:space="preserve">me countries. A recent Tanzanian population-based survey found the prevalence of ED was 28.1%, with higher prevalence in men with low income and not being engaged in regular physical activity (Leyaro </w:t>
      </w:r>
      <w:r>
        <w:rPr>
          <w:rFonts w:ascii="Times New Roman" w:hAnsi="Times New Roman"/>
          <w:i/>
          <w:iCs/>
          <w:sz w:val="24"/>
          <w:szCs w:val="24"/>
        </w:rPr>
        <w:t>et al.,</w:t>
      </w:r>
      <w:r>
        <w:rPr>
          <w:rFonts w:ascii="Times New Roman" w:hAnsi="Times New Roman"/>
          <w:sz w:val="24"/>
          <w:szCs w:val="24"/>
        </w:rPr>
        <w:t xml:space="preserve"> 2020). Besides, sexual dysfunction is stigmatize</w:t>
      </w:r>
      <w:r>
        <w:rPr>
          <w:rFonts w:ascii="Times New Roman" w:hAnsi="Times New Roman"/>
          <w:sz w:val="24"/>
          <w:szCs w:val="24"/>
        </w:rPr>
        <w:t>d and hence underreported, limiting accuracy in data in the majority of regions.</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Future trends suggest that ED prevalence will continue to rise as the world witnesses an increase in lifestyle disorders and aging populations. Public health interventions, th</w:t>
      </w:r>
      <w:r>
        <w:rPr>
          <w:rFonts w:ascii="Times New Roman" w:hAnsi="Times New Roman"/>
          <w:sz w:val="24"/>
          <w:szCs w:val="24"/>
        </w:rPr>
        <w:t xml:space="preserve">us, must target early </w:t>
      </w:r>
      <w:r>
        <w:rPr>
          <w:rFonts w:ascii="Times New Roman" w:hAnsi="Times New Roman"/>
          <w:sz w:val="24"/>
          <w:szCs w:val="24"/>
        </w:rPr>
        <w:lastRenderedPageBreak/>
        <w:t xml:space="preserve">diagnosis, management of comorbidities, and sensitization programs to desensitize the sexual health discourse. </w:t>
      </w:r>
    </w:p>
    <w:p w:rsidR="00BC5E03" w:rsidRDefault="00452A9F">
      <w:pPr>
        <w:pStyle w:val="Heading2"/>
        <w:spacing w:line="240" w:lineRule="auto"/>
      </w:pPr>
      <w:bookmarkStart w:id="18" w:name="_Toc27865"/>
      <w:r>
        <w:t>2.3 Pathophysiology of Erectile Dysfunction</w:t>
      </w:r>
      <w:bookmarkEnd w:id="18"/>
    </w:p>
    <w:p w:rsidR="00BC5E03" w:rsidRDefault="00452A9F">
      <w:pPr>
        <w:spacing w:line="480" w:lineRule="auto"/>
        <w:jc w:val="both"/>
        <w:rPr>
          <w:rFonts w:ascii="Times New Roman" w:hAnsi="Times New Roman"/>
          <w:sz w:val="24"/>
          <w:szCs w:val="24"/>
        </w:rPr>
      </w:pPr>
      <w:r>
        <w:rPr>
          <w:rFonts w:ascii="Times New Roman" w:hAnsi="Times New Roman"/>
          <w:sz w:val="24"/>
          <w:szCs w:val="24"/>
        </w:rPr>
        <w:t>Erectile dysfunction (ED) is actually a penile hemodynamic, neural integrative</w:t>
      </w:r>
      <w:r>
        <w:rPr>
          <w:rFonts w:ascii="Times New Roman" w:hAnsi="Times New Roman"/>
          <w:sz w:val="24"/>
          <w:szCs w:val="24"/>
        </w:rPr>
        <w:t>, and hormonal disorder. At the core of the erectile process is relaxation of corpus cavernosum smooth muscle that is NO-mediated, activating guanylate cyclase to increase cyclic guanosine monophosphate (cGMP), leading to vasodilation and penile engorgemen</w:t>
      </w:r>
      <w:r>
        <w:rPr>
          <w:rFonts w:ascii="Times New Roman" w:hAnsi="Times New Roman"/>
          <w:sz w:val="24"/>
          <w:szCs w:val="24"/>
        </w:rPr>
        <w:t xml:space="preserve">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w:t>
      </w:r>
      <w:r>
        <w:rPr>
          <w:rFonts w:ascii="Times New Roman" w:hAnsi="Times New Roman"/>
          <w:sz w:val="24"/>
          <w:szCs w:val="24"/>
        </w:rPr>
        <w:t xml:space="preserve">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Oxidative stress is a key factor in ED pathogenesis by inducing the build-up of reactive oxygen species (ROS) that consume NO, cause vasoc</w:t>
      </w:r>
      <w:r>
        <w:rPr>
          <w:rFonts w:ascii="Times New Roman" w:hAnsi="Times New Roman"/>
          <w:sz w:val="24"/>
          <w:szCs w:val="24"/>
        </w:rPr>
        <w:t xml:space="preserve">onstriction, inflammation, and tissue remodeling. This oxidation imbalance is common in diabetic, obese, and hypertensive conditions and leads to endothelial injury, increased vascular tone, and disturbed cavernosal blood flow (Rastrelli </w:t>
      </w:r>
      <w:r>
        <w:rPr>
          <w:rFonts w:ascii="Times New Roman" w:hAnsi="Times New Roman"/>
          <w:i/>
          <w:iCs/>
          <w:sz w:val="24"/>
          <w:szCs w:val="24"/>
        </w:rPr>
        <w:t>et al.,</w:t>
      </w:r>
      <w:r>
        <w:rPr>
          <w:rFonts w:ascii="Times New Roman" w:hAnsi="Times New Roman"/>
          <w:sz w:val="24"/>
          <w:szCs w:val="24"/>
        </w:rPr>
        <w:t xml:space="preserve"> 2025). </w:t>
      </w:r>
    </w:p>
    <w:p w:rsidR="00BC5E03" w:rsidRDefault="00452A9F">
      <w:pPr>
        <w:spacing w:line="48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0"/>
                    <a:stretch>
                      <a:fillRect/>
                    </a:stretch>
                  </pic:blipFill>
                  <pic:spPr>
                    <a:xfrm>
                      <a:off x="0" y="0"/>
                      <a:ext cx="4352925" cy="5810250"/>
                    </a:xfrm>
                    <a:prstGeom prst="rect">
                      <a:avLst/>
                    </a:prstGeom>
                  </pic:spPr>
                </pic:pic>
              </a:graphicData>
            </a:graphic>
          </wp:inline>
        </w:drawing>
      </w:r>
    </w:p>
    <w:p w:rsidR="00BC5E03" w:rsidRDefault="00452A9F">
      <w:pPr>
        <w:spacing w:line="480" w:lineRule="auto"/>
        <w:jc w:val="both"/>
        <w:rPr>
          <w:rFonts w:ascii="Times New Roman" w:hAnsi="Times New Roman"/>
          <w:sz w:val="24"/>
          <w:szCs w:val="24"/>
        </w:rPr>
      </w:pPr>
      <w:r>
        <w:rPr>
          <w:rFonts w:ascii="Times New Roman" w:hAnsi="Times New Roman"/>
          <w:sz w:val="24"/>
          <w:szCs w:val="24"/>
        </w:rPr>
        <w:t>Figure 1: Pathophysiology of Erectile Dysfunction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Source; Roushias, S., &amp; Ossei-Gerning, N. (2018).</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cavernosum, causing fibrosis and penile tissue loss of elasticity (Ziapour </w:t>
      </w:r>
      <w:r>
        <w:rPr>
          <w:rFonts w:ascii="Times New Roman" w:hAnsi="Times New Roman"/>
          <w:i/>
          <w:iCs/>
          <w:sz w:val="24"/>
          <w:szCs w:val="24"/>
        </w:rPr>
        <w:t>et al.,</w:t>
      </w:r>
      <w:r>
        <w:rPr>
          <w:rFonts w:ascii="Times New Roman" w:hAnsi="Times New Roman"/>
          <w:sz w:val="24"/>
          <w:szCs w:val="24"/>
        </w:rPr>
        <w:t xml:space="preserve"> 2</w:t>
      </w:r>
      <w:r>
        <w:rPr>
          <w:rFonts w:ascii="Times New Roman" w:hAnsi="Times New Roman"/>
          <w:sz w:val="24"/>
          <w:szCs w:val="24"/>
        </w:rPr>
        <w:t xml:space="preserve">024). Malondialdehyde and decreased superoxide dismutase activity have been reported as biomarkers for oxidative damage in ED (Alrumaihi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lastRenderedPageBreak/>
        <w:t>Testosterone plays a critical role in erectile function. It affects libido, penile tissue structure, and</w:t>
      </w:r>
      <w:r>
        <w:rPr>
          <w:rFonts w:ascii="Times New Roman" w:hAnsi="Times New Roman"/>
          <w:sz w:val="24"/>
          <w:szCs w:val="24"/>
        </w:rPr>
        <w:t xml:space="preserve">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w:t>
      </w:r>
      <w:r>
        <w:rPr>
          <w:rFonts w:ascii="Times New Roman" w:hAnsi="Times New Roman"/>
          <w:sz w:val="24"/>
          <w:szCs w:val="24"/>
        </w:rPr>
        <w:t>selective serotonin reuptake inhibitors (SSRIs) like paroxetine, is more and more a clinical concern. SSRIs also alter central serotonergic mechanisms that damage sexual desire and orgasmic function. Additionally, they suppress dopaminergic and NO signalin</w:t>
      </w:r>
      <w:r>
        <w:rPr>
          <w:rFonts w:ascii="Times New Roman" w:hAnsi="Times New Roman"/>
          <w:sz w:val="24"/>
          <w:szCs w:val="24"/>
        </w:rPr>
        <w:t xml:space="preserve">g in erectile tissue. Paroxetine downregulates testosterone production and suppresses NOS activity in penile tissue to induce ED (Alrumaihi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rsidR="00BC5E03" w:rsidRDefault="00452A9F">
      <w:pPr>
        <w:pStyle w:val="Heading2"/>
        <w:spacing w:line="240" w:lineRule="auto"/>
      </w:pPr>
      <w:bookmarkStart w:id="19" w:name="_Toc2255"/>
      <w:r>
        <w:t>2.3.1 Phosphodiesterase 5</w:t>
      </w:r>
      <w:bookmarkEnd w:id="19"/>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w:t>
      </w:r>
      <w:r>
        <w:rPr>
          <w:rFonts w:ascii="Times New Roman" w:hAnsi="Times New Roman"/>
          <w:sz w:val="24"/>
          <w:szCs w:val="24"/>
        </w:rPr>
        <w:t>the regulation of penile erection by controlling intracellular levels of cyclic guanosine monophosphate (cGMP), a key second messenger involved in smooth muscle relaxation. During sexual stimulation, nitric oxide (NO) is released from nonadrenergic nonchol</w:t>
      </w:r>
      <w:r>
        <w:rPr>
          <w:rFonts w:ascii="Times New Roman" w:hAnsi="Times New Roman"/>
          <w:sz w:val="24"/>
          <w:szCs w:val="24"/>
        </w:rPr>
        <w:t>inergic neurons and endothelial cells in the corpora cavernosa. NO activates soluble guanylyl cyclase, leading to the conversion of guanosine triphosphate (GTP) into cGMP, which then induces relaxation of the cavernosal smooth muscles and facilitates blood</w:t>
      </w:r>
      <w:r>
        <w:rPr>
          <w:rFonts w:ascii="Times New Roman" w:hAnsi="Times New Roman"/>
          <w:sz w:val="24"/>
          <w:szCs w:val="24"/>
        </w:rPr>
        <w:t xml:space="preserve">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PDE5, a cGMP-specific enzyme, hydrolyzes cGMP into its inactive form 5’-GMP, thereby terminating the vasodilatory signal. Overexpression or heightened activity of PDE5 reduces cGMP bioa</w:t>
      </w:r>
      <w:r>
        <w:rPr>
          <w:rFonts w:ascii="Times New Roman" w:hAnsi="Times New Roman"/>
          <w:sz w:val="24"/>
          <w:szCs w:val="24"/>
        </w:rPr>
        <w:t xml:space="preserve">vailability, resulting in sustained cavernosal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w:t>
      </w:r>
      <w:r>
        <w:rPr>
          <w:rFonts w:ascii="Times New Roman" w:hAnsi="Times New Roman"/>
          <w:sz w:val="24"/>
          <w:szCs w:val="24"/>
        </w:rPr>
        <w:t xml:space="preserve"> and improved erectile function. This </w:t>
      </w:r>
      <w:r>
        <w:rPr>
          <w:rFonts w:ascii="Times New Roman" w:hAnsi="Times New Roman"/>
          <w:sz w:val="24"/>
          <w:szCs w:val="24"/>
        </w:rPr>
        <w:lastRenderedPageBreak/>
        <w:t>mechanism underlies the clinical utility of PDE5 inhibitors, such as sildenafil, tadalafil, and vardenafil, which have revolutionized the treatment of erectile dysfunction (Nik-Ahd &amp; Shindel, 2022).</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Beyond erectile tis</w:t>
      </w:r>
      <w:r>
        <w:rPr>
          <w:rFonts w:ascii="Times New Roman" w:hAnsi="Times New Roman"/>
          <w:sz w:val="24"/>
          <w:szCs w:val="24"/>
        </w:rPr>
        <w:t>sue, PDE5 is expressed in other vascular beds, and its dysregulation has been implicated in systemic vascular diseases, including pulmonary hypertension and diabetic vasculopathies. These associations emphasize the broader physiological significance of the</w:t>
      </w:r>
      <w:r>
        <w:rPr>
          <w:rFonts w:ascii="Times New Roman" w:hAnsi="Times New Roman"/>
          <w:sz w:val="24"/>
          <w:szCs w:val="24"/>
        </w:rPr>
        <w:t xml:space="preserv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Emergi</w:t>
      </w:r>
      <w:r>
        <w:rPr>
          <w:rFonts w:ascii="Times New Roman" w:hAnsi="Times New Roman"/>
          <w:sz w:val="24"/>
          <w:szCs w:val="24"/>
        </w:rPr>
        <w:t>ng research also points to the therapeutic versatility of PDE5 inhibitors beyond urology. Their antioxidative, anti-inflammatory, and proangiogenic effects have shown potential in the management of benign prostatic hyperplasia, cardiovascular diseases, and</w:t>
      </w:r>
      <w:r>
        <w:rPr>
          <w:rFonts w:ascii="Times New Roman" w:hAnsi="Times New Roman"/>
          <w:sz w:val="24"/>
          <w:szCs w:val="24"/>
        </w:rPr>
        <w:t xml:space="preserve">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In the context of paroxetine-indu</w:t>
      </w:r>
      <w:r>
        <w:rPr>
          <w:rFonts w:ascii="Times New Roman" w:hAnsi="Times New Roman"/>
          <w:sz w:val="24"/>
          <w:szCs w:val="24"/>
        </w:rPr>
        <w:t xml:space="preserve">ced erectile dysfunction, PDE5 inhibition may offer a potential strategy to counter the SSRI-induced suppression of NO signaling. Since SSRIs like paroxetine downregulate NOS activity and testosterone levels, which in turn lowers cGMP synthesis, restoring </w:t>
      </w:r>
      <w:r>
        <w:rPr>
          <w:rFonts w:ascii="Times New Roman" w:hAnsi="Times New Roman"/>
          <w:sz w:val="24"/>
          <w:szCs w:val="24"/>
        </w:rPr>
        <w:t xml:space="preserve">cGMP via PDE5 blockade may help normalize erectile response (Ismail &amp; El-Sakka, 2024). </w:t>
      </w:r>
    </w:p>
    <w:p w:rsidR="00BC5E03" w:rsidRDefault="00452A9F">
      <w:pPr>
        <w:pStyle w:val="Heading2"/>
        <w:spacing w:line="240" w:lineRule="auto"/>
      </w:pPr>
      <w:bookmarkStart w:id="20" w:name="_Toc14250"/>
      <w:r>
        <w:t>2.3.2 Arginase</w:t>
      </w:r>
      <w:bookmarkEnd w:id="20"/>
    </w:p>
    <w:p w:rsidR="00BC5E03" w:rsidRDefault="00452A9F">
      <w:pPr>
        <w:spacing w:line="480" w:lineRule="auto"/>
        <w:jc w:val="both"/>
        <w:rPr>
          <w:rFonts w:ascii="Times New Roman" w:hAnsi="Times New Roman"/>
          <w:sz w:val="24"/>
          <w:szCs w:val="24"/>
        </w:rPr>
      </w:pPr>
      <w:r>
        <w:rPr>
          <w:rFonts w:ascii="Times New Roman" w:hAnsi="Times New Roman"/>
          <w:sz w:val="24"/>
          <w:szCs w:val="24"/>
        </w:rPr>
        <w:t>Arginase is a manganese-containing enzyme that catalyzes the hydrolysis of L-arginine into urea and ornithine. Although this reaction is part of the urea</w:t>
      </w:r>
      <w:r>
        <w:rPr>
          <w:rFonts w:ascii="Times New Roman" w:hAnsi="Times New Roman"/>
          <w:sz w:val="24"/>
          <w:szCs w:val="24"/>
        </w:rPr>
        <w:t xml:space="preserve"> cycle in the liver, arginase is also expressed in extrahepatic tissues, including the penile corpus cavernosum, where it has significant implications for erectile physiology. Importantly, L-arginine is a shared substrate for both arginase and nitric oxide</w:t>
      </w:r>
      <w:r>
        <w:rPr>
          <w:rFonts w:ascii="Times New Roman" w:hAnsi="Times New Roman"/>
          <w:sz w:val="24"/>
          <w:szCs w:val="24"/>
        </w:rPr>
        <w:t xml:space="preserve"> synthase (NOS), the latter of which converts L-arginine to nitric oxide (NO), a critical </w:t>
      </w:r>
      <w:r>
        <w:rPr>
          <w:rFonts w:ascii="Times New Roman" w:hAnsi="Times New Roman"/>
          <w:sz w:val="24"/>
          <w:szCs w:val="24"/>
        </w:rPr>
        <w:lastRenderedPageBreak/>
        <w:t>mediator of penile erection. Therefore, increased arginase activity can competitively reduce the availability of L-arginine for NO synthesis, thereby impairing endoth</w:t>
      </w:r>
      <w:r>
        <w:rPr>
          <w:rFonts w:ascii="Times New Roman" w:hAnsi="Times New Roman"/>
          <w:sz w:val="24"/>
          <w:szCs w:val="24"/>
        </w:rPr>
        <w:t xml:space="preserve">elial function and cavernosal smooth muscle relaxation (Sağır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w:t>
      </w:r>
    </w:p>
    <w:p w:rsidR="00BC5E03" w:rsidRDefault="00BC5E03">
      <w:pPr>
        <w:spacing w:line="480" w:lineRule="auto"/>
        <w:jc w:val="both"/>
        <w:rPr>
          <w:rFonts w:ascii="Times New Roman" w:hAnsi="Times New Roman"/>
          <w:sz w:val="24"/>
          <w:szCs w:val="24"/>
        </w:rPr>
      </w:pPr>
    </w:p>
    <w:p w:rsidR="00BC5E03" w:rsidRDefault="00452A9F">
      <w:pPr>
        <w:spacing w:line="480" w:lineRule="auto"/>
        <w:jc w:val="both"/>
        <w:rPr>
          <w:rFonts w:ascii="Times New Roman" w:hAnsi="Times New Roman"/>
          <w:sz w:val="24"/>
          <w:szCs w:val="24"/>
        </w:rPr>
      </w:pPr>
      <w:r>
        <w:rPr>
          <w:rFonts w:ascii="Times New Roman" w:hAnsi="Times New Roman"/>
          <w:sz w:val="24"/>
          <w:szCs w:val="24"/>
        </w:rPr>
        <w:t>In the context of erectile dysfunction (ED), elevated arginase activity has been observed in several pathological states, including diabetes, hypertension</w:t>
      </w:r>
      <w:r>
        <w:rPr>
          <w:rFonts w:ascii="Times New Roman" w:hAnsi="Times New Roman"/>
          <w:sz w:val="24"/>
          <w:szCs w:val="24"/>
        </w:rPr>
        <w:t xml:space="preserve">,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w:t>
      </w:r>
      <w:r>
        <w:rPr>
          <w:rFonts w:ascii="Times New Roman" w:hAnsi="Times New Roman"/>
          <w:sz w:val="24"/>
          <w:szCs w:val="24"/>
        </w:rPr>
        <w:t xml:space="preserve">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w:t>
      </w:r>
      <w:r>
        <w:rPr>
          <w:rFonts w:ascii="Times New Roman" w:hAnsi="Times New Roman"/>
          <w:sz w:val="24"/>
          <w:szCs w:val="24"/>
        </w:rPr>
        <w:t>apacity.</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Arginase exists in two isoforms—arginase I, which is cytosolic, and arginase II, which is mitochondrial. Both isoforms are expressed in cavernosal tissue, with arginase II particularly implicated in age-related and diabetes-induced erectile dysfun</w:t>
      </w:r>
      <w:r>
        <w:rPr>
          <w:rFonts w:ascii="Times New Roman" w:hAnsi="Times New Roman"/>
          <w:sz w:val="24"/>
          <w:szCs w:val="24"/>
        </w:rPr>
        <w:t xml:space="preserve">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cavernosal smooth muscle (Oyovwi &amp; Atere, 2024). Notably</w:t>
      </w:r>
      <w:r>
        <w:rPr>
          <w:rFonts w:ascii="Times New Roman" w:hAnsi="Times New Roman"/>
          <w:sz w:val="24"/>
          <w:szCs w:val="24"/>
        </w:rPr>
        <w:t>, this mechanism overlaps with the pathways influenced by phosphodiesterase-5 (PDE5), underscoring the interconnectedness of NO bioavailability, oxidative injury, and enzymatic regulation in the pathogenesis of ED.</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Pharmacological agents or plant-derived c</w:t>
      </w:r>
      <w:r>
        <w:rPr>
          <w:rFonts w:ascii="Times New Roman" w:hAnsi="Times New Roman"/>
          <w:sz w:val="24"/>
          <w:szCs w:val="24"/>
        </w:rPr>
        <w:t>ompounds that inhibit arginase activity have shown promise in restoring erectile function. For instance, certain polyphenols and flavonoids found in Syzygium aromaticum and other medicinal plants possess arginase-inhibitory effects, which may account for t</w:t>
      </w:r>
      <w:r>
        <w:rPr>
          <w:rFonts w:ascii="Times New Roman" w:hAnsi="Times New Roman"/>
          <w:sz w:val="24"/>
          <w:szCs w:val="24"/>
        </w:rPr>
        <w:t xml:space="preserve">heir vasodilatory and aphrodisiac properties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w:t>
      </w:r>
      <w:r>
        <w:rPr>
          <w:rFonts w:ascii="Times New Roman" w:hAnsi="Times New Roman"/>
          <w:sz w:val="24"/>
          <w:szCs w:val="24"/>
        </w:rPr>
        <w:lastRenderedPageBreak/>
        <w:t>making it a compelling therapeutic target for drug development an</w:t>
      </w:r>
      <w:r>
        <w:rPr>
          <w:rFonts w:ascii="Times New Roman" w:hAnsi="Times New Roman"/>
          <w:sz w:val="24"/>
          <w:szCs w:val="24"/>
        </w:rPr>
        <w:t>d phytotherapy in ED management.</w:t>
      </w:r>
    </w:p>
    <w:p w:rsidR="00BC5E03" w:rsidRDefault="00452A9F">
      <w:pPr>
        <w:pStyle w:val="Heading2"/>
        <w:spacing w:line="240" w:lineRule="auto"/>
      </w:pPr>
      <w:bookmarkStart w:id="21" w:name="_Toc2193"/>
      <w:r>
        <w:t>2.3.3 Nitric oxide</w:t>
      </w:r>
      <w:bookmarkEnd w:id="21"/>
    </w:p>
    <w:p w:rsidR="00BC5E03" w:rsidRDefault="00452A9F">
      <w:pPr>
        <w:spacing w:line="480" w:lineRule="auto"/>
        <w:jc w:val="both"/>
        <w:rPr>
          <w:rFonts w:ascii="Times New Roman" w:hAnsi="Times New Roman"/>
          <w:sz w:val="24"/>
          <w:szCs w:val="24"/>
        </w:rPr>
      </w:pPr>
      <w:r>
        <w:rPr>
          <w:rFonts w:ascii="Times New Roman" w:hAnsi="Times New Roman"/>
          <w:sz w:val="24"/>
          <w:szCs w:val="24"/>
        </w:rPr>
        <w:t>Nitric oxide (NO) is a pivotal signaling molecule in the physiology of penile erection, playing a central role in smooth muscle relaxation within the corpus cavernosum. It is synthesized from the amino ac</w:t>
      </w:r>
      <w:r>
        <w:rPr>
          <w:rFonts w:ascii="Times New Roman" w:hAnsi="Times New Roman"/>
          <w:sz w:val="24"/>
          <w:szCs w:val="24"/>
        </w:rPr>
        <w:t>id L-arginine by nitric oxide synthase (NOS), primarily the neuronal (nNOS) and endothelial (eNOS) isoforms. Upon sexual stimulation, NO is released from nonadrenergic, noncholinergic nerve terminals and endothelial cells into the smooth muscle tissue of t</w:t>
      </w:r>
      <w:r>
        <w:rPr>
          <w:rFonts w:ascii="Times New Roman" w:hAnsi="Times New Roman"/>
          <w:sz w:val="24"/>
          <w:szCs w:val="24"/>
        </w:rPr>
        <w:t>he penis. This triggers the activation of soluble guanylate cyclase (sGC), which catalyzes the conversion of guanosine triphosphate (GTP) to cyclic guanosine monophosphate (cGMP), a key second messenger that mediates smooth muscle relaxation and vasodilati</w:t>
      </w:r>
      <w:r>
        <w:rPr>
          <w:rFonts w:ascii="Times New Roman" w:hAnsi="Times New Roman"/>
          <w:sz w:val="24"/>
          <w:szCs w:val="24"/>
        </w:rPr>
        <w:t xml:space="preserve">on (Kaltsas </w:t>
      </w:r>
      <w:r>
        <w:rPr>
          <w:rFonts w:ascii="Times New Roman" w:hAnsi="Times New Roman"/>
          <w:i/>
          <w:iCs/>
          <w:sz w:val="24"/>
          <w:szCs w:val="24"/>
        </w:rPr>
        <w:t>et al.,</w:t>
      </w:r>
      <w:r>
        <w:rPr>
          <w:rFonts w:ascii="Times New Roman" w:hAnsi="Times New Roman"/>
          <w:sz w:val="24"/>
          <w:szCs w:val="24"/>
        </w:rPr>
        <w:t xml:space="preserve"> 2024; Oyovwi &amp; Atere,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The increase in cGMP levels reduces intracellular calcium concentrations, resulting in the relaxation of the trabecular smooth muscles and dilation of penile arterioles. This physiological cascade facilitates rapid blood influx into the corpus cavernosum a</w:t>
      </w:r>
      <w:r>
        <w:rPr>
          <w:rFonts w:ascii="Times New Roman" w:hAnsi="Times New Roman"/>
          <w:sz w:val="24"/>
          <w:szCs w:val="24"/>
        </w:rPr>
        <w:t>nd compression of subtunical venules, thereby sustaining erection (Wang &amp; Chung, 2025; Oyovwi &amp; Atere, 2024). A deficiency in NO bioavailability, whether due to reduced NOS activity, substrate limitation (L-arginine), or increased oxidative degradation, le</w:t>
      </w:r>
      <w:r>
        <w:rPr>
          <w:rFonts w:ascii="Times New Roman" w:hAnsi="Times New Roman"/>
          <w:sz w:val="24"/>
          <w:szCs w:val="24"/>
        </w:rPr>
        <w:t xml:space="preserv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w:t>
      </w:r>
      <w:r>
        <w:rPr>
          <w:rFonts w:ascii="Times New Roman" w:hAnsi="Times New Roman"/>
          <w:sz w:val="24"/>
          <w:szCs w:val="24"/>
        </w:rPr>
        <w:t>NO signaling. In these states, endothelial dysfunction impairs eNOS function, while elevated reactive oxygen species (ROS) such as superoxide anions rapidly scavenge NO, forming peroxynitrite—a reactive nitrogen species that further exacerbates vascular in</w:t>
      </w:r>
      <w:r>
        <w:rPr>
          <w:rFonts w:ascii="Times New Roman" w:hAnsi="Times New Roman"/>
          <w:sz w:val="24"/>
          <w:szCs w:val="24"/>
        </w:rPr>
        <w:t xml:space="preserve">jury (Kaltsas </w:t>
      </w:r>
      <w:r>
        <w:rPr>
          <w:rFonts w:ascii="Times New Roman" w:hAnsi="Times New Roman"/>
          <w:i/>
          <w:iCs/>
          <w:sz w:val="24"/>
          <w:szCs w:val="24"/>
        </w:rPr>
        <w:t>et al.,</w:t>
      </w:r>
      <w:r>
        <w:rPr>
          <w:rFonts w:ascii="Times New Roman" w:hAnsi="Times New Roman"/>
          <w:sz w:val="24"/>
          <w:szCs w:val="24"/>
        </w:rPr>
        <w:t xml:space="preserve"> 2024; Oyovwi &amp; Atere, 2024). Consequently, NO deficiency is now recognized as </w:t>
      </w:r>
      <w:r>
        <w:rPr>
          <w:rFonts w:ascii="Times New Roman" w:hAnsi="Times New Roman"/>
          <w:sz w:val="24"/>
          <w:szCs w:val="24"/>
        </w:rPr>
        <w:lastRenderedPageBreak/>
        <w:t>one of the core molecular mechanisms underlying both organic and psychogenic forms of erectile dysfunction.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Furthermore, the activity of NOS is tightly regu</w:t>
      </w:r>
      <w:r>
        <w:rPr>
          <w:rFonts w:ascii="Times New Roman" w:hAnsi="Times New Roman"/>
          <w:sz w:val="24"/>
          <w:szCs w:val="24"/>
        </w:rPr>
        <w:t>lated by cofactors and intracellular conditions. For example, tetrahydrobiopterin (BH4) is a crucial NOS cofactor, and its depletion leads to uncoupling of NOS, resulting in the generation of superoxide instead of NO. In addition, asymmetric dimethylargini</w:t>
      </w:r>
      <w:r>
        <w:rPr>
          <w:rFonts w:ascii="Times New Roman" w:hAnsi="Times New Roman"/>
          <w:sz w:val="24"/>
          <w:szCs w:val="24"/>
        </w:rPr>
        <w:t xml:space="preserve">ne (ADMA), an endogenous inhibitor of NOS, is elevated in many disease states and negatively impacts NO synthesis (Tarcan </w:t>
      </w:r>
      <w:r>
        <w:rPr>
          <w:rFonts w:ascii="Times New Roman" w:hAnsi="Times New Roman"/>
          <w:i/>
          <w:iCs/>
          <w:sz w:val="24"/>
          <w:szCs w:val="24"/>
        </w:rPr>
        <w:t>et al.,</w:t>
      </w:r>
      <w:r>
        <w:rPr>
          <w:rFonts w:ascii="Times New Roman" w:hAnsi="Times New Roman"/>
          <w:sz w:val="24"/>
          <w:szCs w:val="24"/>
        </w:rPr>
        <w:t xml:space="preserve"> 2022). These biochemical disruptions compromise cavernosal vasodilation and are linked with reduced responsiveness to phosphod</w:t>
      </w:r>
      <w:r>
        <w:rPr>
          <w:rFonts w:ascii="Times New Roman" w:hAnsi="Times New Roman"/>
          <w:sz w:val="24"/>
          <w:szCs w:val="24"/>
        </w:rPr>
        <w:t>iesterase-5 inhibitors (PDE5is).</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Therapeutic strategies targeting the NO pathway, such as L-arginine supplementation, NO donors, and herbal agents with NOS-modulating properties, are being actively explored for ED treatment. Recent studies suggest that com</w:t>
      </w:r>
      <w:r>
        <w:rPr>
          <w:rFonts w:ascii="Times New Roman" w:hAnsi="Times New Roman"/>
          <w:sz w:val="24"/>
          <w:szCs w:val="24"/>
        </w:rPr>
        <w:t xml:space="preserve">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Oyovwi &amp; Atere, 2024). </w:t>
      </w:r>
    </w:p>
    <w:p w:rsidR="00BC5E03" w:rsidRDefault="00452A9F">
      <w:pPr>
        <w:pStyle w:val="Heading2"/>
        <w:spacing w:line="240" w:lineRule="auto"/>
      </w:pPr>
      <w:bookmarkStart w:id="22" w:name="_Toc3175"/>
      <w:r>
        <w:t>2.3.4 Creatinine Kinase</w:t>
      </w:r>
      <w:bookmarkEnd w:id="22"/>
    </w:p>
    <w:p w:rsidR="00BC5E03" w:rsidRDefault="00452A9F">
      <w:pPr>
        <w:spacing w:line="480" w:lineRule="auto"/>
        <w:jc w:val="both"/>
        <w:rPr>
          <w:rFonts w:ascii="Times New Roman" w:hAnsi="Times New Roman"/>
          <w:sz w:val="24"/>
          <w:szCs w:val="24"/>
        </w:rPr>
      </w:pPr>
      <w:r>
        <w:rPr>
          <w:rFonts w:ascii="Times New Roman" w:hAnsi="Times New Roman"/>
          <w:sz w:val="24"/>
          <w:szCs w:val="24"/>
        </w:rPr>
        <w:t>Creatine kina</w:t>
      </w:r>
      <w:r>
        <w:rPr>
          <w:rFonts w:ascii="Times New Roman" w:hAnsi="Times New Roman"/>
          <w:sz w:val="24"/>
          <w:szCs w:val="24"/>
        </w:rPr>
        <w:t>se (CK) is a critical enzyme involved in cellular energy homeostasis, catalyzing the reversible conversion of creatine and adenosine triphosphate (ATP) into phosphocreatine and adenosine diphosphate (ADP). This reaction forms a vital energy reservoir in ti</w:t>
      </w:r>
      <w:r>
        <w:rPr>
          <w:rFonts w:ascii="Times New Roman" w:hAnsi="Times New Roman"/>
          <w:sz w:val="24"/>
          <w:szCs w:val="24"/>
        </w:rPr>
        <w:t xml:space="preserve">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Salehiyeh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w:t>
      </w:r>
      <w:r>
        <w:rPr>
          <w:rFonts w:ascii="Times New Roman" w:hAnsi="Times New Roman"/>
          <w:sz w:val="24"/>
          <w:szCs w:val="24"/>
        </w:rPr>
        <w:t>elaxation of smooth muscle cells during penile tumescence and detumescence.</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w:t>
      </w:r>
      <w:r>
        <w:rPr>
          <w:rFonts w:ascii="Times New Roman" w:hAnsi="Times New Roman"/>
          <w:sz w:val="24"/>
          <w:szCs w:val="24"/>
        </w:rPr>
        <w:t xml:space="preserve">is </w:t>
      </w:r>
      <w:r>
        <w:rPr>
          <w:rFonts w:ascii="Times New Roman" w:hAnsi="Times New Roman"/>
          <w:sz w:val="24"/>
          <w:szCs w:val="24"/>
        </w:rPr>
        <w:lastRenderedPageBreak/>
        <w:t xml:space="preserve">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i/>
          <w:iCs/>
          <w:sz w:val="24"/>
          <w:szCs w:val="24"/>
        </w:rPr>
        <w:t>,</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Ex</w:t>
      </w:r>
      <w:r>
        <w:rPr>
          <w:rFonts w:ascii="Times New Roman" w:hAnsi="Times New Roman"/>
          <w:sz w:val="24"/>
          <w:szCs w:val="24"/>
        </w:rPr>
        <w:t xml:space="preserve">perimental studies demonstrate that CK levels and function are compromised in erectile tissues under oxidative stress and hypoxic conditions, leading to impaired energy metabolism. A study by Hersch et al. (2004) showed that hypoxia-induced dysfunction in </w:t>
      </w:r>
      <w:r>
        <w:rPr>
          <w:rFonts w:ascii="Times New Roman" w:hAnsi="Times New Roman"/>
          <w:sz w:val="24"/>
          <w:szCs w:val="24"/>
        </w:rPr>
        <w:t>corpus cavernosum tissue was associated with altered CK activity and decreased energy availability. Similarly, reduced CK activity has been linked to diminished cavernosal smooth muscle contractility and decreased erectile response in aging or disease stat</w:t>
      </w:r>
      <w:r>
        <w:rPr>
          <w:rFonts w:ascii="Times New Roman" w:hAnsi="Times New Roman"/>
          <w:sz w:val="24"/>
          <w:szCs w:val="24"/>
        </w:rPr>
        <w:t xml:space="preserve">es (Salehiyeh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b/>
          <w:bCs/>
          <w:sz w:val="24"/>
          <w:szCs w:val="24"/>
        </w:rPr>
      </w:pPr>
      <w:r>
        <w:rPr>
          <w:rFonts w:ascii="Times New Roman" w:hAnsi="Times New Roman"/>
          <w:sz w:val="24"/>
          <w:szCs w:val="24"/>
        </w:rPr>
        <w:t>The measurement of CK isoenzymes (e.g., CK-MM in muscle) can also serve as a biomarker for muscular integrity and stress in experimental models of ED. For instance, a 2024 study assessing the effect of testosterone-boosting her</w:t>
      </w:r>
      <w:r>
        <w:rPr>
          <w:rFonts w:ascii="Times New Roman" w:hAnsi="Times New Roman"/>
          <w:sz w:val="24"/>
          <w:szCs w:val="24"/>
        </w:rPr>
        <w:t xml:space="preserve">bal compounds reported improvements in erectile parameters alongside elevated CK levels, suggesting enhanced muscular energy turnover in penile tissue (Obalana </w:t>
      </w:r>
      <w:r>
        <w:rPr>
          <w:rFonts w:ascii="Times New Roman" w:hAnsi="Times New Roman"/>
          <w:i/>
          <w:iCs/>
          <w:sz w:val="24"/>
          <w:szCs w:val="24"/>
        </w:rPr>
        <w:t>et al.,</w:t>
      </w:r>
      <w:r>
        <w:rPr>
          <w:rFonts w:ascii="Times New Roman" w:hAnsi="Times New Roman"/>
          <w:sz w:val="24"/>
          <w:szCs w:val="24"/>
        </w:rPr>
        <w:t xml:space="preserve"> 2024). </w:t>
      </w:r>
    </w:p>
    <w:p w:rsidR="00BC5E03" w:rsidRDefault="00452A9F">
      <w:pPr>
        <w:pStyle w:val="Heading2"/>
        <w:spacing w:line="240" w:lineRule="auto"/>
      </w:pPr>
      <w:bookmarkStart w:id="23" w:name="_Toc12405"/>
      <w:r>
        <w:t>2.4 Treatment of Erectile Dysfunction</w:t>
      </w:r>
      <w:bookmarkEnd w:id="23"/>
    </w:p>
    <w:p w:rsidR="00BC5E03" w:rsidRDefault="00452A9F">
      <w:pPr>
        <w:spacing w:line="480" w:lineRule="auto"/>
        <w:jc w:val="both"/>
        <w:rPr>
          <w:rFonts w:ascii="Times New Roman" w:hAnsi="Times New Roman"/>
          <w:sz w:val="24"/>
          <w:szCs w:val="24"/>
        </w:rPr>
      </w:pPr>
      <w:r>
        <w:rPr>
          <w:rFonts w:ascii="Times New Roman" w:hAnsi="Times New Roman"/>
          <w:sz w:val="24"/>
          <w:szCs w:val="24"/>
        </w:rPr>
        <w:t>The treatment of erectile dysfunction (ED) has evolved significantly over the past two decades, encompassing both pharmacological and non-pharmacological approaches tailored to the patient's etiology, comorbidities, and preferences. The cornerstone of phar</w:t>
      </w:r>
      <w:r>
        <w:rPr>
          <w:rFonts w:ascii="Times New Roman" w:hAnsi="Times New Roman"/>
          <w:sz w:val="24"/>
          <w:szCs w:val="24"/>
        </w:rPr>
        <w:t>macological therapy remains the use of phosphodiesterase type 5 inhibitors (PDE5is), such as sildenafil, tadalafil, vardenafil, and avanafil. These agents enhance the nitric oxide–cGMP pathway, promoting relaxation of cavernosal smooth muscle and improving</w:t>
      </w:r>
      <w:r>
        <w:rPr>
          <w:rFonts w:ascii="Times New Roman" w:hAnsi="Times New Roman"/>
          <w:sz w:val="24"/>
          <w:szCs w:val="24"/>
        </w:rPr>
        <w:t xml:space="preserve"> penile blood flow during sexual stimulation (Nik-Ahd &amp; Shindel, </w:t>
      </w:r>
      <w:r>
        <w:rPr>
          <w:rFonts w:ascii="Times New Roman" w:hAnsi="Times New Roman"/>
          <w:sz w:val="24"/>
          <w:szCs w:val="24"/>
        </w:rPr>
        <w:lastRenderedPageBreak/>
        <w:t xml:space="preserve">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w:t>
      </w:r>
      <w:r>
        <w:rPr>
          <w:rFonts w:ascii="Times New Roman" w:hAnsi="Times New Roman"/>
          <w:sz w:val="24"/>
          <w:szCs w:val="24"/>
        </w:rPr>
        <w:t xml:space="preserve">those using SSRIs (Zhu </w:t>
      </w:r>
      <w:r>
        <w:rPr>
          <w:rFonts w:ascii="Times New Roman" w:hAnsi="Times New Roman"/>
          <w:i/>
          <w:iCs/>
          <w:sz w:val="24"/>
          <w:szCs w:val="24"/>
        </w:rPr>
        <w:t>et al.,</w:t>
      </w:r>
      <w:r>
        <w:rPr>
          <w:rFonts w:ascii="Times New Roman" w:hAnsi="Times New Roman"/>
          <w:sz w:val="24"/>
          <w:szCs w:val="24"/>
        </w:rPr>
        <w:t xml:space="preserve"> 2025).</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w:t>
      </w:r>
      <w:r>
        <w:rPr>
          <w:rFonts w:ascii="Times New Roman" w:hAnsi="Times New Roman"/>
          <w:sz w:val="24"/>
          <w:szCs w:val="24"/>
        </w:rPr>
        <w:t xml:space="preserve">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Rastrelli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w:t>
      </w:r>
      <w:r>
        <w:rPr>
          <w:rFonts w:ascii="Times New Roman" w:hAnsi="Times New Roman"/>
          <w:sz w:val="24"/>
          <w:szCs w:val="24"/>
        </w:rPr>
        <w:t xml:space="preserve"> including those with prostate cancer, and must be carefully monitored due to potential adverse effects.</w:t>
      </w:r>
    </w:p>
    <w:p w:rsidR="00BC5E03" w:rsidRDefault="00452A9F">
      <w:pPr>
        <w:spacing w:line="48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1"/>
                    <a:stretch>
                      <a:fillRect/>
                    </a:stretch>
                  </pic:blipFill>
                  <pic:spPr>
                    <a:xfrm>
                      <a:off x="0" y="0"/>
                      <a:ext cx="3484880" cy="3431540"/>
                    </a:xfrm>
                    <a:prstGeom prst="rect">
                      <a:avLst/>
                    </a:prstGeom>
                  </pic:spPr>
                </pic:pic>
              </a:graphicData>
            </a:graphic>
          </wp:inline>
        </w:drawing>
      </w:r>
    </w:p>
    <w:p w:rsidR="00BC5E03" w:rsidRDefault="00452A9F">
      <w:pPr>
        <w:spacing w:line="480" w:lineRule="auto"/>
        <w:jc w:val="both"/>
        <w:rPr>
          <w:rFonts w:ascii="Times New Roman" w:hAnsi="Times New Roman"/>
          <w:sz w:val="24"/>
          <w:szCs w:val="24"/>
        </w:rPr>
      </w:pPr>
      <w:r>
        <w:rPr>
          <w:rFonts w:ascii="Times New Roman" w:hAnsi="Times New Roman"/>
          <w:sz w:val="24"/>
          <w:szCs w:val="24"/>
        </w:rPr>
        <w:t>Figure 2: Treatment of Erectile Dysfunction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Source; New Approaches in Oncology for Repositioning Drugs: The Case of PDE5 Inhibitor Sildenafil (2025)</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lastRenderedPageBreak/>
        <w:t>In parallel with pharmacological options, non-pharmacological interventions have gained attention for their holistic and complementary benefits. Lifestyle modifications such as regular physical activity, weight loss, smoking cessation, and adherence to Med</w:t>
      </w:r>
      <w:r>
        <w:rPr>
          <w:rFonts w:ascii="Times New Roman" w:hAnsi="Times New Roman"/>
          <w:sz w:val="24"/>
          <w:szCs w:val="24"/>
        </w:rPr>
        <w:t xml:space="preserve">iterranean or DASH diets are associated with improved erectile function and reduced vascular inflammation (Bonarska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w:t>
      </w:r>
      <w:r>
        <w:rPr>
          <w:rFonts w:ascii="Times New Roman" w:hAnsi="Times New Roman"/>
          <w:sz w:val="24"/>
          <w:szCs w:val="24"/>
        </w:rPr>
        <w:t xml:space="preserve">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Complementary and herbal therapies are increasingly being incorporated into ED management, especially in regions with strong ethno</w:t>
      </w:r>
      <w:r>
        <w:rPr>
          <w:rFonts w:ascii="Times New Roman" w:hAnsi="Times New Roman"/>
          <w:sz w:val="24"/>
          <w:szCs w:val="24"/>
        </w:rPr>
        <w:t xml:space="preserve">medical traditions. Extracts from plants such as Syzygium aromaticum, Panax ginseng, Epimedium brevicornum, and Tribulus terrestris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w:t>
      </w:r>
      <w:r>
        <w:rPr>
          <w:rFonts w:ascii="Times New Roman" w:hAnsi="Times New Roman"/>
          <w:sz w:val="24"/>
          <w:szCs w:val="24"/>
        </w:rPr>
        <w:t xml:space="preserve">; Alrumaihi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w:t>
      </w:r>
      <w:r>
        <w:rPr>
          <w:rFonts w:ascii="Times New Roman" w:hAnsi="Times New Roman"/>
          <w:sz w:val="24"/>
          <w:szCs w:val="24"/>
        </w:rPr>
        <w:t>nges in herbal medicine.</w:t>
      </w:r>
    </w:p>
    <w:p w:rsidR="00BC5E03" w:rsidRDefault="00452A9F">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w:t>
      </w:r>
      <w:r>
        <w:rPr>
          <w:rFonts w:ascii="Times New Roman" w:hAnsi="Times New Roman"/>
          <w:sz w:val="24"/>
          <w:szCs w:val="24"/>
        </w:rPr>
        <w:t xml:space="preserve">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rsidR="00BC5E03" w:rsidRDefault="00452A9F">
      <w:pPr>
        <w:pStyle w:val="Heading2"/>
        <w:spacing w:line="240" w:lineRule="auto"/>
      </w:pPr>
      <w:bookmarkStart w:id="24" w:name="_Toc15373"/>
      <w:r>
        <w:t>2.4.1 Limitations of Current Erectile Dysfunction Treatment</w:t>
      </w:r>
      <w:bookmarkEnd w:id="24"/>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w:t>
      </w:r>
      <w:r>
        <w:rPr>
          <w:rFonts w:ascii="Times New Roman" w:hAnsi="Times New Roman"/>
          <w:sz w:val="24"/>
          <w:szCs w:val="24"/>
        </w:rPr>
        <w:t>current treatment modalities present notable limitations that restrict their long-term effectiveness and universal applicability. Phosphodiesterase type 5 inhibitors (PDE5is), such as sildenafil and tadalafil, are widely prescribed and often considered the</w:t>
      </w:r>
      <w:r>
        <w:rPr>
          <w:rFonts w:ascii="Times New Roman" w:hAnsi="Times New Roman"/>
          <w:sz w:val="24"/>
          <w:szCs w:val="24"/>
        </w:rPr>
        <w:t xml:space="preserve"> first-line therapy. However, 30–40% of patients fail to respond adequately to PDE5is, especially those with diabetes, severe endothelial dysfunction, or </w:t>
      </w:r>
      <w:r>
        <w:rPr>
          <w:rFonts w:ascii="Times New Roman" w:hAnsi="Times New Roman"/>
          <w:sz w:val="24"/>
          <w:szCs w:val="24"/>
        </w:rPr>
        <w:lastRenderedPageBreak/>
        <w:t xml:space="preserve">after pelvic surgery (Pyrgidis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w:t>
      </w:r>
      <w:r>
        <w:rPr>
          <w:rFonts w:ascii="Times New Roman" w:hAnsi="Times New Roman"/>
          <w:sz w:val="24"/>
          <w:szCs w:val="24"/>
        </w:rPr>
        <w:t xml:space="preserve">timulation to be effective and do not address underlying psychological or hormonal causes of ED (Rastrelli </w:t>
      </w:r>
      <w:r>
        <w:rPr>
          <w:rFonts w:ascii="Times New Roman" w:hAnsi="Times New Roman"/>
          <w:i/>
          <w:iCs/>
          <w:sz w:val="24"/>
          <w:szCs w:val="24"/>
        </w:rPr>
        <w:t>et al.,</w:t>
      </w:r>
      <w:r>
        <w:rPr>
          <w:rFonts w:ascii="Times New Roman" w:hAnsi="Times New Roman"/>
          <w:sz w:val="24"/>
          <w:szCs w:val="24"/>
        </w:rPr>
        <w:t xml:space="preserve"> 2025).</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Testosterone replacement therapy (TRT) is frequently used in hypogonadal men with ED, yet its benefits are inconsistent. While TRT can</w:t>
      </w:r>
      <w:r>
        <w:rPr>
          <w:rFonts w:ascii="Times New Roman" w:hAnsi="Times New Roman"/>
          <w:sz w:val="24"/>
          <w:szCs w:val="24"/>
        </w:rPr>
        <w:t xml:space="preserve"> improve libido and erectile function in testosterone-deficient men, its impact is minimal in men with normal baseline testosterone levels. Long-term safety concerns such as cardiovascular risks and prostate health complications also limit its widespread u</w:t>
      </w:r>
      <w:r>
        <w:rPr>
          <w:rFonts w:ascii="Times New Roman" w:hAnsi="Times New Roman"/>
          <w:sz w:val="24"/>
          <w:szCs w:val="24"/>
        </w:rPr>
        <w:t xml:space="preserve">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Herbal and complementary medicine ha</w:t>
      </w:r>
      <w:r>
        <w:rPr>
          <w:rFonts w:ascii="Times New Roman" w:hAnsi="Times New Roman"/>
          <w:sz w:val="24"/>
          <w:szCs w:val="24"/>
        </w:rPr>
        <w:t>ve emerged as alternatives, particularly in populations that seek natural or culturally congruent therapies. While some plant-based treatments like Panax ginseng, Syzygium aromaticum, and Tribulus terrestris show potential, the lack of standardized formula</w:t>
      </w:r>
      <w:r>
        <w:rPr>
          <w:rFonts w:ascii="Times New Roman" w:hAnsi="Times New Roman"/>
          <w:sz w:val="24"/>
          <w:szCs w:val="24"/>
        </w:rPr>
        <w:t xml:space="preserve">tions, dose-response data, and robust clinical trials undermines their credibility in mainstream medicine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w:t>
      </w:r>
      <w:r>
        <w:rPr>
          <w:rFonts w:ascii="Times New Roman" w:hAnsi="Times New Roman"/>
          <w:sz w:val="24"/>
          <w:szCs w:val="24"/>
        </w:rPr>
        <w:t>r utility for acute ED management.</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Psychosexual therapies, including cognitive behavioral therapy and couples counseling, are essential in managing psychogenic ED. However, access to trained therapists, stigma, and low patient compliance often hinder their</w:t>
      </w:r>
      <w:r>
        <w:rPr>
          <w:rFonts w:ascii="Times New Roman" w:hAnsi="Times New Roman"/>
          <w:sz w:val="24"/>
          <w:szCs w:val="24"/>
        </w:rPr>
        <w:t xml:space="preserve">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w:t>
      </w:r>
      <w:r>
        <w:rPr>
          <w:rFonts w:ascii="Times New Roman" w:hAnsi="Times New Roman"/>
          <w:sz w:val="24"/>
          <w:szCs w:val="24"/>
        </w:rPr>
        <w:t>ions with pharmacotherapy as part of a standard ED care pathway.</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lastRenderedPageBreak/>
        <w:t>Lastly, surgical options like penile prostheses, although effective for refractory ED, are invasive and associated with risks such as infection, mechanical failure, and patient dissatisfactio</w:t>
      </w:r>
      <w:r>
        <w:rPr>
          <w:rFonts w:ascii="Times New Roman" w:hAnsi="Times New Roman"/>
          <w:sz w:val="24"/>
          <w:szCs w:val="24"/>
        </w:rPr>
        <w:t xml:space="preserve">n due to unrealistic expectations. As such, they are reserved for patients unresponsive to all other treatments (Bonarska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w:t>
      </w:r>
      <w:r>
        <w:rPr>
          <w:rFonts w:ascii="Times New Roman" w:hAnsi="Times New Roman"/>
          <w:sz w:val="24"/>
          <w:szCs w:val="24"/>
        </w:rPr>
        <w:t>ress the multifactorial nature of ED, improve adherence, and target its underlying pathophysiology.</w:t>
      </w:r>
    </w:p>
    <w:p w:rsidR="00BC5E03" w:rsidRDefault="00452A9F">
      <w:pPr>
        <w:pStyle w:val="Heading2"/>
        <w:spacing w:line="240" w:lineRule="auto"/>
      </w:pPr>
      <w:bookmarkStart w:id="25" w:name="_Toc24234"/>
      <w:r>
        <w:t>2.5 Syzygium aromaticum</w:t>
      </w:r>
      <w:bookmarkEnd w:id="25"/>
    </w:p>
    <w:p w:rsidR="00BC5E03" w:rsidRDefault="00452A9F">
      <w:pPr>
        <w:spacing w:line="480" w:lineRule="auto"/>
        <w:jc w:val="both"/>
        <w:rPr>
          <w:rFonts w:ascii="Times New Roman" w:hAnsi="Times New Roman"/>
          <w:sz w:val="24"/>
          <w:szCs w:val="24"/>
        </w:rPr>
      </w:pPr>
      <w:r>
        <w:rPr>
          <w:rFonts w:ascii="Times New Roman" w:hAnsi="Times New Roman"/>
          <w:sz w:val="24"/>
          <w:szCs w:val="24"/>
        </w:rPr>
        <w:t>Syzygium aromaticum, commonly known as clove, is a medicinal crop well known to possess a broad variety of pharmacological activities including antioxidant, anti-inflammatory, antimicrobial, and aphrodisiac. Traditionally, clove has also been used in Afric</w:t>
      </w:r>
      <w:r>
        <w:rPr>
          <w:rFonts w:ascii="Times New Roman" w:hAnsi="Times New Roman"/>
          <w:sz w:val="24"/>
          <w:szCs w:val="24"/>
        </w:rPr>
        <w:t xml:space="preserve">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w:t>
      </w:r>
      <w:r>
        <w:rPr>
          <w:rFonts w:ascii="Times New Roman" w:hAnsi="Times New Roman"/>
          <w:sz w:val="24"/>
          <w:szCs w:val="24"/>
        </w:rPr>
        <w:t xml:space="preserve">ioactive phenolic compound that has been found to regulate the production of NO and increase blood flow through smooth muscle tissues like </w:t>
      </w:r>
      <w:r>
        <w:rPr>
          <w:rFonts w:ascii="Times New Roman" w:hAnsi="Times New Roman"/>
          <w:i/>
          <w:iCs/>
          <w:sz w:val="24"/>
          <w:szCs w:val="24"/>
        </w:rPr>
        <w:t>Corpora cavernosae</w:t>
      </w:r>
      <w:r>
        <w:rPr>
          <w:rFonts w:ascii="Times New Roman" w:hAnsi="Times New Roman"/>
          <w:sz w:val="24"/>
          <w:szCs w:val="24"/>
        </w:rPr>
        <w:t>.</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Preclinical studies reveal that S. aromaticum extracts improve sexual behavior in male rats, incl</w:t>
      </w:r>
      <w:r>
        <w:rPr>
          <w:rFonts w:ascii="Times New Roman" w:hAnsi="Times New Roman"/>
          <w:sz w:val="24"/>
          <w:szCs w:val="24"/>
        </w:rPr>
        <w:t>uding enhanced mounting frequency, reduced mount latency, and better erection quality. These effects are speculated to be mediated through the activation of L-arginine/NO signaling pathway, which is essential for cavernosal smooth muscle relaxation and pen</w:t>
      </w:r>
      <w:r>
        <w:rPr>
          <w:rFonts w:ascii="Times New Roman" w:hAnsi="Times New Roman"/>
          <w:sz w:val="24"/>
          <w:szCs w:val="24"/>
        </w:rPr>
        <w:t xml:space="preserve">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w:t>
      </w:r>
      <w:r>
        <w:rPr>
          <w:rFonts w:ascii="Times New Roman" w:hAnsi="Times New Roman"/>
          <w:sz w:val="24"/>
          <w:szCs w:val="24"/>
        </w:rPr>
        <w:t>nst oxidative stress, a common etiology of erectile dysfunction.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Another most significant pharmacological characteristic of S. aromaticum is its ability to modulate hormone levels. Its ability to increase serum testosterone levels following the administrat</w:t>
      </w:r>
      <w:r>
        <w:rPr>
          <w:rFonts w:ascii="Times New Roman" w:hAnsi="Times New Roman"/>
          <w:sz w:val="24"/>
          <w:szCs w:val="24"/>
        </w:rPr>
        <w:t xml:space="preserve">ion of clove extracts in animal models has been thought to be its therapeutic effect on androgen biosynthesis or </w:t>
      </w:r>
      <w:r>
        <w:rPr>
          <w:rFonts w:ascii="Times New Roman" w:hAnsi="Times New Roman"/>
          <w:sz w:val="24"/>
          <w:szCs w:val="24"/>
        </w:rPr>
        <w:lastRenderedPageBreak/>
        <w:t xml:space="preserve">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w:t>
      </w:r>
      <w:r>
        <w:rPr>
          <w:rFonts w:ascii="Times New Roman" w:hAnsi="Times New Roman"/>
          <w:sz w:val="24"/>
          <w:szCs w:val="24"/>
        </w:rPr>
        <w:t>e, which is known to decrease testosterone levels and suppress NO synthesis in penile tissue.</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Besides its physiological effect, S. aromaticum is well-tolerated at moderate doses and has not demonstrated significant toxicological concerns with short-term use. Significant doses or long-term use may be dangerous to reproductive capacity or hepatotoxic</w:t>
      </w:r>
      <w:r>
        <w:rPr>
          <w:rFonts w:ascii="Times New Roman" w:hAnsi="Times New Roman"/>
          <w:sz w:val="24"/>
          <w:szCs w:val="24"/>
        </w:rPr>
        <w:t xml:space="preserve">ity, which renders it suitable for dose standardization in clinical application (El-Saber Batiha </w:t>
      </w:r>
      <w:r>
        <w:rPr>
          <w:rFonts w:ascii="Times New Roman" w:hAnsi="Times New Roman"/>
          <w:i/>
          <w:iCs/>
          <w:sz w:val="24"/>
          <w:szCs w:val="24"/>
        </w:rPr>
        <w:t>et al.,</w:t>
      </w:r>
      <w:r>
        <w:rPr>
          <w:rFonts w:ascii="Times New Roman" w:hAnsi="Times New Roman"/>
          <w:sz w:val="24"/>
          <w:szCs w:val="24"/>
        </w:rPr>
        <w:t xml:space="preserve"> 2020). </w:t>
      </w:r>
    </w:p>
    <w:p w:rsidR="00BC5E03" w:rsidRDefault="00452A9F">
      <w:pPr>
        <w:pStyle w:val="Heading2"/>
        <w:spacing w:line="240" w:lineRule="auto"/>
      </w:pPr>
      <w:bookmarkStart w:id="26" w:name="_Toc24722"/>
      <w:r>
        <w:t>2.5.1 Bioactive Components of Syzygium aromaticum</w:t>
      </w:r>
      <w:bookmarkEnd w:id="26"/>
    </w:p>
    <w:p w:rsidR="00BC5E03" w:rsidRDefault="00452A9F">
      <w:pPr>
        <w:spacing w:line="480" w:lineRule="auto"/>
        <w:jc w:val="both"/>
        <w:rPr>
          <w:rFonts w:ascii="Times New Roman" w:hAnsi="Times New Roman"/>
          <w:sz w:val="24"/>
          <w:szCs w:val="24"/>
        </w:rPr>
      </w:pPr>
      <w:r>
        <w:rPr>
          <w:rFonts w:ascii="Times New Roman" w:hAnsi="Times New Roman"/>
          <w:sz w:val="24"/>
          <w:szCs w:val="24"/>
        </w:rPr>
        <w:t>Syzygium aromaticum or clove is pharmacologically active due to a rich portfolio of bioactive</w:t>
      </w:r>
      <w:r>
        <w:rPr>
          <w:rFonts w:ascii="Times New Roman" w:hAnsi="Times New Roman"/>
          <w:sz w:val="24"/>
          <w:szCs w:val="24"/>
        </w:rPr>
        <w:t xml:space="preserve"> compounds that are liable for its therapeutic potential, such as erectile dysfunction management. The chief bioactive constituents include eugenol, eugenol acetate, β-caryophyllene, flavonoids, tannins, saponins, and triterpenoids, among others. These phy</w:t>
      </w:r>
      <w:r>
        <w:rPr>
          <w:rFonts w:ascii="Times New Roman" w:hAnsi="Times New Roman"/>
          <w:sz w:val="24"/>
          <w:szCs w:val="24"/>
        </w:rPr>
        <w:t xml:space="preserve">tochemicals are also principally responsible for the plant's antioxidant, anti-inflammatory, analgesic, antimicrobial, and aphrodisiac properties (Yanuarty </w:t>
      </w:r>
      <w:r>
        <w:rPr>
          <w:rFonts w:ascii="Times New Roman" w:hAnsi="Times New Roman"/>
          <w:i/>
          <w:iCs/>
          <w:sz w:val="24"/>
          <w:szCs w:val="24"/>
        </w:rPr>
        <w:t>et al.,</w:t>
      </w:r>
      <w:r>
        <w:rPr>
          <w:rFonts w:ascii="Times New Roman" w:hAnsi="Times New Roman"/>
          <w:sz w:val="24"/>
          <w:szCs w:val="24"/>
        </w:rPr>
        <w:t xml:space="preserve"> 2024; Otunola, 2022).</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Eugenol, the major compound of clove essential oil, has been acclaimed</w:t>
      </w:r>
      <w:r>
        <w:rPr>
          <w:rFonts w:ascii="Times New Roman" w:hAnsi="Times New Roman"/>
          <w:sz w:val="24"/>
          <w:szCs w:val="24"/>
        </w:rPr>
        <w:t xml:space="preserve"> for its strong antioxidant property. It is a free radical scavenger and plays a significant role in protecting endothelial cells and penile smooth muscle against oxidative stress-mediated damage, which is commonly implicated in erectile dysfunction (Cabal</w:t>
      </w:r>
      <w:r>
        <w:rPr>
          <w:rFonts w:ascii="Times New Roman" w:hAnsi="Times New Roman"/>
          <w:sz w:val="24"/>
          <w:szCs w:val="24"/>
        </w:rPr>
        <w:t xml:space="preserve">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w:t>
      </w:r>
      <w:r>
        <w:rPr>
          <w:rFonts w:ascii="Times New Roman" w:hAnsi="Times New Roman"/>
          <w:sz w:val="24"/>
          <w:szCs w:val="24"/>
        </w:rPr>
        <w:t xml:space="preserve">us extracts also contain flavonoids such as kaempferol and quercetin. These compounds are known to have strong antioxidant and vasodilatory effects through enhanced activity of endothelial nitric oxide synthase (eNOS) and NO bioavailability </w:t>
      </w:r>
      <w:r>
        <w:rPr>
          <w:rFonts w:ascii="Times New Roman" w:hAnsi="Times New Roman"/>
          <w:sz w:val="24"/>
          <w:szCs w:val="24"/>
        </w:rPr>
        <w:lastRenderedPageBreak/>
        <w:t>(Otunola, 2022;</w:t>
      </w:r>
      <w:r>
        <w:rPr>
          <w:rFonts w:ascii="Times New Roman" w:hAnsi="Times New Roman"/>
          <w:sz w:val="24"/>
          <w:szCs w:val="24"/>
        </w:rPr>
        <w:t xml:space="preserve"> Tuldjanah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Triterpenoids and tannins present in clove have been reported to re</w:t>
      </w:r>
      <w:r>
        <w:rPr>
          <w:rFonts w:ascii="Times New Roman" w:hAnsi="Times New Roman"/>
          <w:sz w:val="24"/>
          <w:szCs w:val="24"/>
        </w:rPr>
        <w:t xml:space="preserve">inforce tissue integrity and induce anti-inflammatory activities capable of neutralizing oxidative and inflammatory insults in penile tissue. The phytoconstituents also improve sperm motility and quality in animal models, suggesting a general reproductive </w:t>
      </w:r>
      <w:r>
        <w:rPr>
          <w:rFonts w:ascii="Times New Roman" w:hAnsi="Times New Roman"/>
          <w:sz w:val="24"/>
          <w:szCs w:val="24"/>
        </w:rPr>
        <w:t xml:space="preserve">benefit (Boojar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rsidR="00BC5E03" w:rsidRDefault="00452A9F">
      <w:pPr>
        <w:spacing w:line="480" w:lineRule="auto"/>
        <w:jc w:val="both"/>
        <w:rPr>
          <w:rFonts w:ascii="Times New Roman" w:hAnsi="Times New Roman"/>
          <w:sz w:val="24"/>
          <w:szCs w:val="24"/>
        </w:rPr>
      </w:pPr>
      <w:r>
        <w:rPr>
          <w:rFonts w:ascii="Times New Roman" w:hAnsi="Times New Roman"/>
          <w:sz w:val="24"/>
          <w:szCs w:val="24"/>
        </w:rPr>
        <w:t>Furthermore, phytochemical fractionation studies revealed that the aphrodisiac acti</w:t>
      </w:r>
      <w:r>
        <w:rPr>
          <w:rFonts w:ascii="Times New Roman" w:hAnsi="Times New Roman"/>
          <w:sz w:val="24"/>
          <w:szCs w:val="24"/>
        </w:rPr>
        <w:t xml:space="preserve">vity of S. aromaticum is due not only to eugenol but to synergistic action among its polyphenols, alkaloids, and volatile oils (Yanuarty </w:t>
      </w:r>
      <w:r>
        <w:rPr>
          <w:rFonts w:ascii="Times New Roman" w:hAnsi="Times New Roman"/>
          <w:i/>
          <w:iCs/>
          <w:sz w:val="24"/>
          <w:szCs w:val="24"/>
        </w:rPr>
        <w:t>et al.,</w:t>
      </w:r>
      <w:r>
        <w:rPr>
          <w:rFonts w:ascii="Times New Roman" w:hAnsi="Times New Roman"/>
          <w:sz w:val="24"/>
          <w:szCs w:val="24"/>
        </w:rPr>
        <w:t xml:space="preserve"> 2024). </w:t>
      </w:r>
    </w:p>
    <w:p w:rsidR="00BC5E03" w:rsidRDefault="00452A9F">
      <w:pPr>
        <w:rPr>
          <w:rFonts w:ascii="Times New Roman" w:hAnsi="Times New Roman"/>
          <w:sz w:val="24"/>
          <w:szCs w:val="24"/>
        </w:rPr>
      </w:pPr>
      <w:r>
        <w:rPr>
          <w:rFonts w:ascii="Times New Roman" w:hAnsi="Times New Roman"/>
          <w:sz w:val="24"/>
          <w:szCs w:val="24"/>
        </w:rPr>
        <w:br w:type="page"/>
      </w:r>
    </w:p>
    <w:p w:rsidR="00BC5E03" w:rsidRDefault="00452A9F">
      <w:pPr>
        <w:pStyle w:val="Heading1"/>
        <w:spacing w:line="240" w:lineRule="auto"/>
        <w:ind w:left="2160" w:firstLine="720"/>
      </w:pPr>
      <w:bookmarkStart w:id="27" w:name="_Toc12238"/>
      <w:r>
        <w:lastRenderedPageBreak/>
        <w:t>CHAPTER THREE</w:t>
      </w:r>
      <w:bookmarkEnd w:id="27"/>
    </w:p>
    <w:p w:rsidR="00BC5E03" w:rsidRDefault="00452A9F">
      <w:pPr>
        <w:pStyle w:val="Heading1"/>
        <w:spacing w:line="240" w:lineRule="auto"/>
      </w:pPr>
      <w:bookmarkStart w:id="28" w:name="_Toc19633"/>
      <w:r>
        <w:t>3.0 MATERIALS AND METHODS</w:t>
      </w:r>
      <w:bookmarkEnd w:id="28"/>
    </w:p>
    <w:p w:rsidR="00BC5E03" w:rsidRDefault="00452A9F">
      <w:pPr>
        <w:pStyle w:val="Heading2"/>
        <w:spacing w:line="240" w:lineRule="auto"/>
      </w:pPr>
      <w:bookmarkStart w:id="29" w:name="_Toc31224"/>
      <w:r>
        <w:t>3.1 Materials</w:t>
      </w:r>
      <w:bookmarkEnd w:id="29"/>
    </w:p>
    <w:p w:rsidR="00BC5E03" w:rsidRDefault="00452A9F">
      <w:pPr>
        <w:pStyle w:val="Heading2"/>
        <w:spacing w:line="240" w:lineRule="auto"/>
      </w:pPr>
      <w:bookmarkStart w:id="30" w:name="_Toc15168"/>
      <w:r>
        <w:t>3.1.1 Plant Materials</w:t>
      </w:r>
      <w:bookmarkEnd w:id="30"/>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was p</w:t>
      </w:r>
      <w:r>
        <w:rPr>
          <w:rFonts w:ascii="Times New Roman" w:hAnsi="Times New Roman" w:cs="Times New Roman"/>
          <w:sz w:val="24"/>
          <w:szCs w:val="24"/>
        </w:rPr>
        <w:t xml:space="preserve">urchased from Mandate Market in Ilorin, Kwara State. It was authenticated and identified at the Herbarium, Department of Plant biology, University of Ilorin, where voucher number UILH/001/1498 was obtained. </w:t>
      </w:r>
    </w:p>
    <w:p w:rsidR="00BC5E03" w:rsidRDefault="00452A9F">
      <w:pPr>
        <w:pStyle w:val="Heading2"/>
        <w:spacing w:line="240" w:lineRule="auto"/>
      </w:pPr>
      <w:bookmarkStart w:id="31" w:name="_Toc23870"/>
      <w:r>
        <w:t>3.1.2 Experimental Animal</w:t>
      </w:r>
      <w:bookmarkEnd w:id="31"/>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w:t>
      </w:r>
      <w:r>
        <w:rPr>
          <w:rFonts w:ascii="Times New Roman" w:hAnsi="Times New Roman" w:cs="Times New Roman"/>
          <w:sz w:val="24"/>
          <w:szCs w:val="24"/>
        </w:rPr>
        <w:t xml:space="preserve">experimental rats were obtained from Research Fulcrum Lab, Ilorin. Prior to the experiment, the animals were housed in a well-ventilated and illuminated facility and were fed standard diet of rat pellets and clean water ad libitum. </w:t>
      </w:r>
    </w:p>
    <w:p w:rsidR="00BC5E03" w:rsidRDefault="00452A9F">
      <w:pPr>
        <w:pStyle w:val="Heading2"/>
        <w:spacing w:line="240" w:lineRule="auto"/>
      </w:pPr>
      <w:bookmarkStart w:id="32" w:name="_Toc16950"/>
      <w:r>
        <w:t>3.1.3 Reagents and Kits</w:t>
      </w:r>
      <w:bookmarkEnd w:id="32"/>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Seroxat (paroxetine) was purchased from General Drug Pharmacy, Ilorin. obtained from Elab Scientifics, epinephrine, DTNB (Ellman’s Reagent) (5,5-dithio-bis-2-nitrobenzoic acid) and glucose from Sigma. The assay kits for High Density Lipoproten (HDL), </w:t>
      </w:r>
      <w:r>
        <w:rPr>
          <w:rFonts w:ascii="Times New Roman" w:hAnsi="Times New Roman" w:cs="Times New Roman"/>
          <w:sz w:val="24"/>
          <w:szCs w:val="24"/>
        </w:rPr>
        <w:t>total cholesterol, triglyceride, were products of Randox Laboratories Ltd., Co-Antrim, UK. Other reagents to be used were of analytical grade.</w:t>
      </w:r>
    </w:p>
    <w:p w:rsidR="00BC5E03" w:rsidRDefault="00452A9F">
      <w:pPr>
        <w:pStyle w:val="Heading2"/>
        <w:spacing w:line="240" w:lineRule="auto"/>
      </w:pPr>
      <w:bookmarkStart w:id="33" w:name="_Toc32038"/>
      <w:r>
        <w:t>3.2 Methods</w:t>
      </w:r>
      <w:bookmarkEnd w:id="33"/>
    </w:p>
    <w:p w:rsidR="00BC5E03" w:rsidRDefault="00452A9F">
      <w:pPr>
        <w:pStyle w:val="Heading2"/>
        <w:spacing w:line="240" w:lineRule="auto"/>
      </w:pPr>
      <w:bookmarkStart w:id="34" w:name="_Toc28352"/>
      <w:r>
        <w:t>3.2.1 Preparation of Clove Extract</w:t>
      </w:r>
      <w:bookmarkEnd w:id="34"/>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w:t>
      </w:r>
      <w:r>
        <w:rPr>
          <w:rFonts w:ascii="Times New Roman" w:hAnsi="Times New Roman" w:cs="Times New Roman"/>
          <w:sz w:val="24"/>
          <w:szCs w:val="24"/>
        </w:rPr>
        <w:t xml:space="preserve">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w:t>
      </w:r>
      <w:r>
        <w:rPr>
          <w:rFonts w:ascii="Times New Roman" w:hAnsi="Times New Roman" w:cs="Times New Roman"/>
          <w:sz w:val="24"/>
          <w:szCs w:val="24"/>
        </w:rPr>
        <w:t>s which were pulverized into powder and stored for the research.</w:t>
      </w:r>
    </w:p>
    <w:p w:rsidR="00BC5E03" w:rsidRDefault="00BC5E03">
      <w:pPr>
        <w:spacing w:line="480" w:lineRule="auto"/>
        <w:jc w:val="both"/>
        <w:rPr>
          <w:rFonts w:ascii="Times New Roman" w:hAnsi="Times New Roman" w:cs="Times New Roman"/>
          <w:b/>
          <w:bCs/>
          <w:sz w:val="24"/>
          <w:szCs w:val="24"/>
        </w:rPr>
      </w:pPr>
    </w:p>
    <w:p w:rsidR="00BC5E03" w:rsidRDefault="00452A9F">
      <w:pPr>
        <w:pStyle w:val="Heading2"/>
        <w:spacing w:line="240" w:lineRule="auto"/>
      </w:pPr>
      <w:bookmarkStart w:id="35" w:name="_Toc21219"/>
      <w:r>
        <w:t>3.2.2 Experimental Design</w:t>
      </w:r>
      <w:bookmarkEnd w:id="35"/>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Group 1 (Normal control) receiv</w:t>
      </w:r>
      <w:r>
        <w:rPr>
          <w:rFonts w:ascii="Times New Roman" w:hAnsi="Times New Roman" w:cs="Times New Roman"/>
          <w:sz w:val="24"/>
          <w:szCs w:val="24"/>
        </w:rPr>
        <w:t xml:space="preserve">ed 1 mL of 0.9% normal saline </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Group 5 was administered 10 mg/kg paroxetine, followed by 400 mg/kg of SAAE. These treatments were administered orally. At the end of the experimen</w:t>
      </w:r>
      <w:r>
        <w:rPr>
          <w:rFonts w:ascii="Times New Roman" w:hAnsi="Times New Roman" w:cs="Times New Roman"/>
          <w:sz w:val="24"/>
          <w:szCs w:val="24"/>
        </w:rPr>
        <w:t xml:space="preserve">t, the rats were humanely sacrificed using diethyl ether anaesthetization. </w:t>
      </w:r>
    </w:p>
    <w:p w:rsidR="00BC5E03" w:rsidRDefault="00452A9F">
      <w:pPr>
        <w:pStyle w:val="Heading2"/>
        <w:spacing w:line="240" w:lineRule="auto"/>
      </w:pPr>
      <w:bookmarkStart w:id="36" w:name="_Toc23318"/>
      <w:r>
        <w:t>3.2.3 Induction of Erectile Dysfunction</w:t>
      </w:r>
      <w:bookmarkEnd w:id="36"/>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Muritala and Bewaji (2021). This involved oral administration of 10 mg/kg of </w:t>
      </w:r>
      <w:r>
        <w:rPr>
          <w:rFonts w:ascii="Times New Roman" w:hAnsi="Times New Roman" w:cs="Times New Roman"/>
          <w:sz w:val="24"/>
          <w:szCs w:val="24"/>
        </w:rPr>
        <w:t>paroxetine suspension which was prepared using Tween-80 (BDH Chemicals, Ltd.; Poole, England) suspended in 9 g/L saline solution as the vehicle. The paroxetine was administered for 21 days, followed by treatment the following day.</w:t>
      </w:r>
    </w:p>
    <w:p w:rsidR="00BC5E03" w:rsidRDefault="00452A9F">
      <w:pPr>
        <w:pStyle w:val="Heading2"/>
        <w:spacing w:line="240" w:lineRule="auto"/>
      </w:pPr>
      <w:bookmarkStart w:id="37" w:name="_Toc18007"/>
      <w:r>
        <w:t>3.2.4 Determination of Bo</w:t>
      </w:r>
      <w:r>
        <w:t>dy-Organ Weight Ratio</w:t>
      </w:r>
      <w:bookmarkEnd w:id="37"/>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w:t>
      </w:r>
      <w:r>
        <w:rPr>
          <w:rFonts w:ascii="Times New Roman" w:hAnsi="Times New Roman" w:cs="Times New Roman"/>
          <w:sz w:val="24"/>
          <w:szCs w:val="24"/>
        </w:rPr>
        <w:lastRenderedPageBreak/>
        <w:t>and penises were excised, blotte</w:t>
      </w:r>
      <w:r>
        <w:rPr>
          <w:rFonts w:ascii="Times New Roman" w:hAnsi="Times New Roman" w:cs="Times New Roman"/>
          <w:sz w:val="24"/>
          <w:szCs w:val="24"/>
        </w:rPr>
        <w:t xml:space="preserv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rsidR="00BC5E03" w:rsidRDefault="00BC5E03">
      <w:pPr>
        <w:spacing w:line="480" w:lineRule="auto"/>
        <w:jc w:val="both"/>
        <w:rPr>
          <w:rFonts w:ascii="Times New Roman" w:hAnsi="Times New Roman" w:cs="Times New Roman"/>
          <w:b/>
          <w:bCs/>
          <w:sz w:val="24"/>
          <w:szCs w:val="24"/>
        </w:rPr>
      </w:pPr>
    </w:p>
    <w:p w:rsidR="00BC5E03" w:rsidRDefault="00452A9F">
      <w:pPr>
        <w:pStyle w:val="Heading2"/>
      </w:pPr>
      <w:bookmarkStart w:id="38" w:name="_Toc21493"/>
      <w:r>
        <w:t>3.2.5 Determination of Phosphodiesterase 5 Activity</w:t>
      </w:r>
      <w:bookmarkEnd w:id="38"/>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w:t>
      </w:r>
      <w:r>
        <w:rPr>
          <w:rFonts w:ascii="Times New Roman" w:hAnsi="Times New Roman" w:cs="Times New Roman"/>
          <w:sz w:val="24"/>
          <w:szCs w:val="24"/>
        </w:rPr>
        <w:t>ng the Butcher and Sutherland (1962) method. Concisely, the samples (penis homogenates) were incubated with cGMP, which served as the substrate, followed by spectrophotometric detection of the reaction product. The enzymatic activity was then estimated usi</w:t>
      </w:r>
      <w:r>
        <w:rPr>
          <w:rFonts w:ascii="Times New Roman" w:hAnsi="Times New Roman" w:cs="Times New Roman"/>
          <w:sz w:val="24"/>
          <w:szCs w:val="24"/>
        </w:rPr>
        <w:t>ng the following equation:</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 xml:space="preserve"> (units/mL)</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rsidR="00BC5E03" w:rsidRDefault="00452A9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rsidR="00BC5E03" w:rsidRDefault="00452A9F">
      <w:pPr>
        <w:pStyle w:val="Heading2"/>
        <w:spacing w:line="240" w:lineRule="auto"/>
      </w:pPr>
      <w:bookmarkStart w:id="39" w:name="_Toc27686"/>
      <w:bookmarkStart w:id="40" w:name="_Hlk202822397"/>
      <w:r>
        <w:t xml:space="preserve">3.2.6 </w:t>
      </w:r>
      <w:r>
        <w:t>Determination of Penile Nitric Oxide Concentrations</w:t>
      </w:r>
      <w:bookmarkEnd w:id="39"/>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w:t>
      </w:r>
      <w:r>
        <w:rPr>
          <w:rFonts w:ascii="Times New Roman" w:hAnsi="Times New Roman" w:cs="Times New Roman"/>
          <w:sz w:val="24"/>
          <w:szCs w:val="24"/>
        </w:rPr>
        <w:t>hich was quantified spectrophotometrically. The nitric oxide concentration was determined based on standard calibration curve.</w:t>
      </w:r>
    </w:p>
    <w:p w:rsidR="00BC5E03" w:rsidRDefault="00452A9F">
      <w:pPr>
        <w:pStyle w:val="Heading2"/>
        <w:spacing w:line="240" w:lineRule="auto"/>
      </w:pPr>
      <w:bookmarkStart w:id="41" w:name="_Toc4838"/>
      <w:r>
        <w:lastRenderedPageBreak/>
        <w:t>3.2.7 Arginase Activity</w:t>
      </w:r>
      <w:bookmarkEnd w:id="41"/>
    </w:p>
    <w:p w:rsidR="00BC5E03" w:rsidRDefault="00452A9F">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xml:space="preserve">. In </w:t>
      </w:r>
      <w:r>
        <w:rPr>
          <w:rFonts w:ascii="Times New Roman" w:eastAsia="Calibri" w:hAnsi="Times New Roman" w:cs="Times New Roman"/>
          <w:sz w:val="24"/>
          <w:szCs w:val="24"/>
        </w:rPr>
        <w:t>this method, 50µl of the homogenate of each of the organs was measured into an eppenduff tube, and 200µl of arginase buffer was added to it. The mixture was incubated for 1 hr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C, after which 100µl of 0.5 M hypochloride was added to it. The mixture wa</w:t>
      </w:r>
      <w:r>
        <w:rPr>
          <w:rFonts w:ascii="Times New Roman" w:eastAsia="Calibri" w:hAnsi="Times New Roman" w:cs="Times New Roman"/>
          <w:sz w:val="24"/>
          <w:szCs w:val="24"/>
        </w:rPr>
        <w:t>s then centrifuged at 8000rpm for 3minutes.  The mixture was thereafter quantified using urea i.e. 100ul of urea reagent was added to 20µl of the supernatant. The absorbance value was taken at 380nm and the concentration of urea is estimated using the foll</w:t>
      </w:r>
      <w:r>
        <w:rPr>
          <w:rFonts w:ascii="Times New Roman" w:eastAsia="Calibri" w:hAnsi="Times New Roman" w:cs="Times New Roman"/>
          <w:sz w:val="24"/>
          <w:szCs w:val="24"/>
        </w:rPr>
        <w:t>owing equation:</w:t>
      </w:r>
    </w:p>
    <w:p w:rsidR="00BC5E03" w:rsidRDefault="00452A9F">
      <w:pPr>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w:p>
    <w:p w:rsidR="00BC5E03" w:rsidRDefault="00452A9F">
      <w:pPr>
        <w:spacing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40"/>
    </w:p>
    <w:p w:rsidR="00BC5E03" w:rsidRDefault="00452A9F">
      <w:pPr>
        <w:pStyle w:val="Heading2"/>
        <w:spacing w:line="240" w:lineRule="auto"/>
      </w:pPr>
      <w:bookmarkStart w:id="42" w:name="_Toc31072"/>
      <w:r>
        <w:t>3.2.8 Creatine Kinase (CK) Activity Assay</w:t>
      </w:r>
      <w:bookmarkEnd w:id="42"/>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Serum creatine kinase (CK) activity was quantified using the Witt and Trendelenburg (1982) method. The assay measured CK acti</w:t>
      </w:r>
      <w:r>
        <w:rPr>
          <w:rFonts w:ascii="Times New Roman" w:hAnsi="Times New Roman" w:cs="Times New Roman"/>
          <w:sz w:val="24"/>
          <w:szCs w:val="24"/>
        </w:rPr>
        <w:t xml:space="preserve">vity based on the enzymatic conversion of creatine phosphate, with absorbance recorded spectrophotometrically. The enzyme activity was calculated using the following equation: </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4127 is the standard factor used in preparation of the enzyme kit.</w:t>
      </w:r>
    </w:p>
    <w:p w:rsidR="00BC5E03" w:rsidRDefault="00452A9F">
      <w:pPr>
        <w:pStyle w:val="Heading2"/>
        <w:spacing w:line="240" w:lineRule="auto"/>
      </w:pPr>
      <w:bookmarkStart w:id="43" w:name="_Toc31671"/>
      <w:r>
        <w:t>3.2.9 Lipid Profile</w:t>
      </w:r>
      <w:bookmarkEnd w:id="43"/>
    </w:p>
    <w:p w:rsidR="00BC5E03" w:rsidRDefault="00452A9F">
      <w:pPr>
        <w:pStyle w:val="Heading2"/>
        <w:spacing w:line="240" w:lineRule="auto"/>
        <w:rPr>
          <w:rFonts w:cs="Times New Roman"/>
          <w:szCs w:val="24"/>
        </w:rPr>
      </w:pPr>
      <w:bookmarkStart w:id="44" w:name="_Toc16784"/>
      <w:r>
        <w:t>3.2.9.1 Serum Total Cholesterol Concentration</w:t>
      </w:r>
      <w:bookmarkEnd w:id="44"/>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w:t>
      </w:r>
      <w:r>
        <w:rPr>
          <w:rFonts w:ascii="Times New Roman" w:hAnsi="Times New Roman" w:cs="Times New Roman"/>
          <w:sz w:val="24"/>
          <w:szCs w:val="24"/>
        </w:rPr>
        <w:t>s used to measure 20 µL each of appropriately diluted sample, standard and distilled water were pipetted into different test tubes and were labeled sample, standard and blank respectively. Thereafter, 2000ul of working reagent composing of 4-aminoantipyrin</w:t>
      </w:r>
      <w:r>
        <w:rPr>
          <w:rFonts w:ascii="Times New Roman" w:hAnsi="Times New Roman" w:cs="Times New Roman"/>
          <w:sz w:val="24"/>
          <w:szCs w:val="24"/>
        </w:rPr>
        <w:t xml:space="preserve">e, phenol, </w:t>
      </w:r>
      <w:r>
        <w:rPr>
          <w:rFonts w:ascii="Times New Roman" w:hAnsi="Times New Roman" w:cs="Times New Roman"/>
          <w:sz w:val="24"/>
          <w:szCs w:val="24"/>
        </w:rPr>
        <w:lastRenderedPageBreak/>
        <w:t>peroxide, cholesterol esterase, cholesterol oxidase and buffer (pH 6.8) were added to each test tube. The reaction constituents were thoroughly mixed and incubated at 37</w:t>
      </w:r>
      <w:r>
        <w:rPr>
          <w:rFonts w:ascii="Times New Roman" w:hAnsi="Times New Roman" w:cs="Times New Roman"/>
          <w:sz w:val="24"/>
          <w:szCs w:val="24"/>
        </w:rPr>
        <w:t>ᵒ</w:t>
      </w:r>
      <w:r>
        <w:rPr>
          <w:rFonts w:ascii="Times New Roman" w:hAnsi="Times New Roman" w:cs="Times New Roman"/>
          <w:sz w:val="24"/>
          <w:szCs w:val="24"/>
        </w:rPr>
        <w:t>C for 5min. The absorbance of sample and standard were read against the bla</w:t>
      </w:r>
      <w:r>
        <w:rPr>
          <w:rFonts w:ascii="Times New Roman" w:hAnsi="Times New Roman" w:cs="Times New Roman"/>
          <w:sz w:val="24"/>
          <w:szCs w:val="24"/>
        </w:rPr>
        <w:t>nk at 546nm. The cholesterol concentration was then calculated using the following equation:</w:t>
      </w:r>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rsidR="00BC5E03" w:rsidRDefault="00BC5E03">
      <w:pPr>
        <w:spacing w:line="360" w:lineRule="auto"/>
        <w:jc w:val="both"/>
        <w:rPr>
          <w:rFonts w:ascii="Times New Roman" w:hAnsi="Times New Roman" w:cs="Times New Roman"/>
          <w:b/>
          <w:sz w:val="24"/>
          <w:szCs w:val="24"/>
        </w:rPr>
      </w:pPr>
    </w:p>
    <w:p w:rsidR="00BC5E03" w:rsidRDefault="00452A9F">
      <w:pPr>
        <w:pStyle w:val="Heading2"/>
        <w:spacing w:line="240" w:lineRule="auto"/>
      </w:pPr>
      <w:bookmarkStart w:id="45" w:name="_Toc32472"/>
      <w:r>
        <w:t>3.2.9.2 Triglycerides concentration</w:t>
      </w:r>
      <w:bookmarkEnd w:id="45"/>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w:t>
      </w:r>
      <w:r>
        <w:rPr>
          <w:rFonts w:ascii="Times New Roman" w:hAnsi="Times New Roman" w:cs="Times New Roman"/>
          <w:sz w:val="24"/>
          <w:szCs w:val="24"/>
        </w:rPr>
        <w:t>rd and blank respectively. Then 100 µL of working reagent comprising of 4-aminophenazone, ATP, lipases, glycerokinase, glyceryl-3-phosphate oxidase and peroxidase were added to each test tube. The solution was mixed, left undisturbed for 10min at room temp</w:t>
      </w:r>
      <w:r>
        <w:rPr>
          <w:rFonts w:ascii="Times New Roman" w:hAnsi="Times New Roman" w:cs="Times New Roman"/>
          <w:sz w:val="24"/>
          <w:szCs w:val="24"/>
        </w:rPr>
        <w:t>erature (20-25 0 C). The absorbance of sample and standard was measured against the blank within 60 min at 500nm. The triglycerides were then estimated using the equation below:</w:t>
      </w:r>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2.21 </w:t>
      </w:r>
      <w:r>
        <w:rPr>
          <w:rFonts w:ascii="Times New Roman" w:hAnsi="Times New Roman" w:cs="Times New Roman"/>
          <w:sz w:val="24"/>
          <w:szCs w:val="24"/>
        </w:rPr>
        <w:t>mmol/L</w:t>
      </w:r>
    </w:p>
    <w:p w:rsidR="00BC5E03" w:rsidRDefault="00452A9F">
      <w:pPr>
        <w:pStyle w:val="Heading2"/>
        <w:spacing w:line="240" w:lineRule="auto"/>
      </w:pPr>
      <w:bookmarkStart w:id="46" w:name="_Toc31284"/>
      <w:r>
        <w:t>3.2.9.3 Serum High Density Lipoprotein-Cholesterol Concentration</w:t>
      </w:r>
      <w:bookmarkEnd w:id="46"/>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w:t>
      </w:r>
      <w:r>
        <w:rPr>
          <w:rFonts w:ascii="Times New Roman" w:hAnsi="Times New Roman" w:cs="Times New Roman"/>
          <w:sz w:val="24"/>
          <w:szCs w:val="24"/>
        </w:rPr>
        <w:t xml:space="preserve">and distilled water were pipetted into clean test tubes labelled sample, standard and blank respectively. </w:t>
      </w:r>
      <w:r>
        <w:rPr>
          <w:rFonts w:ascii="Times New Roman" w:hAnsi="Times New Roman" w:cs="Times New Roman"/>
          <w:sz w:val="24"/>
          <w:szCs w:val="24"/>
        </w:rPr>
        <w:lastRenderedPageBreak/>
        <w:t>Then 500 µL of working reagent comprising of phosphotungstic acid and magnesium chloride were added to each test tube. The solution was mixed and left</w:t>
      </w:r>
      <w:r>
        <w:rPr>
          <w:rFonts w:ascii="Times New Roman" w:hAnsi="Times New Roman" w:cs="Times New Roman"/>
          <w:sz w:val="24"/>
          <w:szCs w:val="24"/>
        </w:rPr>
        <w:t xml:space="preserve"> undisturbed for 10min at room temperature. This was then centrifuged at 4000 rpm for 10 minutes. The clear supernatant was separated off within two hours and the cholesterol content determined by the CHOD-PAP method earlier described.</w:t>
      </w:r>
    </w:p>
    <w:p w:rsidR="00BC5E03" w:rsidRDefault="00452A9F">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HDL</w:t>
      </w:r>
      <w:r>
        <w:rPr>
          <w:rFonts w:ascii="Times New Roman" w:hAnsi="Times New Roman" w:cs="Times New Roman"/>
          <w:sz w:val="24"/>
          <w:szCs w:val="24"/>
        </w:rPr>
        <w:t xml:space="preserve"> cholesterol (mmol/L) = </w:t>
      </w:r>
    </w:p>
    <w:p w:rsidR="00BC5E03" w:rsidRDefault="00452A9F">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rsidR="00BC5E03" w:rsidRDefault="00BC5E03">
      <w:pPr>
        <w:spacing w:line="360" w:lineRule="auto"/>
        <w:jc w:val="both"/>
        <w:rPr>
          <w:rFonts w:ascii="Times New Roman" w:hAnsi="Times New Roman" w:cs="Times New Roman"/>
          <w:sz w:val="24"/>
          <w:szCs w:val="24"/>
        </w:rPr>
      </w:pPr>
    </w:p>
    <w:p w:rsidR="00BC5E03" w:rsidRDefault="00BC5E03">
      <w:pPr>
        <w:spacing w:line="360" w:lineRule="auto"/>
        <w:jc w:val="both"/>
        <w:rPr>
          <w:rFonts w:ascii="Times New Roman" w:hAnsi="Times New Roman" w:cs="Times New Roman"/>
          <w:b/>
          <w:sz w:val="24"/>
          <w:szCs w:val="24"/>
        </w:rPr>
      </w:pPr>
    </w:p>
    <w:p w:rsidR="00BC5E03" w:rsidRDefault="00452A9F">
      <w:pPr>
        <w:pStyle w:val="Heading2"/>
        <w:spacing w:line="240" w:lineRule="auto"/>
      </w:pPr>
      <w:bookmarkStart w:id="47" w:name="_Toc3958"/>
      <w:r>
        <w:t>3.2.9.4 Serum Low Density Lipoprotein-Cholesterol Concentration</w:t>
      </w:r>
      <w:bookmarkEnd w:id="47"/>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assay for serum low-density lipoprotein cholesterol concentration was carried out using the polyvinyl sulphate (PVS) reac</w:t>
      </w:r>
      <w:r>
        <w:rPr>
          <w:rFonts w:ascii="Times New Roman" w:hAnsi="Times New Roman" w:cs="Times New Roman"/>
          <w:sz w:val="24"/>
          <w:szCs w:val="24"/>
        </w:rPr>
        <w:t xml:space="preserve">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rsidR="00BC5E03" w:rsidRDefault="00452A9F">
      <w:pPr>
        <w:pStyle w:val="Heading2"/>
        <w:spacing w:line="240" w:lineRule="auto"/>
      </w:pPr>
      <w:bookmarkStart w:id="48" w:name="_Toc5856"/>
      <w:r>
        <w:t>3.2.9.5 Atherogenic Index</w:t>
      </w:r>
      <w:bookmarkEnd w:id="48"/>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atherogenic index of each animal was estimated using the method of Dobiášová (2006). </w:t>
      </w:r>
      <w:r>
        <w:rPr>
          <w:rFonts w:ascii="Times New Roman" w:hAnsi="Times New Roman" w:cs="Times New Roman"/>
          <w:sz w:val="24"/>
          <w:szCs w:val="24"/>
        </w:rPr>
        <w:t>It is expressed as the logarithmic transformation of the ratio of triglycerides (TG) to high-density lipoprotein cholesterol (HDL-C):</w:t>
      </w:r>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AI = log ()</w:t>
      </w:r>
    </w:p>
    <w:p w:rsidR="00BC5E03" w:rsidRDefault="00452A9F">
      <w:pPr>
        <w:pStyle w:val="Heading2"/>
        <w:spacing w:line="240" w:lineRule="auto"/>
      </w:pPr>
      <w:bookmarkStart w:id="49" w:name="_Toc21381"/>
      <w:r>
        <w:lastRenderedPageBreak/>
        <w:t>3.2.10 Statistical Analysis</w:t>
      </w:r>
      <w:bookmarkEnd w:id="49"/>
    </w:p>
    <w:p w:rsidR="00BC5E03" w:rsidRDefault="00452A9F">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w:t>
      </w:r>
      <w:r>
        <w:rPr>
          <w:rFonts w:ascii="Times New Roman" w:hAnsi="Times New Roman" w:cs="Times New Roman"/>
          <w:sz w:val="24"/>
          <w:szCs w:val="24"/>
        </w:rPr>
        <w:t>plicates. Graphs were obtained using Graphpad prism version 8.0, and one-way analysis of variance (ANOVA) was used for statistical evaluation using Duncan’s posthoc test of SPSS for multiple comparisons. Values analyzed were considered statistically signif</w:t>
      </w:r>
      <w:r>
        <w:rPr>
          <w:rFonts w:ascii="Times New Roman" w:hAnsi="Times New Roman" w:cs="Times New Roman"/>
          <w:sz w:val="24"/>
          <w:szCs w:val="24"/>
        </w:rPr>
        <w:t>icant at p&lt;0.05.</w:t>
      </w:r>
    </w:p>
    <w:p w:rsidR="00BC5E03" w:rsidRDefault="00BC5E03">
      <w:pPr>
        <w:spacing w:line="480" w:lineRule="auto"/>
        <w:jc w:val="both"/>
        <w:rPr>
          <w:rFonts w:ascii="Times New Roman" w:hAnsi="Times New Roman"/>
          <w:sz w:val="24"/>
          <w:szCs w:val="24"/>
        </w:rPr>
      </w:pPr>
    </w:p>
    <w:p w:rsidR="00BC5E03" w:rsidRDefault="00BC5E03">
      <w:pPr>
        <w:spacing w:line="480" w:lineRule="auto"/>
        <w:rPr>
          <w:rFonts w:ascii="Times New Roman" w:hAnsi="Times New Roman"/>
          <w:sz w:val="24"/>
          <w:szCs w:val="24"/>
        </w:rPr>
      </w:pPr>
    </w:p>
    <w:p w:rsidR="00BC5E03" w:rsidRDefault="00452A9F">
      <w:pPr>
        <w:rPr>
          <w:rFonts w:ascii="Times New Roman" w:hAnsi="Times New Roman" w:cs="Times New Roman"/>
          <w:sz w:val="24"/>
          <w:szCs w:val="24"/>
        </w:rPr>
      </w:pPr>
      <w:r>
        <w:rPr>
          <w:rFonts w:ascii="Times New Roman" w:hAnsi="Times New Roman" w:cs="Times New Roman"/>
          <w:sz w:val="24"/>
          <w:szCs w:val="24"/>
        </w:rPr>
        <w:br w:type="page"/>
      </w:r>
    </w:p>
    <w:p w:rsidR="00BC5E03" w:rsidRDefault="00452A9F">
      <w:pPr>
        <w:pStyle w:val="Heading1"/>
        <w:spacing w:line="240" w:lineRule="auto"/>
        <w:ind w:left="2160" w:firstLine="720"/>
      </w:pPr>
      <w:bookmarkStart w:id="50" w:name="_Toc27551"/>
      <w:r>
        <w:lastRenderedPageBreak/>
        <w:t>CHAPTER FOUR</w:t>
      </w:r>
      <w:bookmarkEnd w:id="50"/>
    </w:p>
    <w:p w:rsidR="00BC5E03" w:rsidRDefault="00452A9F">
      <w:pPr>
        <w:pStyle w:val="Heading1"/>
        <w:spacing w:line="240" w:lineRule="auto"/>
      </w:pPr>
      <w:bookmarkStart w:id="51" w:name="_Toc9504"/>
      <w:r>
        <w:t>4.0 RESULTS</w:t>
      </w:r>
      <w:bookmarkEnd w:id="51"/>
    </w:p>
    <w:p w:rsidR="00BC5E03" w:rsidRDefault="00452A9F">
      <w:pPr>
        <w:pStyle w:val="Heading2"/>
        <w:spacing w:line="240" w:lineRule="auto"/>
      </w:pPr>
      <w:bookmarkStart w:id="52" w:name="_Toc28506"/>
      <w:r>
        <w:t>4.1 Percentage Yield of the Extract</w:t>
      </w:r>
      <w:bookmarkEnd w:id="52"/>
    </w:p>
    <w:p w:rsidR="00BC5E03" w:rsidRDefault="00452A9F">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3"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3"/>
      <w:r>
        <w:rPr>
          <w:rFonts w:ascii="Times New Roman" w:hAnsi="Times New Roman" w:cs="Times New Roman"/>
          <w:sz w:val="24"/>
          <w:szCs w:val="24"/>
        </w:rPr>
        <w:t>extract using 500 g of the plant sample, 78 g of extract was obtained.</w:t>
      </w:r>
    </w:p>
    <w:p w:rsidR="00BC5E03" w:rsidRDefault="00452A9F">
      <w:pPr>
        <w:spacing w:line="480" w:lineRule="auto"/>
        <w:rPr>
          <w:rFonts w:ascii="Times New Roman" w:hAnsi="Times New Roman" w:cs="Times New Roman"/>
          <w:sz w:val="24"/>
          <w:szCs w:val="24"/>
        </w:rPr>
      </w:pPr>
      <w:r>
        <w:rPr>
          <w:rFonts w:ascii="Times New Roman" w:hAnsi="Times New Roman" w:cs="Times New Roman"/>
          <w:sz w:val="24"/>
          <w:szCs w:val="24"/>
        </w:rPr>
        <w:t>% Yield =  × 100</w:t>
      </w:r>
    </w:p>
    <w:p w:rsidR="00BC5E03" w:rsidRDefault="00452A9F">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 100</w:t>
      </w:r>
    </w:p>
    <w:p w:rsidR="00BC5E03" w:rsidRDefault="00452A9F">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rsidR="00BC5E03" w:rsidRDefault="00452A9F">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rsidR="00BC5E03" w:rsidRDefault="00452A9F">
      <w:pPr>
        <w:pStyle w:val="Heading2"/>
        <w:spacing w:line="240" w:lineRule="auto"/>
      </w:pPr>
      <w:bookmarkStart w:id="54" w:name="_Toc30697"/>
      <w:r>
        <w:t>4.2 Phytochemical Screening of Syzygium aromaticum Aqueous Extract</w:t>
      </w:r>
      <w:bookmarkEnd w:id="54"/>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w:t>
      </w:r>
      <w:r>
        <w:rPr>
          <w:rFonts w:ascii="Times New Roman" w:hAnsi="Times New Roman" w:cs="Times New Roman"/>
          <w:sz w:val="24"/>
          <w:szCs w:val="24"/>
        </w:rPr>
        <w:t>lavonoids, glycosides, alkaloids, phenols and steroids (Table 4.1). However, terpenoids and phlobatannins in phytochemical screening were not present.</w:t>
      </w:r>
    </w:p>
    <w:p w:rsidR="00BC5E03" w:rsidRDefault="00BC5E03">
      <w:pPr>
        <w:spacing w:line="480" w:lineRule="auto"/>
        <w:rPr>
          <w:rFonts w:ascii="Times New Roman" w:hAnsi="Times New Roman" w:cs="Times New Roman"/>
          <w:b/>
          <w:bCs/>
          <w:sz w:val="24"/>
          <w:szCs w:val="24"/>
        </w:rPr>
      </w:pPr>
    </w:p>
    <w:p w:rsidR="00BC5E03" w:rsidRDefault="00452A9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W w:w="0" w:type="auto"/>
        <w:tblLayout w:type="fixed"/>
        <w:tblLook w:val="04A0"/>
      </w:tblPr>
      <w:tblGrid>
        <w:gridCol w:w="2880"/>
        <w:gridCol w:w="2880"/>
        <w:gridCol w:w="2880"/>
      </w:tblGrid>
      <w:tr w:rsidR="00BC5E03">
        <w:tc>
          <w:tcPr>
            <w:tcW w:w="2880" w:type="dxa"/>
            <w:tcBorders>
              <w:top w:val="single" w:sz="8" w:space="0" w:color="auto"/>
            </w:tcBorders>
          </w:tcPr>
          <w:p w:rsidR="00BC5E03" w:rsidRDefault="00452A9F">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rsidR="00BC5E03" w:rsidRDefault="00452A9F">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rsidR="00BC5E03" w:rsidRDefault="00452A9F">
            <w:pPr>
              <w:pStyle w:val="NormalWeb"/>
              <w:spacing w:beforeAutospacing="0" w:afterAutospacing="0" w:line="216" w:lineRule="atLeast"/>
              <w:jc w:val="center"/>
            </w:pPr>
            <w:r>
              <w:rPr>
                <w:rFonts w:eastAsia="-webkit-standard" w:hint="eastAsia"/>
                <w:b/>
              </w:rPr>
              <w:t>Results</w:t>
            </w:r>
          </w:p>
        </w:tc>
      </w:tr>
      <w:tr w:rsidR="00BC5E03">
        <w:tc>
          <w:tcPr>
            <w:tcW w:w="2880" w:type="dxa"/>
            <w:tcBorders>
              <w:top w:val="single" w:sz="8" w:space="0" w:color="auto"/>
            </w:tcBorders>
          </w:tcPr>
          <w:p w:rsidR="00BC5E03" w:rsidRDefault="00452A9F">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rsidR="00BC5E03" w:rsidRDefault="00452A9F">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t>2</w:t>
            </w:r>
          </w:p>
        </w:tc>
        <w:tc>
          <w:tcPr>
            <w:tcW w:w="2880" w:type="dxa"/>
          </w:tcPr>
          <w:p w:rsidR="00BC5E03" w:rsidRDefault="00452A9F">
            <w:pPr>
              <w:pStyle w:val="NormalWeb"/>
              <w:spacing w:beforeAutospacing="0" w:afterAutospacing="0" w:line="216" w:lineRule="atLeast"/>
            </w:pPr>
            <w:r>
              <w:rPr>
                <w:rFonts w:eastAsia="-webkit-standard" w:hint="eastAsia"/>
              </w:rPr>
              <w:t>Saponins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t>3</w:t>
            </w:r>
          </w:p>
        </w:tc>
        <w:tc>
          <w:tcPr>
            <w:tcW w:w="2880" w:type="dxa"/>
          </w:tcPr>
          <w:p w:rsidR="00BC5E03" w:rsidRDefault="00452A9F">
            <w:pPr>
              <w:pStyle w:val="NormalWeb"/>
              <w:spacing w:beforeAutospacing="0" w:afterAutospacing="0" w:line="216" w:lineRule="atLeast"/>
            </w:pPr>
            <w:r>
              <w:rPr>
                <w:rFonts w:eastAsia="-webkit-standard" w:hint="eastAsia"/>
              </w:rPr>
              <w:t>Flavonoids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t>4</w:t>
            </w:r>
          </w:p>
        </w:tc>
        <w:tc>
          <w:tcPr>
            <w:tcW w:w="2880" w:type="dxa"/>
          </w:tcPr>
          <w:p w:rsidR="00BC5E03" w:rsidRDefault="00452A9F">
            <w:pPr>
              <w:pStyle w:val="NormalWeb"/>
              <w:spacing w:beforeAutospacing="0" w:afterAutospacing="0" w:line="216" w:lineRule="atLeast"/>
            </w:pPr>
            <w:r>
              <w:rPr>
                <w:rFonts w:eastAsia="-webkit-standard" w:hint="eastAsia"/>
              </w:rPr>
              <w:t>Terpenoids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t>5</w:t>
            </w:r>
          </w:p>
        </w:tc>
        <w:tc>
          <w:tcPr>
            <w:tcW w:w="2880" w:type="dxa"/>
          </w:tcPr>
          <w:p w:rsidR="00BC5E03" w:rsidRDefault="00452A9F">
            <w:pPr>
              <w:pStyle w:val="NormalWeb"/>
              <w:spacing w:beforeAutospacing="0" w:afterAutospacing="0" w:line="216" w:lineRule="atLeast"/>
            </w:pPr>
            <w:r>
              <w:rPr>
                <w:rFonts w:eastAsia="-webkit-standard" w:hint="eastAsia"/>
              </w:rPr>
              <w:t>Glycosides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t>6</w:t>
            </w:r>
          </w:p>
        </w:tc>
        <w:tc>
          <w:tcPr>
            <w:tcW w:w="2880" w:type="dxa"/>
          </w:tcPr>
          <w:p w:rsidR="00BC5E03" w:rsidRDefault="00452A9F">
            <w:pPr>
              <w:pStyle w:val="NormalWeb"/>
              <w:spacing w:beforeAutospacing="0" w:afterAutospacing="0" w:line="216" w:lineRule="atLeast"/>
            </w:pPr>
            <w:r>
              <w:rPr>
                <w:rFonts w:eastAsia="-webkit-standard" w:hint="eastAsia"/>
              </w:rPr>
              <w:t>Phlobatannins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lastRenderedPageBreak/>
              <w:t>7</w:t>
            </w:r>
          </w:p>
        </w:tc>
        <w:tc>
          <w:tcPr>
            <w:tcW w:w="2880" w:type="dxa"/>
          </w:tcPr>
          <w:p w:rsidR="00BC5E03" w:rsidRDefault="00452A9F">
            <w:pPr>
              <w:pStyle w:val="NormalWeb"/>
              <w:spacing w:beforeAutospacing="0" w:afterAutospacing="0" w:line="216" w:lineRule="atLeast"/>
            </w:pPr>
            <w:r>
              <w:rPr>
                <w:rFonts w:eastAsia="-webkit-standard" w:hint="eastAsia"/>
              </w:rPr>
              <w:t>Alkaloids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Pr>
          <w:p w:rsidR="00BC5E03" w:rsidRDefault="00452A9F">
            <w:pPr>
              <w:pStyle w:val="NormalWeb"/>
              <w:spacing w:beforeAutospacing="0" w:afterAutospacing="0" w:line="216" w:lineRule="atLeast"/>
            </w:pPr>
            <w:r>
              <w:rPr>
                <w:rFonts w:eastAsia="-webkit-standard" w:hint="eastAsia"/>
              </w:rPr>
              <w:t>8</w:t>
            </w:r>
          </w:p>
        </w:tc>
        <w:tc>
          <w:tcPr>
            <w:tcW w:w="2880" w:type="dxa"/>
          </w:tcPr>
          <w:p w:rsidR="00BC5E03" w:rsidRDefault="00452A9F">
            <w:pPr>
              <w:pStyle w:val="NormalWeb"/>
              <w:spacing w:beforeAutospacing="0" w:afterAutospacing="0" w:line="216" w:lineRule="atLeast"/>
            </w:pPr>
            <w:r>
              <w:rPr>
                <w:rFonts w:eastAsia="-webkit-standard" w:hint="eastAsia"/>
              </w:rPr>
              <w:t>Phenols</w:t>
            </w:r>
          </w:p>
        </w:tc>
        <w:tc>
          <w:tcPr>
            <w:tcW w:w="2880" w:type="dxa"/>
          </w:tcPr>
          <w:p w:rsidR="00BC5E03" w:rsidRDefault="00452A9F">
            <w:pPr>
              <w:pStyle w:val="NormalWeb"/>
              <w:spacing w:beforeAutospacing="0" w:afterAutospacing="0" w:line="216" w:lineRule="atLeast"/>
              <w:jc w:val="center"/>
            </w:pPr>
            <w:r>
              <w:rPr>
                <w:rFonts w:eastAsia="-webkit-standard" w:hint="eastAsia"/>
              </w:rPr>
              <w:t>+</w:t>
            </w:r>
          </w:p>
        </w:tc>
      </w:tr>
      <w:tr w:rsidR="00BC5E03">
        <w:tc>
          <w:tcPr>
            <w:tcW w:w="2880" w:type="dxa"/>
            <w:tcBorders>
              <w:bottom w:val="single" w:sz="8" w:space="0" w:color="auto"/>
            </w:tcBorders>
          </w:tcPr>
          <w:p w:rsidR="00BC5E03" w:rsidRDefault="00452A9F">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rsidR="00BC5E03" w:rsidRDefault="00452A9F">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rsidR="00BC5E03" w:rsidRDefault="00452A9F">
            <w:pPr>
              <w:pStyle w:val="NormalWeb"/>
              <w:spacing w:beforeAutospacing="0" w:afterAutospacing="0" w:line="216" w:lineRule="atLeast"/>
              <w:jc w:val="center"/>
            </w:pPr>
            <w:r>
              <w:rPr>
                <w:rFonts w:eastAsia="-webkit-standard" w:hint="eastAsia"/>
              </w:rPr>
              <w:t>+</w:t>
            </w:r>
          </w:p>
        </w:tc>
      </w:tr>
    </w:tbl>
    <w:p w:rsidR="00BC5E03" w:rsidRDefault="00452A9F">
      <w:pPr>
        <w:pStyle w:val="NormalWeb"/>
        <w:spacing w:beforeAutospacing="0" w:afterAutospacing="0" w:line="324" w:lineRule="atLeast"/>
        <w:rPr>
          <w:rFonts w:eastAsia="-webkit-standard"/>
          <w:color w:val="000000"/>
        </w:rPr>
      </w:pPr>
      <w:r>
        <w:rPr>
          <w:rFonts w:eastAsia="-webkit-standard"/>
          <w:color w:val="000000"/>
        </w:rPr>
        <w:t> </w:t>
      </w:r>
    </w:p>
    <w:p w:rsidR="00BC5E03" w:rsidRDefault="00452A9F">
      <w:pPr>
        <w:rPr>
          <w:rFonts w:ascii="Times New Roman" w:hAnsi="Times New Roman" w:cs="Times New Roman"/>
          <w:b/>
          <w:bCs/>
          <w:sz w:val="24"/>
          <w:szCs w:val="24"/>
        </w:rPr>
      </w:pPr>
      <w:r>
        <w:rPr>
          <w:rFonts w:ascii="Times New Roman" w:hAnsi="Times New Roman" w:cs="Times New Roman"/>
          <w:b/>
          <w:bCs/>
          <w:sz w:val="24"/>
          <w:szCs w:val="24"/>
        </w:rPr>
        <w:t>Keys:</w:t>
      </w:r>
    </w:p>
    <w:p w:rsidR="00BC5E03" w:rsidRDefault="00452A9F">
      <w:pPr>
        <w:rPr>
          <w:rFonts w:ascii="Times New Roman" w:hAnsi="Times New Roman" w:cs="Times New Roman"/>
          <w:sz w:val="24"/>
          <w:szCs w:val="24"/>
        </w:rPr>
      </w:pPr>
      <w:r>
        <w:rPr>
          <w:rFonts w:ascii="Times New Roman" w:hAnsi="Times New Roman" w:cs="Times New Roman"/>
          <w:sz w:val="24"/>
          <w:szCs w:val="24"/>
        </w:rPr>
        <w:t>+ = Present</w:t>
      </w:r>
    </w:p>
    <w:p w:rsidR="00BC5E03" w:rsidRDefault="00452A9F">
      <w:pPr>
        <w:rPr>
          <w:rFonts w:ascii="Times New Roman" w:hAnsi="Times New Roman" w:cs="Times New Roman"/>
          <w:sz w:val="24"/>
          <w:szCs w:val="24"/>
        </w:rPr>
      </w:pPr>
      <w:r>
        <w:rPr>
          <w:rFonts w:ascii="Times New Roman" w:hAnsi="Times New Roman" w:cs="Times New Roman"/>
          <w:sz w:val="24"/>
          <w:szCs w:val="24"/>
        </w:rPr>
        <w:t>- = Absent</w:t>
      </w:r>
    </w:p>
    <w:p w:rsidR="00BC5E03" w:rsidRDefault="00BC5E03">
      <w:pPr>
        <w:spacing w:line="480" w:lineRule="auto"/>
        <w:rPr>
          <w:rFonts w:ascii="Times New Roman" w:hAnsi="Times New Roman" w:cs="Times New Roman"/>
          <w:b/>
          <w:bCs/>
          <w:sz w:val="24"/>
          <w:szCs w:val="24"/>
        </w:rPr>
      </w:pPr>
    </w:p>
    <w:p w:rsidR="00BC5E03" w:rsidRDefault="00452A9F">
      <w:pPr>
        <w:pStyle w:val="Heading2"/>
        <w:spacing w:line="240" w:lineRule="auto"/>
      </w:pPr>
      <w:bookmarkStart w:id="55" w:name="_Toc1592"/>
      <w:r>
        <w:t>4.3 Penile Organ-Body Ratios</w:t>
      </w:r>
      <w:bookmarkEnd w:id="55"/>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The penile organ-body ratio of group 2 (dysfunctional untreated group) was significantly lower (p&lt;0.05) compared to others (Figure 4.1). There was no significant difference (p&lt;0.05) in the penile organ-body ratios of normal control and sildenafil citrate (</w:t>
      </w:r>
      <w:r>
        <w:rPr>
          <w:rFonts w:ascii="Times New Roman" w:hAnsi="Times New Roman" w:cs="Times New Roman"/>
          <w:sz w:val="24"/>
          <w:szCs w:val="24"/>
        </w:rPr>
        <w:t xml:space="preserve">standard) groups. The penile organ-body ratios of groups 4 and 5 (200mg/kg body weight SAAE and 400mg/kg body weight SAAE) were significantly (p&lt;0.05) lower compared to that of the normal control. </w:t>
      </w:r>
    </w:p>
    <w:p w:rsidR="00BC5E03" w:rsidRDefault="00BC5E03">
      <w:pPr>
        <w:jc w:val="both"/>
        <w:rPr>
          <w:rFonts w:ascii="Times New Roman" w:hAnsi="Times New Roman" w:cs="Times New Roman"/>
          <w:sz w:val="24"/>
          <w:szCs w:val="24"/>
        </w:rPr>
      </w:pPr>
      <w:r>
        <w:object w:dxaOrig="8887" w:dyaOrig="4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45pt;height:208.35pt" o:ole="">
            <v:imagedata r:id="rId12" o:title=""/>
          </v:shape>
          <o:OLEObject Type="Embed" ProgID="Prism8.Document" ShapeID="_x0000_i1025" DrawAspect="Content" ObjectID="_1813997748" r:id="rId13"/>
        </w:objec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w:t>
      </w:r>
      <w:r>
        <w:rPr>
          <w:rFonts w:ascii="Times New Roman" w:hAnsi="Times New Roman" w:cs="Times New Roman"/>
          <w:b/>
          <w:bCs/>
          <w:sz w:val="24"/>
          <w:szCs w:val="24"/>
        </w:rPr>
        <w:t xml:space="preserve">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rsidR="00BC5E03" w:rsidRDefault="00452A9F">
      <w:pPr>
        <w:pStyle w:val="Heading2"/>
        <w:spacing w:line="240" w:lineRule="auto"/>
      </w:pPr>
      <w:bookmarkStart w:id="56" w:name="_Toc2629"/>
      <w:r>
        <w:lastRenderedPageBreak/>
        <w:t>4.4 Nitric Oxide Concentration</w:t>
      </w:r>
      <w:bookmarkEnd w:id="56"/>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w:t>
      </w:r>
      <w:r>
        <w:rPr>
          <w:rFonts w:ascii="Times New Roman" w:hAnsi="Times New Roman" w:cs="Times New Roman"/>
          <w:sz w:val="24"/>
          <w:szCs w:val="24"/>
        </w:rPr>
        <w:t xml:space="preserve"> was no significant difference (p&lt;0.05) in the nitric oxide levels of sildenafil citrate, 200mg/kg body weight SAAE and 400mg/kg body weight SAAE groups.</w:t>
      </w:r>
    </w:p>
    <w:p w:rsidR="00BC5E03" w:rsidRDefault="00BC5E03">
      <w:pPr>
        <w:rPr>
          <w:rFonts w:ascii="Times New Roman" w:hAnsi="Times New Roman" w:cs="Times New Roman"/>
          <w:sz w:val="24"/>
          <w:szCs w:val="24"/>
        </w:rPr>
      </w:pPr>
      <w:r w:rsidRPr="00BC5E03">
        <w:rPr>
          <w:rFonts w:ascii="Times New Roman" w:hAnsi="Times New Roman" w:cs="Times New Roman"/>
          <w:sz w:val="24"/>
          <w:szCs w:val="24"/>
        </w:rPr>
        <w:object w:dxaOrig="8889" w:dyaOrig="3993">
          <v:shape id="_x0000_i1026" type="#_x0000_t75" style="width:435.85pt;height:195.3pt" o:ole="">
            <v:imagedata r:id="rId14" o:title=""/>
          </v:shape>
          <o:OLEObject Type="Embed" ProgID="Prism8.Document" ShapeID="_x0000_i1026" DrawAspect="Content" ObjectID="_1813997749" r:id="rId15"/>
        </w:objec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Syzygiumaromatic</w:t>
      </w:r>
      <w:r>
        <w:rPr>
          <w:rFonts w:ascii="Times New Roman" w:hAnsi="Times New Roman" w:cs="Times New Roman"/>
          <w:b/>
          <w:bCs/>
          <w:sz w:val="24"/>
          <w:szCs w:val="24"/>
        </w:rPr>
        <w:t xml:space="preserve"> Extract (SAAE)</w:t>
      </w:r>
    </w:p>
    <w:p w:rsidR="00BC5E03" w:rsidRDefault="00452A9F">
      <w:pPr>
        <w:pStyle w:val="Heading2"/>
        <w:spacing w:line="240" w:lineRule="auto"/>
      </w:pPr>
      <w:bookmarkStart w:id="57" w:name="_Toc15457"/>
      <w:r>
        <w:t>4.5 In vivo Enzyme Assays</w:t>
      </w:r>
      <w:bookmarkEnd w:id="57"/>
    </w:p>
    <w:p w:rsidR="00BC5E03" w:rsidRDefault="00452A9F">
      <w:pPr>
        <w:pStyle w:val="Heading2"/>
        <w:spacing w:line="240" w:lineRule="auto"/>
      </w:pPr>
      <w:bookmarkStart w:id="58" w:name="_Toc18863"/>
      <w:r>
        <w:t>4.5.1 Phosphodiesterase 5</w:t>
      </w:r>
      <w:bookmarkEnd w:id="58"/>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w:t>
      </w:r>
      <w:r>
        <w:rPr>
          <w:rFonts w:ascii="Times New Roman" w:hAnsi="Times New Roman" w:cs="Times New Roman"/>
          <w:sz w:val="24"/>
          <w:szCs w:val="24"/>
        </w:rPr>
        <w:t>p&lt;0.05) compared to others (Figure 4.3). There was no significant difference (p&lt;0.05) in the phosphodiesterase 5 activity of normal control, sildenafil citrate and 400mg/kg SAAE groups. The phosphodiesterase 5 activity in 200mg/kg SAAE was significantly hi</w:t>
      </w:r>
      <w:r>
        <w:rPr>
          <w:rFonts w:ascii="Times New Roman" w:hAnsi="Times New Roman" w:cs="Times New Roman"/>
          <w:sz w:val="24"/>
          <w:szCs w:val="24"/>
        </w:rPr>
        <w:t>gher (p&lt;0.05) than those of the normal control, sildenafil citrate and 400mg/kg SAAE groups.</w:t>
      </w:r>
    </w:p>
    <w:p w:rsidR="00BC5E03" w:rsidRDefault="00BC5E03">
      <w:pPr>
        <w:rPr>
          <w:rFonts w:ascii="Times New Roman" w:hAnsi="Times New Roman" w:cs="Times New Roman"/>
          <w:sz w:val="24"/>
          <w:szCs w:val="24"/>
        </w:rPr>
      </w:pPr>
    </w:p>
    <w:p w:rsidR="00BC5E03" w:rsidRDefault="00BC5E03">
      <w:pPr>
        <w:rPr>
          <w:rFonts w:ascii="Times New Roman" w:hAnsi="Times New Roman" w:cs="Times New Roman"/>
          <w:sz w:val="24"/>
          <w:szCs w:val="24"/>
        </w:rPr>
      </w:pPr>
    </w:p>
    <w:p w:rsidR="00BC5E03" w:rsidRDefault="00BC5E03">
      <w:pPr>
        <w:rPr>
          <w:rFonts w:ascii="Times New Roman" w:hAnsi="Times New Roman" w:cs="Times New Roman"/>
          <w:sz w:val="24"/>
          <w:szCs w:val="24"/>
        </w:rPr>
      </w:pPr>
    </w:p>
    <w:p w:rsidR="00BC5E03" w:rsidRDefault="00BC5E03">
      <w:pPr>
        <w:rPr>
          <w:rFonts w:ascii="Times New Roman" w:hAnsi="Times New Roman" w:cs="Times New Roman"/>
          <w:sz w:val="24"/>
          <w:szCs w:val="24"/>
        </w:rPr>
      </w:pPr>
    </w:p>
    <w:p w:rsidR="00BC5E03" w:rsidRDefault="00BC5E03">
      <w:pPr>
        <w:rPr>
          <w:rFonts w:ascii="Times New Roman" w:hAnsi="Times New Roman" w:cs="Times New Roman"/>
          <w:sz w:val="24"/>
          <w:szCs w:val="24"/>
        </w:rPr>
      </w:pPr>
      <w:r w:rsidRPr="00BC5E03">
        <w:rPr>
          <w:rFonts w:ascii="Times New Roman" w:hAnsi="Times New Roman" w:cs="Times New Roman"/>
          <w:sz w:val="24"/>
          <w:szCs w:val="24"/>
        </w:rPr>
        <w:object w:dxaOrig="8817" w:dyaOrig="3993">
          <v:shape id="_x0000_i1027" type="#_x0000_t75" style="width:477.2pt;height:3in" o:ole="">
            <v:imagedata r:id="rId16" o:title=""/>
          </v:shape>
          <o:OLEObject Type="Embed" ProgID="Prism8.Document" ShapeID="_x0000_i1027" DrawAspect="Content" ObjectID="_1813997750" r:id="rId17"/>
        </w:objec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Syzygiumaromatic</w:t>
      </w:r>
      <w:r>
        <w:rPr>
          <w:rFonts w:ascii="Times New Roman" w:hAnsi="Times New Roman" w:cs="Times New Roman"/>
          <w:b/>
          <w:bCs/>
          <w:sz w:val="24"/>
          <w:szCs w:val="24"/>
        </w:rPr>
        <w:t xml:space="preserve"> Extract (SAAE)</w:t>
      </w:r>
    </w:p>
    <w:p w:rsidR="00BC5E03" w:rsidRDefault="00452A9F">
      <w:pPr>
        <w:pStyle w:val="Heading2"/>
        <w:spacing w:line="240" w:lineRule="auto"/>
      </w:pPr>
      <w:bookmarkStart w:id="59" w:name="_Toc23441"/>
      <w:r>
        <w:t>4.</w:t>
      </w:r>
      <w:r>
        <w:t>5.2 Arginase</w:t>
      </w:r>
      <w:bookmarkEnd w:id="59"/>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Arginase in group 2(dysfunctional untreated group) was significantly higher (p&lt;0.05) compared to other (Figure 4.4). There was no significant difference (p&lt;0.05) in the arginase activity of normal control, sildenafil citrate (standard), 200mg/</w:t>
      </w:r>
      <w:r>
        <w:rPr>
          <w:rFonts w:ascii="Times New Roman" w:hAnsi="Times New Roman" w:cs="Times New Roman"/>
          <w:sz w:val="24"/>
          <w:szCs w:val="24"/>
        </w:rPr>
        <w:t xml:space="preserve">kg body weight SAAE and 400mg/kg body weight SAAE groups   </w:t>
      </w:r>
    </w:p>
    <w:p w:rsidR="00BC5E03" w:rsidRDefault="00BC5E03">
      <w:pPr>
        <w:spacing w:line="480" w:lineRule="auto"/>
        <w:jc w:val="both"/>
        <w:rPr>
          <w:rFonts w:ascii="Times New Roman" w:hAnsi="Times New Roman" w:cs="Times New Roman"/>
          <w:sz w:val="24"/>
          <w:szCs w:val="24"/>
        </w:rPr>
      </w:pPr>
    </w:p>
    <w:p w:rsidR="00BC5E03" w:rsidRDefault="00BC5E03">
      <w:pPr>
        <w:rPr>
          <w:rFonts w:ascii="Times New Roman" w:hAnsi="Times New Roman" w:cs="Times New Roman"/>
          <w:sz w:val="24"/>
          <w:szCs w:val="24"/>
        </w:rPr>
      </w:pPr>
      <w:r w:rsidRPr="00BC5E03">
        <w:rPr>
          <w:rFonts w:ascii="Times New Roman" w:hAnsi="Times New Roman" w:cs="Times New Roman"/>
          <w:sz w:val="24"/>
          <w:szCs w:val="24"/>
        </w:rPr>
        <w:object w:dxaOrig="8722" w:dyaOrig="3993">
          <v:shape id="_x0000_i1028" type="#_x0000_t75" style="width:435.85pt;height:199.9pt" o:ole="">
            <v:imagedata r:id="rId18" o:title=""/>
          </v:shape>
          <o:OLEObject Type="Embed" ProgID="Prism8.Document" ShapeID="_x0000_i1028" DrawAspect="Content" ObjectID="_1813997751" r:id="rId19"/>
        </w:objec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4.4: The Arginase Activity of Paroxetine-Induced Dysfunctional Rats Administered </w:t>
      </w:r>
      <w:r>
        <w:rPr>
          <w:rFonts w:ascii="Times New Roman" w:hAnsi="Times New Roman" w:cs="Times New Roman"/>
          <w:b/>
          <w:bCs/>
          <w:i/>
          <w:iCs/>
          <w:sz w:val="24"/>
          <w:szCs w:val="24"/>
        </w:rPr>
        <w:t>Syzygiumaromatic</w:t>
      </w:r>
      <w:r>
        <w:rPr>
          <w:rFonts w:ascii="Times New Roman" w:hAnsi="Times New Roman" w:cs="Times New Roman"/>
          <w:b/>
          <w:bCs/>
          <w:sz w:val="24"/>
          <w:szCs w:val="24"/>
        </w:rPr>
        <w:t xml:space="preserve"> Extract (SAAE)</w:t>
      </w:r>
    </w:p>
    <w:p w:rsidR="00BC5E03" w:rsidRDefault="00452A9F">
      <w:pPr>
        <w:pStyle w:val="Heading2"/>
        <w:spacing w:line="240" w:lineRule="auto"/>
      </w:pPr>
      <w:bookmarkStart w:id="60" w:name="_Toc19066"/>
      <w:r>
        <w:t>4.5.3 Creatinine Kinase</w:t>
      </w:r>
      <w:bookmarkEnd w:id="60"/>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creatine kinase in </w:t>
      </w:r>
      <w:r>
        <w:rPr>
          <w:rFonts w:ascii="Times New Roman" w:hAnsi="Times New Roman" w:cs="Times New Roman"/>
          <w:sz w:val="24"/>
          <w:szCs w:val="24"/>
        </w:rPr>
        <w:t>group 2 (dysfunctional untreated group) was significantly higher (p&lt;0.05) compared to others (Figure 4.5). There was no significant difference (p&lt;0.05) in the creatine kinase of normal control, sildenafil citrate (standard), 200mg/kg body weight SAAE and 4</w:t>
      </w:r>
      <w:r>
        <w:rPr>
          <w:rFonts w:ascii="Times New Roman" w:hAnsi="Times New Roman" w:cs="Times New Roman"/>
          <w:sz w:val="24"/>
          <w:szCs w:val="24"/>
        </w:rPr>
        <w:t>00mg/kg body weight SAAE groups.</w:t>
      </w:r>
    </w:p>
    <w:p w:rsidR="00BC5E03" w:rsidRDefault="00BC5E03">
      <w:pPr>
        <w:rPr>
          <w:rFonts w:ascii="Times New Roman" w:hAnsi="Times New Roman" w:cs="Times New Roman"/>
          <w:sz w:val="24"/>
          <w:szCs w:val="24"/>
        </w:rPr>
      </w:pPr>
      <w:r w:rsidRPr="00BC5E03">
        <w:rPr>
          <w:rFonts w:ascii="Times New Roman" w:hAnsi="Times New Roman" w:cs="Times New Roman"/>
          <w:sz w:val="24"/>
          <w:szCs w:val="24"/>
        </w:rPr>
        <w:object w:dxaOrig="8803" w:dyaOrig="3993">
          <v:shape id="_x0000_i1029" type="#_x0000_t75" style="width:383pt;height:199.9pt" o:ole="">
            <v:imagedata r:id="rId20" o:title=""/>
          </v:shape>
          <o:OLEObject Type="Embed" ProgID="Prism8.Document" ShapeID="_x0000_i1029" DrawAspect="Content" ObjectID="_1813997752" r:id="rId21"/>
        </w:objec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Syzygiumaromatic</w:t>
      </w:r>
      <w:r>
        <w:rPr>
          <w:rFonts w:ascii="Times New Roman" w:hAnsi="Times New Roman" w:cs="Times New Roman"/>
          <w:b/>
          <w:bCs/>
          <w:sz w:val="24"/>
          <w:szCs w:val="24"/>
        </w:rPr>
        <w:t xml:space="preserve"> Extract (SAAE)</w:t>
      </w:r>
    </w:p>
    <w:p w:rsidR="00BC5E03" w:rsidRDefault="00452A9F">
      <w:pPr>
        <w:pStyle w:val="Heading2"/>
        <w:spacing w:line="240" w:lineRule="auto"/>
      </w:pPr>
      <w:bookmarkStart w:id="61" w:name="_Toc23112"/>
      <w:r>
        <w:t>4.6 Serum Lipid Profile</w:t>
      </w:r>
      <w:bookmarkEnd w:id="61"/>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revealed low density </w:t>
      </w:r>
      <w:r>
        <w:rPr>
          <w:rFonts w:ascii="Times New Roman" w:hAnsi="Times New Roman" w:cs="Times New Roman"/>
          <w:sz w:val="24"/>
          <w:szCs w:val="24"/>
        </w:rPr>
        <w:t>lipoprotein (LDL) in group 2 (dysfunctional untreated group) which was significantly higher (p&lt;0.05) compared to others (Table 4.2). There was no significant difference (p&lt;0.05) in LDL of 400 mg/kg body weight SAAE, 200mg/kg body weight SAAE and sildenafil</w:t>
      </w:r>
      <w:r>
        <w:rPr>
          <w:rFonts w:ascii="Times New Roman" w:hAnsi="Times New Roman" w:cs="Times New Roman"/>
          <w:sz w:val="24"/>
          <w:szCs w:val="24"/>
        </w:rPr>
        <w:t xml:space="preserve"> citrate groups, and their LDL concentrations were significantly higher (p&lt;0.05) than that of normal control.</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Higher density lipoprotein (HDL) in group 2 (untreated group) was significantly lower (p&lt;0.05) compared to others. There was no significant </w:t>
      </w:r>
      <w:r>
        <w:rPr>
          <w:rFonts w:ascii="Times New Roman" w:hAnsi="Times New Roman" w:cs="Times New Roman"/>
          <w:sz w:val="24"/>
          <w:szCs w:val="24"/>
        </w:rPr>
        <w:t>difference (p&lt;0.05) in the HDL of sildenafil citrate, 200 and 400 mg/kg body weight SAAE, and their HDL concentrations were significantly (p&lt;0.05) lower compared to the normal control group.</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Triacylglycerol (TAG) in group 2 (dysfunctional untreated group) </w:t>
      </w:r>
      <w:r>
        <w:rPr>
          <w:rFonts w:ascii="Times New Roman" w:hAnsi="Times New Roman" w:cs="Times New Roman"/>
          <w:sz w:val="24"/>
          <w:szCs w:val="24"/>
        </w:rPr>
        <w:t>was significantly higher (p&lt;0.05) compared to others. There was no significant difference (p&lt;0.05) in the triacylglycerol concentrations of normal control, sildenafil citrate and 400mg/kg body weight SAAE. The triacylglycerol in 400mg/kg body weight SAAE g</w:t>
      </w:r>
      <w:r>
        <w:rPr>
          <w:rFonts w:ascii="Times New Roman" w:hAnsi="Times New Roman" w:cs="Times New Roman"/>
          <w:sz w:val="24"/>
          <w:szCs w:val="24"/>
        </w:rPr>
        <w:t>roup was significantly lower (p&lt;0.05) than 200mg/kg body weight SAAE group.</w: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w:t>
      </w:r>
      <w:r>
        <w:rPr>
          <w:rFonts w:ascii="Times New Roman" w:hAnsi="Times New Roman" w:cs="Times New Roman"/>
          <w:sz w:val="24"/>
          <w:szCs w:val="24"/>
        </w:rPr>
        <w:t>al cholesterol of 200 and 400 mg/kg body weight SAAE groups.</w: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tblPr>
      <w:tblGrid>
        <w:gridCol w:w="591"/>
        <w:gridCol w:w="3261"/>
        <w:gridCol w:w="1723"/>
        <w:gridCol w:w="1710"/>
        <w:gridCol w:w="1710"/>
        <w:gridCol w:w="1620"/>
      </w:tblGrid>
      <w:tr w:rsidR="00BC5E03">
        <w:tc>
          <w:tcPr>
            <w:tcW w:w="591" w:type="dxa"/>
            <w:tcBorders>
              <w:top w:val="single" w:sz="8" w:space="0" w:color="auto"/>
              <w:bottom w:val="single" w:sz="8" w:space="0" w:color="auto"/>
            </w:tcBorders>
          </w:tcPr>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710" w:type="dxa"/>
            <w:tcBorders>
              <w:top w:val="single" w:sz="8" w:space="0" w:color="auto"/>
              <w:bottom w:val="single" w:sz="8" w:space="0" w:color="auto"/>
            </w:tcBorders>
          </w:tcPr>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c>
          <w:tcPr>
            <w:tcW w:w="1620" w:type="dxa"/>
            <w:tcBorders>
              <w:top w:val="single" w:sz="8" w:space="0" w:color="auto"/>
              <w:bottom w:val="single" w:sz="8" w:space="0" w:color="auto"/>
            </w:tcBorders>
          </w:tcPr>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rsidR="00BC5E03" w:rsidRDefault="00452A9F">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(mmol/L)</w:t>
            </w:r>
          </w:p>
        </w:tc>
      </w:tr>
      <w:tr w:rsidR="00BC5E03">
        <w:tc>
          <w:tcPr>
            <w:tcW w:w="591" w:type="dxa"/>
            <w:tcBorders>
              <w:top w:val="single" w:sz="8" w:space="0" w:color="auto"/>
            </w:tcBorders>
          </w:tcPr>
          <w:p w:rsidR="00BC5E03" w:rsidRDefault="00452A9F">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Normal </w:t>
            </w:r>
            <w:r>
              <w:rPr>
                <w:rFonts w:ascii="Times New Roman" w:hAnsi="Times New Roman" w:cs="Times New Roman" w:hint="eastAsia"/>
                <w:kern w:val="2"/>
                <w:sz w:val="24"/>
                <w:szCs w:val="24"/>
              </w:rPr>
              <w:t>Control</w:t>
            </w:r>
          </w:p>
        </w:tc>
        <w:tc>
          <w:tcPr>
            <w:tcW w:w="1723" w:type="dxa"/>
            <w:tcBorders>
              <w:top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BC5E03">
        <w:tc>
          <w:tcPr>
            <w:tcW w:w="591" w:type="dxa"/>
          </w:tcPr>
          <w:p w:rsidR="00BC5E03" w:rsidRDefault="00452A9F">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BC5E03">
        <w:tc>
          <w:tcPr>
            <w:tcW w:w="591" w:type="dxa"/>
          </w:tcPr>
          <w:p w:rsidR="00BC5E03" w:rsidRDefault="00452A9F">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50 mg/kg bw Sildenafil Citrate</w:t>
            </w:r>
          </w:p>
        </w:tc>
        <w:tc>
          <w:tcPr>
            <w:tcW w:w="1723"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BC5E03">
        <w:tc>
          <w:tcPr>
            <w:tcW w:w="591" w:type="dxa"/>
          </w:tcPr>
          <w:p w:rsidR="00BC5E03" w:rsidRDefault="00452A9F">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200 mg/kg bw SAAE</w:t>
            </w:r>
          </w:p>
        </w:tc>
        <w:tc>
          <w:tcPr>
            <w:tcW w:w="1723"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rsidR="00BC5E03" w:rsidRDefault="00452A9F">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BC5E03">
        <w:tc>
          <w:tcPr>
            <w:tcW w:w="591" w:type="dxa"/>
            <w:tcBorders>
              <w:bottom w:val="single" w:sz="8" w:space="0" w:color="auto"/>
            </w:tcBorders>
          </w:tcPr>
          <w:p w:rsidR="00BC5E03" w:rsidRDefault="00452A9F">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400 mg/kg bw SAAE</w:t>
            </w:r>
          </w:p>
        </w:tc>
        <w:tc>
          <w:tcPr>
            <w:tcW w:w="1723" w:type="dxa"/>
            <w:tcBorders>
              <w:bottom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rsidR="00BC5E03" w:rsidRDefault="00452A9F">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rsidR="00BC5E03" w:rsidRDefault="00BC5E03">
      <w:pPr>
        <w:rPr>
          <w:rFonts w:ascii="Times New Roman" w:hAnsi="Times New Roman" w:cs="Times New Roman"/>
          <w:sz w:val="24"/>
          <w:szCs w:val="24"/>
        </w:rPr>
      </w:pPr>
    </w:p>
    <w:p w:rsidR="00BC5E03" w:rsidRDefault="00BC5E03">
      <w:pPr>
        <w:rPr>
          <w:rFonts w:ascii="Times New Roman" w:hAnsi="Times New Roman" w:cs="Times New Roman"/>
          <w:sz w:val="24"/>
          <w:szCs w:val="24"/>
        </w:rPr>
      </w:pPr>
    </w:p>
    <w:p w:rsidR="00BC5E03" w:rsidRDefault="00BC5E03">
      <w:pPr>
        <w:rPr>
          <w:rFonts w:ascii="Times New Roman" w:hAnsi="Times New Roman" w:cs="Times New Roman"/>
          <w:sz w:val="24"/>
          <w:szCs w:val="24"/>
        </w:rPr>
      </w:pPr>
    </w:p>
    <w:p w:rsidR="00BC5E03" w:rsidRDefault="00452A9F">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rsidR="00BC5E03" w:rsidRDefault="00452A9F">
      <w:pPr>
        <w:rPr>
          <w:rFonts w:ascii="Times New Roman" w:hAnsi="Times New Roman" w:cs="Times New Roman"/>
          <w:sz w:val="24"/>
          <w:szCs w:val="24"/>
        </w:rPr>
      </w:pPr>
      <w:r>
        <w:rPr>
          <w:rFonts w:ascii="Times New Roman" w:hAnsi="Times New Roman" w:cs="Times New Roman"/>
          <w:sz w:val="24"/>
          <w:szCs w:val="24"/>
        </w:rPr>
        <w:br w:type="page"/>
      </w:r>
    </w:p>
    <w:p w:rsidR="00BC5E03" w:rsidRDefault="00452A9F">
      <w:pPr>
        <w:pStyle w:val="Heading1"/>
        <w:spacing w:line="240" w:lineRule="auto"/>
        <w:ind w:left="1440" w:firstLine="720"/>
      </w:pPr>
      <w:bookmarkStart w:id="62" w:name="_Toc30383"/>
      <w:r>
        <w:lastRenderedPageBreak/>
        <w:t>CHAPTER FIVE</w:t>
      </w:r>
      <w:bookmarkEnd w:id="62"/>
    </w:p>
    <w:p w:rsidR="00BC5E03" w:rsidRDefault="00452A9F">
      <w:pPr>
        <w:pStyle w:val="Heading1"/>
        <w:spacing w:line="240" w:lineRule="auto"/>
      </w:pPr>
      <w:bookmarkStart w:id="63" w:name="_Toc22960"/>
      <w:r>
        <w:t>5.0 DISCUSSION, CONCLUSION AND RECOMMENDATION</w:t>
      </w:r>
      <w:bookmarkEnd w:id="63"/>
    </w:p>
    <w:p w:rsidR="00BC5E03" w:rsidRDefault="00452A9F">
      <w:pPr>
        <w:pStyle w:val="Heading2"/>
        <w:spacing w:line="240" w:lineRule="auto"/>
      </w:pPr>
      <w:bookmarkStart w:id="64" w:name="_Toc29947"/>
      <w:r>
        <w:t>5.1 Discussion</w:t>
      </w:r>
      <w:bookmarkEnd w:id="64"/>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w:t>
      </w:r>
      <w:r>
        <w:rPr>
          <w:rFonts w:ascii="Times New Roman" w:hAnsi="Times New Roman" w:cs="Times New Roman"/>
          <w:sz w:val="24"/>
          <w:szCs w:val="24"/>
        </w:rPr>
        <w:t>ys relevant to male reproductive health. The significant reduction in penile organ-body ratio in the untreated paroxetine group aligns with existing evidence that selective serotonin reuptake inhibitors (SSRIs), such as paroxetine, impair sexual function b</w:t>
      </w:r>
      <w:r>
        <w:rPr>
          <w:rFonts w:ascii="Times New Roman" w:hAnsi="Times New Roman" w:cs="Times New Roman"/>
          <w:sz w:val="24"/>
          <w:szCs w:val="24"/>
        </w:rPr>
        <w:t xml:space="preserve">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w:t>
      </w:r>
      <w:r>
        <w:rPr>
          <w:rFonts w:ascii="Times New Roman" w:hAnsi="Times New Roman" w:cs="Times New Roman"/>
          <w:i/>
          <w:iCs/>
          <w:sz w:val="24"/>
          <w:szCs w:val="24"/>
        </w:rPr>
        <w:t>.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The restoration of NO concentrations in the SAAE-treated groups indicates a reversal of p</w:t>
      </w:r>
      <w:r>
        <w:rPr>
          <w:rFonts w:ascii="Times New Roman" w:hAnsi="Times New Roman" w:cs="Times New Roman"/>
          <w:sz w:val="24"/>
          <w:szCs w:val="24"/>
        </w:rPr>
        <w:t xml:space="preserve">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w:t>
      </w:r>
      <w:r>
        <w:rPr>
          <w:rFonts w:ascii="Times New Roman" w:hAnsi="Times New Roman" w:cs="Times New Roman"/>
          <w:sz w:val="24"/>
          <w:szCs w:val="24"/>
        </w:rPr>
        <w:t xml:space="preserve">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w:t>
      </w:r>
      <w:r>
        <w:rPr>
          <w:rFonts w:ascii="Times New Roman" w:hAnsi="Times New Roman" w:cs="Times New Roman"/>
          <w:sz w:val="24"/>
          <w:szCs w:val="24"/>
        </w:rPr>
        <w:t>cacy of clove extract as a natural PDE5 modulator. This observation is supported by the findings of Elkomy et al. (2018), who demonstrated that clove oil improves testicular function and NO availability in toxicological models.</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Phosphodiesterase-5 (PDE5) p</w:t>
      </w:r>
      <w:r>
        <w:rPr>
          <w:rFonts w:ascii="Times New Roman" w:hAnsi="Times New Roman" w:cs="Times New Roman"/>
          <w:sz w:val="24"/>
          <w:szCs w:val="24"/>
        </w:rPr>
        <w:t xml:space="preserve">lays a central role in penile detumescence by degrading cyclic GMP. The elevated PDE5 activity in the paroxetine-only group and its normalization in the 400 mg/kg </w:t>
      </w:r>
      <w:r>
        <w:rPr>
          <w:rFonts w:ascii="Times New Roman" w:hAnsi="Times New Roman" w:cs="Times New Roman"/>
          <w:sz w:val="24"/>
          <w:szCs w:val="24"/>
        </w:rPr>
        <w:lastRenderedPageBreak/>
        <w:t>SAAE group suggest that the extract may inhibit PDE5 enzymatic activity, akin to the mechanis</w:t>
      </w:r>
      <w:r>
        <w:rPr>
          <w:rFonts w:ascii="Times New Roman" w:hAnsi="Times New Roman" w:cs="Times New Roman"/>
          <w:sz w:val="24"/>
          <w:szCs w:val="24"/>
        </w:rPr>
        <w:t>m of action of sildenafil. This effect was less pronounced in the 200 mg/kg SAAE group, reinforcing the dose-dependent efficacy of the extract. Eugenol, a major constituent of clove, has been shown to inhibit PDE enzymes and promote smooth muscle relaxatio</w:t>
      </w:r>
      <w:r>
        <w:rPr>
          <w:rFonts w:ascii="Times New Roman" w:hAnsi="Times New Roman" w:cs="Times New Roman"/>
          <w:sz w:val="24"/>
          <w:szCs w:val="24"/>
        </w:rPr>
        <w:t xml:space="preserve">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w:t>
      </w:r>
      <w:r>
        <w:rPr>
          <w:rFonts w:ascii="Times New Roman" w:hAnsi="Times New Roman" w:cs="Times New Roman"/>
          <w:sz w:val="24"/>
          <w:szCs w:val="24"/>
        </w:rPr>
        <w:t xml:space="preserve">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Similarly, the reduction of arginase activity in the treatment groups is significant, as this enzyme competes with nitric oxide synthase for the common substrate L-arginine. Elevated arginase activity is a known contributor to er</w:t>
      </w:r>
      <w:r>
        <w:rPr>
          <w:rFonts w:ascii="Times New Roman" w:hAnsi="Times New Roman" w:cs="Times New Roman"/>
          <w:sz w:val="24"/>
          <w:szCs w:val="24"/>
        </w:rPr>
        <w:t xml:space="preserve">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w:t>
      </w:r>
      <w:r>
        <w:rPr>
          <w:rFonts w:ascii="Times New Roman" w:hAnsi="Times New Roman" w:cs="Times New Roman"/>
          <w:sz w:val="24"/>
          <w:szCs w:val="24"/>
        </w:rPr>
        <w:t xml:space="preserve">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w:t>
      </w:r>
      <w:r>
        <w:rPr>
          <w:rFonts w:ascii="Times New Roman" w:hAnsi="Times New Roman" w:cs="Times New Roman"/>
          <w:sz w:val="24"/>
          <w:szCs w:val="24"/>
        </w:rPr>
        <w:t>in creatine kinase (CK) activity in the treatment groups relative to the paroxetine-only group further supports the protective effect of SAAE on muscular energy metabolism in penile tissues. Elevated CK levels are often associated with tissue damage and im</w:t>
      </w:r>
      <w:r>
        <w:rPr>
          <w:rFonts w:ascii="Times New Roman" w:hAnsi="Times New Roman" w:cs="Times New Roman"/>
          <w:sz w:val="24"/>
          <w:szCs w:val="24"/>
        </w:rPr>
        <w:t>paired muscular energy handling. The normalization of CK activity suggests that SAAE supports the restoration of mitochondrial integrity and energy transfer processes in the penile smooth muscle and possibly the testis, as previously indicated by Chikere e</w:t>
      </w:r>
      <w:r>
        <w:rPr>
          <w:rFonts w:ascii="Times New Roman" w:hAnsi="Times New Roman" w:cs="Times New Roman"/>
          <w:sz w:val="24"/>
          <w:szCs w:val="24"/>
        </w:rPr>
        <w:t>t al. (2015), who observed clove extract ameliorating histopathological damage in reproductive tissues.</w:t>
      </w:r>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The dyslipidemic effects induced by paroxetine were also evident, with elevated LDL, total cholesterol, and triacylglycerol (TAG), alongside decreased H</w:t>
      </w:r>
      <w:r>
        <w:rPr>
          <w:rFonts w:ascii="Times New Roman" w:hAnsi="Times New Roman" w:cs="Times New Roman"/>
          <w:sz w:val="24"/>
          <w:szCs w:val="24"/>
        </w:rPr>
        <w:t xml:space="preserve">DL levels in the dysfunctional group. </w:t>
      </w:r>
      <w:r>
        <w:rPr>
          <w:rFonts w:ascii="Times New Roman" w:hAnsi="Times New Roman" w:cs="Times New Roman"/>
          <w:sz w:val="24"/>
          <w:szCs w:val="24"/>
        </w:rPr>
        <w:lastRenderedPageBreak/>
        <w:t xml:space="preserve">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w:t>
      </w:r>
      <w:r>
        <w:rPr>
          <w:rFonts w:ascii="Times New Roman" w:hAnsi="Times New Roman" w:cs="Times New Roman"/>
          <w:sz w:val="24"/>
          <w:szCs w:val="24"/>
        </w:rPr>
        <w:t xml:space="preserv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which enhance lipid catabolism and reduce li</w:t>
      </w:r>
      <w:r>
        <w:rPr>
          <w:rFonts w:ascii="Times New Roman" w:hAnsi="Times New Roman" w:cs="Times New Roman"/>
          <w:sz w:val="24"/>
          <w:szCs w:val="24"/>
        </w:rPr>
        <w:t xml:space="preserve">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rsidR="00BC5E03" w:rsidRDefault="00452A9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In addition to biochemical improvements, the broad spectrum of phytochemicals identified in the extract, such as alkaloids, saponins, and flavonoids, contribute synergistically to its therapeutic effects. Flavonoids in particular are well-known for their a</w:t>
      </w:r>
      <w:r>
        <w:rPr>
          <w:rFonts w:ascii="Times New Roman" w:hAnsi="Times New Roman" w:cs="Times New Roman"/>
          <w:sz w:val="24"/>
          <w:szCs w:val="24"/>
        </w:rPr>
        <w:t xml:space="preserve">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w:t>
      </w:r>
      <w:r>
        <w:rPr>
          <w:rFonts w:ascii="Times New Roman" w:hAnsi="Times New Roman" w:cs="Times New Roman"/>
          <w:sz w:val="24"/>
          <w:szCs w:val="24"/>
        </w:rPr>
        <w:t>dicating that the major active compounds present were sufficient to induce measurable physiological and biochemical improvements.</w:t>
      </w:r>
    </w:p>
    <w:p w:rsidR="00BC5E03" w:rsidRDefault="00452A9F">
      <w:pPr>
        <w:pStyle w:val="Heading2"/>
        <w:spacing w:line="240" w:lineRule="auto"/>
      </w:pPr>
      <w:bookmarkStart w:id="65" w:name="_Toc20326"/>
      <w:r>
        <w:t>5.2 Conclusion</w:t>
      </w:r>
      <w:bookmarkEnd w:id="65"/>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w:t>
      </w:r>
      <w:r>
        <w:rPr>
          <w:rFonts w:ascii="Times New Roman" w:hAnsi="Times New Roman" w:cs="Times New Roman"/>
          <w:sz w:val="24"/>
          <w:szCs w:val="24"/>
        </w:rPr>
        <w:t xml:space="preserve"> and metabolic dysfunction in male rats. The extract's rich phytochemical content, including flavonoids, saponins, and eugenol, contributed to the restoration of nitric oxide levels, inhibition of phosphodiesterase-5 activity, normalization of lipid profil</w:t>
      </w:r>
      <w:r>
        <w:rPr>
          <w:rFonts w:ascii="Times New Roman" w:hAnsi="Times New Roman" w:cs="Times New Roman"/>
          <w:sz w:val="24"/>
          <w:szCs w:val="24"/>
        </w:rPr>
        <w:t>es, and protection of reproductive tissues. These findings suggest that clove extract possesses multi-targeted therapeutic potential and could serve as a complementary approach for managing SSRI-induced sexual dysfunction and associated biochemical imbalan</w:t>
      </w:r>
      <w:r>
        <w:rPr>
          <w:rFonts w:ascii="Times New Roman" w:hAnsi="Times New Roman" w:cs="Times New Roman"/>
          <w:sz w:val="24"/>
          <w:szCs w:val="24"/>
        </w:rPr>
        <w:t>ces. Further research is warranted to explore its clinical relevance and mechanistic pathways in humans.</w:t>
      </w:r>
    </w:p>
    <w:p w:rsidR="00BC5E03" w:rsidRDefault="00BC5E03">
      <w:pPr>
        <w:spacing w:line="480" w:lineRule="auto"/>
        <w:jc w:val="both"/>
        <w:rPr>
          <w:rFonts w:ascii="Times New Roman" w:hAnsi="Times New Roman" w:cs="Times New Roman"/>
          <w:b/>
          <w:bCs/>
          <w:sz w:val="24"/>
          <w:szCs w:val="24"/>
        </w:rPr>
      </w:pPr>
    </w:p>
    <w:p w:rsidR="00BC5E03" w:rsidRDefault="00BC5E03">
      <w:pPr>
        <w:spacing w:line="480" w:lineRule="auto"/>
        <w:jc w:val="both"/>
        <w:rPr>
          <w:rFonts w:ascii="Times New Roman" w:hAnsi="Times New Roman" w:cs="Times New Roman"/>
          <w:b/>
          <w:bCs/>
          <w:sz w:val="24"/>
          <w:szCs w:val="24"/>
        </w:rPr>
      </w:pPr>
    </w:p>
    <w:p w:rsidR="00BC5E03" w:rsidRDefault="00BC5E03">
      <w:pPr>
        <w:spacing w:line="480" w:lineRule="auto"/>
        <w:jc w:val="both"/>
        <w:rPr>
          <w:rFonts w:ascii="Times New Roman" w:hAnsi="Times New Roman" w:cs="Times New Roman"/>
          <w:b/>
          <w:bCs/>
          <w:sz w:val="24"/>
          <w:szCs w:val="24"/>
        </w:rPr>
      </w:pPr>
    </w:p>
    <w:p w:rsidR="00BC5E03" w:rsidRDefault="00452A9F">
      <w:pPr>
        <w:pStyle w:val="Heading2"/>
        <w:spacing w:line="240" w:lineRule="auto"/>
      </w:pPr>
      <w:bookmarkStart w:id="66" w:name="_Toc8899"/>
      <w:r>
        <w:t>5.3 Recommendation</w:t>
      </w:r>
      <w:bookmarkEnd w:id="66"/>
    </w:p>
    <w:p w:rsidR="00BC5E03" w:rsidRDefault="00452A9F">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rsidR="00BC5E03" w:rsidRDefault="00452A9F">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Clinical trials should be initiated to evaluate the safety, d</w:t>
      </w:r>
      <w:r>
        <w:rPr>
          <w:rFonts w:ascii="Times New Roman" w:hAnsi="Times New Roman" w:cs="Times New Roman"/>
          <w:sz w:val="24"/>
          <w:szCs w:val="24"/>
        </w:rPr>
        <w:t xml:space="preserve">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rsidR="00BC5E03" w:rsidRDefault="00452A9F">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w:t>
      </w:r>
      <w:r>
        <w:rPr>
          <w:rFonts w:ascii="Times New Roman" w:hAnsi="Times New Roman" w:cs="Times New Roman"/>
          <w:sz w:val="24"/>
          <w:szCs w:val="24"/>
        </w:rPr>
        <w:t>ich clove extract modulates nitric oxide synthesis, phosphodiesterase-5 activity, and lipid metabolism.</w:t>
      </w:r>
    </w:p>
    <w:p w:rsidR="00BC5E03" w:rsidRDefault="00452A9F">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w:t>
      </w:r>
      <w:r>
        <w:rPr>
          <w:rFonts w:ascii="Times New Roman" w:hAnsi="Times New Roman" w:cs="Times New Roman"/>
          <w:sz w:val="24"/>
          <w:szCs w:val="24"/>
        </w:rPr>
        <w:t>r the observed pharmacological effects.</w:t>
      </w:r>
    </w:p>
    <w:p w:rsidR="00BC5E03" w:rsidRDefault="00452A9F">
      <w:pPr>
        <w:pStyle w:val="ListParagraph1"/>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rsidR="00BC5E03" w:rsidRDefault="00BC5E03">
      <w:pPr>
        <w:rPr>
          <w:rFonts w:ascii="Times New Roman" w:hAnsi="Times New Roman" w:cs="Times New Roman"/>
          <w:sz w:val="24"/>
          <w:szCs w:val="24"/>
        </w:rPr>
      </w:pPr>
    </w:p>
    <w:p w:rsidR="00BC5E03" w:rsidRDefault="00452A9F">
      <w:pPr>
        <w:rPr>
          <w:b/>
        </w:rPr>
      </w:pPr>
      <w:r>
        <w:rPr>
          <w:rFonts w:ascii="Times New Roman" w:hAnsi="Times New Roman" w:cs="Times New Roman"/>
          <w:sz w:val="24"/>
          <w:szCs w:val="24"/>
        </w:rPr>
        <w:br w:type="page"/>
      </w:r>
    </w:p>
    <w:p w:rsidR="00BC5E03" w:rsidRDefault="00452A9F">
      <w:pPr>
        <w:pStyle w:val="Heading1"/>
        <w:spacing w:line="240" w:lineRule="auto"/>
        <w:ind w:left="2160" w:firstLine="720"/>
      </w:pPr>
      <w:bookmarkStart w:id="67" w:name="_Toc26004"/>
      <w:r>
        <w:lastRenderedPageBreak/>
        <w:t>REFERENCES</w:t>
      </w:r>
      <w:bookmarkEnd w:id="67"/>
    </w:p>
    <w:p w:rsidR="00BC5E03" w:rsidRDefault="00452A9F">
      <w:pPr>
        <w:pStyle w:val="NormalWeb"/>
      </w:pPr>
      <w:r>
        <w:t>Abdel-Kader, M. S., Alam, P., S</w:t>
      </w:r>
      <w:r>
        <w:t xml:space="preserve">oliman, G. A., &amp; Al-Shdefat,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2" w:history="1">
        <w:r>
          <w:rPr>
            <w:rStyle w:val="Hyperlink"/>
          </w:rPr>
          <w:t>https://www.nature.com/articles/s41598-021-94854-6</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w:t>
      </w:r>
      <w:r>
        <w:rPr>
          <w:rFonts w:ascii="Times New Roman" w:hAnsi="Times New Roman" w:cs="Times New Roman"/>
          <w:sz w:val="24"/>
          <w:szCs w:val="24"/>
        </w:rPr>
        <w:t xml:space="preserve">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3" w:history="1">
        <w:r>
          <w:rPr>
            <w:rStyle w:val="Hyperlink"/>
            <w:rFonts w:ascii="Times New Roman" w:hAnsi="Times New Roman" w:cs="Times New Roman"/>
            <w:sz w:val="24"/>
            <w:szCs w:val="24"/>
          </w:rPr>
          <w:t>https://www.researchgate.net/publication/325584549</w:t>
        </w:r>
      </w:hyperlink>
    </w:p>
    <w:p w:rsidR="00BC5E03" w:rsidRDefault="00452A9F">
      <w:pPr>
        <w:pStyle w:val="NormalWeb"/>
      </w:pPr>
      <w:r>
        <w:t>Adama, O. I. (2025). Hydro-maceration and decoction of cl</w:t>
      </w:r>
      <w:r>
        <w:t xml:space="preserve">ove seed as an aphrodisiac: A structured literature review. </w:t>
      </w:r>
      <w:r>
        <w:rPr>
          <w:rStyle w:val="Emphasis"/>
        </w:rPr>
        <w:t>Archives of Biotechnology &amp; Pharmaceutical Research</w:t>
      </w:r>
      <w:r>
        <w:t xml:space="preserve">. </w:t>
      </w:r>
      <w:hyperlink r:id="rId24" w:history="1">
        <w:r>
          <w:rPr>
            <w:rStyle w:val="Hyperlink"/>
          </w:rPr>
          <w:t>PDF link</w:t>
        </w:r>
      </w:hyperlink>
    </w:p>
    <w:p w:rsidR="00BC5E03" w:rsidRDefault="00452A9F">
      <w:pPr>
        <w:pStyle w:val="NormalWeb"/>
      </w:pPr>
      <w:r>
        <w:t xml:space="preserve">Adedayo, B. C., Jesubowale, O. S., &amp; Adebayo, A. A. (2021). Toxicological evaluation and in vitro assessment of antioxidant and anticholinesterase properties of </w:t>
      </w:r>
      <w:r>
        <w:rPr>
          <w:rStyle w:val="Emphasis"/>
        </w:rPr>
        <w:t>Andrographis paniculata</w:t>
      </w:r>
      <w:r>
        <w:t xml:space="preserve"> extract. </w:t>
      </w:r>
      <w:r>
        <w:rPr>
          <w:rStyle w:val="Emphasis"/>
        </w:rPr>
        <w:t>Interdisciplinary Toxicology</w:t>
      </w:r>
      <w:r>
        <w:t xml:space="preserve">, 14(1), 1–10. </w:t>
      </w:r>
      <w:hyperlink r:id="rId25" w:history="1">
        <w:r>
          <w:rPr>
            <w:rStyle w:val="Hyperlink"/>
          </w:rPr>
          <w:t>https://sciendo.com/pdf/10.2478/intox-2021-0001</w:t>
        </w:r>
      </w:hyperlink>
    </w:p>
    <w:p w:rsidR="00BC5E03" w:rsidRDefault="00452A9F">
      <w:pPr>
        <w:pStyle w:val="NormalWeb"/>
      </w:pPr>
      <w:r>
        <w:t xml:space="preserve">Ademosun, A. O., Adebayo, A. A., &amp; Oboh, G. (2019). </w:t>
      </w:r>
      <w:r>
        <w:rPr>
          <w:rStyle w:val="Emphasis"/>
        </w:rPr>
        <w:t>Anogeissus leiocarpus</w:t>
      </w:r>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6" w:history="1">
        <w:r>
          <w:rPr>
            <w:rStyle w:val="Hyperlink"/>
          </w:rPr>
          <w:t>https://doi.org/</w:t>
        </w:r>
        <w:r>
          <w:rPr>
            <w:rStyle w:val="Hyperlink"/>
          </w:rPr>
          <w:t>10.1016/j.biopha.2018.12.142</w:t>
        </w:r>
      </w:hyperlink>
    </w:p>
    <w:p w:rsidR="00BC5E03" w:rsidRDefault="00452A9F">
      <w:pPr>
        <w:pStyle w:val="NormalWeb"/>
      </w:pPr>
      <w:r>
        <w:t xml:space="preserve">Ajiboye, T. O., Nurudeen, Q. O., &amp; Yakubu, M. T. (2018). Effect of 50% ethanolic extract of </w:t>
      </w:r>
      <w:r>
        <w:rPr>
          <w:rStyle w:val="Emphasis"/>
        </w:rPr>
        <w:t>Syzygium aromaticum</w:t>
      </w:r>
      <w:r>
        <w:t xml:space="preserve"> (L.) Merr. &amp; L.M. Perry (clove) on sexual dysfunction. </w:t>
      </w:r>
      <w:r>
        <w:rPr>
          <w:rStyle w:val="Emphasis"/>
        </w:rPr>
        <w:t>Journal of Basic and Clinical Physiology and Pharmacology</w:t>
      </w:r>
      <w:r>
        <w:t xml:space="preserve">, 29(3), 243–250. </w:t>
      </w:r>
      <w:hyperlink r:id="rId27" w:history="1">
        <w:r>
          <w:rPr>
            <w:rStyle w:val="Hyperlink"/>
          </w:rPr>
          <w:t>https://www.academia.edu/download/101815394/jbcpp-2013-006120230504-1-9xts55.pdf</w:t>
        </w:r>
      </w:hyperlink>
    </w:p>
    <w:p w:rsidR="00BC5E03" w:rsidRDefault="00452A9F">
      <w:pPr>
        <w:pStyle w:val="NormalWeb"/>
      </w:pPr>
      <w:r>
        <w:t>Al-Qahtani, F. S., Battar, S. S., &amp; Alqahtani, M. M. M. (2025</w:t>
      </w:r>
      <w:r>
        <w:t xml:space="preserve">).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8" w:history="1">
        <w:r>
          <w:rPr>
            <w:rStyle w:val="Hyperlink"/>
          </w:rPr>
          <w:t>https://oss.jomh.org/files/article/20250530-552/pdf/JOMH2025020101.pdf</w:t>
        </w:r>
      </w:hyperlink>
    </w:p>
    <w:p w:rsidR="00BC5E03" w:rsidRDefault="00452A9F">
      <w:pPr>
        <w:pStyle w:val="NormalWeb"/>
      </w:pPr>
      <w:r>
        <w:t>Alrumaihi, F., Raut, R., Yahia, E. A., Kumar, V., &amp; Anwar, S. (2024). A review on risk factors, diagnostic innovations, and plant-based therapie</w:t>
      </w:r>
      <w:r>
        <w:t xml:space="preserve">s for the management of erectile dysfunction. </w:t>
      </w:r>
      <w:r>
        <w:rPr>
          <w:rStyle w:val="Emphasis"/>
        </w:rPr>
        <w:t>Uro, 4</w:t>
      </w:r>
      <w:r>
        <w:t xml:space="preserve">(2), 60–88. </w:t>
      </w:r>
      <w:hyperlink r:id="rId29" w:history="1">
        <w:r>
          <w:rPr>
            <w:rStyle w:val="Hyperlink"/>
          </w:rPr>
          <w:t>https://www.mdpi.com/2673-4397/4/2/6</w:t>
        </w:r>
      </w:hyperlink>
    </w:p>
    <w:p w:rsidR="00BC5E03" w:rsidRDefault="00452A9F">
      <w:pPr>
        <w:pStyle w:val="NormalWeb"/>
      </w:pPr>
      <w:r>
        <w:t>Besong, E. E., Akhigbe, T. M., Ashonibare, P. J., &amp; Adeyemi, A. M. (2023). Zinc improves sexual perform</w:t>
      </w:r>
      <w:r>
        <w:t xml:space="preserve">ance and erectile function by preventing penile oxidative injury and upregulating circulating testosterone in lead-exposed rats. </w:t>
      </w:r>
      <w:r>
        <w:rPr>
          <w:rStyle w:val="Emphasis"/>
        </w:rPr>
        <w:t>Redox Report</w:t>
      </w:r>
      <w:r>
        <w:t xml:space="preserve">, 28(1), 1–9. </w:t>
      </w:r>
      <w:hyperlink r:id="rId30" w:history="1">
        <w:r>
          <w:rPr>
            <w:rStyle w:val="Hyperlink"/>
          </w:rPr>
          <w:t>https://www.tandfonline</w:t>
        </w:r>
        <w:r>
          <w:rPr>
            <w:rStyle w:val="Hyperlink"/>
          </w:rPr>
          <w:t>.com/doi/abs/10.1080/13510002.2023.2225675</w:t>
        </w:r>
      </w:hyperlink>
    </w:p>
    <w:p w:rsidR="00BC5E03" w:rsidRDefault="00452A9F">
      <w:pPr>
        <w:pStyle w:val="NormalWeb"/>
      </w:pPr>
      <w:r>
        <w:lastRenderedPageBreak/>
        <w:t xml:space="preserve">Bonarska, M., Adasik, D., Szymczyk, S., &amp; Łocik, G. (2025). A narrative review of independent treatment methods for ED: Diet, supplements, pharmacotherapy, and physiotherapy. </w:t>
      </w:r>
      <w:r>
        <w:rPr>
          <w:rStyle w:val="Emphasis"/>
        </w:rPr>
        <w:t>Journal of Clinical Medicine, 14</w:t>
      </w:r>
      <w:r>
        <w:t>(7)</w:t>
      </w:r>
      <w:r>
        <w:t xml:space="preserve">, 2386. </w:t>
      </w:r>
      <w:hyperlink r:id="rId31" w:history="1">
        <w:r>
          <w:rPr>
            <w:rStyle w:val="Hyperlink"/>
          </w:rPr>
          <w:t>https://www.mdpi.com/2077-0383/14/7/2386</w:t>
        </w:r>
      </w:hyperlink>
    </w:p>
    <w:p w:rsidR="00BC5E03" w:rsidRDefault="00452A9F">
      <w:pPr>
        <w:pStyle w:val="NormalWeb"/>
      </w:pPr>
      <w:r>
        <w:t xml:space="preserve">Boojar, M. M. A., Shakeri, M., &amp; Saberi, M. (2024). Herbal treatments and their impact on male fertility: A comprehensive review. </w:t>
      </w:r>
      <w:r>
        <w:rPr>
          <w:rStyle w:val="Emphasis"/>
        </w:rPr>
        <w:t>ResearchGate</w:t>
      </w:r>
      <w:r>
        <w:t xml:space="preserve">. </w:t>
      </w:r>
      <w:hyperlink r:id="rId32" w:history="1">
        <w:r>
          <w:rPr>
            <w:rStyle w:val="Hyperlink"/>
          </w:rPr>
          <w:t>Link</w:t>
        </w:r>
      </w:hyperlink>
    </w:p>
    <w:p w:rsidR="00BC5E03" w:rsidRDefault="00452A9F">
      <w:pPr>
        <w:pStyle w:val="NormalWeb"/>
      </w:pPr>
      <w:r>
        <w:t xml:space="preserve">Caballero-Gallardo, K., Quintero-Rincón, P., &amp; Michel, M. R. (2025). Aromatherapy and essential oils: Holistic strategies in complementary medicine. </w:t>
      </w:r>
      <w:r>
        <w:rPr>
          <w:rStyle w:val="Emphasis"/>
        </w:rPr>
        <w:t>Plants, 14</w:t>
      </w:r>
      <w:r>
        <w:t xml:space="preserve">(3), 400. </w:t>
      </w:r>
      <w:hyperlink r:id="rId33" w:history="1">
        <w:r>
          <w:rPr>
            <w:rStyle w:val="Hyperlink"/>
          </w:rPr>
          <w:t>https://www.mdpi.com/2223-7747/14/3/400</w:t>
        </w:r>
      </w:hyperlink>
    </w:p>
    <w:p w:rsidR="00BC5E03" w:rsidRDefault="00452A9F">
      <w:pPr>
        <w:pStyle w:val="NormalWeb"/>
      </w:pPr>
      <w:r>
        <w:t xml:space="preserve">Campolo, F., Barbagallo, F., Franceschini, E., Crecca, C., &amp; Maggi, M. (2020). PDE5 inhibitors in type 2 diabetes cardiovascular complications. </w:t>
      </w:r>
      <w:r>
        <w:rPr>
          <w:rStyle w:val="Emphasis"/>
        </w:rPr>
        <w:t>Endocrines, 1</w:t>
      </w:r>
      <w:r>
        <w:t xml:space="preserve">(2), 122–135. </w:t>
      </w:r>
      <w:hyperlink r:id="rId34" w:history="1">
        <w:r>
          <w:rPr>
            <w:rStyle w:val="Hyperlink"/>
          </w:rPr>
          <w:t>https://www.mdpi.com/2673-396X/1/2/9</w:t>
        </w:r>
      </w:hyperlink>
    </w:p>
    <w:p w:rsidR="00BC5E03" w:rsidRDefault="00452A9F">
      <w:pPr>
        <w:pStyle w:val="NormalWeb"/>
      </w:pPr>
      <w:r>
        <w:t xml:space="preserve">Carella, M. C., Forleo, C., Stanca, A., &amp; Carulli, E. (2023). Heart failure and erectile dysfunction: Clinical implications. </w:t>
      </w:r>
      <w:r>
        <w:rPr>
          <w:rStyle w:val="Emphasis"/>
        </w:rPr>
        <w:t>Current Heart Failure Reports, 20</w:t>
      </w:r>
      <w:r>
        <w:t xml:space="preserve">(4), 241–252. </w:t>
      </w:r>
      <w:hyperlink r:id="rId35" w:history="1">
        <w:r>
          <w:rPr>
            <w:rStyle w:val="Hyperlink"/>
          </w:rPr>
          <w:t>https://doi.org/10.1007/s11897-023-00632-y</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Chauhan, N. S., Sharma, V., Dixit, V. K., &amp; Thakur, M. (2020). Endothelial nitric oxide and oxidative stress: key targets for therapeutic efficacy in erectile dysf</w:t>
      </w:r>
      <w:r>
        <w:rPr>
          <w:rFonts w:ascii="Times New Roman" w:hAnsi="Times New Roman" w:cs="Times New Roman"/>
          <w:sz w:val="24"/>
          <w:szCs w:val="24"/>
        </w:rPr>
        <w:t xml:space="preserve">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6" w:history="1">
        <w:r>
          <w:rPr>
            <w:rStyle w:val="Hyperlink"/>
            <w:rFonts w:ascii="Times New Roman" w:hAnsi="Times New Roman" w:cs="Times New Roman"/>
            <w:sz w:val="24"/>
            <w:szCs w:val="24"/>
          </w:rPr>
          <w:t>https://doi.org/10.1016/j.biopha.2019.109898</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Chikere, O. U., Liman, F. L., Nnabuihe, E. D., &amp;</w:t>
      </w:r>
      <w:r>
        <w:rPr>
          <w:rFonts w:ascii="Times New Roman" w:hAnsi="Times New Roman" w:cs="Times New Roman"/>
          <w:sz w:val="24"/>
          <w:szCs w:val="24"/>
        </w:rPr>
        <w:t xml:space="preserve">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7" w:history="1">
        <w:r>
          <w:rPr>
            <w:rStyle w:val="Hyperlink"/>
            <w:rFonts w:ascii="Times New Roman" w:hAnsi="Times New Roman" w:cs="Times New Roman"/>
            <w:sz w:val="24"/>
            <w:szCs w:val="24"/>
          </w:rPr>
          <w:t>https://core.ac.uk/download/pdf/234655967.pdf</w:t>
        </w:r>
      </w:hyperlink>
    </w:p>
    <w:p w:rsidR="00BC5E03" w:rsidRDefault="00452A9F">
      <w:pPr>
        <w:pStyle w:val="NormalWeb"/>
      </w:pPr>
      <w:r>
        <w:t xml:space="preserve">Crescioli, C., &amp; Paronetto, M. P. (2024). Rethinking phosphodiesterase 5 inhibition: the old, the new, and the perspective in human health. </w:t>
      </w:r>
      <w:r>
        <w:rPr>
          <w:rStyle w:val="Emphasis"/>
        </w:rPr>
        <w:t>Frontiers in Endocrinology, 15</w:t>
      </w:r>
      <w:r>
        <w:t xml:space="preserve">, Article 1461642. </w:t>
      </w:r>
      <w:hyperlink r:id="rId38" w:history="1">
        <w:r>
          <w:rPr>
            <w:rStyle w:val="Hyperlink"/>
          </w:rPr>
          <w:t>https://www.frontiersin.org/articles/10.3389/fendo.2024.1461642/full</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39" w:history="1">
        <w:r>
          <w:rPr>
            <w:rStyle w:val="Hyperlink"/>
            <w:rFonts w:ascii="Times New Roman" w:hAnsi="Times New Roman" w:cs="Times New Roman"/>
            <w:sz w:val="24"/>
            <w:szCs w:val="24"/>
          </w:rPr>
          <w:t>https://dergipark.org.tr/en/download/article-file/95639</w:t>
        </w:r>
      </w:hyperlink>
    </w:p>
    <w:p w:rsidR="00BC5E03" w:rsidRDefault="00452A9F">
      <w:pPr>
        <w:pStyle w:val="NormalWeb"/>
      </w:pPr>
      <w:r>
        <w:t xml:space="preserve">Dilixiati, D., Waili, A., Tuerxunmaimaiti, A., Tao, L., &amp; Zhang, Y. (2024). Risk factors for erectile dysfunction in diabetes mellitus: A systematic review and meta-analysis. </w:t>
      </w:r>
      <w:r>
        <w:rPr>
          <w:rStyle w:val="Emphasis"/>
        </w:rPr>
        <w:t>Frontiers in Endocrinology</w:t>
      </w:r>
      <w:r>
        <w:t xml:space="preserve">, 15, Article 1368079. </w:t>
      </w:r>
      <w:hyperlink r:id="rId40" w:history="1">
        <w:r>
          <w:rPr>
            <w:rStyle w:val="Hyperlink"/>
          </w:rPr>
          <w:t>https://doi.org/10.3389/fendo.2024.1368079</w:t>
        </w:r>
      </w:hyperlink>
    </w:p>
    <w:p w:rsidR="00BC5E03" w:rsidRDefault="00452A9F">
      <w:pPr>
        <w:pStyle w:val="NormalWeb"/>
      </w:pPr>
      <w:r>
        <w:t xml:space="preserve">Elekofehinti, O. O., Akintoye, O. N., &amp; Akinjiyan, M. O. (2024). Effect of </w:t>
      </w:r>
      <w:r>
        <w:rPr>
          <w:rStyle w:val="Emphasis"/>
        </w:rPr>
        <w:t>Carpolobia lutea</w:t>
      </w:r>
      <w:r>
        <w:t xml:space="preserve"> leaf extract on erectile dysfunction induced by paroxetine in rats. </w:t>
      </w:r>
      <w:r>
        <w:rPr>
          <w:rStyle w:val="Emphasis"/>
        </w:rPr>
        <w:t>Phytomedicine Plus, 4</w:t>
      </w:r>
      <w:r>
        <w:t>(2)</w:t>
      </w:r>
      <w:r>
        <w:t xml:space="preserve">, 100384. </w:t>
      </w:r>
      <w:hyperlink r:id="rId41" w:history="1">
        <w:r>
          <w:rPr>
            <w:rStyle w:val="Hyperlink"/>
          </w:rPr>
          <w:t>https://doi.org/10.1016/j.phyplu.2024.100384</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lastRenderedPageBreak/>
        <w:t>Elkomy, A., Aboubakr, M., &amp; Ibrahim, S. (2018). Protective effects of clove oil against reproductive toxicity: a biochemical and histological</w:t>
      </w:r>
      <w:r>
        <w:rPr>
          <w:rFonts w:ascii="Times New Roman" w:hAnsi="Times New Roman" w:cs="Times New Roman"/>
          <w:sz w:val="24"/>
          <w:szCs w:val="24"/>
        </w:rPr>
        <w:t xml:space="preserve">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2" w:history="1">
        <w:r>
          <w:rPr>
            <w:rStyle w:val="Hyperlink"/>
            <w:rFonts w:ascii="Times New Roman" w:hAnsi="Times New Roman" w:cs="Times New Roman"/>
            <w:sz w:val="24"/>
            <w:szCs w:val="24"/>
          </w:rPr>
          <w:t>https://www.researchgate.net/publication/325584549</w:t>
        </w:r>
      </w:hyperlink>
    </w:p>
    <w:p w:rsidR="00BC5E03" w:rsidRDefault="00452A9F">
      <w:pPr>
        <w:pStyle w:val="NormalWeb"/>
      </w:pPr>
      <w:r>
        <w:t>El-Saber Batiha, G., Beshbishy, A. M., El-Mleeh, A., Abdel-Da</w:t>
      </w:r>
      <w:r>
        <w:t xml:space="preserve">im, M. M., &amp; Devkota, H. P. (2020). Traditional uses, bioactive chemical constituents, and pharmacological and toxicological activities of </w:t>
      </w:r>
      <w:r>
        <w:rPr>
          <w:rStyle w:val="Emphasis"/>
        </w:rPr>
        <w:t>Glycyrrhiza glabra</w:t>
      </w:r>
      <w:r>
        <w:t xml:space="preserve"> L. (Fabaceae). </w:t>
      </w:r>
      <w:r>
        <w:rPr>
          <w:rStyle w:val="Emphasis"/>
        </w:rPr>
        <w:t>Biomolecules, 10</w:t>
      </w:r>
      <w:r>
        <w:t xml:space="preserve">(3), 352. </w:t>
      </w:r>
      <w:hyperlink r:id="rId43" w:history="1">
        <w:r>
          <w:rPr>
            <w:rStyle w:val="Hyperlink"/>
          </w:rPr>
          <w:t>https</w:t>
        </w:r>
        <w:r>
          <w:rPr>
            <w:rStyle w:val="Hyperlink"/>
          </w:rPr>
          <w:t>://www.mdpi.com/2218-273X/10/3/352</w:t>
        </w:r>
      </w:hyperlink>
    </w:p>
    <w:p w:rsidR="00BC5E03" w:rsidRDefault="00452A9F">
      <w:pPr>
        <w:pStyle w:val="NormalWeb"/>
      </w:pPr>
      <w:r>
        <w:t xml:space="preserve">Feng, Y., Qu, X., &amp; Hao, H. (2025). Progress in the study of the effects of selective serotonin reuptake inhibitors (SSRIs) on the reproductive system. </w:t>
      </w:r>
      <w:r>
        <w:rPr>
          <w:rStyle w:val="Emphasis"/>
        </w:rPr>
        <w:t>Frontiers in Pharmacology, 16</w:t>
      </w:r>
      <w:r>
        <w:t xml:space="preserve">, Article 1567863. </w:t>
      </w:r>
      <w:hyperlink r:id="rId44" w:history="1">
        <w:r>
          <w:rPr>
            <w:rStyle w:val="Hyperlink"/>
          </w:rPr>
          <w:t>https://doi.org/10.3389/fphar.2025.1567863</w:t>
        </w:r>
      </w:hyperlink>
    </w:p>
    <w:p w:rsidR="00BC5E03" w:rsidRDefault="00452A9F">
      <w:pPr>
        <w:pStyle w:val="NormalWeb"/>
      </w:pPr>
      <w:r>
        <w:t xml:space="preserve">Gebeyehu, N. A., Gesese, M. M., Tegegne, K. D., &amp; Kebede, Y. S. (2023). Global prevalence of sexual dysfunction among diabetic patients from 2008 to 2022: Systematic review </w:t>
      </w:r>
      <w:r>
        <w:t xml:space="preserve">and meta-analysis. </w:t>
      </w:r>
      <w:r>
        <w:rPr>
          <w:rStyle w:val="Emphasis"/>
        </w:rPr>
        <w:t>Metabolism Open</w:t>
      </w:r>
      <w:r>
        <w:t xml:space="preserve">, 19, Article 1000191. </w:t>
      </w:r>
      <w:hyperlink r:id="rId45" w:history="1">
        <w:r>
          <w:rPr>
            <w:rStyle w:val="Hyperlink"/>
          </w:rPr>
          <w:t>https://doi.org/10.1016/j.metop.2023.1000191</w:t>
        </w:r>
      </w:hyperlink>
    </w:p>
    <w:p w:rsidR="00BC5E03" w:rsidRDefault="00452A9F">
      <w:pPr>
        <w:pStyle w:val="NormalWeb"/>
      </w:pPr>
      <w:r>
        <w:t>Giri, S., Varshney, K. K., &amp;</w:t>
      </w:r>
      <w:r>
        <w:t xml:space="preserve"> Srivastava, R. (2024). Therapeutic potential and prospects of L-arginine in various diseases and its clinical intervention. </w:t>
      </w:r>
      <w:r>
        <w:rPr>
          <w:rStyle w:val="Emphasis"/>
        </w:rPr>
        <w:t>Current Drug Therapy, 19</w:t>
      </w:r>
      <w:r>
        <w:t xml:space="preserve">(1), 25–33. </w:t>
      </w:r>
      <w:hyperlink r:id="rId46" w:history="1">
        <w:r>
          <w:rPr>
            <w:rStyle w:val="Hyperlink"/>
          </w:rPr>
          <w:t>https://www.benthamdirect.com/content/journals/cdth/10.2174/0115748855260802231019072509</w:t>
        </w:r>
      </w:hyperlink>
    </w:p>
    <w:p w:rsidR="00BC5E03" w:rsidRDefault="00452A9F">
      <w:pPr>
        <w:pStyle w:val="NormalWeb"/>
      </w:pPr>
      <w:r>
        <w:t xml:space="preserve">Goldstein, I., Goren, A., Li, V. W., &amp; Tang, W. Y. (2020). Epidemiology update of erectile dysfunction in eight countries with high burden. </w:t>
      </w:r>
      <w:r>
        <w:rPr>
          <w:rStyle w:val="Emphasis"/>
        </w:rPr>
        <w:t>Sexual Medicine Re</w:t>
      </w:r>
      <w:r>
        <w:rPr>
          <w:rStyle w:val="Emphasis"/>
        </w:rPr>
        <w:t>views</w:t>
      </w:r>
      <w:r>
        <w:t xml:space="preserve">, 8(1), 48–56. </w:t>
      </w:r>
      <w:hyperlink r:id="rId47" w:history="1">
        <w:r>
          <w:rPr>
            <w:rStyle w:val="Hyperlink"/>
          </w:rPr>
          <w:t>https://doi.org/10.1016/j.sxmr.2019.06.004</w:t>
        </w:r>
      </w:hyperlink>
    </w:p>
    <w:p w:rsidR="00BC5E03" w:rsidRDefault="00452A9F">
      <w:pPr>
        <w:pStyle w:val="NormalWeb"/>
      </w:pPr>
      <w:r>
        <w:t>Hersch, E., Huang, J., &amp; Grider, J. R. (2004). Gq/G13 signaling by ET-1 in smooth muscle: MYPT1 phosphorylation via ETA and CPI-17 deph</w:t>
      </w:r>
      <w:r>
        <w:t xml:space="preserve">osphorylation via ETB. </w:t>
      </w:r>
      <w:r>
        <w:rPr>
          <w:rStyle w:val="Emphasis"/>
        </w:rPr>
        <w:t>American Journal of Physiology-Cell Physiology, 287</w:t>
      </w:r>
      <w:r>
        <w:t xml:space="preserve">(2), C456–C463. </w:t>
      </w:r>
      <w:hyperlink r:id="rId48" w:history="1">
        <w:r>
          <w:rPr>
            <w:rStyle w:val="Hyperlink"/>
          </w:rPr>
          <w:t>https://doi.org/10.1152/ajpcell.00198.2004</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Hussien, A. G., Fyiad, A. E. A., &amp; Ali, M. M. (2024). The influen</w:t>
      </w:r>
      <w:r>
        <w:rPr>
          <w:rFonts w:ascii="Times New Roman" w:hAnsi="Times New Roman" w:cs="Times New Roman"/>
          <w:sz w:val="24"/>
          <w:szCs w:val="24"/>
        </w:rPr>
        <w:t xml:space="preserve">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49" w:history="1">
        <w:r>
          <w:rPr>
            <w:rStyle w:val="Hyperlink"/>
            <w:rFonts w:ascii="Times New Roman" w:hAnsi="Times New Roman" w:cs="Times New Roman"/>
            <w:sz w:val="24"/>
            <w:szCs w:val="24"/>
          </w:rPr>
          <w:t>https://journals.ekb.eg/article_329525.html</w:t>
        </w:r>
      </w:hyperlink>
    </w:p>
    <w:p w:rsidR="00BC5E03" w:rsidRDefault="00452A9F">
      <w:pPr>
        <w:pStyle w:val="NormalWeb"/>
      </w:pPr>
      <w:r>
        <w:t>Islam</w:t>
      </w:r>
      <w:r>
        <w:t xml:space="preserve">, M. M., Naveen, N. R., &amp; Anitha, P. (2022). Recent advances and interventions to treat or manage erectile dysfunction. </w:t>
      </w:r>
      <w:r>
        <w:rPr>
          <w:rStyle w:val="Emphasis"/>
        </w:rPr>
        <w:t>Journal of Clinical Medicine, 11</w:t>
      </w:r>
      <w:r>
        <w:t xml:space="preserve">(11), 3140. </w:t>
      </w:r>
      <w:hyperlink r:id="rId50" w:history="1">
        <w:r>
          <w:rPr>
            <w:rStyle w:val="Hyperlink"/>
          </w:rPr>
          <w:t>https://www.mdpi.com/2077-0383/11/11/3</w:t>
        </w:r>
        <w:r>
          <w:rPr>
            <w:rStyle w:val="Hyperlink"/>
          </w:rPr>
          <w:t>140</w:t>
        </w:r>
      </w:hyperlink>
    </w:p>
    <w:p w:rsidR="00BC5E03" w:rsidRDefault="00452A9F">
      <w:pPr>
        <w:pStyle w:val="NormalWeb"/>
      </w:pPr>
      <w:r>
        <w:t xml:space="preserve">Kaltsas, A., Dimitriadis, F., Zachariou, A., &amp; Sofikitis, N. (2025). Phosphodiesterase type 5 inhibitors in male reproduction: Molecular mechanisms and clinical implications. </w:t>
      </w:r>
      <w:r>
        <w:rPr>
          <w:rStyle w:val="Emphasis"/>
        </w:rPr>
        <w:t>Cells, 14</w:t>
      </w:r>
      <w:r>
        <w:t xml:space="preserve">(2), 120. </w:t>
      </w:r>
      <w:hyperlink r:id="rId51" w:history="1">
        <w:r>
          <w:rPr>
            <w:rStyle w:val="Hyperlink"/>
          </w:rPr>
          <w:t>htt</w:t>
        </w:r>
        <w:r>
          <w:rPr>
            <w:rStyle w:val="Hyperlink"/>
          </w:rPr>
          <w:t>ps://www.mdpi.com/2073-4409/14/2/120</w:t>
        </w:r>
      </w:hyperlink>
    </w:p>
    <w:p w:rsidR="00BC5E03" w:rsidRDefault="00452A9F">
      <w:pPr>
        <w:pStyle w:val="NormalWeb"/>
      </w:pPr>
      <w:r>
        <w:t>Kassan, M., Lasker, G. F., Sikka, S. C., Mandava, S. H., &amp; Hellstrom, W. J. G. (2013). Chronic escitalopram treatment induces erectile dysfunction by decreasing nitric oxide bioavailability mediated by increased NADP</w:t>
      </w:r>
      <w:r>
        <w:t xml:space="preserve">H oxidase activity. </w:t>
      </w:r>
      <w:r>
        <w:rPr>
          <w:rStyle w:val="Emphasis"/>
        </w:rPr>
        <w:t>Urology, 82</w:t>
      </w:r>
      <w:r>
        <w:t xml:space="preserve">(5), 1186–1192. </w:t>
      </w:r>
      <w:hyperlink r:id="rId52" w:history="1">
        <w:r>
          <w:rPr>
            <w:rStyle w:val="Hyperlink"/>
          </w:rPr>
          <w:t>https://doi.org/10.1016/j.urology.2013.05.049</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lastRenderedPageBreak/>
        <w:t>Khawam, E. A., Laurencic, G., &amp;</w:t>
      </w:r>
      <w:r>
        <w:rPr>
          <w:rFonts w:ascii="Times New Roman" w:hAnsi="Times New Roman" w:cs="Times New Roman"/>
          <w:sz w:val="24"/>
          <w:szCs w:val="24"/>
        </w:rPr>
        <w:t xml:space="preserve">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3" w:history="1">
        <w:r>
          <w:rPr>
            <w:rStyle w:val="Hyperlink"/>
            <w:rFonts w:ascii="Times New Roman" w:hAnsi="Times New Roman" w:cs="Times New Roman"/>
            <w:sz w:val="24"/>
            <w:szCs w:val="24"/>
          </w:rPr>
          <w:t>https://doi.org/10.12788/acp.0016</w:t>
        </w:r>
      </w:hyperlink>
    </w:p>
    <w:p w:rsidR="00BC5E03" w:rsidRDefault="00452A9F">
      <w:pPr>
        <w:pStyle w:val="NormalWeb"/>
      </w:pPr>
      <w:r>
        <w:t xml:space="preserve">Kim, N. N., Kim, J. J., Hypolite, J., &amp; Levin, R. M. </w:t>
      </w:r>
      <w:r>
        <w:t xml:space="preserve">(2001). Altered contractility of rabbit penile corpus cavernosum smooth muscle by hypoxia. </w:t>
      </w:r>
      <w:r>
        <w:rPr>
          <w:rStyle w:val="Emphasis"/>
        </w:rPr>
        <w:t>The Journal of Urology, 166</w:t>
      </w:r>
      <w:r>
        <w:t xml:space="preserve">(2), 745–751. </w:t>
      </w:r>
      <w:hyperlink r:id="rId54" w:history="1">
        <w:r>
          <w:rPr>
            <w:rStyle w:val="Hyperlink"/>
          </w:rPr>
          <w:t>https://doi.org/10.1016/S0022-5347(01)66519-4</w:t>
        </w:r>
      </w:hyperlink>
    </w:p>
    <w:p w:rsidR="00BC5E03" w:rsidRDefault="00452A9F">
      <w:pPr>
        <w:pStyle w:val="NormalWeb"/>
      </w:pPr>
      <w:r>
        <w:t>Kpomah, E. D., Os</w:t>
      </w:r>
      <w:r>
        <w:t xml:space="preserve">ioma, E., &amp; Agoro, E. S. (2024). Sexual invigorating potentials of a combined extract of </w:t>
      </w:r>
      <w:r>
        <w:rPr>
          <w:rStyle w:val="Emphasis"/>
        </w:rPr>
        <w:t>Sabicea calycina</w:t>
      </w:r>
      <w:r>
        <w:t xml:space="preserve"> and </w:t>
      </w:r>
      <w:r>
        <w:rPr>
          <w:rStyle w:val="Emphasis"/>
        </w:rPr>
        <w:t>Carpolobia lutea</w:t>
      </w:r>
      <w:r>
        <w:t xml:space="preserve"> on male Wistar rats in crude oil challenged environment. </w:t>
      </w:r>
      <w:r>
        <w:rPr>
          <w:rStyle w:val="Emphasis"/>
        </w:rPr>
        <w:t>International Journal of Biochemistry Research and Review</w:t>
      </w:r>
      <w:r>
        <w:t xml:space="preserve">, 33(2), 32–45. </w:t>
      </w:r>
      <w:hyperlink r:id="rId55" w:history="1">
        <w:r>
          <w:rPr>
            <w:rStyle w:val="Hyperlink"/>
          </w:rPr>
          <w:t>https://www.researchgate.net/publication/377752319</w:t>
        </w:r>
      </w:hyperlink>
    </w:p>
    <w:p w:rsidR="00BC5E03" w:rsidRDefault="00452A9F">
      <w:pPr>
        <w:pStyle w:val="NormalWeb"/>
      </w:pPr>
      <w:r>
        <w:t>Lee, S., Hwang, Y. G., &amp; Chung, H. K. (2014). A proteomic analysis using an animal model for hyperlipidemia-related erectil</w:t>
      </w:r>
      <w:r>
        <w:t xml:space="preserve">e dysfunction. </w:t>
      </w:r>
      <w:r>
        <w:rPr>
          <w:rStyle w:val="Emphasis"/>
        </w:rPr>
        <w:t>Drug Research, 64</w:t>
      </w:r>
      <w:r>
        <w:t xml:space="preserve">(5), 237–243. </w:t>
      </w:r>
      <w:hyperlink r:id="rId56" w:history="1">
        <w:r>
          <w:rPr>
            <w:rStyle w:val="Hyperlink"/>
          </w:rPr>
          <w:t>https://doi.org/10.1055/s-0033-1363994</w:t>
        </w:r>
      </w:hyperlink>
    </w:p>
    <w:p w:rsidR="00BC5E03" w:rsidRDefault="00452A9F">
      <w:pPr>
        <w:pStyle w:val="NormalWeb"/>
      </w:pPr>
      <w:r>
        <w:t>Leyaro, B. J., Nyalile, K. B., Mushi, E. H. P., &amp; Moshi, E. (2020). Prevalence and factors associated with erectile d</w:t>
      </w:r>
      <w:r>
        <w:t xml:space="preserve">ysfunction among adult men in Moshi Municipal, Tanzania: A community-based study. </w:t>
      </w:r>
      <w:r>
        <w:rPr>
          <w:rStyle w:val="Emphasis"/>
        </w:rPr>
        <w:t>Basic and Clinical Andrology</w:t>
      </w:r>
      <w:r>
        <w:t xml:space="preserve">, 30(1), 1–9. </w:t>
      </w:r>
      <w:hyperlink r:id="rId57" w:history="1">
        <w:r>
          <w:rPr>
            <w:rStyle w:val="Hyperlink"/>
          </w:rPr>
          <w:t>https://doi.org/10.1186/s12610-020-00118-0</w:t>
        </w:r>
      </w:hyperlink>
    </w:p>
    <w:p w:rsidR="00BC5E03" w:rsidRDefault="00452A9F">
      <w:pPr>
        <w:pStyle w:val="NormalWeb"/>
      </w:pPr>
      <w:r>
        <w:t>Mobley, D. F., Khera, M., &amp; Bau</w:t>
      </w:r>
      <w:r>
        <w:t xml:space="preserve">m, N. (2017). Recent advances in the treatment of erectile dysfunction. </w:t>
      </w:r>
      <w:r>
        <w:rPr>
          <w:rStyle w:val="Emphasis"/>
        </w:rPr>
        <w:t>Postgraduate Medical Journal, 93</w:t>
      </w:r>
      <w:r>
        <w:t xml:space="preserve">(1105), 679–685. </w:t>
      </w:r>
      <w:hyperlink r:id="rId58" w:history="1">
        <w:r>
          <w:rPr>
            <w:rStyle w:val="Hyperlink"/>
          </w:rPr>
          <w:t>https://doi.org/10.1136/postgradmedj-2017-135045</w:t>
        </w:r>
      </w:hyperlink>
    </w:p>
    <w:p w:rsidR="00BC5E03" w:rsidRDefault="00452A9F">
      <w:pPr>
        <w:pStyle w:val="NormalWeb"/>
      </w:pPr>
      <w:r>
        <w:t>Muritala, H. F., &amp; Bew</w:t>
      </w:r>
      <w:r>
        <w:t xml:space="preserve">aji, C. O. (2021). Paroxetine administration alters some biochemical parameters in male Wistar rats over a systemic period of thirty-five days. </w:t>
      </w:r>
      <w:r>
        <w:rPr>
          <w:rStyle w:val="Emphasis"/>
        </w:rPr>
        <w:t>Academia.edu</w:t>
      </w:r>
      <w:r>
        <w:t xml:space="preserve">. </w:t>
      </w:r>
      <w:hyperlink r:id="rId59" w:history="1">
        <w:r>
          <w:rPr>
            <w:rStyle w:val="Hyperlink"/>
          </w:rPr>
          <w:t>https://www.academia.edu/download/1</w:t>
        </w:r>
        <w:r>
          <w:rPr>
            <w:rStyle w:val="Hyperlink"/>
          </w:rPr>
          <w:t>09912536/19.pdf</w:t>
        </w:r>
      </w:hyperlink>
    </w:p>
    <w:p w:rsidR="00BC5E03" w:rsidRDefault="00452A9F">
      <w:pPr>
        <w:pStyle w:val="NormalWeb"/>
      </w:pPr>
      <w:r>
        <w:t>New Approaches in Oncology for Repositioning Drugs: The Case of PDE5 Inhibitor Sildenafil - Scientific Figure on ResearchGate. Available from: https://www.researchgate.net/figure/General-mechanism-of-action-of-sildenafil-in-erectile-dysf</w:t>
      </w:r>
      <w:r>
        <w:t>unction-Sexual-stimulation_fig1_349633465 [accessed 8 Jul 2025]</w:t>
      </w:r>
    </w:p>
    <w:p w:rsidR="00BC5E03" w:rsidRDefault="00452A9F">
      <w:pPr>
        <w:pStyle w:val="NormalWeb"/>
      </w:pPr>
      <w:r>
        <w:t xml:space="preserve">Nguyen, H. N. N., Luong, T. V., &amp; Pham, A. K. (2024). Exploring the bidirectional link between erectile dysfunction and 10-year cardiovascular risk in men with diabetes and hypertension. </w:t>
      </w:r>
      <w:r>
        <w:rPr>
          <w:rStyle w:val="Emphasis"/>
        </w:rPr>
        <w:t>Scien</w:t>
      </w:r>
      <w:r>
        <w:rPr>
          <w:rStyle w:val="Emphasis"/>
        </w:rPr>
        <w:t>tific Reports, 14</w:t>
      </w:r>
      <w:r>
        <w:t xml:space="preserve">, Article 78182. </w:t>
      </w:r>
      <w:hyperlink r:id="rId60" w:history="1">
        <w:r>
          <w:rPr>
            <w:rStyle w:val="Hyperlink"/>
          </w:rPr>
          <w:t>https://doi.org/10.1038/s41598-024-78182-z</w:t>
        </w:r>
      </w:hyperlink>
    </w:p>
    <w:p w:rsidR="00BC5E03" w:rsidRDefault="00452A9F">
      <w:pPr>
        <w:pStyle w:val="NormalWeb"/>
      </w:pPr>
      <w:r>
        <w:t xml:space="preserve">Nik-Ahd, F., &amp; Shindel, A. W. (2022). Pharmacotherapy for erectile dysfunction in 2021 and beyond. </w:t>
      </w:r>
      <w:r>
        <w:rPr>
          <w:rStyle w:val="Emphasis"/>
        </w:rPr>
        <w:t>Urologic Clinics of No</w:t>
      </w:r>
      <w:r>
        <w:rPr>
          <w:rStyle w:val="Emphasis"/>
        </w:rPr>
        <w:t>rth America, 49</w:t>
      </w:r>
      <w:r>
        <w:t xml:space="preserve">(2), 197–209. </w:t>
      </w:r>
      <w:hyperlink r:id="rId61" w:history="1">
        <w:r>
          <w:rPr>
            <w:rStyle w:val="Hyperlink"/>
          </w:rPr>
          <w:t>https://doi.org/10.1016/j.ucl.2021.12.005</w:t>
        </w:r>
      </w:hyperlink>
    </w:p>
    <w:p w:rsidR="00BC5E03" w:rsidRDefault="00452A9F">
      <w:pPr>
        <w:pStyle w:val="NormalWeb"/>
      </w:pPr>
      <w:r>
        <w:t xml:space="preserve">Obalana, E., Oluwatimilehin, O. E. (2024). Assessment of serum biomarkers of cardiac function (creatine kinase and troponin) in </w:t>
      </w:r>
      <w:r>
        <w:t xml:space="preserve">Wistar rats treated with Long Jack sperm enhancer. </w:t>
      </w:r>
      <w:r>
        <w:rPr>
          <w:rStyle w:val="Emphasis"/>
        </w:rPr>
        <w:t>ResearchGate</w:t>
      </w:r>
      <w:r>
        <w:t xml:space="preserve">. </w:t>
      </w:r>
      <w:hyperlink r:id="rId62" w:history="1">
        <w:r>
          <w:rPr>
            <w:rStyle w:val="Hyperlink"/>
          </w:rPr>
          <w:t>https://www.researchgate.net/publication/383455071</w:t>
        </w:r>
      </w:hyperlink>
    </w:p>
    <w:p w:rsidR="00BC5E03" w:rsidRDefault="00452A9F">
      <w:pPr>
        <w:pStyle w:val="NormalWeb"/>
      </w:pPr>
      <w:r>
        <w:lastRenderedPageBreak/>
        <w:t>Odetayo, A. F., &amp; Olayaki, L. A. (2023). Omega-3 fatty acid improves sexua</w:t>
      </w:r>
      <w:r>
        <w:t xml:space="preserve">l and erectile function in BPF-treated rats by upregulating NO/cGMP signaling and steroidogenic enzymes activities. </w:t>
      </w:r>
      <w:r>
        <w:rPr>
          <w:rStyle w:val="Emphasis"/>
        </w:rPr>
        <w:t>Scientific Reports</w:t>
      </w:r>
      <w:r>
        <w:t xml:space="preserve">, 13, 1–13. </w:t>
      </w:r>
      <w:hyperlink r:id="rId63" w:history="1">
        <w:r>
          <w:rPr>
            <w:rStyle w:val="Hyperlink"/>
          </w:rPr>
          <w:t>https://www.nature.com/articles/s41598-023-4534</w:t>
        </w:r>
        <w:r>
          <w:rPr>
            <w:rStyle w:val="Hyperlink"/>
          </w:rPr>
          <w:t>4-4</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4" w:history="1">
        <w:r>
          <w:rPr>
            <w:rStyle w:val="Hyperlink"/>
            <w:rFonts w:ascii="Times New Roman" w:hAnsi="Times New Roman" w:cs="Times New Roman"/>
            <w:sz w:val="24"/>
            <w:szCs w:val="24"/>
          </w:rPr>
          <w:t>https://www.njap.org.ng/index.php/njap/article/view/560</w:t>
        </w:r>
      </w:hyperlink>
    </w:p>
    <w:p w:rsidR="00BC5E03" w:rsidRDefault="00452A9F">
      <w:pPr>
        <w:pStyle w:val="NormalWeb"/>
      </w:pPr>
      <w:r>
        <w:t xml:space="preserve">Otunola, G. A. (2022). Culinary spices in food and medicine: An overview of </w:t>
      </w:r>
      <w:r>
        <w:rPr>
          <w:rStyle w:val="Emphasis"/>
        </w:rPr>
        <w:t>Syzygium aromaticum</w:t>
      </w:r>
      <w:r>
        <w:t xml:space="preserve">. </w:t>
      </w:r>
      <w:r>
        <w:rPr>
          <w:rStyle w:val="Emphasis"/>
        </w:rPr>
        <w:t>Frontiers in Pharmacology, 12</w:t>
      </w:r>
      <w:r>
        <w:t xml:space="preserve">, 793200. </w:t>
      </w:r>
      <w:hyperlink r:id="rId65" w:history="1">
        <w:r>
          <w:rPr>
            <w:rStyle w:val="Hyperlink"/>
          </w:rPr>
          <w:t>https://www.frontiersin.org/articles/10.3389/fphar.2021.793200/full</w:t>
        </w:r>
      </w:hyperlink>
    </w:p>
    <w:p w:rsidR="00BC5E03" w:rsidRDefault="00452A9F">
      <w:pPr>
        <w:pStyle w:val="NormalWeb"/>
      </w:pPr>
      <w:r>
        <w:t>Oyovwi, M. O., &amp; Atere, A. D. (2024). Exploring the medicinal significance of L-arginine-mediated nitric oxide in pre</w:t>
      </w:r>
      <w:r>
        <w:t xml:space="preserve">venting health disorders. </w:t>
      </w:r>
      <w:r>
        <w:rPr>
          <w:rStyle w:val="Emphasis"/>
        </w:rPr>
        <w:t>European Journal of Medicinal Chemistry Reports, 3</w:t>
      </w:r>
      <w:r>
        <w:t xml:space="preserve">, 100047. </w:t>
      </w:r>
      <w:hyperlink r:id="rId66" w:history="1">
        <w:r>
          <w:rPr>
            <w:rStyle w:val="Hyperlink"/>
          </w:rPr>
          <w:t>https://doi.org/10.1016/j.ejmcr.2024.100047</w:t>
        </w:r>
      </w:hyperlink>
    </w:p>
    <w:p w:rsidR="00BC5E03" w:rsidRDefault="00452A9F">
      <w:pPr>
        <w:pStyle w:val="NormalWeb"/>
      </w:pPr>
      <w:r>
        <w:t>Paschou, S. A., Athanasiadou, K. I., &amp; Hafford-Letchfield, T. (2024</w:t>
      </w:r>
      <w:r>
        <w:t xml:space="preserve">). Sexual health and wellbeing and the menopause: An EMAS clinical guide. </w:t>
      </w:r>
      <w:r>
        <w:rPr>
          <w:rStyle w:val="Emphasis"/>
        </w:rPr>
        <w:t>Maturitas, 185</w:t>
      </w:r>
      <w:r>
        <w:t xml:space="preserve">, 1–10. </w:t>
      </w:r>
      <w:hyperlink r:id="rId67" w:history="1">
        <w:r>
          <w:rPr>
            <w:rStyle w:val="Hyperlink"/>
          </w:rPr>
          <w:t>https://www.sciencedirect.com/science/article/pii/S0378512224001506</w:t>
        </w:r>
      </w:hyperlink>
    </w:p>
    <w:p w:rsidR="00BC5E03" w:rsidRDefault="00452A9F">
      <w:pPr>
        <w:pStyle w:val="NormalWeb"/>
      </w:pPr>
      <w:r>
        <w:t>Pyrgidis,</w:t>
      </w:r>
      <w:r>
        <w:t xml:space="preserve"> N., Mykoniatis, I., Haidich, A. B., Tirta, M., &amp; Hatzichristodoulou, G. (2021). The effect of PDE5 inhibitors on erectile function: A systematic overview. </w:t>
      </w:r>
      <w:r>
        <w:rPr>
          <w:rStyle w:val="Emphasis"/>
        </w:rPr>
        <w:t>Frontiers in Pharmacology, 12</w:t>
      </w:r>
      <w:r>
        <w:t xml:space="preserve">, 735708. </w:t>
      </w:r>
      <w:hyperlink r:id="rId68" w:history="1">
        <w:r>
          <w:rPr>
            <w:rStyle w:val="Hyperlink"/>
          </w:rPr>
          <w:t>https:/</w:t>
        </w:r>
        <w:r>
          <w:rPr>
            <w:rStyle w:val="Hyperlink"/>
          </w:rPr>
          <w:t>/doi.org/10.3389/fphar.2021.735708</w:t>
        </w:r>
      </w:hyperlink>
    </w:p>
    <w:p w:rsidR="00BC5E03" w:rsidRDefault="00452A9F">
      <w:pPr>
        <w:pStyle w:val="NormalWeb"/>
      </w:pPr>
      <w:r>
        <w:t xml:space="preserve">Rastrelli, G., Antonio, L., Carrier, S., &amp; Isidori, A. (2025). Hormonal regulation of men’s sexual function: ICSM 2024 recommendations. </w:t>
      </w:r>
      <w:r>
        <w:rPr>
          <w:rStyle w:val="Emphasis"/>
        </w:rPr>
        <w:t>Sexual Medicine Reviews, 13</w:t>
      </w:r>
      <w:r>
        <w:t xml:space="preserve">(2), 147–168. </w:t>
      </w:r>
      <w:hyperlink r:id="rId69" w:history="1">
        <w:r>
          <w:rPr>
            <w:rStyle w:val="Hyperlink"/>
          </w:rPr>
          <w:t>https://doi.org/10.1093/sxmrev/qeaf025</w:t>
        </w:r>
      </w:hyperlink>
    </w:p>
    <w:p w:rsidR="00BC5E03" w:rsidRDefault="00452A9F">
      <w:pPr>
        <w:pStyle w:val="NormalWeb"/>
      </w:pPr>
      <w:r>
        <w:t>Sağır, S., Ünsal, V., Öner, E., Yıldız, R., &amp; Mert, B. D. (2025). Comparison of PDE-5 inhibitors used in erectile dysfunction with some candidate molecules: A study involving molecular docking, ADMET, DFT</w:t>
      </w:r>
      <w:r>
        <w:t xml:space="preserve">, and biological target interactions. </w:t>
      </w:r>
      <w:r>
        <w:rPr>
          <w:rStyle w:val="Emphasis"/>
        </w:rPr>
        <w:t>BMC Urology, 25</w:t>
      </w:r>
      <w:r>
        <w:t xml:space="preserve">, Article 1727. </w:t>
      </w:r>
      <w:hyperlink r:id="rId70" w:history="1">
        <w:r>
          <w:rPr>
            <w:rStyle w:val="Hyperlink"/>
          </w:rPr>
          <w:t>https://doi.org/10.1186/s12894-025-01727-5</w:t>
        </w:r>
      </w:hyperlink>
    </w:p>
    <w:p w:rsidR="00BC5E03" w:rsidRDefault="00452A9F">
      <w:pPr>
        <w:pStyle w:val="NormalWeb"/>
      </w:pPr>
      <w:r>
        <w:t xml:space="preserve">Saikia, Q., Adhikari, K., Begum, T., &amp; Dutta, S. (2024). Erectile dysfunction: Basics </w:t>
      </w:r>
      <w:r>
        <w:t xml:space="preserve">and its management using plant products. </w:t>
      </w:r>
      <w:r>
        <w:rPr>
          <w:rStyle w:val="Emphasis"/>
        </w:rPr>
        <w:t>Egyptian Journal of Basic and Clinical Pharmacology, 14</w:t>
      </w:r>
      <w:r>
        <w:t xml:space="preserve">(1), 102–112. </w:t>
      </w:r>
      <w:hyperlink r:id="rId71" w:history="1">
        <w:r>
          <w:rPr>
            <w:rStyle w:val="Hyperlink"/>
          </w:rPr>
          <w:t>https://doi.org/10.1080/2314808X.2023.2300560</w:t>
        </w:r>
      </w:hyperlink>
    </w:p>
    <w:p w:rsidR="00BC5E03" w:rsidRDefault="00452A9F">
      <w:pPr>
        <w:pStyle w:val="NormalWeb"/>
      </w:pPr>
      <w:r>
        <w:t>Salehiyeh, S., Faiz, A. F., &amp; Manzourol</w:t>
      </w:r>
      <w:r>
        <w:t xml:space="preserve">hojeh, M. (2024). The functions of hydrogen sulfide on the urogenital system of both males and females: From inception to the present. </w:t>
      </w:r>
      <w:r>
        <w:rPr>
          <w:rStyle w:val="Emphasis"/>
        </w:rPr>
        <w:t>Naunyn–Schmiedeberg's Archives of Pharmacology</w:t>
      </w:r>
      <w:r>
        <w:t xml:space="preserve">. </w:t>
      </w:r>
      <w:hyperlink r:id="rId72" w:history="1">
        <w:r>
          <w:rPr>
            <w:rStyle w:val="Hyperlink"/>
          </w:rPr>
          <w:t>https://doi.org/10</w:t>
        </w:r>
        <w:r>
          <w:rPr>
            <w:rStyle w:val="Hyperlink"/>
          </w:rPr>
          <w:t>.1007/s00210-024-03086-8</w:t>
        </w:r>
      </w:hyperlink>
    </w:p>
    <w:p w:rsidR="00BC5E03" w:rsidRDefault="00452A9F">
      <w:pPr>
        <w:pStyle w:val="NormalWeb"/>
      </w:pPr>
      <w:r>
        <w:t xml:space="preserve">Salvio, G., Martino, M., Giancola, G., &amp; Arnaldi, G. (2021). Hypothalamic–pituitary diseases and erectile dysfunction. </w:t>
      </w:r>
      <w:r>
        <w:rPr>
          <w:rStyle w:val="Emphasis"/>
        </w:rPr>
        <w:t>Journal of Clinical Medicine</w:t>
      </w:r>
      <w:r>
        <w:t xml:space="preserve">, 10(12), 2551. </w:t>
      </w:r>
      <w:hyperlink r:id="rId73" w:history="1">
        <w:r>
          <w:rPr>
            <w:rStyle w:val="Hyperlink"/>
          </w:rPr>
          <w:t>https://www</w:t>
        </w:r>
        <w:r>
          <w:rPr>
            <w:rStyle w:val="Hyperlink"/>
          </w:rPr>
          <w:t>.mdpi.com/2077-0383/10/12/2551</w:t>
        </w:r>
      </w:hyperlink>
    </w:p>
    <w:p w:rsidR="00BC5E03" w:rsidRDefault="00452A9F">
      <w:pPr>
        <w:pStyle w:val="NormalWeb"/>
      </w:pPr>
      <w:r>
        <w:lastRenderedPageBreak/>
        <w:t xml:space="preserve">Sangiorgi, G., Cereda, A., Benedetto, D., &amp; Bonanni, M. (2021). Anatomy, pathophysiology, molecular mechanisms, and clinical management of erectile dysfunction in patients affected by coronary artery disease: A review. </w:t>
      </w:r>
      <w:r>
        <w:rPr>
          <w:rStyle w:val="Emphasis"/>
        </w:rPr>
        <w:t>Bio</w:t>
      </w:r>
      <w:r>
        <w:rPr>
          <w:rStyle w:val="Emphasis"/>
        </w:rPr>
        <w:t>medicines, 9</w:t>
      </w:r>
      <w:r>
        <w:t xml:space="preserve">(4), 432. </w:t>
      </w:r>
      <w:hyperlink r:id="rId74" w:history="1">
        <w:r>
          <w:rPr>
            <w:rStyle w:val="Hyperlink"/>
          </w:rPr>
          <w:t>https://www.mdpi.com/2227-9059/9/4/432</w:t>
        </w:r>
      </w:hyperlink>
    </w:p>
    <w:p w:rsidR="00BC5E03" w:rsidRDefault="00452A9F">
      <w:pPr>
        <w:pStyle w:val="NormalWeb"/>
      </w:pPr>
      <w:r>
        <w:t>Sarkodie, J. A., Amponsah, I. K., &amp; Yeboah, F. O. (2024). Application of the Herbal Marker Ranking System (Herb Mars) for male vitality herba</w:t>
      </w:r>
      <w:r>
        <w:t xml:space="preserve">l remedies. </w:t>
      </w:r>
      <w:r>
        <w:rPr>
          <w:rStyle w:val="Emphasis"/>
        </w:rPr>
        <w:t>SSRN</w:t>
      </w:r>
      <w:r>
        <w:t xml:space="preserve">. </w:t>
      </w:r>
      <w:hyperlink r:id="rId75" w:history="1">
        <w:r>
          <w:rPr>
            <w:rStyle w:val="Hyperlink"/>
          </w:rPr>
          <w:t>https://papers.ssrn.com/sol3/papers.cfm?abstract_id=5270490</w:t>
        </w:r>
      </w:hyperlink>
    </w:p>
    <w:p w:rsidR="00BC5E03" w:rsidRDefault="00452A9F">
      <w:pPr>
        <w:pStyle w:val="NormalWeb"/>
      </w:pPr>
      <w:r>
        <w:t>Stefan, M. G., Kiss, B., Gutleb, A. C., &amp; Loghin, F. (2020). Redox metabolism modulation as a mechanism</w:t>
      </w:r>
      <w:r>
        <w:t xml:space="preserve"> in SSRI toxicity and pharmacological effects. </w:t>
      </w:r>
      <w:r>
        <w:rPr>
          <w:rStyle w:val="Emphasis"/>
        </w:rPr>
        <w:t>Archives of Toxicology, 94</w:t>
      </w:r>
      <w:r>
        <w:t xml:space="preserve">, 3145–3156. </w:t>
      </w:r>
      <w:hyperlink r:id="rId76" w:history="1">
        <w:r>
          <w:rPr>
            <w:rStyle w:val="Hyperlink"/>
          </w:rPr>
          <w:t>https://doi.org/10.1007/s00204-020-02721-6</w:t>
        </w:r>
      </w:hyperlink>
    </w:p>
    <w:p w:rsidR="00BC5E03" w:rsidRDefault="00452A9F">
      <w:pPr>
        <w:pStyle w:val="NormalWeb"/>
      </w:pPr>
      <w:r>
        <w:t>Sun, H., Zhao, Y., Liao, X., Ortega, F. B., &amp; Chen, Q. (2025). Effect</w:t>
      </w:r>
      <w:r>
        <w:t xml:space="preserve">s and moderators of exercise training on erectile function: A systematic review and meta-analysis. </w:t>
      </w:r>
      <w:r>
        <w:rPr>
          <w:rStyle w:val="Emphasis"/>
        </w:rPr>
        <w:t>Research Square</w:t>
      </w:r>
      <w:r>
        <w:t xml:space="preserve">. </w:t>
      </w:r>
      <w:hyperlink r:id="rId77" w:history="1">
        <w:r>
          <w:rPr>
            <w:rStyle w:val="Hyperlink"/>
          </w:rPr>
          <w:t>https://www.researchsquare.com/article/rs-6075962/latest</w:t>
        </w:r>
      </w:hyperlink>
    </w:p>
    <w:p w:rsidR="00BC5E03" w:rsidRDefault="00452A9F">
      <w:pPr>
        <w:pStyle w:val="NormalWeb"/>
      </w:pPr>
      <w:r>
        <w:t>Svennersten</w:t>
      </w:r>
      <w:r>
        <w:t xml:space="preserve">, K., &amp; Reus, C. (2024). Etiology, surgical anatomy, and pathophysiology of male erectile dysfunction. </w:t>
      </w:r>
      <w:r>
        <w:rPr>
          <w:rStyle w:val="Emphasis"/>
        </w:rPr>
        <w:t>International Journal of Reconstructive Urology</w:t>
      </w:r>
      <w:r>
        <w:t xml:space="preserve">, 14(1), 1–12. </w:t>
      </w:r>
      <w:hyperlink r:id="rId78" w:history="1">
        <w:r>
          <w:rPr>
            <w:rStyle w:val="Hyperlink"/>
          </w:rPr>
          <w:t>https://journals.lww.com/ijoru/fulltext/2024/02010/etiology,_surgical_anatomy,_and_pathophysiology_of.2.aspx</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Taghipour, Z., Bahmanzadeh, M., &amp;</w:t>
      </w:r>
      <w:r>
        <w:rPr>
          <w:rFonts w:ascii="Times New Roman" w:hAnsi="Times New Roman" w:cs="Times New Roman"/>
          <w:sz w:val="24"/>
          <w:szCs w:val="24"/>
        </w:rPr>
        <w:t xml:space="preserve">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79" w:history="1">
        <w:r>
          <w:rPr>
            <w:rStyle w:val="Hyperlink"/>
            <w:rFonts w:ascii="Times New Roman" w:hAnsi="Times New Roman" w:cs="Times New Roman"/>
            <w:sz w:val="24"/>
            <w:szCs w:val="24"/>
          </w:rPr>
          <w:t>https://link.springer.com/article/</w:t>
        </w:r>
        <w:r>
          <w:rPr>
            <w:rStyle w:val="Hyperlink"/>
            <w:rFonts w:ascii="Times New Roman" w:hAnsi="Times New Roman" w:cs="Times New Roman"/>
            <w:sz w:val="24"/>
            <w:szCs w:val="24"/>
          </w:rPr>
          <w:t>10.1007/s43032-023-01223-x</w:t>
        </w:r>
      </w:hyperlink>
    </w:p>
    <w:p w:rsidR="00BC5E03" w:rsidRDefault="00452A9F">
      <w:pPr>
        <w:pStyle w:val="NormalWeb"/>
      </w:pPr>
      <w:r>
        <w:t xml:space="preserve">Tang, X., Olatunji, O. J., Zhou, Y., &amp; Hou, X. (2017). In vitro and in vivo aphrodisiac properties of the seed extract from </w:t>
      </w:r>
      <w:r>
        <w:rPr>
          <w:rStyle w:val="Emphasis"/>
        </w:rPr>
        <w:t>Allium tuberosum</w:t>
      </w:r>
      <w:r>
        <w:t xml:space="preserve"> on corpus cavernosum smooth muscle relaxation and sexual behavior parameters in male rats. </w:t>
      </w:r>
      <w:r>
        <w:rPr>
          <w:rStyle w:val="Emphasis"/>
        </w:rPr>
        <w:t>BMC Complementary and Alternative Medicine, 17</w:t>
      </w:r>
      <w:r>
        <w:t xml:space="preserve">(1), 538. </w:t>
      </w:r>
      <w:hyperlink r:id="rId80" w:history="1">
        <w:r>
          <w:rPr>
            <w:rStyle w:val="Hyperlink"/>
          </w:rPr>
          <w:t>https://doi.org/10.1186/s12906-017-2008-5</w:t>
        </w:r>
      </w:hyperlink>
    </w:p>
    <w:p w:rsidR="00BC5E03" w:rsidRDefault="00452A9F">
      <w:pPr>
        <w:pStyle w:val="NormalWeb"/>
      </w:pPr>
      <w:r>
        <w:t>Tarcan, T</w:t>
      </w:r>
      <w:r>
        <w:t xml:space="preserve">., Choi, H. P., &amp; Azadzoi, K. M. (2022). Molecular regulation of concomitant lower urinary tract symptoms and erectile dysfunction in pelvic ischemia. </w:t>
      </w:r>
      <w:r>
        <w:rPr>
          <w:rStyle w:val="Emphasis"/>
        </w:rPr>
        <w:t>International Journal of Molecular Sciences, 23</w:t>
      </w:r>
      <w:r>
        <w:t xml:space="preserve">(24), 15988. </w:t>
      </w:r>
      <w:hyperlink r:id="rId81" w:history="1">
        <w:r>
          <w:rPr>
            <w:rStyle w:val="Hyperlink"/>
          </w:rPr>
          <w:t>https://www.mdpi.com/1422-0067/23/24/15988</w:t>
        </w:r>
      </w:hyperlink>
    </w:p>
    <w:p w:rsidR="00BC5E03" w:rsidRDefault="00452A9F">
      <w:pPr>
        <w:pStyle w:val="NormalWeb"/>
      </w:pPr>
      <w:r>
        <w:t xml:space="preserve">Tian, Y., Zhou, Q., Li, W., Liu, M., &amp; Chen, Q. (2023). Efficacy of L-arginine and Pycnogenol® in the treatment of male erectile dysfunction: A systematic review and meta-analysis. </w:t>
      </w:r>
      <w:r>
        <w:rPr>
          <w:rStyle w:val="Emphasis"/>
        </w:rPr>
        <w:t>Frontiers in Endocr</w:t>
      </w:r>
      <w:r>
        <w:rPr>
          <w:rStyle w:val="Emphasis"/>
        </w:rPr>
        <w:t>inology, 14</w:t>
      </w:r>
      <w:r>
        <w:t xml:space="preserve">, Article 1211720. </w:t>
      </w:r>
      <w:hyperlink r:id="rId82" w:history="1">
        <w:r>
          <w:rPr>
            <w:rStyle w:val="Hyperlink"/>
          </w:rPr>
          <w:t>https://www.frontiersin.org/articles/10.3389/fendo.2023.1211720/full</w:t>
        </w:r>
      </w:hyperlink>
    </w:p>
    <w:p w:rsidR="00BC5E03" w:rsidRDefault="00452A9F">
      <w:pPr>
        <w:pStyle w:val="NormalWeb"/>
      </w:pPr>
      <w:r>
        <w:t>Tuldjanah, M., Yanuarty, R., &amp; Sasdila, S. (2024). Aphrodisiac activity o</w:t>
      </w:r>
      <w:r>
        <w:t xml:space="preserve">f clove leaves ethanol extract and fractions in Wistar rats. </w:t>
      </w:r>
      <w:r>
        <w:rPr>
          <w:rStyle w:val="Emphasis"/>
        </w:rPr>
        <w:t>Sciences of Phytochemistry</w:t>
      </w:r>
      <w:r>
        <w:t xml:space="preserve">. </w:t>
      </w:r>
      <w:hyperlink r:id="rId83" w:history="1">
        <w:r>
          <w:rPr>
            <w:rStyle w:val="Hyperlink"/>
          </w:rPr>
          <w:t>https://etflin.com/article/183</w:t>
        </w:r>
      </w:hyperlink>
    </w:p>
    <w:p w:rsidR="00BC5E03" w:rsidRDefault="00452A9F">
      <w:pPr>
        <w:pStyle w:val="NormalWeb"/>
      </w:pPr>
      <w:r>
        <w:t xml:space="preserve">Vardi, Y., Appel, B., &amp; Gruenwald, I. (2022). The effect of lifestyle changes on erectile </w:t>
      </w:r>
      <w:r>
        <w:t xml:space="preserve">function in obese men. </w:t>
      </w:r>
      <w:r>
        <w:rPr>
          <w:rStyle w:val="Emphasis"/>
        </w:rPr>
        <w:t>Andrology, 10</w:t>
      </w:r>
      <w:r>
        <w:t xml:space="preserve">(1), 34–42. </w:t>
      </w:r>
      <w:hyperlink r:id="rId84" w:history="1">
        <w:r>
          <w:rPr>
            <w:rStyle w:val="Hyperlink"/>
          </w:rPr>
          <w:t>https://doi.org/10.1111/andr.13028</w:t>
        </w:r>
      </w:hyperlink>
    </w:p>
    <w:p w:rsidR="00BC5E03" w:rsidRDefault="00452A9F">
      <w:pPr>
        <w:pStyle w:val="NormalWeb"/>
      </w:pPr>
      <w:r>
        <w:lastRenderedPageBreak/>
        <w:t xml:space="preserve">Wang, H., &amp; Chung, E. (2025). Revisiting experimental models of erectile dysfunction and their value in drug discovery and </w:t>
      </w:r>
      <w:r>
        <w:t xml:space="preserve">development. </w:t>
      </w:r>
      <w:r>
        <w:rPr>
          <w:rStyle w:val="Emphasis"/>
        </w:rPr>
        <w:t>Expert Opinion on Drug Discovery, 20</w:t>
      </w:r>
      <w:r>
        <w:t xml:space="preserve">(2), 103–114. </w:t>
      </w:r>
      <w:hyperlink r:id="rId85" w:history="1">
        <w:r>
          <w:rPr>
            <w:rStyle w:val="Hyperlink"/>
          </w:rPr>
          <w:t>https://doi.org/10.1080/17460441.2025.2482065</w:t>
        </w:r>
      </w:hyperlink>
    </w:p>
    <w:p w:rsidR="00BC5E03" w:rsidRDefault="00452A9F">
      <w:pPr>
        <w:pStyle w:val="NormalWeb"/>
      </w:pPr>
      <w:r>
        <w:t>Wang, H., Chang, H., Sun, D., Wang, A., &amp; Yan, B. (2025). Therapeutic challenges of di</w:t>
      </w:r>
      <w:r>
        <w:t xml:space="preserve">abetes mellitus-related erectile dysfunction and the potential role of medicinal plants. </w:t>
      </w:r>
      <w:r>
        <w:rPr>
          <w:rStyle w:val="Emphasis"/>
        </w:rPr>
        <w:t>Drug Design, Development and Therapy, 19</w:t>
      </w:r>
      <w:r>
        <w:t xml:space="preserve">, 233–248. </w:t>
      </w:r>
      <w:hyperlink r:id="rId86" w:history="1">
        <w:r>
          <w:rPr>
            <w:rStyle w:val="Hyperlink"/>
          </w:rPr>
          <w:t>https://doi.org/10.2147/DDDT.S515403</w:t>
        </w:r>
      </w:hyperlink>
    </w:p>
    <w:p w:rsidR="00BC5E03" w:rsidRDefault="00452A9F">
      <w:pPr>
        <w:pStyle w:val="NormalWeb"/>
      </w:pPr>
      <w:r>
        <w:t>Woo, M. A., Martino, M., Ar</w:t>
      </w:r>
      <w:r>
        <w:t xml:space="preserve">naldi, G., &amp; Salvio, G. (2021). Endocrinology of male sexual dysfunction. </w:t>
      </w:r>
      <w:r>
        <w:rPr>
          <w:rStyle w:val="Emphasis"/>
        </w:rPr>
        <w:t>Journal of Clinical Endocrinology</w:t>
      </w:r>
      <w:r>
        <w:t xml:space="preserve">, 105(3), 458–467. </w:t>
      </w:r>
      <w:hyperlink r:id="rId87" w:history="1">
        <w:r>
          <w:rPr>
            <w:rStyle w:val="Hyperlink"/>
          </w:rPr>
          <w:t>https://doi.org/10.1210/jc.2020-04588</w:t>
        </w:r>
      </w:hyperlink>
    </w:p>
    <w:p w:rsidR="00BC5E03" w:rsidRDefault="00452A9F">
      <w:pPr>
        <w:pStyle w:val="NormalWeb"/>
      </w:pPr>
      <w:r>
        <w:t>Xie, Z., Zhang, X., Jia, H., &amp; Zhang, Y</w:t>
      </w:r>
      <w:r>
        <w:t xml:space="preserve">.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8" w:history="1">
        <w:r>
          <w:rPr>
            <w:rStyle w:val="Hyperlink"/>
          </w:rPr>
          <w:t>https://www.frontiersin.org/articles/10.3389/fpsyt.2025.1584306/full</w:t>
        </w:r>
      </w:hyperlink>
    </w:p>
    <w:p w:rsidR="00BC5E03" w:rsidRDefault="00452A9F">
      <w:pPr>
        <w:pStyle w:val="NormalWeb"/>
      </w:pPr>
      <w:r>
        <w:t xml:space="preserve">Yakubu, M. T., &amp; Jimoh, R. O. (2019). </w:t>
      </w:r>
      <w:r>
        <w:rPr>
          <w:rStyle w:val="Emphasis"/>
        </w:rPr>
        <w:t>Carpolobia lutea</w:t>
      </w:r>
      <w:r>
        <w:t xml:space="preserve"> roots restore sexual arousal and performance in paroxetine-induced sexually impaired male rats. </w:t>
      </w:r>
      <w:r>
        <w:rPr>
          <w:rStyle w:val="Emphasis"/>
        </w:rPr>
        <w:t>Revista Internacional de Andrología</w:t>
      </w:r>
      <w:r>
        <w:t xml:space="preserve">, 17(1), 10–18. </w:t>
      </w:r>
      <w:hyperlink r:id="rId89" w:history="1">
        <w:r>
          <w:rPr>
            <w:rStyle w:val="Hyperlink"/>
          </w:rPr>
          <w:t>https://dialnet.unirioja.es/servlet/articulo?codigo=4762193</w:t>
        </w:r>
      </w:hyperlink>
    </w:p>
    <w:p w:rsidR="00BC5E03" w:rsidRDefault="00452A9F">
      <w:pPr>
        <w:pStyle w:val="NormalWeb"/>
      </w:pPr>
      <w:r>
        <w:t xml:space="preserve">Yanuarty, R., Tuldjanah, M., &amp; Wulandari, A. (2024). Determination of </w:t>
      </w:r>
      <w:r>
        <w:t xml:space="preserve">secondary metabolite levels in clove leaves using LC-HRMS methods. </w:t>
      </w:r>
      <w:r>
        <w:rPr>
          <w:rStyle w:val="Emphasis"/>
        </w:rPr>
        <w:t>Jurnal Biologi Tropis</w:t>
      </w:r>
      <w:r>
        <w:t xml:space="preserve">, 24(1). </w:t>
      </w:r>
      <w:hyperlink r:id="rId90" w:history="1">
        <w:r>
          <w:rPr>
            <w:rStyle w:val="Hyperlink"/>
          </w:rPr>
          <w:t>https://jurnalfkip.unram.ac.id/index.php/JBT/article/view/7975</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Yilmaz-Oral, D., O</w:t>
      </w:r>
      <w:r>
        <w:rPr>
          <w:rFonts w:ascii="Times New Roman" w:hAnsi="Times New Roman" w:cs="Times New Roman"/>
          <w:sz w:val="24"/>
          <w:szCs w:val="24"/>
        </w:rPr>
        <w:t xml:space="preserve">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hyperlink r:id="rId91" w:history="1">
        <w:r>
          <w:rPr>
            <w:rStyle w:val="Hyperlink"/>
            <w:rFonts w:ascii="Times New Roman" w:hAnsi="Times New Roman" w:cs="Times New Roman"/>
            <w:sz w:val="24"/>
            <w:szCs w:val="24"/>
          </w:rPr>
          <w:t>https://onlin</w:t>
        </w:r>
        <w:r>
          <w:rPr>
            <w:rStyle w:val="Hyperlink"/>
            <w:rFonts w:ascii="Times New Roman" w:hAnsi="Times New Roman" w:cs="Times New Roman"/>
            <w:sz w:val="24"/>
            <w:szCs w:val="24"/>
          </w:rPr>
          <w:t>elibrary.wiley.com/doi/abs/10.1111/and.13606</w:t>
        </w:r>
      </w:hyperlink>
    </w:p>
    <w:p w:rsidR="00BC5E03" w:rsidRDefault="00452A9F">
      <w:pPr>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2" w:history="1">
        <w:r>
          <w:rPr>
            <w:rStyle w:val="Hyperlink"/>
            <w:rFonts w:ascii="Times New Roman" w:hAnsi="Times New Roman" w:cs="Times New Roman"/>
            <w:sz w:val="24"/>
            <w:szCs w:val="24"/>
          </w:rPr>
          <w:t>https://doi.org/10.4</w:t>
        </w:r>
        <w:r>
          <w:rPr>
            <w:rStyle w:val="Hyperlink"/>
            <w:rFonts w:ascii="Times New Roman" w:hAnsi="Times New Roman" w:cs="Times New Roman"/>
            <w:sz w:val="24"/>
            <w:szCs w:val="24"/>
          </w:rPr>
          <w:t>088/JCP.22r14689</w:t>
        </w:r>
      </w:hyperlink>
    </w:p>
    <w:p w:rsidR="00BC5E03" w:rsidRDefault="00452A9F">
      <w:pPr>
        <w:pStyle w:val="NormalWeb"/>
      </w:pPr>
      <w:r>
        <w:t xml:space="preserve">Zachariou, A., Sofikitis, N., Dimitriadis, F., &amp; Kaltsas, A. (2025). Future perspectives for PDE5 inhibitors bridging the gap between cardiovascular health and psychological status. </w:t>
      </w:r>
      <w:r>
        <w:rPr>
          <w:rStyle w:val="Emphasis"/>
        </w:rPr>
        <w:t>Basic and Clinical Andrology, 35</w:t>
      </w:r>
      <w:r>
        <w:t xml:space="preserve">(1), 23. </w:t>
      </w:r>
      <w:hyperlink r:id="rId93" w:history="1">
        <w:r>
          <w:rPr>
            <w:rStyle w:val="Hyperlink"/>
          </w:rPr>
          <w:t>https://link.springer.com/article/10.1186/s12610-024-00245-y</w:t>
        </w:r>
      </w:hyperlink>
    </w:p>
    <w:p w:rsidR="00BC5E03" w:rsidRDefault="00452A9F">
      <w:pPr>
        <w:pStyle w:val="NormalWeb"/>
      </w:pPr>
      <w:r>
        <w:t xml:space="preserve">Zhu, D., Pham, Q. M., Wang, C., Colonnello, E., &amp; Facio, F. (2025). Erectile dysfunction and oxidative stress: A narrative review. </w:t>
      </w:r>
      <w:r>
        <w:rPr>
          <w:rStyle w:val="Emphasis"/>
        </w:rPr>
        <w:t>I</w:t>
      </w:r>
      <w:r>
        <w:rPr>
          <w:rStyle w:val="Emphasis"/>
        </w:rPr>
        <w:t>nternational Journal of Molecular Sciences</w:t>
      </w:r>
      <w:r>
        <w:t xml:space="preserve">, 26(7), 3073. </w:t>
      </w:r>
      <w:hyperlink r:id="rId94" w:history="1">
        <w:r>
          <w:rPr>
            <w:rStyle w:val="Hyperlink"/>
          </w:rPr>
          <w:t>https://www.mdpi.com/1422-0067/26/7/3073</w:t>
        </w:r>
      </w:hyperlink>
    </w:p>
    <w:p w:rsidR="00BC5E03" w:rsidRDefault="00452A9F">
      <w:pPr>
        <w:pStyle w:val="NormalWeb"/>
      </w:pPr>
      <w:r>
        <w:t>Ziapour, A., Kazeminia, M., &amp; Bakhshi, S. (2024). Global prevalence of sexual dysfunction in cardiovas</w:t>
      </w:r>
      <w:r>
        <w:t xml:space="preserve">cular patients: A systematic review and meta-analysis. </w:t>
      </w:r>
      <w:r>
        <w:rPr>
          <w:rStyle w:val="Emphasis"/>
        </w:rPr>
        <w:t>Systematic Reviews</w:t>
      </w:r>
      <w:r>
        <w:t xml:space="preserve">, 13(1), 32–45. </w:t>
      </w:r>
      <w:hyperlink r:id="rId95" w:history="1">
        <w:r>
          <w:rPr>
            <w:rStyle w:val="Hyperlink"/>
          </w:rPr>
          <w:t>https://link.springer.com/article/10.1186/s13643-024-02525-0</w:t>
        </w:r>
      </w:hyperlink>
    </w:p>
    <w:p w:rsidR="00BC5E03" w:rsidRDefault="00BC5E03">
      <w:pPr>
        <w:rPr>
          <w:rFonts w:ascii="Times New Roman" w:hAnsi="Times New Roman" w:cs="Times New Roman"/>
          <w:sz w:val="24"/>
          <w:szCs w:val="24"/>
        </w:rPr>
      </w:pPr>
    </w:p>
    <w:sectPr w:rsidR="00BC5E03" w:rsidSect="00BC5E03">
      <w:footerReference w:type="default" r:id="rId96"/>
      <w:pgSz w:w="11906" w:h="16838"/>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A9F" w:rsidRDefault="00452A9F" w:rsidP="00BC5E03">
      <w:pPr>
        <w:spacing w:after="0" w:line="240" w:lineRule="auto"/>
      </w:pPr>
      <w:r>
        <w:separator/>
      </w:r>
    </w:p>
  </w:endnote>
  <w:endnote w:type="continuationSeparator" w:id="1">
    <w:p w:rsidR="00452A9F" w:rsidRDefault="00452A9F" w:rsidP="00BC5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Wingdings 2"/>
    <w:charset w:val="02"/>
    <w:family w:val="roman"/>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kit-standard">
    <w:altName w:val="Calibri"/>
    <w:charset w:val="00"/>
    <w:family w:val="auto"/>
    <w:pitch w:val="default"/>
    <w:sig w:usb0="00000000" w:usb1="00000000" w:usb2="00000000" w:usb3="00000000" w:csb0="00000000" w:csb1="00000000"/>
  </w:font>
  <w:font w:name="等线 Light">
    <w:altName w:val="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03" w:rsidRDefault="00BC5E03">
    <w:pPr>
      <w:pStyle w:val="Footer"/>
    </w:pPr>
    <w:r>
      <w:pict>
        <v:shapetype id="_x0000_t202" coordsize="21600,21600" o:spt="202" path="m,l,21600r21600,l21600,xe">
          <v:stroke joinstyle="miter"/>
          <v:path gradientshapeok="t" o:connecttype="rect"/>
        </v:shapetype>
        <v:shape id="_x0000_s1028"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filled="f" stroked="f" strokeweight=".5pt">
          <v:textbox style="mso-fit-shape-to-text:t" inset="0,0,0,0">
            <w:txbxContent>
              <w:p w:rsidR="00BC5E03" w:rsidRDefault="00BC5E03">
                <w:pPr>
                  <w:pStyle w:val="Footer"/>
                  <w:rPr>
                    <w:rFonts w:ascii="Times New Roman" w:hAnsi="Times New Roman" w:cs="Times New Roman"/>
                  </w:rPr>
                </w:pPr>
                <w:r>
                  <w:fldChar w:fldCharType="begin"/>
                </w:r>
                <w:r w:rsidR="00452A9F">
                  <w:instrText xml:space="preserve"> PAGE  \* MERGEFORMAT </w:instrText>
                </w:r>
                <w:r>
                  <w:fldChar w:fldCharType="separate"/>
                </w:r>
                <w:r w:rsidR="00612247">
                  <w:rPr>
                    <w:noProof/>
                  </w:rPr>
                  <w:t>X</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03" w:rsidRDefault="00BC5E03">
    <w:pPr>
      <w:pStyle w:val="Footer"/>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eKIz/AQAABgQAAA4AAABkcnMvZTJvRG9jLnhtbK1TwYrbMBC9F/oP&#10;QvfGTkqW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8+zs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ut4ojP8BAAAGBAAADgAAAAAAAAABACAAAAAfAQAAZHJzL2Uyb0RvYy54&#10;bWxQSwUGAAAAAAYABgBZAQAAkAUAAAAA&#10;" filled="f" stroked="f" strokeweight=".5pt">
          <v:textbox style="mso-fit-shape-to-text:t" inset="0,0,0,0">
            <w:txbxContent>
              <w:p w:rsidR="00BC5E03" w:rsidRDefault="00BC5E03">
                <w:pPr>
                  <w:pStyle w:val="Footer"/>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03" w:rsidRDefault="00BC5E03">
    <w:pPr>
      <w:pStyle w:val="Footer"/>
    </w:pPr>
    <w:r>
      <w:pict>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eT2v+AQAABg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k3k9r/gEAAAYEAAAOAAAAAAAAAAEAIAAAAB8BAABkcnMvZTJvRG9jLnht&#10;bFBLBQYAAAAABgAGAFkBAACPBQAAAAAA&#10;" filled="f" stroked="f" strokeweight=".5pt">
          <v:textbox style="mso-fit-shape-to-text:t" inset="0,0,0,0">
            <w:txbxContent>
              <w:p w:rsidR="00BC5E03" w:rsidRDefault="00BC5E03">
                <w:pPr>
                  <w:pStyle w:val="Footer"/>
                  <w:rPr>
                    <w:rFonts w:ascii="Times New Roman" w:hAnsi="Times New Roman" w:cs="Times New Roman"/>
                  </w:rPr>
                </w:pPr>
                <w:r>
                  <w:fldChar w:fldCharType="begin"/>
                </w:r>
                <w:r w:rsidR="00452A9F">
                  <w:instrText xml:space="preserve"> PAGE  \* MERGEFORMAT </w:instrText>
                </w:r>
                <w:r>
                  <w:fldChar w:fldCharType="separate"/>
                </w:r>
                <w:r w:rsidR="00612247">
                  <w:rPr>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A9F" w:rsidRDefault="00452A9F" w:rsidP="00BC5E03">
      <w:pPr>
        <w:spacing w:after="0" w:line="240" w:lineRule="auto"/>
      </w:pPr>
      <w:r>
        <w:separator/>
      </w:r>
    </w:p>
  </w:footnote>
  <w:footnote w:type="continuationSeparator" w:id="1">
    <w:p w:rsidR="00452A9F" w:rsidRDefault="00452A9F" w:rsidP="00BC5E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spaceForUL/>
    <w:doNotLeaveBackslashAlone/>
    <w:ulTrailSpace/>
    <w:doNotExpandShiftReturn/>
    <w:adjustLineHeightInTable/>
  </w:compat>
  <w:rsids>
    <w:rsidRoot w:val="00BC5E03"/>
    <w:rsid w:val="00452A9F"/>
    <w:rsid w:val="00612247"/>
    <w:rsid w:val="00BC5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E03"/>
    <w:rPr>
      <w:rFonts w:asciiTheme="minorHAnsi" w:eastAsiaTheme="minorEastAsia" w:hAnsiTheme="minorHAnsi" w:cstheme="minorBidi"/>
      <w:lang w:eastAsia="zh-CN"/>
    </w:rPr>
  </w:style>
  <w:style w:type="paragraph" w:styleId="Heading1">
    <w:name w:val="heading 1"/>
    <w:basedOn w:val="Normal"/>
    <w:next w:val="Normal"/>
    <w:qFormat/>
    <w:rsid w:val="00BC5E03"/>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rsid w:val="00BC5E03"/>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unhideWhenUsed/>
    <w:qFormat/>
    <w:rsid w:val="00BC5E03"/>
    <w:pPr>
      <w:spacing w:beforeAutospacing="1" w:afterAutospacing="1"/>
      <w:outlineLvl w:val="2"/>
    </w:pPr>
    <w:rPr>
      <w:rFonts w:ascii="SimSun" w:eastAsia="SimSun" w:hAnsi="SimSun" w:hint="eastAsia"/>
      <w:b/>
      <w:bCs/>
      <w:sz w:val="27"/>
      <w:szCs w:val="27"/>
      <w:lang w:eastAsia="zh-CN"/>
    </w:rPr>
  </w:style>
  <w:style w:type="paragraph" w:styleId="Heading4">
    <w:name w:val="heading 4"/>
    <w:next w:val="Normal"/>
    <w:unhideWhenUsed/>
    <w:qFormat/>
    <w:rsid w:val="00BC5E03"/>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BC5E03"/>
    <w:pPr>
      <w:tabs>
        <w:tab w:val="center" w:pos="4153"/>
        <w:tab w:val="right" w:pos="8306"/>
      </w:tabs>
      <w:snapToGrid w:val="0"/>
    </w:pPr>
    <w:rPr>
      <w:sz w:val="18"/>
      <w:szCs w:val="18"/>
    </w:rPr>
  </w:style>
  <w:style w:type="paragraph" w:styleId="Header">
    <w:name w:val="header"/>
    <w:basedOn w:val="Normal"/>
    <w:qFormat/>
    <w:rsid w:val="00BC5E03"/>
    <w:pPr>
      <w:tabs>
        <w:tab w:val="center" w:pos="4153"/>
        <w:tab w:val="right" w:pos="8306"/>
      </w:tabs>
      <w:snapToGrid w:val="0"/>
    </w:pPr>
    <w:rPr>
      <w:sz w:val="18"/>
      <w:szCs w:val="18"/>
    </w:rPr>
  </w:style>
  <w:style w:type="paragraph" w:styleId="NormalWeb">
    <w:name w:val="Normal (Web)"/>
    <w:qFormat/>
    <w:rsid w:val="00BC5E03"/>
    <w:pPr>
      <w:spacing w:beforeAutospacing="1" w:afterAutospacing="1"/>
    </w:pPr>
    <w:rPr>
      <w:rFonts w:eastAsia="SimSun"/>
      <w:sz w:val="24"/>
      <w:szCs w:val="24"/>
      <w:lang w:eastAsia="zh-CN"/>
    </w:rPr>
  </w:style>
  <w:style w:type="character" w:styleId="Emphasis">
    <w:name w:val="Emphasis"/>
    <w:basedOn w:val="DefaultParagraphFont"/>
    <w:qFormat/>
    <w:rsid w:val="00BC5E03"/>
    <w:rPr>
      <w:i/>
      <w:iCs/>
    </w:rPr>
  </w:style>
  <w:style w:type="character" w:styleId="Hyperlink">
    <w:name w:val="Hyperlink"/>
    <w:basedOn w:val="DefaultParagraphFont"/>
    <w:qFormat/>
    <w:rsid w:val="00BC5E03"/>
    <w:rPr>
      <w:color w:val="0000FF"/>
      <w:u w:val="single"/>
    </w:rPr>
  </w:style>
  <w:style w:type="character" w:styleId="Strong">
    <w:name w:val="Strong"/>
    <w:basedOn w:val="DefaultParagraphFont"/>
    <w:qFormat/>
    <w:rsid w:val="00BC5E03"/>
    <w:rPr>
      <w:b/>
      <w:bCs/>
    </w:rPr>
  </w:style>
  <w:style w:type="paragraph" w:customStyle="1" w:styleId="ListParagraph1">
    <w:name w:val="List Paragraph1"/>
    <w:basedOn w:val="Normal"/>
    <w:uiPriority w:val="99"/>
    <w:unhideWhenUsed/>
    <w:qFormat/>
    <w:rsid w:val="00BC5E03"/>
    <w:pPr>
      <w:ind w:left="720"/>
      <w:contextualSpacing/>
    </w:pPr>
  </w:style>
  <w:style w:type="paragraph" w:customStyle="1" w:styleId="WPSOffice1">
    <w:name w:val="WPSOffice手动目录 1"/>
    <w:qFormat/>
    <w:rsid w:val="00BC5E03"/>
    <w:rPr>
      <w:rFonts w:asciiTheme="minorHAnsi" w:eastAsiaTheme="minorEastAsia" w:hAnsiTheme="minorHAnsi" w:cstheme="minorBidi"/>
      <w:lang w:val="en-GB"/>
    </w:rPr>
  </w:style>
  <w:style w:type="paragraph" w:customStyle="1" w:styleId="WPSOffice2">
    <w:name w:val="WPSOffice手动目录 2"/>
    <w:qFormat/>
    <w:rsid w:val="00BC5E03"/>
    <w:pPr>
      <w:ind w:leftChars="200" w:left="200"/>
    </w:pPr>
    <w:rPr>
      <w:rFonts w:asciiTheme="minorHAnsi" w:eastAsiaTheme="minorEastAsia" w:hAnsiTheme="minorHAnsi" w:cstheme="minorBidi"/>
      <w:lang w:val="en-GB"/>
    </w:rPr>
  </w:style>
  <w:style w:type="paragraph" w:styleId="BalloonText">
    <w:name w:val="Balloon Text"/>
    <w:basedOn w:val="Normal"/>
    <w:link w:val="BalloonTextChar"/>
    <w:rsid w:val="0061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2247"/>
    <w:rPr>
      <w:rFonts w:ascii="Tahoma" w:eastAsiaTheme="minorEastAsi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doi.org/10.1016/j.biopha.2018.12.142" TargetMode="External"/><Relationship Id="rId21" Type="http://schemas.openxmlformats.org/officeDocument/2006/relationships/oleObject" Target="embeddings/oleObject5.bin"/><Relationship Id="rId34" Type="http://schemas.openxmlformats.org/officeDocument/2006/relationships/hyperlink" Target="https://www.mdpi.com/2673-396X/1/2/9" TargetMode="External"/><Relationship Id="rId42" Type="http://schemas.openxmlformats.org/officeDocument/2006/relationships/hyperlink" Target="https://www.researchgate.net/publication/325584549" TargetMode="External"/><Relationship Id="rId47" Type="http://schemas.openxmlformats.org/officeDocument/2006/relationships/hyperlink" Target="https://doi.org/10.1016/j.sxmr.2019.06.004" TargetMode="External"/><Relationship Id="rId50" Type="http://schemas.openxmlformats.org/officeDocument/2006/relationships/hyperlink" Target="https://www.mdpi.com/2077-0383/11/11/3140" TargetMode="External"/><Relationship Id="rId55" Type="http://schemas.openxmlformats.org/officeDocument/2006/relationships/hyperlink" Target="https://www.researchgate.net/publication/377752319" TargetMode="External"/><Relationship Id="rId63" Type="http://schemas.openxmlformats.org/officeDocument/2006/relationships/hyperlink" Target="https://www.nature.com/articles/s41598-023-45344-4" TargetMode="External"/><Relationship Id="rId68" Type="http://schemas.openxmlformats.org/officeDocument/2006/relationships/hyperlink" Target="https://doi.org/10.3389/fphar.2021.735708" TargetMode="External"/><Relationship Id="rId76" Type="http://schemas.openxmlformats.org/officeDocument/2006/relationships/hyperlink" Target="https://doi.org/10.1007/s00204-020-02721-6" TargetMode="External"/><Relationship Id="rId84" Type="http://schemas.openxmlformats.org/officeDocument/2006/relationships/hyperlink" Target="https://doi.org/10.1111/andr.13028" TargetMode="External"/><Relationship Id="rId89" Type="http://schemas.openxmlformats.org/officeDocument/2006/relationships/hyperlink" Target="https://dialnet.unirioja.es/servlet/articulo?codigo=4762193"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80/2314808X.2023.2300560" TargetMode="External"/><Relationship Id="rId92" Type="http://schemas.openxmlformats.org/officeDocument/2006/relationships/hyperlink" Target="https://doi.org/10.4088/JCP.22r14689" TargetMode="Externa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www.mdpi.com/2673-4397/4/2/6" TargetMode="External"/><Relationship Id="rId11" Type="http://schemas.openxmlformats.org/officeDocument/2006/relationships/image" Target="media/image2.png"/><Relationship Id="rId24" Type="http://schemas.openxmlformats.org/officeDocument/2006/relationships/hyperlink" Target="https://urfjournals.org/open-access/hydro-maceration-and-decoction-of-clove-seed-as-an-aphrodisiac-a-structured-literature-review.pdf" TargetMode="External"/><Relationship Id="rId32" Type="http://schemas.openxmlformats.org/officeDocument/2006/relationships/hyperlink" Target="https://www.researchgate.net/publication/389745678" TargetMode="External"/><Relationship Id="rId37" Type="http://schemas.openxmlformats.org/officeDocument/2006/relationships/hyperlink" Target="https://core.ac.uk/download/pdf/234655967.pdf" TargetMode="External"/><Relationship Id="rId40" Type="http://schemas.openxmlformats.org/officeDocument/2006/relationships/hyperlink" Target="https://doi.org/10.3389/fendo.2024.1368079" TargetMode="External"/><Relationship Id="rId45" Type="http://schemas.openxmlformats.org/officeDocument/2006/relationships/hyperlink" Target="https://doi.org/10.1016/j.metop.2023.1000191" TargetMode="External"/><Relationship Id="rId53" Type="http://schemas.openxmlformats.org/officeDocument/2006/relationships/hyperlink" Target="https://doi.org/10.12788/acp.0016" TargetMode="External"/><Relationship Id="rId58" Type="http://schemas.openxmlformats.org/officeDocument/2006/relationships/hyperlink" Target="https://doi.org/10.1136/postgradmedj-2017-135045" TargetMode="External"/><Relationship Id="rId66" Type="http://schemas.openxmlformats.org/officeDocument/2006/relationships/hyperlink" Target="https://doi.org/10.1016/j.ejmcr.2024.100047" TargetMode="External"/><Relationship Id="rId74" Type="http://schemas.openxmlformats.org/officeDocument/2006/relationships/hyperlink" Target="https://www.mdpi.com/2227-9059/9/4/432" TargetMode="External"/><Relationship Id="rId79" Type="http://schemas.openxmlformats.org/officeDocument/2006/relationships/hyperlink" Target="https://link.springer.com/article/10.1007/s43032-023-01223-x" TargetMode="External"/><Relationship Id="rId87" Type="http://schemas.openxmlformats.org/officeDocument/2006/relationships/hyperlink" Target="https://doi.org/10.1210/jc.2020-04588" TargetMode="External"/><Relationship Id="rId5" Type="http://schemas.openxmlformats.org/officeDocument/2006/relationships/webSettings" Target="webSettings.xml"/><Relationship Id="rId61" Type="http://schemas.openxmlformats.org/officeDocument/2006/relationships/hyperlink" Target="https://doi.org/10.1016/j.ucl.2021.12.005" TargetMode="External"/><Relationship Id="rId82" Type="http://schemas.openxmlformats.org/officeDocument/2006/relationships/hyperlink" Target="https://www.frontiersin.org/articles/10.3389/fendo.2023.1211720/full" TargetMode="External"/><Relationship Id="rId90" Type="http://schemas.openxmlformats.org/officeDocument/2006/relationships/hyperlink" Target="https://jurnalfkip.unram.ac.id/index.php/JBT/article/view/7975" TargetMode="External"/><Relationship Id="rId95" Type="http://schemas.openxmlformats.org/officeDocument/2006/relationships/hyperlink" Target="https://link.springer.com/article/10.1186/s13643-024-02525-0" TargetMode="External"/><Relationship Id="rId19" Type="http://schemas.openxmlformats.org/officeDocument/2006/relationships/oleObject" Target="embeddings/oleObject4.bin"/><Relationship Id="rId14" Type="http://schemas.openxmlformats.org/officeDocument/2006/relationships/image" Target="media/image4.emf"/><Relationship Id="rId22" Type="http://schemas.openxmlformats.org/officeDocument/2006/relationships/hyperlink" Target="https://www.nature.com/articles/s41598-021-94854-6" TargetMode="External"/><Relationship Id="rId27" Type="http://schemas.openxmlformats.org/officeDocument/2006/relationships/hyperlink" Target="https://www.academia.edu/download/101815394/jbcpp-2013-006120230504-1-9xts55.pdf" TargetMode="External"/><Relationship Id="rId30" Type="http://schemas.openxmlformats.org/officeDocument/2006/relationships/hyperlink" Target="https://www.tandfonline.com/doi/abs/10.1080/13510002.2023.2225675" TargetMode="External"/><Relationship Id="rId35" Type="http://schemas.openxmlformats.org/officeDocument/2006/relationships/hyperlink" Target="https://doi.org/10.1007/s11897-023-00632-y" TargetMode="External"/><Relationship Id="rId43" Type="http://schemas.openxmlformats.org/officeDocument/2006/relationships/hyperlink" Target="https://www.mdpi.com/2218-273X/10/3/352" TargetMode="External"/><Relationship Id="rId48" Type="http://schemas.openxmlformats.org/officeDocument/2006/relationships/hyperlink" Target="https://doi.org/10.1152/ajpcell.00198.2004" TargetMode="External"/><Relationship Id="rId56" Type="http://schemas.openxmlformats.org/officeDocument/2006/relationships/hyperlink" Target="https://doi.org/10.1055/s-0033-1363994" TargetMode="External"/><Relationship Id="rId64" Type="http://schemas.openxmlformats.org/officeDocument/2006/relationships/hyperlink" Target="https://www.njap.org.ng/index.php/njap/article/view/560" TargetMode="External"/><Relationship Id="rId69" Type="http://schemas.openxmlformats.org/officeDocument/2006/relationships/hyperlink" Target="https://doi.org/10.1093/sxmrev/qeaf025" TargetMode="External"/><Relationship Id="rId77" Type="http://schemas.openxmlformats.org/officeDocument/2006/relationships/hyperlink" Target="https://www.researchsquare.com/article/rs-6075962/latest" TargetMode="External"/><Relationship Id="rId8" Type="http://schemas.openxmlformats.org/officeDocument/2006/relationships/footer" Target="footer1.xml"/><Relationship Id="rId51" Type="http://schemas.openxmlformats.org/officeDocument/2006/relationships/hyperlink" Target="https://www.mdpi.com/2073-4409/14/2/120" TargetMode="External"/><Relationship Id="rId72" Type="http://schemas.openxmlformats.org/officeDocument/2006/relationships/hyperlink" Target="https://doi.org/10.1007/s00210-024-03086-8" TargetMode="External"/><Relationship Id="rId80" Type="http://schemas.openxmlformats.org/officeDocument/2006/relationships/hyperlink" Target="https://doi.org/10.1186/s12906-017-2008-5" TargetMode="External"/><Relationship Id="rId85" Type="http://schemas.openxmlformats.org/officeDocument/2006/relationships/hyperlink" Target="https://doi.org/10.1080/17460441.2025.2482065" TargetMode="External"/><Relationship Id="rId93" Type="http://schemas.openxmlformats.org/officeDocument/2006/relationships/hyperlink" Target="https://link.springer.com/article/10.1186/s12610-024-00245-y"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3.bin"/><Relationship Id="rId25" Type="http://schemas.openxmlformats.org/officeDocument/2006/relationships/hyperlink" Target="https://sciendo.com/pdf/10.2478/intox-2021-0001" TargetMode="External"/><Relationship Id="rId33" Type="http://schemas.openxmlformats.org/officeDocument/2006/relationships/hyperlink" Target="https://www.mdpi.com/2223-7747/14/3/400" TargetMode="External"/><Relationship Id="rId38" Type="http://schemas.openxmlformats.org/officeDocument/2006/relationships/hyperlink" Target="https://www.frontiersin.org/articles/10.3389/fendo.2024.1461642/full" TargetMode="External"/><Relationship Id="rId46" Type="http://schemas.openxmlformats.org/officeDocument/2006/relationships/hyperlink" Target="https://www.benthamdirect.com/content/journals/cdth/10.2174/0115748855260802231019072509" TargetMode="External"/><Relationship Id="rId59" Type="http://schemas.openxmlformats.org/officeDocument/2006/relationships/hyperlink" Target="https://www.academia.edu/download/109912536/19.pdf" TargetMode="External"/><Relationship Id="rId67" Type="http://schemas.openxmlformats.org/officeDocument/2006/relationships/hyperlink" Target="https://www.sciencedirect.com/science/article/pii/S0378512224001506" TargetMode="External"/><Relationship Id="rId20" Type="http://schemas.openxmlformats.org/officeDocument/2006/relationships/image" Target="media/image7.emf"/><Relationship Id="rId41" Type="http://schemas.openxmlformats.org/officeDocument/2006/relationships/hyperlink" Target="https://doi.org/10.1016/j.phyplu.2024.100384" TargetMode="External"/><Relationship Id="rId54" Type="http://schemas.openxmlformats.org/officeDocument/2006/relationships/hyperlink" Target="https://doi.org/10.1016/S0022-5347(01)66519-4" TargetMode="External"/><Relationship Id="rId62" Type="http://schemas.openxmlformats.org/officeDocument/2006/relationships/hyperlink" Target="https://www.researchgate.net/publication/383455071" TargetMode="External"/><Relationship Id="rId70" Type="http://schemas.openxmlformats.org/officeDocument/2006/relationships/hyperlink" Target="https://doi.org/10.1186/s12894-025-01727-5" TargetMode="External"/><Relationship Id="rId75" Type="http://schemas.openxmlformats.org/officeDocument/2006/relationships/hyperlink" Target="https://papers.ssrn.com/sol3/papers.cfm?abstract_id=5270490" TargetMode="External"/><Relationship Id="rId83" Type="http://schemas.openxmlformats.org/officeDocument/2006/relationships/hyperlink" Target="https://etflin.com/article/183" TargetMode="External"/><Relationship Id="rId88" Type="http://schemas.openxmlformats.org/officeDocument/2006/relationships/hyperlink" Target="https://www.frontiersin.org/articles/10.3389/fpsyt.2025.1584306/full" TargetMode="External"/><Relationship Id="rId91" Type="http://schemas.openxmlformats.org/officeDocument/2006/relationships/hyperlink" Target="https://onlinelibrary.wiley.com/doi/abs/10.1111/and.13606" TargetMode="Externa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www.researchgate.net/publication/325584549" TargetMode="External"/><Relationship Id="rId28" Type="http://schemas.openxmlformats.org/officeDocument/2006/relationships/hyperlink" Target="https://oss.jomh.org/files/article/20250530-552/pdf/JOMH2025020101.pdf" TargetMode="External"/><Relationship Id="rId36" Type="http://schemas.openxmlformats.org/officeDocument/2006/relationships/hyperlink" Target="https://doi.org/10.1016/j.biopha.2019.109898" TargetMode="External"/><Relationship Id="rId49" Type="http://schemas.openxmlformats.org/officeDocument/2006/relationships/hyperlink" Target="https://journals.ekb.eg/article_329525.html" TargetMode="External"/><Relationship Id="rId57" Type="http://schemas.openxmlformats.org/officeDocument/2006/relationships/hyperlink" Target="https://doi.org/10.1186/s12610-020-00118-0" TargetMode="External"/><Relationship Id="rId10" Type="http://schemas.openxmlformats.org/officeDocument/2006/relationships/image" Target="media/image1.png"/><Relationship Id="rId31" Type="http://schemas.openxmlformats.org/officeDocument/2006/relationships/hyperlink" Target="https://www.mdpi.com/2077-0383/14/7/2386" TargetMode="External"/><Relationship Id="rId44" Type="http://schemas.openxmlformats.org/officeDocument/2006/relationships/hyperlink" Target="https://doi.org/10.3389/fphar.2025.1567863" TargetMode="External"/><Relationship Id="rId52" Type="http://schemas.openxmlformats.org/officeDocument/2006/relationships/hyperlink" Target="https://doi.org/10.1016/j.urology.2013.05.049" TargetMode="External"/><Relationship Id="rId60" Type="http://schemas.openxmlformats.org/officeDocument/2006/relationships/hyperlink" Target="https://doi.org/10.1038/s41598-024-78182-z" TargetMode="External"/><Relationship Id="rId65" Type="http://schemas.openxmlformats.org/officeDocument/2006/relationships/hyperlink" Target="https://www.frontiersin.org/articles/10.3389/fphar.2021.793200/full" TargetMode="External"/><Relationship Id="rId73" Type="http://schemas.openxmlformats.org/officeDocument/2006/relationships/hyperlink" Target="https://www.mdpi.com/2077-0383/10/12/2551" TargetMode="External"/><Relationship Id="rId78" Type="http://schemas.openxmlformats.org/officeDocument/2006/relationships/hyperlink" Target="https://journals.lww.com/ijoru/fulltext/2024/02010/etiology,_surgical_anatomy,_and_pathophysiology_of.2.aspx" TargetMode="External"/><Relationship Id="rId81" Type="http://schemas.openxmlformats.org/officeDocument/2006/relationships/hyperlink" Target="https://www.mdpi.com/1422-0067/23/24/15988" TargetMode="External"/><Relationship Id="rId86" Type="http://schemas.openxmlformats.org/officeDocument/2006/relationships/hyperlink" Target="https://doi.org/10.2147/DDDT.S515403" TargetMode="External"/><Relationship Id="rId94" Type="http://schemas.openxmlformats.org/officeDocument/2006/relationships/hyperlink" Target="https://www.mdpi.com/1422-0067/26/7/3073"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oleObject" Target="embeddings/oleObject1.bin"/><Relationship Id="rId18" Type="http://schemas.openxmlformats.org/officeDocument/2006/relationships/image" Target="media/image6.emf"/><Relationship Id="rId39" Type="http://schemas.openxmlformats.org/officeDocument/2006/relationships/hyperlink" Target="https://dergipark.org.tr/en/download/article-file/9563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14426</Words>
  <Characters>82233</Characters>
  <Application>Microsoft Office Word</Application>
  <DocSecurity>0</DocSecurity>
  <Lines>685</Lines>
  <Paragraphs>192</Paragraphs>
  <ScaleCrop>false</ScaleCrop>
  <Company/>
  <LinksUpToDate>false</LinksUpToDate>
  <CharactersWithSpaces>96467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8</cp:revision>
  <dcterms:created xsi:type="dcterms:W3CDTF">2025-07-13T02:40:00Z</dcterms:created>
  <dcterms:modified xsi:type="dcterms:W3CDTF">2025-07-14T10:29:00Z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