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B86" w:rsidRDefault="00410B39" w:rsidP="00556B86">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556B86" w:rsidRPr="00D648CA" w:rsidRDefault="00556B86" w:rsidP="00556B86">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556B86" w:rsidRPr="00556B86" w:rsidRDefault="00556B86" w:rsidP="00556B86">
      <w:pPr>
        <w:spacing w:after="0" w:line="240" w:lineRule="auto"/>
        <w:rPr>
          <w:rFonts w:ascii="Times New Roman" w:hAnsi="Times New Roman" w:cs="Times New Roman"/>
          <w:b/>
          <w:bCs/>
          <w:sz w:val="28"/>
          <w:szCs w:val="28"/>
        </w:rPr>
      </w:pPr>
      <w:r w:rsidRPr="00556B86">
        <w:rPr>
          <w:rFonts w:ascii="Times New Roman" w:hAnsi="Times New Roman" w:cs="Times New Roman"/>
          <w:b/>
          <w:bCs/>
          <w:sz w:val="28"/>
          <w:szCs w:val="28"/>
        </w:rPr>
        <w:t>OJO MUBASHIROT MOTUNRAYO</w:t>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HND/23/SLT/FT/0227</w:t>
      </w:r>
    </w:p>
    <w:p w:rsidR="00556B86" w:rsidRPr="00556B86" w:rsidRDefault="00556B86" w:rsidP="00556B8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ADEBAYO TAOFEEKAT 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HND/23/SLT/FT/0673</w:t>
      </w:r>
    </w:p>
    <w:p w:rsidR="00556B86" w:rsidRPr="00556B86" w:rsidRDefault="00556B86" w:rsidP="00556B86">
      <w:pPr>
        <w:spacing w:after="0" w:line="240" w:lineRule="auto"/>
        <w:rPr>
          <w:rFonts w:ascii="Times New Roman" w:hAnsi="Times New Roman" w:cs="Times New Roman"/>
          <w:b/>
          <w:bCs/>
          <w:sz w:val="28"/>
          <w:szCs w:val="28"/>
        </w:rPr>
      </w:pPr>
      <w:r w:rsidRPr="00556B86">
        <w:rPr>
          <w:rFonts w:ascii="Times New Roman" w:hAnsi="Times New Roman" w:cs="Times New Roman"/>
          <w:b/>
          <w:bCs/>
          <w:sz w:val="28"/>
          <w:szCs w:val="28"/>
        </w:rPr>
        <w:t xml:space="preserve">IDRIS TAYE HASSANAT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HND/23/SLT/FT/0324</w:t>
      </w:r>
    </w:p>
    <w:p w:rsidR="00556B86" w:rsidRPr="00556B86" w:rsidRDefault="00556B86" w:rsidP="00556B86">
      <w:pPr>
        <w:spacing w:after="0" w:line="240" w:lineRule="auto"/>
        <w:rPr>
          <w:rFonts w:ascii="Times New Roman" w:hAnsi="Times New Roman" w:cs="Times New Roman"/>
          <w:b/>
          <w:bCs/>
          <w:sz w:val="28"/>
          <w:szCs w:val="28"/>
        </w:rPr>
      </w:pPr>
      <w:r w:rsidRPr="00556B86">
        <w:rPr>
          <w:rFonts w:ascii="Times New Roman" w:hAnsi="Times New Roman" w:cs="Times New Roman"/>
          <w:b/>
          <w:bCs/>
          <w:sz w:val="28"/>
          <w:szCs w:val="28"/>
        </w:rPr>
        <w:t xml:space="preserve">AKOLADE BUKOLA OLAJUMOKE </w:t>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HND/23/SLT/FT/0510</w:t>
      </w:r>
    </w:p>
    <w:p w:rsidR="00556B86" w:rsidRPr="00556B86" w:rsidRDefault="00556B86" w:rsidP="00556B8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ADEDIRAN ZAINAB ADENIKE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HND/23/SLT/FT/1060</w:t>
      </w:r>
    </w:p>
    <w:p w:rsidR="00556B86" w:rsidRPr="00556B86" w:rsidRDefault="00556B86" w:rsidP="00556B86">
      <w:pPr>
        <w:spacing w:after="0" w:line="240" w:lineRule="auto"/>
        <w:rPr>
          <w:rFonts w:ascii="Times New Roman" w:hAnsi="Times New Roman" w:cs="Times New Roman"/>
          <w:b/>
          <w:bCs/>
          <w:sz w:val="28"/>
          <w:szCs w:val="28"/>
        </w:rPr>
      </w:pPr>
      <w:r w:rsidRPr="00556B86">
        <w:rPr>
          <w:rFonts w:ascii="Times New Roman" w:hAnsi="Times New Roman" w:cs="Times New Roman"/>
          <w:b/>
          <w:bCs/>
          <w:sz w:val="28"/>
          <w:szCs w:val="28"/>
        </w:rPr>
        <w:t xml:space="preserve">BADMUS BARAKAT FEYISHARA     </w:t>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HND/23/SLT/FT/0810</w:t>
      </w:r>
    </w:p>
    <w:p w:rsidR="00556B86" w:rsidRPr="00556B86" w:rsidRDefault="00556B86" w:rsidP="00556B86">
      <w:pPr>
        <w:spacing w:after="0" w:line="240" w:lineRule="auto"/>
        <w:rPr>
          <w:rFonts w:ascii="Times New Roman" w:hAnsi="Times New Roman" w:cs="Times New Roman"/>
          <w:b/>
          <w:bCs/>
          <w:sz w:val="28"/>
          <w:szCs w:val="28"/>
        </w:rPr>
      </w:pPr>
      <w:r w:rsidRPr="00556B86">
        <w:rPr>
          <w:rFonts w:ascii="Times New Roman" w:hAnsi="Times New Roman" w:cs="Times New Roman"/>
          <w:b/>
          <w:bCs/>
          <w:sz w:val="28"/>
          <w:szCs w:val="28"/>
        </w:rPr>
        <w:t xml:space="preserve">ABUBAKAR MARAIM AJIBIKE   </w:t>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HND/23/SLT/FT/0202</w:t>
      </w:r>
    </w:p>
    <w:p w:rsidR="00556B86" w:rsidRPr="00556B86" w:rsidRDefault="00556B86" w:rsidP="00556B86">
      <w:pPr>
        <w:spacing w:after="0" w:line="240" w:lineRule="auto"/>
        <w:rPr>
          <w:rFonts w:ascii="Times New Roman" w:hAnsi="Times New Roman" w:cs="Times New Roman"/>
          <w:b/>
          <w:bCs/>
          <w:sz w:val="28"/>
          <w:szCs w:val="28"/>
        </w:rPr>
      </w:pPr>
      <w:r w:rsidRPr="00556B86">
        <w:rPr>
          <w:rFonts w:ascii="Times New Roman" w:hAnsi="Times New Roman" w:cs="Times New Roman"/>
          <w:b/>
          <w:bCs/>
          <w:sz w:val="28"/>
          <w:szCs w:val="28"/>
        </w:rPr>
        <w:t xml:space="preserve">ABDULLAHI TAIWO FATIMOH     </w:t>
      </w:r>
      <w:r>
        <w:rPr>
          <w:rFonts w:ascii="Times New Roman" w:hAnsi="Times New Roman" w:cs="Times New Roman"/>
          <w:b/>
          <w:bCs/>
          <w:sz w:val="28"/>
          <w:szCs w:val="28"/>
        </w:rPr>
        <w:tab/>
      </w:r>
      <w:r>
        <w:rPr>
          <w:rFonts w:ascii="Times New Roman" w:hAnsi="Times New Roman" w:cs="Times New Roman"/>
          <w:b/>
          <w:bCs/>
          <w:sz w:val="28"/>
          <w:szCs w:val="28"/>
        </w:rPr>
        <w:tab/>
      </w:r>
      <w:r w:rsidRPr="00556B86">
        <w:rPr>
          <w:rFonts w:ascii="Times New Roman" w:hAnsi="Times New Roman" w:cs="Times New Roman"/>
          <w:b/>
          <w:bCs/>
          <w:sz w:val="28"/>
          <w:szCs w:val="28"/>
        </w:rPr>
        <w:t>HND/23/SLT/FT/0277</w:t>
      </w:r>
    </w:p>
    <w:p w:rsidR="00556B86" w:rsidRPr="00556B86" w:rsidRDefault="00556B86" w:rsidP="00556B86">
      <w:pPr>
        <w:spacing w:after="0" w:line="240" w:lineRule="auto"/>
        <w:ind w:left="5040" w:firstLine="720"/>
        <w:rPr>
          <w:rFonts w:ascii="Times New Roman" w:hAnsi="Times New Roman" w:cs="Times New Roman"/>
          <w:b/>
          <w:bCs/>
          <w:sz w:val="28"/>
          <w:szCs w:val="28"/>
        </w:rPr>
      </w:pPr>
      <w:r w:rsidRPr="00556B86">
        <w:rPr>
          <w:rFonts w:ascii="Times New Roman" w:hAnsi="Times New Roman" w:cs="Times New Roman"/>
          <w:b/>
          <w:bCs/>
          <w:sz w:val="28"/>
          <w:szCs w:val="28"/>
        </w:rPr>
        <w:t>HND/23/SLT/FT/0433</w:t>
      </w:r>
    </w:p>
    <w:p w:rsidR="00556B86" w:rsidRDefault="00556B86" w:rsidP="00556B86">
      <w:pPr>
        <w:spacing w:after="0" w:line="240" w:lineRule="auto"/>
        <w:ind w:left="5760"/>
        <w:rPr>
          <w:rFonts w:ascii="Times New Roman" w:hAnsi="Times New Roman" w:cs="Times New Roman"/>
          <w:b/>
          <w:bCs/>
          <w:sz w:val="28"/>
          <w:szCs w:val="28"/>
        </w:rPr>
      </w:pPr>
      <w:r w:rsidRPr="00556B86">
        <w:rPr>
          <w:rFonts w:ascii="Times New Roman" w:hAnsi="Times New Roman" w:cs="Times New Roman"/>
          <w:b/>
          <w:bCs/>
          <w:sz w:val="28"/>
          <w:szCs w:val="28"/>
        </w:rPr>
        <w:t>HND/23/SLT/FT/0513</w:t>
      </w:r>
    </w:p>
    <w:p w:rsidR="00556B86" w:rsidRPr="00D648CA" w:rsidRDefault="00556B86" w:rsidP="00556B86">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556B86" w:rsidRPr="00D648CA" w:rsidRDefault="00556B86" w:rsidP="00556B86">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556B86" w:rsidRDefault="00556B86" w:rsidP="00556B86">
      <w:pPr>
        <w:pStyle w:val="NormalWeb"/>
        <w:spacing w:after="150" w:afterAutospacing="0" w:line="21" w:lineRule="atLeast"/>
        <w:jc w:val="center"/>
        <w:rPr>
          <w:b/>
          <w:sz w:val="28"/>
          <w:szCs w:val="28"/>
        </w:rPr>
      </w:pPr>
      <w:r w:rsidRPr="00D648CA">
        <w:rPr>
          <w:b/>
          <w:sz w:val="28"/>
          <w:szCs w:val="28"/>
        </w:rPr>
        <w:t>KWARA STATE POLYTECHNIC ILORIN</w:t>
      </w:r>
    </w:p>
    <w:p w:rsidR="00556B86" w:rsidRPr="00D648CA" w:rsidRDefault="00556B86" w:rsidP="00556B86">
      <w:pPr>
        <w:pStyle w:val="NormalWeb"/>
        <w:spacing w:after="150" w:afterAutospacing="0" w:line="21" w:lineRule="atLeast"/>
        <w:ind w:left="6480" w:firstLine="720"/>
        <w:jc w:val="center"/>
        <w:rPr>
          <w:b/>
          <w:sz w:val="28"/>
          <w:szCs w:val="28"/>
        </w:rPr>
      </w:pPr>
      <w:r>
        <w:rPr>
          <w:b/>
          <w:sz w:val="28"/>
          <w:szCs w:val="28"/>
        </w:rPr>
        <w:t>JULY, 2025</w:t>
      </w:r>
    </w:p>
    <w:p w:rsidR="00556B86" w:rsidRPr="00D648CA" w:rsidRDefault="00556B86" w:rsidP="00556B86">
      <w:pPr>
        <w:pStyle w:val="NormalWeb"/>
        <w:spacing w:after="150" w:afterAutospacing="0" w:line="21" w:lineRule="atLeast"/>
        <w:jc w:val="center"/>
        <w:rPr>
          <w:sz w:val="26"/>
          <w:szCs w:val="26"/>
        </w:rPr>
      </w:pPr>
      <w:r w:rsidRPr="00D648CA">
        <w:rPr>
          <w:rFonts w:eastAsia="-webkit-standard"/>
          <w:sz w:val="28"/>
          <w:szCs w:val="28"/>
        </w:rPr>
        <w:t> </w:t>
      </w:r>
    </w:p>
    <w:p w:rsidR="00556B86" w:rsidRPr="00D648CA" w:rsidRDefault="00556B86" w:rsidP="00556B86">
      <w:pPr>
        <w:spacing w:after="0" w:line="480" w:lineRule="auto"/>
        <w:jc w:val="center"/>
        <w:rPr>
          <w:rFonts w:ascii="Times New Roman" w:hAnsi="Times New Roman" w:cs="Times New Roman"/>
          <w:b/>
          <w:bCs/>
          <w:sz w:val="26"/>
          <w:szCs w:val="26"/>
        </w:rPr>
      </w:pPr>
    </w:p>
    <w:p w:rsidR="00556B86" w:rsidRDefault="00556B86" w:rsidP="00556B86">
      <w:pPr>
        <w:spacing w:after="0" w:line="480" w:lineRule="auto"/>
        <w:jc w:val="center"/>
        <w:rPr>
          <w:rFonts w:ascii="Times New Roman" w:hAnsi="Times New Roman" w:cs="Times New Roman"/>
          <w:b/>
          <w:bCs/>
          <w:sz w:val="28"/>
          <w:szCs w:val="28"/>
        </w:rPr>
      </w:pPr>
    </w:p>
    <w:p w:rsidR="00556B86" w:rsidRPr="00D648CA" w:rsidRDefault="00556B86" w:rsidP="00556B86">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556B86" w:rsidRPr="00D648CA" w:rsidRDefault="00556B86" w:rsidP="00556B86">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GROUP 3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480" w:lineRule="auto"/>
        <w:jc w:val="center"/>
        <w:rPr>
          <w:rFonts w:ascii="Times New Roman" w:hAnsi="Times New Roman" w:cs="Times New Roman"/>
          <w:b/>
          <w:bCs/>
          <w:sz w:val="28"/>
          <w:szCs w:val="28"/>
        </w:rPr>
      </w:pPr>
    </w:p>
    <w:p w:rsidR="00556B86" w:rsidRPr="00F6151A" w:rsidRDefault="00556B86" w:rsidP="00556B86">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556B86" w:rsidRPr="00F6151A" w:rsidRDefault="00556B86" w:rsidP="00556B86">
      <w:pPr>
        <w:spacing w:after="0" w:line="480" w:lineRule="auto"/>
        <w:jc w:val="both"/>
        <w:rPr>
          <w:rFonts w:ascii="Times New Roman" w:hAnsi="Times New Roman" w:cs="Times New Roman"/>
          <w:b/>
          <w:color w:val="000000" w:themeColor="text1"/>
          <w:sz w:val="28"/>
          <w:szCs w:val="28"/>
        </w:rPr>
      </w:pPr>
      <w:r w:rsidRPr="009B0457">
        <w:rPr>
          <w:rFonts w:ascii="Times New Roman" w:hAnsi="Times New Roman" w:cs="Times New Roman"/>
          <w:color w:val="000000" w:themeColor="text1"/>
          <w:sz w:val="28"/>
          <w:szCs w:val="28"/>
        </w:rPr>
        <w:t xml:space="preserve">This project work is dedicated to Almighty God who has being there for us throughout the completion of this </w:t>
      </w:r>
      <w:proofErr w:type="spellStart"/>
      <w:r w:rsidRPr="009B0457">
        <w:rPr>
          <w:rFonts w:ascii="Times New Roman" w:hAnsi="Times New Roman" w:cs="Times New Roman"/>
          <w:color w:val="000000" w:themeColor="text1"/>
          <w:sz w:val="28"/>
          <w:szCs w:val="28"/>
        </w:rPr>
        <w:t>programme</w:t>
      </w:r>
      <w:proofErr w:type="spellEnd"/>
      <w:r w:rsidRPr="009B0457">
        <w:rPr>
          <w:rFonts w:ascii="Times New Roman" w:hAnsi="Times New Roman" w:cs="Times New Roman"/>
          <w:color w:val="000000" w:themeColor="text1"/>
          <w:sz w:val="28"/>
          <w:szCs w:val="28"/>
        </w:rPr>
        <w:t xml:space="preserve"> and also to our parent for their contribution morally and financially to meet our academic pursuit and educational achievement may you live long to reap the good fruit of your </w:t>
      </w:r>
      <w:proofErr w:type="spellStart"/>
      <w:r w:rsidRPr="009B0457">
        <w:rPr>
          <w:rFonts w:ascii="Times New Roman" w:hAnsi="Times New Roman" w:cs="Times New Roman"/>
          <w:color w:val="000000" w:themeColor="text1"/>
          <w:sz w:val="28"/>
          <w:szCs w:val="28"/>
        </w:rPr>
        <w:t>labour</w:t>
      </w:r>
      <w:proofErr w:type="spellEnd"/>
      <w:r w:rsidRPr="009B0457">
        <w:rPr>
          <w:rFonts w:ascii="Times New Roman" w:hAnsi="Times New Roman" w:cs="Times New Roman"/>
          <w:color w:val="000000" w:themeColor="text1"/>
          <w:sz w:val="28"/>
          <w:szCs w:val="28"/>
        </w:rPr>
        <w:t> (Amin).</w:t>
      </w:r>
    </w:p>
    <w:p w:rsidR="00556B86" w:rsidRPr="00F6151A" w:rsidRDefault="00556B86" w:rsidP="00556B86">
      <w:pPr>
        <w:spacing w:after="0" w:line="480" w:lineRule="auto"/>
        <w:rPr>
          <w:rFonts w:ascii="Times New Roman" w:hAnsi="Times New Roman" w:cs="Times New Roman"/>
          <w:b/>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556B86" w:rsidRDefault="00556B86" w:rsidP="00556B86">
      <w:pPr>
        <w:spacing w:line="480" w:lineRule="auto"/>
        <w:jc w:val="both"/>
        <w:rPr>
          <w:rFonts w:ascii="Times New Roman" w:hAnsi="Times New Roman" w:cs="Times New Roman"/>
          <w:color w:val="000000" w:themeColor="text1"/>
          <w:sz w:val="28"/>
          <w:szCs w:val="28"/>
        </w:rPr>
      </w:pPr>
      <w:r w:rsidRPr="00300B10">
        <w:rPr>
          <w:rFonts w:ascii="Times New Roman" w:hAnsi="Times New Roman" w:cs="Times New Roman"/>
          <w:color w:val="000000" w:themeColor="text1"/>
          <w:sz w:val="28"/>
          <w:szCs w:val="28"/>
        </w:rPr>
        <w:t>With deep gratitude, we acknowledge everyone who contributed to the successful co</w:t>
      </w:r>
      <w:r>
        <w:rPr>
          <w:rFonts w:ascii="Times New Roman" w:hAnsi="Times New Roman" w:cs="Times New Roman"/>
          <w:color w:val="000000" w:themeColor="text1"/>
          <w:sz w:val="28"/>
          <w:szCs w:val="28"/>
        </w:rPr>
        <w:t xml:space="preserve">mpletion of this group project. </w:t>
      </w:r>
      <w:r w:rsidRPr="00300B10">
        <w:rPr>
          <w:rFonts w:ascii="Times New Roman" w:hAnsi="Times New Roman" w:cs="Times New Roman"/>
          <w:color w:val="000000" w:themeColor="text1"/>
          <w:sz w:val="28"/>
          <w:szCs w:val="28"/>
        </w:rPr>
        <w:t>We extend our heartfelt a</w:t>
      </w:r>
      <w:r>
        <w:rPr>
          <w:rFonts w:ascii="Times New Roman" w:hAnsi="Times New Roman" w:cs="Times New Roman"/>
          <w:color w:val="000000" w:themeColor="text1"/>
          <w:sz w:val="28"/>
          <w:szCs w:val="28"/>
        </w:rPr>
        <w:t xml:space="preserve">ppreciation to our supervisor, </w:t>
      </w:r>
      <w:proofErr w:type="spellStart"/>
      <w:r>
        <w:rPr>
          <w:rFonts w:ascii="Times New Roman" w:hAnsi="Times New Roman" w:cs="Times New Roman"/>
          <w:color w:val="000000" w:themeColor="text1"/>
          <w:sz w:val="28"/>
          <w:szCs w:val="28"/>
        </w:rPr>
        <w:t>Mrs</w:t>
      </w:r>
      <w:proofErr w:type="spellEnd"/>
      <w:r>
        <w:rPr>
          <w:rFonts w:ascii="Times New Roman" w:hAnsi="Times New Roman" w:cs="Times New Roman"/>
          <w:color w:val="000000" w:themeColor="text1"/>
          <w:sz w:val="28"/>
          <w:szCs w:val="28"/>
        </w:rPr>
        <w:t xml:space="preserve"> Ahmed T.</w:t>
      </w:r>
      <w:r w:rsidRPr="00300B10">
        <w:rPr>
          <w:rFonts w:ascii="Times New Roman" w:hAnsi="Times New Roman" w:cs="Times New Roman"/>
          <w:color w:val="000000" w:themeColor="text1"/>
          <w:sz w:val="28"/>
          <w:szCs w:val="28"/>
        </w:rPr>
        <w:t>, for her invaluable guidance, patience, and support throughout the duration of this work. Your mentorship has be</w:t>
      </w:r>
      <w:r>
        <w:rPr>
          <w:rFonts w:ascii="Times New Roman" w:hAnsi="Times New Roman" w:cs="Times New Roman"/>
          <w:color w:val="000000" w:themeColor="text1"/>
          <w:sz w:val="28"/>
          <w:szCs w:val="28"/>
        </w:rPr>
        <w:t xml:space="preserve">en instrumental to our success. </w:t>
      </w:r>
      <w:r w:rsidRPr="00300B10">
        <w:rPr>
          <w:rFonts w:ascii="Times New Roman" w:hAnsi="Times New Roman" w:cs="Times New Roman"/>
          <w:color w:val="000000" w:themeColor="text1"/>
          <w:sz w:val="28"/>
          <w:szCs w:val="28"/>
        </w:rPr>
        <w:t>To our group members thank you for your dedication, cooperation, and resilience. Each person played a vital role, and together we made this project a reality</w:t>
      </w:r>
    </w:p>
    <w:p w:rsidR="00556B86" w:rsidRDefault="00556B86" w:rsidP="00556B86">
      <w:pPr>
        <w:spacing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556B86" w:rsidRPr="00556B86" w:rsidRDefault="00556B86" w:rsidP="00556B86">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556B86" w:rsidRPr="00556B86" w:rsidRDefault="00556B86">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48" w:history="1">
            <w:r w:rsidR="00556B86" w:rsidRPr="00556B86">
              <w:rPr>
                <w:rStyle w:val="Hyperlink"/>
                <w:rFonts w:ascii="Times New Roman" w:hAnsi="Times New Roman" w:cs="Times New Roman"/>
                <w:b/>
                <w:noProof/>
                <w:sz w:val="28"/>
                <w:szCs w:val="28"/>
              </w:rPr>
              <w:t>1.0 INTRODUCTION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49" w:history="1">
            <w:r w:rsidR="00556B86" w:rsidRPr="00556B86">
              <w:rPr>
                <w:rStyle w:val="Hyperlink"/>
                <w:rFonts w:ascii="Times New Roman" w:hAnsi="Times New Roman" w:cs="Times New Roman"/>
                <w:b/>
                <w:noProof/>
                <w:sz w:val="28"/>
                <w:szCs w:val="28"/>
              </w:rPr>
              <w:t>1.1 Literature Review</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4</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0" w:history="1">
            <w:r w:rsidR="00556B86" w:rsidRPr="00556B86">
              <w:rPr>
                <w:rStyle w:val="Hyperlink"/>
                <w:rFonts w:ascii="Times New Roman" w:hAnsi="Times New Roman" w:cs="Times New Roman"/>
                <w:b/>
                <w:noProof/>
                <w:sz w:val="28"/>
                <w:szCs w:val="28"/>
              </w:rPr>
              <w:t>1.2 Statement of Problem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1" w:history="1">
            <w:r w:rsidR="00556B86" w:rsidRPr="00556B86">
              <w:rPr>
                <w:rStyle w:val="Hyperlink"/>
                <w:rFonts w:ascii="Times New Roman" w:eastAsia="Times New Roman" w:hAnsi="Times New Roman" w:cs="Times New Roman"/>
                <w:b/>
                <w:noProof/>
                <w:sz w:val="28"/>
                <w:szCs w:val="28"/>
              </w:rPr>
              <w:t xml:space="preserve">1.3 </w:t>
            </w:r>
            <w:r w:rsidR="00556B86" w:rsidRPr="00556B86">
              <w:rPr>
                <w:rStyle w:val="Hyperlink"/>
                <w:rFonts w:ascii="Times New Roman" w:hAnsi="Times New Roman" w:cs="Times New Roman"/>
                <w:b/>
                <w:noProof/>
                <w:sz w:val="28"/>
                <w:szCs w:val="28"/>
              </w:rPr>
              <w:t>Aim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2" w:history="1">
            <w:r w:rsidR="00556B86" w:rsidRPr="00556B86">
              <w:rPr>
                <w:rStyle w:val="Hyperlink"/>
                <w:rFonts w:ascii="Times New Roman" w:hAnsi="Times New Roman" w:cs="Times New Roman"/>
                <w:b/>
                <w:noProof/>
                <w:sz w:val="28"/>
                <w:szCs w:val="28"/>
              </w:rPr>
              <w:t>1.4 Objectives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11</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3" w:history="1">
            <w:r w:rsidR="00556B86" w:rsidRPr="00556B86">
              <w:rPr>
                <w:rStyle w:val="Hyperlink"/>
                <w:rFonts w:ascii="Times New Roman" w:eastAsia="Times New Roman" w:hAnsi="Times New Roman" w:cs="Times New Roman"/>
                <w:b/>
                <w:noProof/>
                <w:sz w:val="28"/>
                <w:szCs w:val="28"/>
              </w:rPr>
              <w:t>CHAPTER TWO</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4" w:history="1">
            <w:r w:rsidR="00556B86" w:rsidRPr="00556B86">
              <w:rPr>
                <w:rStyle w:val="Hyperlink"/>
                <w:rFonts w:ascii="Times New Roman" w:eastAsia="Times New Roman" w:hAnsi="Times New Roman" w:cs="Times New Roman"/>
                <w:b/>
                <w:noProof/>
                <w:sz w:val="28"/>
                <w:szCs w:val="28"/>
              </w:rPr>
              <w:t>2.0 Materials and Methods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5" w:history="1">
            <w:r w:rsidR="00556B86" w:rsidRPr="00556B86">
              <w:rPr>
                <w:rStyle w:val="Hyperlink"/>
                <w:rFonts w:ascii="Times New Roman" w:eastAsia="Times New Roman" w:hAnsi="Times New Roman" w:cs="Times New Roman"/>
                <w:noProof/>
                <w:sz w:val="28"/>
                <w:szCs w:val="28"/>
              </w:rPr>
              <w:t>2.1 Materials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6" w:history="1">
            <w:r w:rsidR="00556B86" w:rsidRPr="00556B86">
              <w:rPr>
                <w:rStyle w:val="Hyperlink"/>
                <w:rFonts w:ascii="Times New Roman" w:eastAsia="Times New Roman" w:hAnsi="Times New Roman" w:cs="Times New Roman"/>
                <w:noProof/>
                <w:sz w:val="28"/>
                <w:szCs w:val="28"/>
              </w:rPr>
              <w:t>2.1.1 Media and Reagents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_Toc202976456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7" w:history="1">
            <w:r w:rsidR="00556B86" w:rsidRPr="00556B86">
              <w:rPr>
                <w:rStyle w:val="Hyperlink"/>
                <w:rFonts w:ascii="Times New Roman" w:eastAsia="Times New Roman" w:hAnsi="Times New Roman" w:cs="Times New Roman"/>
                <w:noProof/>
                <w:sz w:val="28"/>
                <w:szCs w:val="28"/>
              </w:rPr>
              <w:t>2.2 Sample Collection and Treatment</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13</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8" w:history="1">
            <w:r w:rsidR="00556B86" w:rsidRPr="00556B86">
              <w:rPr>
                <w:rStyle w:val="Hyperlink"/>
                <w:rFonts w:ascii="Times New Roman" w:eastAsia="Times New Roman" w:hAnsi="Times New Roman" w:cs="Times New Roman"/>
                <w:noProof/>
                <w:sz w:val="28"/>
                <w:szCs w:val="28"/>
              </w:rPr>
              <w:t>2.3 pH Determination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59" w:history="1">
            <w:r w:rsidR="00556B86" w:rsidRPr="00556B86">
              <w:rPr>
                <w:rStyle w:val="Hyperlink"/>
                <w:rFonts w:ascii="Times New Roman" w:eastAsia="Times New Roman" w:hAnsi="Times New Roman" w:cs="Times New Roman"/>
                <w:noProof/>
                <w:sz w:val="28"/>
                <w:szCs w:val="28"/>
              </w:rPr>
              <w:t>2.4 Preparation of Media</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0" w:history="1">
            <w:r w:rsidR="00556B86" w:rsidRPr="00556B86">
              <w:rPr>
                <w:rStyle w:val="Hyperlink"/>
                <w:rFonts w:ascii="Times New Roman" w:eastAsia="Times New Roman" w:hAnsi="Times New Roman" w:cs="Times New Roman"/>
                <w:noProof/>
                <w:sz w:val="28"/>
                <w:szCs w:val="28"/>
              </w:rPr>
              <w:t>2.5 Isolation of Fungi</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1" w:history="1">
            <w:r w:rsidR="00556B86" w:rsidRPr="00556B86">
              <w:rPr>
                <w:rStyle w:val="Hyperlink"/>
                <w:rFonts w:ascii="Times New Roman" w:eastAsia="Times New Roman" w:hAnsi="Times New Roman" w:cs="Times New Roman"/>
                <w:noProof/>
                <w:sz w:val="28"/>
                <w:szCs w:val="28"/>
              </w:rPr>
              <w:t>2.6 Identification of Fungal Growth</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3" w:history="1">
            <w:r w:rsidR="00556B86" w:rsidRPr="00556B86">
              <w:rPr>
                <w:rStyle w:val="Hyperlink"/>
                <w:rFonts w:ascii="Times New Roman" w:eastAsia="Times New Roman" w:hAnsi="Times New Roman" w:cs="Times New Roman"/>
                <w:b/>
                <w:noProof/>
                <w:sz w:val="28"/>
                <w:szCs w:val="28"/>
              </w:rPr>
              <w:t>CHAPTER THREE</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4" w:history="1">
            <w:r w:rsidR="00556B86" w:rsidRPr="00556B86">
              <w:rPr>
                <w:rStyle w:val="Hyperlink"/>
                <w:rFonts w:ascii="Times New Roman" w:hAnsi="Times New Roman" w:cs="Times New Roman"/>
                <w:b/>
                <w:noProof/>
                <w:sz w:val="28"/>
                <w:szCs w:val="28"/>
              </w:rPr>
              <w:t>3.0 RESULTS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5" w:history="1">
            <w:r w:rsidR="00556B86" w:rsidRPr="00556B86">
              <w:rPr>
                <w:rStyle w:val="Hyperlink"/>
                <w:rFonts w:ascii="Times New Roman" w:hAnsi="Times New Roman" w:cs="Times New Roman"/>
                <w:bCs/>
                <w:noProof/>
                <w:sz w:val="28"/>
                <w:szCs w:val="28"/>
              </w:rPr>
              <w:t>3.1 pH of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7" w:history="1">
            <w:r w:rsidR="00556B86" w:rsidRPr="00556B86">
              <w:rPr>
                <w:rStyle w:val="Hyperlink"/>
                <w:rFonts w:ascii="Times New Roman" w:hAnsi="Times New Roman" w:cs="Times New Roman"/>
                <w:bCs/>
                <w:noProof/>
                <w:sz w:val="28"/>
                <w:szCs w:val="28"/>
              </w:rPr>
              <w:t>3.2 Fungal Colony Characteristics and Enumeration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19</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69" w:history="1">
            <w:r w:rsidR="00556B86" w:rsidRPr="00556B86">
              <w:rPr>
                <w:rStyle w:val="Hyperlink"/>
                <w:rFonts w:ascii="Times New Roman" w:hAnsi="Times New Roman" w:cs="Times New Roman"/>
                <w:noProof/>
                <w:sz w:val="28"/>
                <w:szCs w:val="28"/>
              </w:rPr>
              <w:t>3.3 Fungal Observation and Colony Count in Control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21</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71" w:history="1">
            <w:r w:rsidR="00556B86" w:rsidRPr="00556B86">
              <w:rPr>
                <w:rStyle w:val="Hyperlink"/>
                <w:rFonts w:ascii="Times New Roman" w:hAnsi="Times New Roman" w:cs="Times New Roman"/>
                <w:b/>
                <w:noProof/>
                <w:sz w:val="28"/>
                <w:szCs w:val="28"/>
              </w:rPr>
              <w:t>CHAPTER FOUR</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72" w:history="1">
            <w:r w:rsidR="00556B86" w:rsidRPr="00556B86">
              <w:rPr>
                <w:rStyle w:val="Hyperlink"/>
                <w:rFonts w:ascii="Times New Roman" w:hAnsi="Times New Roman" w:cs="Times New Roman"/>
                <w:b/>
                <w:noProof/>
                <w:sz w:val="28"/>
                <w:szCs w:val="28"/>
              </w:rPr>
              <w:t>4.0 DISCUSSION AND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73" w:history="1">
            <w:r w:rsidR="00556B86" w:rsidRPr="00556B86">
              <w:rPr>
                <w:rStyle w:val="Hyperlink"/>
                <w:rFonts w:ascii="Times New Roman" w:hAnsi="Times New Roman" w:cs="Times New Roman"/>
                <w:b/>
                <w:noProof/>
                <w:sz w:val="28"/>
                <w:szCs w:val="28"/>
              </w:rPr>
              <w:t>4.1 DISCUSSION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74" w:history="1">
            <w:r w:rsidR="00556B86" w:rsidRPr="00556B86">
              <w:rPr>
                <w:rStyle w:val="Hyperlink"/>
                <w:rFonts w:ascii="Times New Roman" w:hAnsi="Times New Roman" w:cs="Times New Roman"/>
                <w:b/>
                <w:noProof/>
                <w:sz w:val="28"/>
                <w:szCs w:val="28"/>
              </w:rPr>
              <w:t>4.2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Pr="00556B86" w:rsidRDefault="00A22E0E">
          <w:pPr>
            <w:pStyle w:val="TOC1"/>
            <w:tabs>
              <w:tab w:val="right" w:leader="dot" w:pos="9350"/>
            </w:tabs>
            <w:rPr>
              <w:rFonts w:ascii="Times New Roman" w:hAnsi="Times New Roman" w:cs="Times New Roman"/>
              <w:noProof/>
              <w:sz w:val="28"/>
              <w:szCs w:val="28"/>
            </w:rPr>
          </w:pPr>
          <w:hyperlink w:anchor="_Toc202976475" w:history="1">
            <w:r w:rsidR="00556B86" w:rsidRPr="00556B86">
              <w:rPr>
                <w:rStyle w:val="Hyperlink"/>
                <w:rFonts w:ascii="Times New Roman" w:hAnsi="Times New Roman" w:cs="Times New Roman"/>
                <w:b/>
                <w:noProof/>
                <w:sz w:val="28"/>
                <w:szCs w:val="28"/>
              </w:rPr>
              <w:t>REFERENCES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Default="00556B86">
          <w:r w:rsidRPr="00556B86">
            <w:rPr>
              <w:rFonts w:ascii="Times New Roman" w:hAnsi="Times New Roman" w:cs="Times New Roman"/>
              <w:b/>
              <w:bCs/>
              <w:noProof/>
              <w:sz w:val="28"/>
              <w:szCs w:val="28"/>
            </w:rPr>
            <w:fldChar w:fldCharType="end"/>
          </w:r>
        </w:p>
      </w:sdtContent>
    </w:sdt>
    <w:p w:rsidR="00556B86" w:rsidRDefault="00556B86" w:rsidP="00556B86">
      <w:pPr>
        <w:jc w:val="both"/>
        <w:rPr>
          <w:rFonts w:ascii="Times New Roman" w:hAnsi="Times New Roman" w:cs="Times New Roman"/>
          <w:b/>
          <w:sz w:val="28"/>
          <w:szCs w:val="28"/>
        </w:rPr>
      </w:pPr>
    </w:p>
    <w:p w:rsidR="00556B86" w:rsidRDefault="00556B86">
      <w:pPr>
        <w:rPr>
          <w:rFonts w:ascii="Times New Roman" w:hAnsi="Times New Roman" w:cs="Times New Roman"/>
          <w:b/>
          <w:sz w:val="28"/>
          <w:szCs w:val="28"/>
        </w:rPr>
      </w:pPr>
      <w:r>
        <w:rPr>
          <w:rFonts w:ascii="Times New Roman" w:hAnsi="Times New Roman" w:cs="Times New Roman"/>
          <w:b/>
          <w:sz w:val="28"/>
          <w:szCs w:val="28"/>
        </w:rPr>
        <w:br w:type="page"/>
      </w:r>
    </w:p>
    <w:p w:rsidR="00410B39" w:rsidRDefault="00556B86" w:rsidP="00556B8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556B86" w:rsidRDefault="00556B86" w:rsidP="004D10D3">
      <w:pPr>
        <w:spacing w:line="480" w:lineRule="auto"/>
        <w:jc w:val="both"/>
        <w:rPr>
          <w:rFonts w:ascii="Times New Roman" w:hAnsi="Times New Roman" w:cs="Times New Roman"/>
          <w:b/>
          <w:sz w:val="28"/>
          <w:szCs w:val="28"/>
        </w:rPr>
      </w:pPr>
    </w:p>
    <w:p w:rsidR="00410B39" w:rsidRDefault="00410B39">
      <w:pPr>
        <w:rPr>
          <w:rFonts w:ascii="Times New Roman" w:hAnsi="Times New Roman" w:cs="Times New Roman"/>
          <w:b/>
          <w:sz w:val="28"/>
          <w:szCs w:val="28"/>
        </w:rPr>
      </w:pPr>
      <w:r>
        <w:rPr>
          <w:rFonts w:ascii="Times New Roman" w:hAnsi="Times New Roman" w:cs="Times New Roman"/>
          <w:b/>
          <w:sz w:val="28"/>
          <w:szCs w:val="28"/>
        </w:rPr>
        <w:br w:type="page"/>
      </w:r>
    </w:p>
    <w:p w:rsidR="00AB2A02" w:rsidRDefault="00410B39" w:rsidP="00410B3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56B86" w:rsidRDefault="00B56E27" w:rsidP="00556B86">
      <w:pPr>
        <w:spacing w:line="480" w:lineRule="auto"/>
        <w:jc w:val="both"/>
        <w:rPr>
          <w:rFonts w:ascii="Times New Roman" w:hAnsi="Times New Roman" w:cs="Times New Roman"/>
          <w:sz w:val="28"/>
          <w:szCs w:val="28"/>
        </w:rPr>
        <w:sectPr w:rsidR="00556B86" w:rsidSect="00556B86">
          <w:footerReference w:type="default" r:id="rId7"/>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 xml:space="preserve">Fungicides are widely used in agriculture to control plant diseases; however, their unintended effects on non-target soil fungi (the </w:t>
      </w:r>
      <w:proofErr w:type="spellStart"/>
      <w:r w:rsidRPr="00B56E27">
        <w:rPr>
          <w:rFonts w:ascii="Times New Roman" w:hAnsi="Times New Roman" w:cs="Times New Roman"/>
          <w:sz w:val="28"/>
          <w:szCs w:val="28"/>
        </w:rPr>
        <w:t>mycobiome</w:t>
      </w:r>
      <w:proofErr w:type="spellEnd"/>
      <w:r w:rsidRPr="00B56E27">
        <w:rPr>
          <w:rFonts w:ascii="Times New Roman" w:hAnsi="Times New Roman" w:cs="Times New Roman"/>
          <w:sz w:val="28"/>
          <w:szCs w:val="28"/>
        </w:rPr>
        <w:t xml:space="preserve">) raise significant ecological concerns. This study assessed the impact of five fungicides—Blast Force, Stampede, </w:t>
      </w:r>
      <w:proofErr w:type="spellStart"/>
      <w:r w:rsidRPr="00B56E27">
        <w:rPr>
          <w:rFonts w:ascii="Times New Roman" w:hAnsi="Times New Roman" w:cs="Times New Roman"/>
          <w:sz w:val="28"/>
          <w:szCs w:val="28"/>
        </w:rPr>
        <w:t>Ultimax</w:t>
      </w:r>
      <w:proofErr w:type="spellEnd"/>
      <w:r w:rsidRPr="00B56E27">
        <w:rPr>
          <w:rFonts w:ascii="Times New Roman" w:hAnsi="Times New Roman" w:cs="Times New Roman"/>
          <w:sz w:val="28"/>
          <w:szCs w:val="28"/>
        </w:rPr>
        <w:t xml:space="preserve"> Plus, Red Force, and Total Force—on soil fungal diversity and compo</w:t>
      </w:r>
      <w:bookmarkStart w:id="0" w:name="_GoBack"/>
      <w:bookmarkEnd w:id="0"/>
      <w:r w:rsidRPr="00B56E27">
        <w:rPr>
          <w:rFonts w:ascii="Times New Roman" w:hAnsi="Times New Roman" w:cs="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B56E27">
        <w:rPr>
          <w:rFonts w:ascii="Times New Roman" w:hAnsi="Times New Roman" w:cs="Times New Roman"/>
          <w:i/>
          <w:iCs/>
          <w:sz w:val="28"/>
          <w:szCs w:val="28"/>
        </w:rPr>
        <w:t>Penicillium</w:t>
      </w:r>
      <w:proofErr w:type="spellEnd"/>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Aspergillus</w:t>
      </w:r>
      <w:proofErr w:type="spellEnd"/>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Rhizopus</w:t>
      </w:r>
      <w:proofErr w:type="spellEnd"/>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280381" w:rsidRPr="00556B86" w:rsidRDefault="00AB2A02" w:rsidP="00556B86">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AB2A02" w:rsidRPr="00556B86" w:rsidRDefault="00556B86" w:rsidP="00556B86">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 xml:space="preserve">1.0 </w:t>
      </w:r>
      <w:r w:rsidR="00AB2A02" w:rsidRPr="00556B86">
        <w:rPr>
          <w:rFonts w:ascii="Times New Roman" w:hAnsi="Times New Roman" w:cs="Times New Roman"/>
          <w:b/>
          <w:color w:val="auto"/>
          <w:sz w:val="28"/>
          <w:szCs w:val="28"/>
        </w:rPr>
        <w:t>INTRODUCTION</w:t>
      </w:r>
      <w:bookmarkEnd w:id="2"/>
    </w:p>
    <w:p w:rsidR="00F738B7" w:rsidRPr="00556B86" w:rsidRDefault="00F738B7" w:rsidP="004D10D3">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b w:val="0"/>
          <w:sz w:val="28"/>
          <w:szCs w:val="28"/>
        </w:rPr>
        <w:t xml:space="preserve">soil </w:t>
      </w:r>
      <w:proofErr w:type="spellStart"/>
      <w:r w:rsidRPr="00556B86">
        <w:rPr>
          <w:rStyle w:val="Strong"/>
          <w:b w:val="0"/>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00556B86" w:rsidRPr="00556B86">
        <w:rPr>
          <w:i/>
          <w:sz w:val="28"/>
          <w:szCs w:val="28"/>
        </w:rPr>
        <w:t>et al</w:t>
      </w:r>
      <w:r w:rsidRPr="00556B86">
        <w:rPr>
          <w:sz w:val="28"/>
          <w:szCs w:val="28"/>
        </w:rPr>
        <w:t>., 2022).</w:t>
      </w:r>
    </w:p>
    <w:p w:rsidR="00F738B7" w:rsidRPr="00556B86" w:rsidRDefault="00F738B7" w:rsidP="004D10D3">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sidRPr="00556B86">
        <w:rPr>
          <w:sz w:val="28"/>
          <w:szCs w:val="28"/>
        </w:rPr>
        <w:lastRenderedPageBreak/>
        <w:t xml:space="preserve">as </w:t>
      </w:r>
      <w:proofErr w:type="spellStart"/>
      <w:r w:rsidRPr="00556B86">
        <w:rPr>
          <w:rStyle w:val="Strong"/>
          <w:b w:val="0"/>
          <w:sz w:val="28"/>
          <w:szCs w:val="28"/>
        </w:rPr>
        <w:t>arbuscular</w:t>
      </w:r>
      <w:proofErr w:type="spellEnd"/>
      <w:r w:rsidRPr="00556B86">
        <w:rPr>
          <w:rStyle w:val="Strong"/>
          <w:b w:val="0"/>
          <w:sz w:val="28"/>
          <w:szCs w:val="28"/>
        </w:rPr>
        <w:t xml:space="preserve"> </w:t>
      </w:r>
      <w:proofErr w:type="spellStart"/>
      <w:r w:rsidRPr="00556B86">
        <w:rPr>
          <w:rStyle w:val="Strong"/>
          <w:b w:val="0"/>
          <w:sz w:val="28"/>
          <w:szCs w:val="28"/>
        </w:rPr>
        <w:t>mycorrhizal</w:t>
      </w:r>
      <w:proofErr w:type="spellEnd"/>
      <w:r w:rsidRPr="00556B86">
        <w:rPr>
          <w:rStyle w:val="Strong"/>
          <w:b w:val="0"/>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00556B86" w:rsidRPr="00556B86">
        <w:rPr>
          <w:i/>
          <w:sz w:val="28"/>
          <w:szCs w:val="28"/>
        </w:rPr>
        <w:t>et al</w:t>
      </w:r>
      <w:r w:rsidRPr="00556B86">
        <w:rPr>
          <w:sz w:val="28"/>
          <w:szCs w:val="28"/>
        </w:rPr>
        <w:t>., 2020). Such disturbances may lead to a decline in fungal biodiversity and the resilience of soil ecosystems.</w:t>
      </w:r>
    </w:p>
    <w:p w:rsidR="00F738B7" w:rsidRPr="00556B86" w:rsidRDefault="00F738B7" w:rsidP="004D10D3">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b w:val="0"/>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00556B86"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738B7" w:rsidRPr="00556B86" w:rsidRDefault="00F738B7" w:rsidP="004D10D3">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b w:val="0"/>
          <w:sz w:val="28"/>
          <w:szCs w:val="28"/>
        </w:rPr>
        <w:t>metabarcoding</w:t>
      </w:r>
      <w:proofErr w:type="spellEnd"/>
      <w:r w:rsidRPr="00556B86">
        <w:rPr>
          <w:rStyle w:val="Strong"/>
          <w:b w:val="0"/>
          <w:sz w:val="28"/>
          <w:szCs w:val="28"/>
        </w:rPr>
        <w:t xml:space="preserve"> techniques</w:t>
      </w:r>
      <w:r w:rsidRPr="00556B86">
        <w:rPr>
          <w:sz w:val="28"/>
          <w:szCs w:val="28"/>
        </w:rPr>
        <w:t xml:space="preserve"> have shown that fungicide application significantly modifies soil fungal diversity and abundance. These </w:t>
      </w:r>
      <w:r w:rsidRPr="00556B86">
        <w:rPr>
          <w:sz w:val="28"/>
          <w:szCs w:val="28"/>
        </w:rPr>
        <w:lastRenderedPageBreak/>
        <w:t xml:space="preserve">methods have revealed that even a single application can reduce rare taxa and shift dominant fungal phyla, such as Ascomycota and </w:t>
      </w:r>
      <w:proofErr w:type="spellStart"/>
      <w:r w:rsidRPr="00556B86">
        <w:rPr>
          <w:sz w:val="28"/>
          <w:szCs w:val="28"/>
        </w:rPr>
        <w:t>Basidiomycota</w:t>
      </w:r>
      <w:proofErr w:type="spellEnd"/>
      <w:r w:rsidRPr="00556B86">
        <w:rPr>
          <w:sz w:val="28"/>
          <w:szCs w:val="28"/>
        </w:rPr>
        <w:t xml:space="preserve"> (He </w:t>
      </w:r>
      <w:r w:rsidR="00556B86"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738B7" w:rsidRPr="00556B86" w:rsidRDefault="00F738B7" w:rsidP="004D10D3">
      <w:pPr>
        <w:pStyle w:val="NormalWeb"/>
        <w:spacing w:line="480" w:lineRule="auto"/>
        <w:jc w:val="both"/>
        <w:rPr>
          <w:sz w:val="28"/>
          <w:szCs w:val="28"/>
        </w:rPr>
      </w:pPr>
      <w:r w:rsidRPr="00556B86">
        <w:rPr>
          <w:sz w:val="28"/>
          <w:szCs w:val="28"/>
        </w:rPr>
        <w:t xml:space="preserve">The </w:t>
      </w:r>
      <w:r w:rsidRPr="00556B86">
        <w:rPr>
          <w:rStyle w:val="Strong"/>
          <w:b w:val="0"/>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00556B86" w:rsidRPr="00556B86">
        <w:rPr>
          <w:i/>
          <w:sz w:val="28"/>
          <w:szCs w:val="28"/>
        </w:rPr>
        <w:t>et al</w:t>
      </w:r>
      <w:r w:rsidRPr="00556B86">
        <w:rPr>
          <w:sz w:val="28"/>
          <w:szCs w:val="28"/>
        </w:rPr>
        <w:t>., 2020). A one-size-fits-all approach may overlook localized effects that accumulate over time.</w:t>
      </w:r>
    </w:p>
    <w:p w:rsidR="00F738B7" w:rsidRPr="00556B86" w:rsidRDefault="00F738B7" w:rsidP="004D10D3">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b w:val="0"/>
          <w:sz w:val="28"/>
          <w:szCs w:val="28"/>
        </w:rPr>
        <w:t>plant health and growth</w:t>
      </w:r>
      <w:r w:rsidRPr="00556B86">
        <w:rPr>
          <w:sz w:val="28"/>
          <w:szCs w:val="28"/>
        </w:rPr>
        <w:t xml:space="preserve">. </w:t>
      </w:r>
      <w:proofErr w:type="spellStart"/>
      <w:r w:rsidRPr="00556B86">
        <w:rPr>
          <w:sz w:val="28"/>
          <w:szCs w:val="28"/>
        </w:rPr>
        <w:t>Mycorrhizal</w:t>
      </w:r>
      <w:proofErr w:type="spellEnd"/>
      <w:r w:rsidRPr="00556B86">
        <w:rPr>
          <w:sz w:val="28"/>
          <w:szCs w:val="28"/>
        </w:rPr>
        <w:t xml:space="preserve"> suppression, for example, may impair plant nutrient acquisition, reduce stress </w:t>
      </w:r>
      <w:r w:rsidRPr="00556B86">
        <w:rPr>
          <w:sz w:val="28"/>
          <w:szCs w:val="28"/>
        </w:rPr>
        <w:lastRenderedPageBreak/>
        <w:t xml:space="preserve">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00556B86" w:rsidRPr="00556B86">
        <w:rPr>
          <w:i/>
          <w:sz w:val="28"/>
          <w:szCs w:val="28"/>
        </w:rPr>
        <w:t>et al</w:t>
      </w:r>
      <w:r w:rsidRPr="00556B86">
        <w:rPr>
          <w:sz w:val="28"/>
          <w:szCs w:val="28"/>
        </w:rPr>
        <w:t>., 2021). Therefore, maintaining fungal balance is crucial for sustainable soil function.</w:t>
      </w:r>
    </w:p>
    <w:p w:rsidR="00F738B7" w:rsidRPr="00556B86" w:rsidRDefault="00F738B7" w:rsidP="004D10D3">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b w:val="0"/>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00556B86" w:rsidRPr="00556B86">
        <w:rPr>
          <w:i/>
          <w:sz w:val="28"/>
          <w:szCs w:val="28"/>
        </w:rPr>
        <w:t>et al</w:t>
      </w:r>
      <w:r w:rsidRPr="00556B86">
        <w:rPr>
          <w:sz w:val="28"/>
          <w:szCs w:val="28"/>
        </w:rPr>
        <w:t>., 2022). Sustainable agriculture must balance productivity with environmental stewardship.</w:t>
      </w:r>
    </w:p>
    <w:p w:rsidR="00F738B7" w:rsidRPr="00556B86" w:rsidRDefault="00F738B7" w:rsidP="00556B86">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t>1.1 Literature Review</w:t>
      </w:r>
      <w:bookmarkEnd w:id="3"/>
    </w:p>
    <w:p w:rsidR="00127FD8" w:rsidRPr="00556B86" w:rsidRDefault="00127FD8" w:rsidP="00127FD8">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sidRPr="00556B86">
        <w:rPr>
          <w:sz w:val="28"/>
          <w:szCs w:val="28"/>
        </w:rPr>
        <w:lastRenderedPageBreak/>
        <w:t xml:space="preserve">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127FD8" w:rsidRPr="00556B86" w:rsidRDefault="00127FD8" w:rsidP="00127FD8">
      <w:pPr>
        <w:pStyle w:val="NormalWeb"/>
        <w:spacing w:line="480" w:lineRule="auto"/>
        <w:jc w:val="both"/>
        <w:rPr>
          <w:sz w:val="28"/>
          <w:szCs w:val="28"/>
        </w:rPr>
      </w:pPr>
      <w:r w:rsidRPr="00556B86">
        <w:rPr>
          <w:sz w:val="28"/>
          <w:szCs w:val="28"/>
        </w:rPr>
        <w:t xml:space="preserve">González-Pérez </w:t>
      </w:r>
      <w:r w:rsidR="00556B86"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xml:space="preserve">, influence the persistence and mobility of fungicides. In soils with low organic content or high sand proportions, fungicides may leach more </w:t>
      </w:r>
      <w:r w:rsidRPr="00556B86">
        <w:rPr>
          <w:sz w:val="28"/>
          <w:szCs w:val="28"/>
        </w:rPr>
        <w:lastRenderedPageBreak/>
        <w:t>readily, potentially contaminating groundwater or affecting microbial communities at different depths.</w:t>
      </w:r>
    </w:p>
    <w:p w:rsidR="00127FD8" w:rsidRPr="00556B86" w:rsidRDefault="00127FD8" w:rsidP="00127FD8">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127FD8" w:rsidRPr="00556B86" w:rsidRDefault="00127FD8" w:rsidP="00127FD8">
      <w:pPr>
        <w:pStyle w:val="NormalWeb"/>
        <w:spacing w:line="480" w:lineRule="auto"/>
        <w:jc w:val="both"/>
        <w:rPr>
          <w:sz w:val="28"/>
          <w:szCs w:val="28"/>
        </w:rPr>
      </w:pPr>
      <w:r w:rsidRPr="00556B86">
        <w:rPr>
          <w:sz w:val="28"/>
          <w:szCs w:val="28"/>
        </w:rPr>
        <w:t xml:space="preserve">He </w:t>
      </w:r>
      <w:r w:rsidR="00556B86"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fungicide application, with noticeable shifts in dominant fungal phyla such as </w:t>
      </w:r>
      <w:r w:rsidRPr="00556B86">
        <w:rPr>
          <w:bCs/>
          <w:sz w:val="28"/>
          <w:szCs w:val="28"/>
        </w:rPr>
        <w:t>Ascomycota</w:t>
      </w:r>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taxa declined, while stress-tolerant or resistant species increased—many of which possess </w:t>
      </w:r>
      <w:r w:rsidRPr="00556B86">
        <w:rPr>
          <w:bCs/>
          <w:sz w:val="28"/>
          <w:szCs w:val="28"/>
        </w:rPr>
        <w:lastRenderedPageBreak/>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127FD8" w:rsidRPr="00556B86" w:rsidRDefault="00127FD8" w:rsidP="00127FD8">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00556B86"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127FD8" w:rsidRPr="00556B86" w:rsidRDefault="00127FD8" w:rsidP="00127FD8">
      <w:pPr>
        <w:pStyle w:val="NormalWeb"/>
        <w:spacing w:line="480" w:lineRule="auto"/>
        <w:jc w:val="both"/>
        <w:rPr>
          <w:sz w:val="28"/>
          <w:szCs w:val="28"/>
        </w:rPr>
      </w:pPr>
      <w:r w:rsidRPr="00556B86">
        <w:rPr>
          <w:sz w:val="28"/>
          <w:szCs w:val="28"/>
        </w:rPr>
        <w:t xml:space="preserve">Banerjee </w:t>
      </w:r>
      <w:r w:rsidR="00556B86" w:rsidRPr="00556B86">
        <w:rPr>
          <w:i/>
          <w:sz w:val="28"/>
          <w:szCs w:val="28"/>
        </w:rPr>
        <w:t>et al</w:t>
      </w:r>
      <w:r w:rsidRPr="00556B86">
        <w:rPr>
          <w:sz w:val="28"/>
          <w:szCs w:val="28"/>
        </w:rPr>
        <w:t xml:space="preserve">. (2020) explored the consequences of intensive agriculture, including pesticide and fungicide use, on root and soil microbial communities. </w:t>
      </w:r>
      <w:r w:rsidRPr="00556B86">
        <w:rPr>
          <w:sz w:val="28"/>
          <w:szCs w:val="28"/>
        </w:rPr>
        <w:lastRenderedPageBreak/>
        <w:t xml:space="preserve">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127FD8" w:rsidRPr="00556B86" w:rsidRDefault="00127FD8" w:rsidP="00127FD8">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00556B86"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w:t>
      </w:r>
      <w:r w:rsidRPr="00556B86">
        <w:rPr>
          <w:sz w:val="28"/>
          <w:szCs w:val="28"/>
        </w:rPr>
        <w:lastRenderedPageBreak/>
        <w:t xml:space="preserve">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127FD8" w:rsidRPr="00556B86" w:rsidRDefault="00127FD8" w:rsidP="004D10D3">
      <w:pPr>
        <w:pStyle w:val="NormalWeb"/>
        <w:spacing w:line="480" w:lineRule="auto"/>
        <w:jc w:val="both"/>
        <w:rPr>
          <w:sz w:val="28"/>
          <w:szCs w:val="28"/>
        </w:rPr>
      </w:pPr>
      <w:r w:rsidRPr="00556B86">
        <w:rPr>
          <w:sz w:val="28"/>
          <w:szCs w:val="28"/>
        </w:rPr>
        <w:t xml:space="preserve">Wang </w:t>
      </w:r>
      <w:r w:rsidR="00556B86"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xml:space="preserve">, which </w:t>
      </w:r>
      <w:r w:rsidRPr="00556B86">
        <w:rPr>
          <w:sz w:val="28"/>
          <w:szCs w:val="28"/>
        </w:rPr>
        <w:lastRenderedPageBreak/>
        <w:t>promote microbial activity, may intensify fungicide degradation but also facilitate more rapid shifts in fungal composition due to increased exposure rates.</w:t>
      </w:r>
    </w:p>
    <w:p w:rsidR="00912124" w:rsidRPr="00556B86" w:rsidRDefault="00912124" w:rsidP="00556B86">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912124" w:rsidRPr="00556B86" w:rsidRDefault="00912124" w:rsidP="004D10D3">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912124" w:rsidRPr="00556B86" w:rsidRDefault="00912124" w:rsidP="004D10D3">
      <w:pPr>
        <w:numPr>
          <w:ilvl w:val="0"/>
          <w:numId w:val="3"/>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912124" w:rsidRPr="00556B86" w:rsidRDefault="00912124" w:rsidP="00556B86">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5"/>
    </w:p>
    <w:p w:rsidR="00912124" w:rsidRPr="00556B86" w:rsidRDefault="00912124" w:rsidP="004D10D3">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b w:val="0"/>
          <w:sz w:val="28"/>
          <w:szCs w:val="28"/>
        </w:rPr>
        <w:t xml:space="preserve">effect of fungicide application on soil </w:t>
      </w:r>
      <w:proofErr w:type="spellStart"/>
      <w:r w:rsidRPr="00556B86">
        <w:rPr>
          <w:rStyle w:val="Strong"/>
          <w:rFonts w:ascii="Times New Roman" w:hAnsi="Times New Roman" w:cs="Times New Roman"/>
          <w:b w:val="0"/>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sidRPr="00556B86">
        <w:rPr>
          <w:rFonts w:ascii="Times New Roman" w:hAnsi="Times New Roman" w:cs="Times New Roman"/>
          <w:sz w:val="28"/>
          <w:szCs w:val="28"/>
        </w:rPr>
        <w:lastRenderedPageBreak/>
        <w:t xml:space="preserve">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912124" w:rsidRPr="00556B86" w:rsidRDefault="00912124" w:rsidP="00556B86">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912124" w:rsidRPr="00556B86" w:rsidRDefault="00912124" w:rsidP="004D10D3">
      <w:pPr>
        <w:pStyle w:val="NormalWeb"/>
        <w:numPr>
          <w:ilvl w:val="0"/>
          <w:numId w:val="4"/>
        </w:numPr>
        <w:spacing w:line="480" w:lineRule="auto"/>
        <w:jc w:val="both"/>
        <w:rPr>
          <w:b/>
          <w:sz w:val="28"/>
          <w:szCs w:val="28"/>
        </w:rPr>
      </w:pPr>
      <w:r w:rsidRPr="00556B86">
        <w:rPr>
          <w:rStyle w:val="Strong"/>
          <w:b w:val="0"/>
          <w:sz w:val="28"/>
          <w:szCs w:val="28"/>
        </w:rPr>
        <w:t>To evaluate the impact of fungicide application on the diversity, abundance, and composition of fungal communities (</w:t>
      </w:r>
      <w:proofErr w:type="spellStart"/>
      <w:r w:rsidRPr="00556B86">
        <w:rPr>
          <w:rStyle w:val="Strong"/>
          <w:b w:val="0"/>
          <w:sz w:val="28"/>
          <w:szCs w:val="28"/>
        </w:rPr>
        <w:t>mycobiome</w:t>
      </w:r>
      <w:proofErr w:type="spellEnd"/>
      <w:r w:rsidRPr="00556B86">
        <w:rPr>
          <w:rStyle w:val="Strong"/>
          <w:b w:val="0"/>
          <w:sz w:val="28"/>
          <w:szCs w:val="28"/>
        </w:rPr>
        <w:t>) in agricultural soil.</w:t>
      </w:r>
    </w:p>
    <w:p w:rsidR="00127FD8" w:rsidRPr="00556B86" w:rsidRDefault="00912124" w:rsidP="00127FD8">
      <w:pPr>
        <w:pStyle w:val="NormalWeb"/>
        <w:numPr>
          <w:ilvl w:val="0"/>
          <w:numId w:val="4"/>
        </w:numPr>
        <w:spacing w:line="480" w:lineRule="auto"/>
        <w:jc w:val="both"/>
        <w:rPr>
          <w:rStyle w:val="Strong"/>
          <w:bCs w:val="0"/>
          <w:sz w:val="28"/>
          <w:szCs w:val="28"/>
        </w:rPr>
      </w:pPr>
      <w:r w:rsidRPr="00556B86">
        <w:rPr>
          <w:rStyle w:val="Strong"/>
          <w:b w:val="0"/>
          <w:sz w:val="28"/>
          <w:szCs w:val="28"/>
        </w:rPr>
        <w:t xml:space="preserve">To identify and compare changes in functional groups of soil fungi (e.g., </w:t>
      </w:r>
      <w:proofErr w:type="spellStart"/>
      <w:r w:rsidRPr="00556B86">
        <w:rPr>
          <w:rStyle w:val="Strong"/>
          <w:b w:val="0"/>
          <w:sz w:val="28"/>
          <w:szCs w:val="28"/>
        </w:rPr>
        <w:t>mycorrhizal</w:t>
      </w:r>
      <w:proofErr w:type="spellEnd"/>
      <w:r w:rsidRPr="00556B86">
        <w:rPr>
          <w:rStyle w:val="Strong"/>
          <w:b w:val="0"/>
          <w:sz w:val="28"/>
          <w:szCs w:val="28"/>
        </w:rPr>
        <w:t>, saprophytic, and pathogenic fungi) following different levels or frequencies of fungicide treatment.</w:t>
      </w:r>
    </w:p>
    <w:p w:rsidR="00127FD8" w:rsidRPr="00556B86" w:rsidRDefault="00127FD8" w:rsidP="00127FD8">
      <w:pPr>
        <w:pStyle w:val="NormalWeb"/>
        <w:spacing w:line="480" w:lineRule="auto"/>
        <w:jc w:val="both"/>
        <w:rPr>
          <w:b/>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410B39" w:rsidRPr="00556B86" w:rsidRDefault="00410B39" w:rsidP="00556B86">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lastRenderedPageBreak/>
        <w:t>CHAPTER TWO</w:t>
      </w:r>
      <w:bookmarkEnd w:id="7"/>
    </w:p>
    <w:p w:rsidR="00410B39" w:rsidRPr="00556B86" w:rsidRDefault="00410B39" w:rsidP="00556B86">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10B39" w:rsidRPr="00556B86" w:rsidRDefault="00410B39" w:rsidP="00556B86">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10B39" w:rsidRPr="00556B86" w:rsidRDefault="00410B39" w:rsidP="00556B86">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sidRPr="00410B39">
        <w:rPr>
          <w:rFonts w:ascii="Times New Roman" w:eastAsia="Times New Roman" w:hAnsi="Times New Roman" w:cs="Times New Roman"/>
          <w:sz w:val="28"/>
          <w:szCs w:val="28"/>
        </w:rPr>
        <w:lastRenderedPageBreak/>
        <w:t xml:space="preserve">sterile materials such as cotton wool, foil paper, and other aseptic equipment for culturing and isolating fungi from soil. PDA is widely accepted for the isolation of fungi due to its capacity to support a broad spectrum of fungal growth (Singh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10B39" w:rsidRPr="00556B86" w:rsidRDefault="00410B39" w:rsidP="00556B86">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10B39" w:rsidRPr="00556B86"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410B39" w:rsidRPr="00556B86" w:rsidRDefault="00410B39" w:rsidP="00556B86">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lastRenderedPageBreak/>
        <w:t>2.3 pH Determination</w:t>
      </w:r>
      <w:bookmarkEnd w:id="12"/>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t>2.4 Preparation of Media</w:t>
      </w:r>
      <w:bookmarkEnd w:id="13"/>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410B39" w:rsidRPr="00556B86" w:rsidRDefault="00410B39" w:rsidP="00556B86">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lastRenderedPageBreak/>
        <w:t>2.5 Isolation of Fungi</w:t>
      </w:r>
      <w:bookmarkEnd w:id="14"/>
    </w:p>
    <w:p w:rsidR="00556B86"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w:t>
      </w:r>
      <w:r w:rsidRPr="00410B39">
        <w:rPr>
          <w:rFonts w:ascii="Times New Roman" w:eastAsia="Times New Roman" w:hAnsi="Times New Roman" w:cs="Times New Roman"/>
          <w:sz w:val="28"/>
          <w:szCs w:val="28"/>
        </w:rPr>
        <w:lastRenderedPageBreak/>
        <w:t xml:space="preserve">Colony counts were done visually using a colony counter. Visual assessment of fungal colony morphology remains an effective preliminary identification approach in soil microbiology (Kumar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2431EC" w:rsidRPr="00556B86" w:rsidRDefault="002431EC" w:rsidP="004D10D3">
      <w:pPr>
        <w:spacing w:before="100" w:beforeAutospacing="1" w:after="100" w:afterAutospacing="1" w:line="480" w:lineRule="auto"/>
        <w:jc w:val="both"/>
        <w:rPr>
          <w:rFonts w:ascii="Times New Roman" w:eastAsia="Times New Roman" w:hAnsi="Times New Roman" w:cs="Times New Roman"/>
          <w:sz w:val="28"/>
          <w:szCs w:val="28"/>
        </w:rPr>
      </w:pPr>
    </w:p>
    <w:p w:rsidR="002431EC" w:rsidRPr="00556B86" w:rsidRDefault="002431EC" w:rsidP="004D10D3">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2431EC" w:rsidRPr="00556B86" w:rsidRDefault="002431EC" w:rsidP="00556B86">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2431EC" w:rsidRPr="00556B86" w:rsidRDefault="00556B86" w:rsidP="00556B86">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bCs w:val="0"/>
          <w:color w:val="auto"/>
          <w:sz w:val="28"/>
          <w:szCs w:val="28"/>
        </w:rPr>
        <w:t>3.0 RESULTS</w:t>
      </w:r>
      <w:bookmarkEnd w:id="17"/>
    </w:p>
    <w:p w:rsidR="002431EC" w:rsidRPr="00556B86" w:rsidRDefault="002431EC" w:rsidP="00556B86">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431EC" w:rsidRPr="00556B86" w:rsidRDefault="002431EC" w:rsidP="00556B86">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bCs w:val="0"/>
          <w:color w:val="auto"/>
        </w:rPr>
        <w:t>Table 3.1: pH Values of Treated and Control Soil Samples</w:t>
      </w:r>
      <w:bookmarkEnd w:id="19"/>
    </w:p>
    <w:tbl>
      <w:tblPr>
        <w:tblStyle w:val="ListTable6Colorful"/>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Agric</w:t>
            </w:r>
            <w:proofErr w:type="spellEnd"/>
            <w:r w:rsidRPr="00556B86">
              <w:rPr>
                <w:rFonts w:ascii="Times New Roman" w:hAnsi="Times New Roman" w:cs="Times New Roman"/>
                <w:color w:val="auto"/>
                <w:sz w:val="28"/>
                <w:szCs w:val="28"/>
              </w:rPr>
              <w:t xml:space="preserve"> Farm</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556B86" w:rsidRDefault="00556B86" w:rsidP="00556B86">
      <w:pPr>
        <w:pStyle w:val="Heading1"/>
        <w:rPr>
          <w:rStyle w:val="Strong"/>
          <w:rFonts w:ascii="Times New Roman" w:hAnsi="Times New Roman" w:cs="Times New Roman"/>
          <w:color w:val="auto"/>
          <w:sz w:val="28"/>
          <w:szCs w:val="28"/>
        </w:rPr>
      </w:pPr>
      <w:bookmarkStart w:id="20" w:name="_Toc202976467"/>
    </w:p>
    <w:p w:rsidR="00556B86" w:rsidRDefault="00556B86">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431EC" w:rsidRPr="00556B86" w:rsidRDefault="002431EC" w:rsidP="00556B86">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2431EC" w:rsidRPr="00556B86" w:rsidRDefault="002431EC" w:rsidP="00556B86">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bCs w:val="0"/>
          <w:color w:val="auto"/>
        </w:rPr>
        <w:t>Table 3.2: Fungal Observation and Colony Count in Treated Soil Samples</w:t>
      </w:r>
      <w:bookmarkEnd w:id="21"/>
    </w:p>
    <w:tbl>
      <w:tblPr>
        <w:tblStyle w:val="ListTable6Colorful"/>
        <w:tblW w:w="0" w:type="auto"/>
        <w:tblLook w:val="04A0" w:firstRow="1" w:lastRow="0" w:firstColumn="1" w:lastColumn="0" w:noHBand="0" w:noVBand="1"/>
      </w:tblPr>
      <w:tblGrid>
        <w:gridCol w:w="1425"/>
        <w:gridCol w:w="1469"/>
        <w:gridCol w:w="2143"/>
        <w:gridCol w:w="1971"/>
        <w:gridCol w:w="1632"/>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lastRenderedPageBreak/>
              <w:t>Agric</w:t>
            </w:r>
            <w:proofErr w:type="spellEnd"/>
            <w:r w:rsidRPr="00556B86">
              <w:rPr>
                <w:rFonts w:ascii="Times New Roman" w:hAnsi="Times New Roman" w:cs="Times New Roman"/>
                <w:color w:val="auto"/>
                <w:sz w:val="28"/>
                <w:szCs w:val="28"/>
              </w:rPr>
              <w:t xml:space="preserve"> Farm</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2431EC" w:rsidRPr="00556B86" w:rsidRDefault="002431EC" w:rsidP="004D10D3">
      <w:pPr>
        <w:spacing w:line="480" w:lineRule="auto"/>
        <w:jc w:val="both"/>
        <w:rPr>
          <w:rFonts w:ascii="Times New Roman" w:hAnsi="Times New Roman" w:cs="Times New Roman"/>
          <w:sz w:val="28"/>
          <w:szCs w:val="28"/>
        </w:rPr>
      </w:pPr>
    </w:p>
    <w:p w:rsidR="009D4C59" w:rsidRPr="00556B86" w:rsidRDefault="00127FD8" w:rsidP="00556B86">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14:anchorId="6946A51C" wp14:editId="56390E9E">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410B39" w:rsidRPr="00556B86" w:rsidRDefault="00410B39" w:rsidP="00410B39">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bCs w:val="0"/>
          <w:i w:val="0"/>
          <w:color w:val="auto"/>
          <w:sz w:val="28"/>
          <w:szCs w:val="28"/>
        </w:rPr>
        <w:t>Fig. 1 View of Fungal colonies</w:t>
      </w:r>
    </w:p>
    <w:p w:rsidR="00410B39" w:rsidRPr="00556B86" w:rsidRDefault="00410B3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4D10D3">
      <w:pPr>
        <w:pStyle w:val="Heading4"/>
        <w:spacing w:line="480" w:lineRule="auto"/>
        <w:jc w:val="both"/>
        <w:rPr>
          <w:rStyle w:val="Strong"/>
          <w:rFonts w:ascii="Times New Roman" w:hAnsi="Times New Roman" w:cs="Times New Roman"/>
          <w:b w:val="0"/>
          <w:bCs w:val="0"/>
          <w:i w:val="0"/>
          <w:color w:val="auto"/>
          <w:sz w:val="28"/>
          <w:szCs w:val="28"/>
        </w:rPr>
      </w:pPr>
    </w:p>
    <w:p w:rsidR="004D10D3" w:rsidRPr="00556B86" w:rsidRDefault="009D4C59" w:rsidP="00556B86">
      <w:pPr>
        <w:rPr>
          <w:rStyle w:val="Strong"/>
          <w:rFonts w:ascii="Times New Roman" w:hAnsi="Times New Roman" w:cs="Times New Roman"/>
          <w:bCs w:val="0"/>
          <w:sz w:val="28"/>
          <w:szCs w:val="28"/>
        </w:rPr>
      </w:pPr>
      <w:r w:rsidRPr="00556B86">
        <w:rPr>
          <w:rStyle w:val="Strong"/>
          <w:rFonts w:ascii="Times New Roman" w:hAnsi="Times New Roman" w:cs="Times New Roman"/>
          <w:b w:val="0"/>
          <w:bCs w:val="0"/>
          <w:i/>
          <w:sz w:val="28"/>
          <w:szCs w:val="28"/>
        </w:rPr>
        <w:br w:type="page"/>
      </w:r>
      <w:bookmarkStart w:id="22" w:name="_Toc202976469"/>
      <w:r w:rsidR="004D10D3" w:rsidRPr="00556B86">
        <w:rPr>
          <w:rStyle w:val="Strong"/>
          <w:rFonts w:ascii="Times New Roman" w:hAnsi="Times New Roman" w:cs="Times New Roman"/>
          <w:bCs w:val="0"/>
          <w:sz w:val="28"/>
          <w:szCs w:val="28"/>
        </w:rPr>
        <w:lastRenderedPageBreak/>
        <w:t>3.3 Fungal Observation and Colony Count in Control Soil Samples</w:t>
      </w:r>
      <w:bookmarkEnd w:id="22"/>
    </w:p>
    <w:p w:rsidR="002431EC" w:rsidRPr="00556B86" w:rsidRDefault="002431EC" w:rsidP="00556B86">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bCs w:val="0"/>
          <w:color w:val="auto"/>
          <w:sz w:val="28"/>
          <w:szCs w:val="28"/>
        </w:rPr>
        <w:t>Table 3.3: Fungal Observation and Colony Count in Control Soil Samples</w:t>
      </w:r>
      <w:bookmarkEnd w:id="23"/>
    </w:p>
    <w:tbl>
      <w:tblPr>
        <w:tblStyle w:val="ListTable6Colorful"/>
        <w:tblW w:w="0" w:type="auto"/>
        <w:tblLook w:val="04A0" w:firstRow="1" w:lastRow="0" w:firstColumn="1" w:lastColumn="0" w:noHBand="0" w:noVBand="1"/>
      </w:tblPr>
      <w:tblGrid>
        <w:gridCol w:w="1465"/>
        <w:gridCol w:w="2752"/>
        <w:gridCol w:w="2653"/>
        <w:gridCol w:w="1770"/>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Agric</w:t>
            </w:r>
            <w:proofErr w:type="spellEnd"/>
            <w:r w:rsidRPr="00556B86">
              <w:rPr>
                <w:rFonts w:ascii="Times New Roman" w:hAnsi="Times New Roman" w:cs="Times New Roman"/>
                <w:color w:val="auto"/>
                <w:sz w:val="28"/>
                <w:szCs w:val="28"/>
              </w:rPr>
              <w:t xml:space="preserve"> Farm</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w:t>
            </w:r>
            <w:r w:rsidRPr="00556B86">
              <w:rPr>
                <w:rFonts w:ascii="Times New Roman" w:hAnsi="Times New Roman" w:cs="Times New Roman"/>
                <w:color w:val="auto"/>
                <w:sz w:val="28"/>
                <w:szCs w:val="28"/>
              </w:rPr>
              <w:lastRenderedPageBreak/>
              <w:t>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2431EC" w:rsidRPr="00556B86" w:rsidRDefault="002431EC" w:rsidP="004D10D3">
      <w:pPr>
        <w:spacing w:before="100" w:beforeAutospacing="1" w:after="100" w:afterAutospacing="1" w:line="480" w:lineRule="auto"/>
        <w:jc w:val="both"/>
        <w:rPr>
          <w:rFonts w:ascii="Times New Roman" w:hAnsi="Times New Roman" w:cs="Times New Roman"/>
          <w:sz w:val="28"/>
          <w:szCs w:val="28"/>
        </w:rPr>
      </w:pPr>
    </w:p>
    <w:p w:rsidR="009D4C59" w:rsidRPr="00556B86" w:rsidRDefault="009D4C59" w:rsidP="004D10D3">
      <w:pPr>
        <w:pStyle w:val="NormalWeb"/>
        <w:spacing w:line="480" w:lineRule="auto"/>
        <w:jc w:val="center"/>
        <w:rPr>
          <w:b/>
          <w:sz w:val="28"/>
          <w:szCs w:val="28"/>
        </w:rPr>
      </w:pPr>
    </w:p>
    <w:p w:rsidR="00556B86" w:rsidRDefault="00556B86">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912124" w:rsidRPr="00556B86" w:rsidRDefault="004D10D3" w:rsidP="00556B86">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4D10D3" w:rsidRPr="00556B86" w:rsidRDefault="004D10D3" w:rsidP="00556B86">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D10D3" w:rsidRPr="00556B86" w:rsidRDefault="004D10D3" w:rsidP="00556B86">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other fungal </w:t>
      </w:r>
      <w:r w:rsidRPr="00556B86">
        <w:rPr>
          <w:rFonts w:ascii="Times New Roman" w:hAnsi="Times New Roman" w:cs="Times New Roman"/>
          <w:sz w:val="28"/>
          <w:szCs w:val="28"/>
        </w:rPr>
        <w:lastRenderedPageBreak/>
        <w:t xml:space="preserve">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w:t>
      </w:r>
      <w:proofErr w:type="spellStart"/>
      <w:r w:rsidRPr="00556B86">
        <w:rPr>
          <w:rFonts w:ascii="Times New Roman" w:hAnsi="Times New Roman" w:cs="Times New Roman"/>
          <w:sz w:val="28"/>
          <w:szCs w:val="28"/>
        </w:rPr>
        <w:t>Agric</w:t>
      </w:r>
      <w:proofErr w:type="spellEnd"/>
      <w:r w:rsidRPr="00556B86">
        <w:rPr>
          <w:rFonts w:ascii="Times New Roman" w:hAnsi="Times New Roman" w:cs="Times New Roman"/>
          <w:sz w:val="28"/>
          <w:szCs w:val="28"/>
        </w:rPr>
        <w:t xml:space="preserve">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fungicide tolerance </w:t>
      </w:r>
      <w:r w:rsidRPr="00556B86">
        <w:rPr>
          <w:rFonts w:ascii="Times New Roman" w:hAnsi="Times New Roman" w:cs="Times New Roman"/>
          <w:sz w:val="28"/>
          <w:szCs w:val="28"/>
        </w:rPr>
        <w:lastRenderedPageBreak/>
        <w:t xml:space="preserve">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(Banerjee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w:t>
      </w:r>
      <w:proofErr w:type="spellStart"/>
      <w:r w:rsidRPr="00556B86">
        <w:rPr>
          <w:rFonts w:ascii="Times New Roman" w:hAnsi="Times New Roman" w:cs="Times New Roman"/>
          <w:sz w:val="28"/>
          <w:szCs w:val="28"/>
        </w:rPr>
        <w:t>Agric</w:t>
      </w:r>
      <w:proofErr w:type="spellEnd"/>
      <w:r w:rsidRPr="00556B86">
        <w:rPr>
          <w:rFonts w:ascii="Times New Roman" w:hAnsi="Times New Roman" w:cs="Times New Roman"/>
          <w:sz w:val="28"/>
          <w:szCs w:val="28"/>
        </w:rPr>
        <w:t xml:space="preserve">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w:t>
      </w:r>
      <w:proofErr w:type="spellStart"/>
      <w:r w:rsidRPr="00556B86">
        <w:rPr>
          <w:rFonts w:ascii="Times New Roman" w:hAnsi="Times New Roman" w:cs="Times New Roman"/>
          <w:sz w:val="28"/>
          <w:szCs w:val="28"/>
        </w:rPr>
        <w:t>Agric</w:t>
      </w:r>
      <w:proofErr w:type="spellEnd"/>
      <w:r w:rsidRPr="00556B86">
        <w:rPr>
          <w:rFonts w:ascii="Times New Roman" w:hAnsi="Times New Roman" w:cs="Times New Roman"/>
          <w:sz w:val="28"/>
          <w:szCs w:val="28"/>
        </w:rPr>
        <w:t xml:space="preserve">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decomposing </w:t>
      </w:r>
      <w:r w:rsidRPr="00556B86">
        <w:rPr>
          <w:rFonts w:ascii="Times New Roman" w:hAnsi="Times New Roman" w:cs="Times New Roman"/>
          <w:sz w:val="28"/>
          <w:szCs w:val="28"/>
        </w:rPr>
        <w:lastRenderedPageBreak/>
        <w:t xml:space="preserve">organic matter, improving soil structure, and facilitating plant-microbe interactions. The suppression of these organisms by fungicides could lead to long-term implications for soil fertility and ecosystem resilience (van der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taxa (Zhou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under chemical stress. Their persistence could be attributed to </w:t>
      </w:r>
      <w:r w:rsidRPr="00556B86">
        <w:rPr>
          <w:rFonts w:ascii="Times New Roman" w:hAnsi="Times New Roman" w:cs="Times New Roman"/>
          <w:sz w:val="28"/>
          <w:szCs w:val="28"/>
        </w:rPr>
        <w:lastRenderedPageBreak/>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Future studies should focus on long-term soil monitoring and functional assessment of surviving fungal taxa to understand the ecological implications of fungicide usage in agriculture.</w:t>
      </w:r>
    </w:p>
    <w:p w:rsidR="004D10D3" w:rsidRPr="00556B86" w:rsidRDefault="004D10D3" w:rsidP="004D10D3">
      <w:pPr>
        <w:spacing w:line="480" w:lineRule="auto"/>
        <w:jc w:val="both"/>
        <w:rPr>
          <w:rFonts w:ascii="Times New Roman" w:hAnsi="Times New Roman" w:cs="Times New Roman"/>
          <w:sz w:val="28"/>
          <w:szCs w:val="28"/>
        </w:rPr>
      </w:pPr>
    </w:p>
    <w:p w:rsidR="004D10D3" w:rsidRPr="00556B86" w:rsidRDefault="004D10D3" w:rsidP="00556B86">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556B86" w:rsidRDefault="00556B86" w:rsidP="00556B86">
      <w:pPr>
        <w:spacing w:line="480" w:lineRule="auto"/>
        <w:jc w:val="both"/>
        <w:rPr>
          <w:rFonts w:ascii="Times New Roman" w:hAnsi="Times New Roman" w:cs="Times New Roman"/>
          <w:b/>
        </w:rPr>
      </w:pPr>
      <w:bookmarkStart w:id="28" w:name="_Toc202976475"/>
    </w:p>
    <w:p w:rsidR="004D10D3" w:rsidRPr="00556B86" w:rsidRDefault="004D10D3" w:rsidP="00556B86">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xml:space="preserve">, O. A. (2023). Effects of agrochemicals on soil microbial diversity in tropical agricultural systems.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xml:space="preserve">, F. O. (2021). Influence of fungicides on soil fungal communities and crop performance. </w:t>
      </w:r>
      <w:r w:rsidRPr="00556B86">
        <w:rPr>
          <w:i/>
          <w:iCs/>
          <w:sz w:val="28"/>
          <w:szCs w:val="28"/>
        </w:rPr>
        <w:t>African Journal of Soil Biology</w:t>
      </w:r>
      <w:r w:rsidRPr="00556B86">
        <w:rPr>
          <w:sz w:val="28"/>
          <w:szCs w:val="28"/>
        </w:rPr>
        <w:t>, 27(1), 45–52.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Schlaeppi</w:t>
      </w:r>
      <w:proofErr w:type="spellEnd"/>
      <w:r w:rsidRPr="00556B86">
        <w:rPr>
          <w:sz w:val="28"/>
          <w:szCs w:val="28"/>
        </w:rPr>
        <w:t xml:space="preserve">, K., &amp; van der </w:t>
      </w:r>
      <w:proofErr w:type="spellStart"/>
      <w:r w:rsidRPr="00556B86">
        <w:rPr>
          <w:sz w:val="28"/>
          <w:szCs w:val="28"/>
        </w:rPr>
        <w:t>Heijden</w:t>
      </w:r>
      <w:proofErr w:type="spellEnd"/>
      <w:r w:rsidRPr="00556B86">
        <w:rPr>
          <w:sz w:val="28"/>
          <w:szCs w:val="28"/>
        </w:rPr>
        <w:t xml:space="preserve">, M. G. (2020). Keystone taxa as drivers of </w:t>
      </w:r>
      <w:proofErr w:type="spellStart"/>
      <w:r w:rsidRPr="00556B86">
        <w:rPr>
          <w:sz w:val="28"/>
          <w:szCs w:val="28"/>
        </w:rPr>
        <w:t>microbiome</w:t>
      </w:r>
      <w:proofErr w:type="spellEnd"/>
      <w:r w:rsidRPr="00556B86">
        <w:rPr>
          <w:sz w:val="28"/>
          <w:szCs w:val="28"/>
        </w:rPr>
        <w:t xml:space="preserve"> structure and functioning. </w:t>
      </w:r>
      <w:r w:rsidRPr="00556B86">
        <w:rPr>
          <w:rStyle w:val="Emphasis"/>
          <w:sz w:val="28"/>
          <w:szCs w:val="28"/>
        </w:rPr>
        <w:t>Nature Reviews Microbiology</w:t>
      </w:r>
      <w:r w:rsidRPr="00556B86">
        <w:rPr>
          <w:sz w:val="28"/>
          <w:szCs w:val="28"/>
        </w:rPr>
        <w:t>, 16(9), 567–576.</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Chen, L., Wang, Y., &amp; </w:t>
      </w:r>
      <w:proofErr w:type="spellStart"/>
      <w:r w:rsidRPr="00556B86">
        <w:rPr>
          <w:sz w:val="28"/>
          <w:szCs w:val="28"/>
        </w:rPr>
        <w:t>Guo</w:t>
      </w:r>
      <w:proofErr w:type="spellEnd"/>
      <w:r w:rsidRPr="00556B86">
        <w:rPr>
          <w:sz w:val="28"/>
          <w:szCs w:val="28"/>
        </w:rPr>
        <w:t xml:space="preserve">,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Dhingra</w:t>
      </w:r>
      <w:proofErr w:type="spellEnd"/>
      <w:r w:rsidRPr="00556B86">
        <w:rPr>
          <w:sz w:val="28"/>
          <w:szCs w:val="28"/>
        </w:rPr>
        <w:t xml:space="preserve">, O. D., &amp; Sinclair, J. B. (2020). </w:t>
      </w:r>
      <w:r w:rsidRPr="00556B86">
        <w:rPr>
          <w:rStyle w:val="Emphasis"/>
          <w:sz w:val="28"/>
          <w:szCs w:val="28"/>
        </w:rPr>
        <w:t>Basic Plant Pathology Methods</w:t>
      </w:r>
      <w:r w:rsidRPr="00556B86">
        <w:rPr>
          <w:sz w:val="28"/>
          <w:szCs w:val="28"/>
        </w:rPr>
        <w:t>. CRC Press.</w:t>
      </w:r>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xml:space="preserve">, F., &amp; Reitz, T. (2022). Impact of repeated fungicide applications on the soil </w:t>
      </w:r>
      <w:proofErr w:type="spellStart"/>
      <w:r w:rsidRPr="00556B86">
        <w:rPr>
          <w:sz w:val="28"/>
          <w:szCs w:val="28"/>
        </w:rPr>
        <w:t>microbiome</w:t>
      </w:r>
      <w:proofErr w:type="spellEnd"/>
      <w:r w:rsidRPr="00556B86">
        <w:rPr>
          <w:sz w:val="28"/>
          <w:szCs w:val="28"/>
        </w:rPr>
        <w:t xml:space="preserve"> in vineyards.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9" w:history="1">
        <w:r w:rsidRPr="00556B86">
          <w:rPr>
            <w:rStyle w:val="Hyperlink"/>
            <w:color w:val="auto"/>
            <w:sz w:val="28"/>
            <w:szCs w:val="28"/>
          </w:rPr>
          <w:t>https://doi.org/10.1016/j.scitotenv.2021.150383</w:t>
        </w:r>
      </w:hyperlink>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xml:space="preserve">, F., &amp; Reitz, T. (2022). Impact of repeated fungicide applications on the soil </w:t>
      </w:r>
      <w:proofErr w:type="spellStart"/>
      <w:r w:rsidRPr="00556B86">
        <w:rPr>
          <w:sz w:val="28"/>
          <w:szCs w:val="28"/>
        </w:rPr>
        <w:t>microbiome</w:t>
      </w:r>
      <w:proofErr w:type="spellEnd"/>
      <w:r w:rsidRPr="00556B86">
        <w:rPr>
          <w:sz w:val="28"/>
          <w:szCs w:val="28"/>
        </w:rPr>
        <w:t xml:space="preserve"> in vineyards.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González-Pérez, J. A., González-Vila, F. J., &amp; Plaza, C. (2020). The role of soil fungal communities in </w:t>
      </w:r>
      <w:proofErr w:type="spellStart"/>
      <w:r w:rsidRPr="00556B86">
        <w:rPr>
          <w:sz w:val="28"/>
          <w:szCs w:val="28"/>
        </w:rPr>
        <w:t>agroecosystems</w:t>
      </w:r>
      <w:proofErr w:type="spellEnd"/>
      <w:r w:rsidRPr="00556B86">
        <w:rPr>
          <w:sz w:val="28"/>
          <w:szCs w:val="28"/>
        </w:rPr>
        <w:t xml:space="preserve">.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González-Pérez, J. A., González-Vila, F. J., &amp; Plaza, C. (2020). The role of soil fungal communities in </w:t>
      </w:r>
      <w:proofErr w:type="spellStart"/>
      <w:r w:rsidRPr="00556B86">
        <w:rPr>
          <w:sz w:val="28"/>
          <w:szCs w:val="28"/>
        </w:rPr>
        <w:t>agroecosystems</w:t>
      </w:r>
      <w:proofErr w:type="spellEnd"/>
      <w:r w:rsidRPr="00556B86">
        <w:rPr>
          <w:sz w:val="28"/>
          <w:szCs w:val="28"/>
        </w:rPr>
        <w:t xml:space="preserve">.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xml:space="preserve">, L., &amp; Wu, Q. L. (2021).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r w:rsidRPr="00556B86">
        <w:rPr>
          <w:rStyle w:val="Emphasis"/>
          <w:sz w:val="28"/>
          <w:szCs w:val="28"/>
        </w:rPr>
        <w:t>Applied Soil Ecology</w:t>
      </w:r>
      <w:r w:rsidRPr="00556B86">
        <w:rPr>
          <w:sz w:val="28"/>
          <w:szCs w:val="28"/>
        </w:rPr>
        <w:t>, 168, 104147. https://doi.org/10.1016/j.apsoil.2021.104147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xml:space="preserve">, L., &amp; Wu, Q. L. (2021).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r w:rsidRPr="00556B86">
        <w:rPr>
          <w:rStyle w:val="Emphasis"/>
          <w:sz w:val="28"/>
          <w:szCs w:val="28"/>
        </w:rPr>
        <w:t>Applied Soil Ecology</w:t>
      </w:r>
      <w:r w:rsidRPr="00556B86">
        <w:rPr>
          <w:sz w:val="28"/>
          <w:szCs w:val="28"/>
        </w:rPr>
        <w:t xml:space="preserve">, 168, 104147. </w:t>
      </w:r>
      <w:hyperlink r:id="rId10" w:history="1">
        <w:r w:rsidRPr="00556B86">
          <w:rPr>
            <w:rStyle w:val="Hyperlink"/>
            <w:color w:val="auto"/>
            <w:sz w:val="28"/>
            <w:szCs w:val="28"/>
          </w:rPr>
          <w:t>https://doi.org/10.1016/j.apsoil.2021.104147</w:t>
        </w:r>
      </w:hyperlink>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xml:space="preserve">,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Kumar, R., </w:t>
      </w:r>
      <w:proofErr w:type="spellStart"/>
      <w:r w:rsidRPr="00556B86">
        <w:rPr>
          <w:sz w:val="28"/>
          <w:szCs w:val="28"/>
        </w:rPr>
        <w:t>Jha</w:t>
      </w:r>
      <w:proofErr w:type="spellEnd"/>
      <w:r w:rsidRPr="00556B86">
        <w:rPr>
          <w:sz w:val="28"/>
          <w:szCs w:val="28"/>
        </w:rPr>
        <w:t xml:space="preserve">,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xml:space="preserve">, O. O. (2022).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xml:space="preserve">, H. (2023). Efficacy of PDA and MEA media in fungal isolation from </w:t>
      </w:r>
      <w:proofErr w:type="spellStart"/>
      <w:r w:rsidRPr="00556B86">
        <w:rPr>
          <w:sz w:val="28"/>
          <w:szCs w:val="28"/>
        </w:rPr>
        <w:t>rhizospheric</w:t>
      </w:r>
      <w:proofErr w:type="spellEnd"/>
      <w:r w:rsidRPr="00556B86">
        <w:rPr>
          <w:sz w:val="28"/>
          <w:szCs w:val="28"/>
        </w:rPr>
        <w:t xml:space="preserve"> soils. </w:t>
      </w:r>
      <w:r w:rsidRPr="00556B86">
        <w:rPr>
          <w:i/>
          <w:iCs/>
          <w:sz w:val="28"/>
          <w:szCs w:val="28"/>
        </w:rPr>
        <w:t>Plant Pathology Research Journal</w:t>
      </w:r>
      <w:r w:rsidRPr="00556B86">
        <w:rPr>
          <w:sz w:val="28"/>
          <w:szCs w:val="28"/>
        </w:rPr>
        <w:t>, 8(1), 27–33.</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ml:space="preserve">,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xml:space="preserve">,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xml:space="preserve">, W., &amp; Dubois, D. (2020).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 </w:t>
      </w:r>
      <w:proofErr w:type="spell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xml:space="preserve">, W., &amp; Dubois, D. (2020).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der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11" w:history="1">
        <w:r w:rsidRPr="00556B86">
          <w:rPr>
            <w:rStyle w:val="Hyperlink"/>
            <w:color w:val="auto"/>
            <w:sz w:val="28"/>
            <w:szCs w:val="28"/>
          </w:rPr>
          <w:t>https://doi.org/10.1016/j.scitotenv.2020.144767</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xml:space="preserve">, T. (2021). Resistance mechanisms of yeast to antifungal agents and fungicides. </w:t>
      </w:r>
      <w:r w:rsidRPr="00556B86">
        <w:rPr>
          <w:rStyle w:val="Emphasis"/>
          <w:sz w:val="28"/>
          <w:szCs w:val="28"/>
        </w:rPr>
        <w:t>Journal of Pesticide Science</w:t>
      </w:r>
      <w:r w:rsidRPr="00556B86">
        <w:rPr>
          <w:sz w:val="28"/>
          <w:szCs w:val="28"/>
        </w:rPr>
        <w:t>, 46(1), 12–18.</w:t>
      </w:r>
    </w:p>
    <w:p w:rsidR="00410B39" w:rsidRPr="00556B86" w:rsidRDefault="00410B39" w:rsidP="00410B39">
      <w:pPr>
        <w:pStyle w:val="NormalWeb"/>
        <w:spacing w:line="480" w:lineRule="auto"/>
        <w:ind w:left="720" w:hanging="720"/>
        <w:jc w:val="both"/>
        <w:rPr>
          <w:sz w:val="28"/>
          <w:szCs w:val="28"/>
        </w:rPr>
      </w:pPr>
      <w:r w:rsidRPr="00556B86">
        <w:rPr>
          <w:sz w:val="28"/>
          <w:szCs w:val="28"/>
        </w:rPr>
        <w:lastRenderedPageBreak/>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J., Li, X., &amp; </w:t>
      </w:r>
      <w:proofErr w:type="spellStart"/>
      <w:r w:rsidRPr="00556B86">
        <w:rPr>
          <w:sz w:val="28"/>
          <w:szCs w:val="28"/>
        </w:rPr>
        <w:t>Xu</w:t>
      </w:r>
      <w:proofErr w:type="spellEnd"/>
      <w:r w:rsidRPr="00556B86">
        <w:rPr>
          <w:sz w:val="28"/>
          <w:szCs w:val="28"/>
        </w:rPr>
        <w:t xml:space="preserve">, J. (2022). Reduction in fungal diversity due to repeated fungicide application in </w:t>
      </w:r>
      <w:proofErr w:type="spellStart"/>
      <w:r w:rsidRPr="00556B86">
        <w:rPr>
          <w:sz w:val="28"/>
          <w:szCs w:val="28"/>
        </w:rPr>
        <w:t>agroecosystems</w:t>
      </w:r>
      <w:proofErr w:type="spellEnd"/>
      <w:r w:rsidRPr="00556B86">
        <w:rPr>
          <w:sz w:val="28"/>
          <w:szCs w:val="28"/>
        </w:rPr>
        <w:t xml:space="preserve">. </w:t>
      </w:r>
      <w:r w:rsidRPr="00556B86">
        <w:rPr>
          <w:i/>
          <w:iCs/>
          <w:sz w:val="28"/>
          <w:szCs w:val="28"/>
        </w:rPr>
        <w:t>Agriculture, Ecosystems &amp; Environment</w:t>
      </w:r>
      <w:r w:rsidRPr="00556B86">
        <w:rPr>
          <w:sz w:val="28"/>
          <w:szCs w:val="28"/>
        </w:rPr>
        <w:t>, 330, 107895. https://doi.org/10.1016/j.agee.2022.107895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Y., Zhou, M., &amp; Li, C. (2021). Impact of fungicides on soil </w:t>
      </w:r>
      <w:proofErr w:type="spellStart"/>
      <w:r w:rsidRPr="00556B86">
        <w:rPr>
          <w:sz w:val="28"/>
          <w:szCs w:val="28"/>
        </w:rPr>
        <w:t>microbiome</w:t>
      </w:r>
      <w:proofErr w:type="spellEnd"/>
      <w:r w:rsidRPr="00556B86">
        <w:rPr>
          <w:sz w:val="28"/>
          <w:szCs w:val="28"/>
        </w:rPr>
        <w:t xml:space="preserve"> and nutrient cycling. </w:t>
      </w:r>
      <w:r w:rsidRPr="00556B86">
        <w:rPr>
          <w:i/>
          <w:iCs/>
          <w:sz w:val="28"/>
          <w:szCs w:val="28"/>
        </w:rPr>
        <w:t>Environmental Pollution</w:t>
      </w:r>
      <w:r w:rsidRPr="00556B86">
        <w:rPr>
          <w:sz w:val="28"/>
          <w:szCs w:val="28"/>
        </w:rPr>
        <w:t>, 278, 116824. https://doi.org/10.1016/j.envpol.2021.116824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Zhou, J., </w:t>
      </w:r>
      <w:proofErr w:type="spellStart"/>
      <w:r w:rsidRPr="00556B86">
        <w:rPr>
          <w:sz w:val="28"/>
          <w:szCs w:val="28"/>
        </w:rPr>
        <w:t>Guo</w:t>
      </w:r>
      <w:proofErr w:type="spellEnd"/>
      <w:r w:rsidRPr="00556B86">
        <w:rPr>
          <w:sz w:val="28"/>
          <w:szCs w:val="28"/>
        </w:rPr>
        <w:t xml:space="preserve">,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rsidR="00410B39" w:rsidRPr="00556B86" w:rsidRDefault="00410B39" w:rsidP="004D10D3">
      <w:pPr>
        <w:pStyle w:val="NormalWeb"/>
        <w:spacing w:line="480" w:lineRule="auto"/>
        <w:ind w:left="720" w:hanging="720"/>
        <w:jc w:val="both"/>
        <w:rPr>
          <w:sz w:val="28"/>
          <w:szCs w:val="28"/>
        </w:rPr>
      </w:pPr>
    </w:p>
    <w:p w:rsidR="00F738B7" w:rsidRPr="00556B86" w:rsidRDefault="00F738B7" w:rsidP="004D10D3">
      <w:pPr>
        <w:spacing w:line="480" w:lineRule="auto"/>
        <w:jc w:val="both"/>
        <w:rPr>
          <w:rFonts w:ascii="Times New Roman" w:hAnsi="Times New Roman" w:cs="Times New Roman"/>
          <w:sz w:val="28"/>
          <w:szCs w:val="28"/>
        </w:rPr>
      </w:pPr>
    </w:p>
    <w:sectPr w:rsidR="00F738B7" w:rsidRPr="00556B86"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E0E" w:rsidRDefault="00A22E0E" w:rsidP="008664BB">
      <w:pPr>
        <w:spacing w:after="0" w:line="240" w:lineRule="auto"/>
      </w:pPr>
      <w:r>
        <w:separator/>
      </w:r>
    </w:p>
  </w:endnote>
  <w:endnote w:type="continuationSeparator" w:id="0">
    <w:p w:rsidR="00A22E0E" w:rsidRDefault="00A22E0E" w:rsidP="0086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02607"/>
      <w:docPartObj>
        <w:docPartGallery w:val="Page Numbers (Bottom of Page)"/>
        <w:docPartUnique/>
      </w:docPartObj>
    </w:sdtPr>
    <w:sdtEndPr>
      <w:rPr>
        <w:noProof/>
      </w:rPr>
    </w:sdtEndPr>
    <w:sdtContent>
      <w:p w:rsidR="008664BB" w:rsidRDefault="008664BB">
        <w:pPr>
          <w:pStyle w:val="Footer"/>
          <w:jc w:val="center"/>
        </w:pPr>
        <w:r>
          <w:fldChar w:fldCharType="begin"/>
        </w:r>
        <w:r>
          <w:instrText xml:space="preserve"> PAGE   \* MERGEFORMAT </w:instrText>
        </w:r>
        <w:r>
          <w:fldChar w:fldCharType="separate"/>
        </w:r>
        <w:r w:rsidR="00B56E27">
          <w:rPr>
            <w:noProof/>
          </w:rPr>
          <w:t>2</w:t>
        </w:r>
        <w:r>
          <w:rPr>
            <w:noProof/>
          </w:rPr>
          <w:fldChar w:fldCharType="end"/>
        </w:r>
      </w:p>
    </w:sdtContent>
  </w:sdt>
  <w:p w:rsidR="008664BB" w:rsidRDefault="0086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E0E" w:rsidRDefault="00A22E0E" w:rsidP="008664BB">
      <w:pPr>
        <w:spacing w:after="0" w:line="240" w:lineRule="auto"/>
      </w:pPr>
      <w:r>
        <w:separator/>
      </w:r>
    </w:p>
  </w:footnote>
  <w:footnote w:type="continuationSeparator" w:id="0">
    <w:p w:rsidR="00A22E0E" w:rsidRDefault="00A22E0E" w:rsidP="00866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57DAE"/>
    <w:multiLevelType w:val="multilevel"/>
    <w:tmpl w:val="8E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21058"/>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53D"/>
    <w:multiLevelType w:val="multilevel"/>
    <w:tmpl w:val="3C6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99"/>
    <w:rsid w:val="00073819"/>
    <w:rsid w:val="00107089"/>
    <w:rsid w:val="00127FD8"/>
    <w:rsid w:val="00191234"/>
    <w:rsid w:val="002431EC"/>
    <w:rsid w:val="00280381"/>
    <w:rsid w:val="002B0BB5"/>
    <w:rsid w:val="00410B39"/>
    <w:rsid w:val="004D10D3"/>
    <w:rsid w:val="00556B86"/>
    <w:rsid w:val="00645FF4"/>
    <w:rsid w:val="0078606D"/>
    <w:rsid w:val="007A5C16"/>
    <w:rsid w:val="00830DD1"/>
    <w:rsid w:val="008664BB"/>
    <w:rsid w:val="008E05E5"/>
    <w:rsid w:val="00912124"/>
    <w:rsid w:val="0098466D"/>
    <w:rsid w:val="009D4C59"/>
    <w:rsid w:val="009F1399"/>
    <w:rsid w:val="00A22E0E"/>
    <w:rsid w:val="00AB2A02"/>
    <w:rsid w:val="00B52347"/>
    <w:rsid w:val="00B56E27"/>
    <w:rsid w:val="00BD27CE"/>
    <w:rsid w:val="00C77AD7"/>
    <w:rsid w:val="00D415F8"/>
    <w:rsid w:val="00DA0F41"/>
    <w:rsid w:val="00DF792E"/>
    <w:rsid w:val="00E6797D"/>
    <w:rsid w:val="00E71726"/>
    <w:rsid w:val="00F57D6E"/>
    <w:rsid w:val="00F738B7"/>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0039E-C6CC-4BB6-A39F-407CB27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6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43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31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2"/>
    <w:pPr>
      <w:ind w:left="720"/>
      <w:contextualSpacing/>
    </w:pPr>
  </w:style>
  <w:style w:type="paragraph" w:styleId="NormalWeb">
    <w:name w:val="Normal (Web)"/>
    <w:basedOn w:val="Normal"/>
    <w:uiPriority w:val="99"/>
    <w:unhideWhenUsed/>
    <w:rsid w:val="00F738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8B7"/>
    <w:rPr>
      <w:b/>
      <w:bCs/>
    </w:rPr>
  </w:style>
  <w:style w:type="character" w:styleId="Emphasis">
    <w:name w:val="Emphasis"/>
    <w:basedOn w:val="DefaultParagraphFont"/>
    <w:uiPriority w:val="20"/>
    <w:qFormat/>
    <w:rsid w:val="00F738B7"/>
    <w:rPr>
      <w:i/>
      <w:iCs/>
    </w:rPr>
  </w:style>
  <w:style w:type="character" w:styleId="Hyperlink">
    <w:name w:val="Hyperlink"/>
    <w:basedOn w:val="DefaultParagraphFont"/>
    <w:uiPriority w:val="99"/>
    <w:unhideWhenUsed/>
    <w:rsid w:val="00912124"/>
    <w:rPr>
      <w:color w:val="0563C1" w:themeColor="hyperlink"/>
      <w:u w:val="single"/>
    </w:rPr>
  </w:style>
  <w:style w:type="character" w:customStyle="1" w:styleId="Heading2Char">
    <w:name w:val="Heading 2 Char"/>
    <w:basedOn w:val="DefaultParagraphFont"/>
    <w:link w:val="Heading2"/>
    <w:uiPriority w:val="9"/>
    <w:rsid w:val="00243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1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431EC"/>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2431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B"/>
  </w:style>
  <w:style w:type="paragraph" w:styleId="Footer">
    <w:name w:val="footer"/>
    <w:basedOn w:val="Normal"/>
    <w:link w:val="FooterChar"/>
    <w:uiPriority w:val="99"/>
    <w:unhideWhenUsed/>
    <w:rsid w:val="0086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BB"/>
  </w:style>
  <w:style w:type="character" w:customStyle="1" w:styleId="Heading1Char">
    <w:name w:val="Heading 1 Char"/>
    <w:basedOn w:val="DefaultParagraphFont"/>
    <w:link w:val="Heading1"/>
    <w:uiPriority w:val="9"/>
    <w:rsid w:val="00556B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6B86"/>
    <w:pPr>
      <w:outlineLvl w:val="9"/>
    </w:pPr>
  </w:style>
  <w:style w:type="paragraph" w:styleId="TOC1">
    <w:name w:val="toc 1"/>
    <w:basedOn w:val="Normal"/>
    <w:next w:val="Normal"/>
    <w:autoRedefine/>
    <w:uiPriority w:val="39"/>
    <w:unhideWhenUsed/>
    <w:rsid w:val="00556B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515">
      <w:bodyDiv w:val="1"/>
      <w:marLeft w:val="0"/>
      <w:marRight w:val="0"/>
      <w:marTop w:val="0"/>
      <w:marBottom w:val="0"/>
      <w:divBdr>
        <w:top w:val="none" w:sz="0" w:space="0" w:color="auto"/>
        <w:left w:val="none" w:sz="0" w:space="0" w:color="auto"/>
        <w:bottom w:val="none" w:sz="0" w:space="0" w:color="auto"/>
        <w:right w:val="none" w:sz="0" w:space="0" w:color="auto"/>
      </w:divBdr>
    </w:div>
    <w:div w:id="52581003">
      <w:bodyDiv w:val="1"/>
      <w:marLeft w:val="0"/>
      <w:marRight w:val="0"/>
      <w:marTop w:val="0"/>
      <w:marBottom w:val="0"/>
      <w:divBdr>
        <w:top w:val="none" w:sz="0" w:space="0" w:color="auto"/>
        <w:left w:val="none" w:sz="0" w:space="0" w:color="auto"/>
        <w:bottom w:val="none" w:sz="0" w:space="0" w:color="auto"/>
        <w:right w:val="none" w:sz="0" w:space="0" w:color="auto"/>
      </w:divBdr>
    </w:div>
    <w:div w:id="160435663">
      <w:bodyDiv w:val="1"/>
      <w:marLeft w:val="0"/>
      <w:marRight w:val="0"/>
      <w:marTop w:val="0"/>
      <w:marBottom w:val="0"/>
      <w:divBdr>
        <w:top w:val="none" w:sz="0" w:space="0" w:color="auto"/>
        <w:left w:val="none" w:sz="0" w:space="0" w:color="auto"/>
        <w:bottom w:val="none" w:sz="0" w:space="0" w:color="auto"/>
        <w:right w:val="none" w:sz="0" w:space="0" w:color="auto"/>
      </w:divBdr>
    </w:div>
    <w:div w:id="182282861">
      <w:bodyDiv w:val="1"/>
      <w:marLeft w:val="0"/>
      <w:marRight w:val="0"/>
      <w:marTop w:val="0"/>
      <w:marBottom w:val="0"/>
      <w:divBdr>
        <w:top w:val="none" w:sz="0" w:space="0" w:color="auto"/>
        <w:left w:val="none" w:sz="0" w:space="0" w:color="auto"/>
        <w:bottom w:val="none" w:sz="0" w:space="0" w:color="auto"/>
        <w:right w:val="none" w:sz="0" w:space="0" w:color="auto"/>
      </w:divBdr>
    </w:div>
    <w:div w:id="229779617">
      <w:bodyDiv w:val="1"/>
      <w:marLeft w:val="0"/>
      <w:marRight w:val="0"/>
      <w:marTop w:val="0"/>
      <w:marBottom w:val="0"/>
      <w:divBdr>
        <w:top w:val="none" w:sz="0" w:space="0" w:color="auto"/>
        <w:left w:val="none" w:sz="0" w:space="0" w:color="auto"/>
        <w:bottom w:val="none" w:sz="0" w:space="0" w:color="auto"/>
        <w:right w:val="none" w:sz="0" w:space="0" w:color="auto"/>
      </w:divBdr>
    </w:div>
    <w:div w:id="306396110">
      <w:bodyDiv w:val="1"/>
      <w:marLeft w:val="0"/>
      <w:marRight w:val="0"/>
      <w:marTop w:val="0"/>
      <w:marBottom w:val="0"/>
      <w:divBdr>
        <w:top w:val="none" w:sz="0" w:space="0" w:color="auto"/>
        <w:left w:val="none" w:sz="0" w:space="0" w:color="auto"/>
        <w:bottom w:val="none" w:sz="0" w:space="0" w:color="auto"/>
        <w:right w:val="none" w:sz="0" w:space="0" w:color="auto"/>
      </w:divBdr>
    </w:div>
    <w:div w:id="315955946">
      <w:bodyDiv w:val="1"/>
      <w:marLeft w:val="0"/>
      <w:marRight w:val="0"/>
      <w:marTop w:val="0"/>
      <w:marBottom w:val="0"/>
      <w:divBdr>
        <w:top w:val="none" w:sz="0" w:space="0" w:color="auto"/>
        <w:left w:val="none" w:sz="0" w:space="0" w:color="auto"/>
        <w:bottom w:val="none" w:sz="0" w:space="0" w:color="auto"/>
        <w:right w:val="none" w:sz="0" w:space="0" w:color="auto"/>
      </w:divBdr>
    </w:div>
    <w:div w:id="528565021">
      <w:bodyDiv w:val="1"/>
      <w:marLeft w:val="0"/>
      <w:marRight w:val="0"/>
      <w:marTop w:val="0"/>
      <w:marBottom w:val="0"/>
      <w:divBdr>
        <w:top w:val="none" w:sz="0" w:space="0" w:color="auto"/>
        <w:left w:val="none" w:sz="0" w:space="0" w:color="auto"/>
        <w:bottom w:val="none" w:sz="0" w:space="0" w:color="auto"/>
        <w:right w:val="none" w:sz="0" w:space="0" w:color="auto"/>
      </w:divBdr>
    </w:div>
    <w:div w:id="590356159">
      <w:bodyDiv w:val="1"/>
      <w:marLeft w:val="0"/>
      <w:marRight w:val="0"/>
      <w:marTop w:val="0"/>
      <w:marBottom w:val="0"/>
      <w:divBdr>
        <w:top w:val="none" w:sz="0" w:space="0" w:color="auto"/>
        <w:left w:val="none" w:sz="0" w:space="0" w:color="auto"/>
        <w:bottom w:val="none" w:sz="0" w:space="0" w:color="auto"/>
        <w:right w:val="none" w:sz="0" w:space="0" w:color="auto"/>
      </w:divBdr>
    </w:div>
    <w:div w:id="655231437">
      <w:bodyDiv w:val="1"/>
      <w:marLeft w:val="0"/>
      <w:marRight w:val="0"/>
      <w:marTop w:val="0"/>
      <w:marBottom w:val="0"/>
      <w:divBdr>
        <w:top w:val="none" w:sz="0" w:space="0" w:color="auto"/>
        <w:left w:val="none" w:sz="0" w:space="0" w:color="auto"/>
        <w:bottom w:val="none" w:sz="0" w:space="0" w:color="auto"/>
        <w:right w:val="none" w:sz="0" w:space="0" w:color="auto"/>
      </w:divBdr>
    </w:div>
    <w:div w:id="669334553">
      <w:bodyDiv w:val="1"/>
      <w:marLeft w:val="0"/>
      <w:marRight w:val="0"/>
      <w:marTop w:val="0"/>
      <w:marBottom w:val="0"/>
      <w:divBdr>
        <w:top w:val="none" w:sz="0" w:space="0" w:color="auto"/>
        <w:left w:val="none" w:sz="0" w:space="0" w:color="auto"/>
        <w:bottom w:val="none" w:sz="0" w:space="0" w:color="auto"/>
        <w:right w:val="none" w:sz="0" w:space="0" w:color="auto"/>
      </w:divBdr>
    </w:div>
    <w:div w:id="1194078469">
      <w:bodyDiv w:val="1"/>
      <w:marLeft w:val="0"/>
      <w:marRight w:val="0"/>
      <w:marTop w:val="0"/>
      <w:marBottom w:val="0"/>
      <w:divBdr>
        <w:top w:val="none" w:sz="0" w:space="0" w:color="auto"/>
        <w:left w:val="none" w:sz="0" w:space="0" w:color="auto"/>
        <w:bottom w:val="none" w:sz="0" w:space="0" w:color="auto"/>
        <w:right w:val="none" w:sz="0" w:space="0" w:color="auto"/>
      </w:divBdr>
    </w:div>
    <w:div w:id="1201363521">
      <w:bodyDiv w:val="1"/>
      <w:marLeft w:val="0"/>
      <w:marRight w:val="0"/>
      <w:marTop w:val="0"/>
      <w:marBottom w:val="0"/>
      <w:divBdr>
        <w:top w:val="none" w:sz="0" w:space="0" w:color="auto"/>
        <w:left w:val="none" w:sz="0" w:space="0" w:color="auto"/>
        <w:bottom w:val="none" w:sz="0" w:space="0" w:color="auto"/>
        <w:right w:val="none" w:sz="0" w:space="0" w:color="auto"/>
      </w:divBdr>
    </w:div>
    <w:div w:id="1219586270">
      <w:bodyDiv w:val="1"/>
      <w:marLeft w:val="0"/>
      <w:marRight w:val="0"/>
      <w:marTop w:val="0"/>
      <w:marBottom w:val="0"/>
      <w:divBdr>
        <w:top w:val="none" w:sz="0" w:space="0" w:color="auto"/>
        <w:left w:val="none" w:sz="0" w:space="0" w:color="auto"/>
        <w:bottom w:val="none" w:sz="0" w:space="0" w:color="auto"/>
        <w:right w:val="none" w:sz="0" w:space="0" w:color="auto"/>
      </w:divBdr>
      <w:divsChild>
        <w:div w:id="1257862267">
          <w:marLeft w:val="0"/>
          <w:marRight w:val="0"/>
          <w:marTop w:val="0"/>
          <w:marBottom w:val="0"/>
          <w:divBdr>
            <w:top w:val="none" w:sz="0" w:space="0" w:color="auto"/>
            <w:left w:val="none" w:sz="0" w:space="0" w:color="auto"/>
            <w:bottom w:val="none" w:sz="0" w:space="0" w:color="auto"/>
            <w:right w:val="none" w:sz="0" w:space="0" w:color="auto"/>
          </w:divBdr>
          <w:divsChild>
            <w:div w:id="411049794">
              <w:marLeft w:val="0"/>
              <w:marRight w:val="0"/>
              <w:marTop w:val="0"/>
              <w:marBottom w:val="0"/>
              <w:divBdr>
                <w:top w:val="none" w:sz="0" w:space="0" w:color="auto"/>
                <w:left w:val="none" w:sz="0" w:space="0" w:color="auto"/>
                <w:bottom w:val="none" w:sz="0" w:space="0" w:color="auto"/>
                <w:right w:val="none" w:sz="0" w:space="0" w:color="auto"/>
              </w:divBdr>
            </w:div>
          </w:divsChild>
        </w:div>
        <w:div w:id="1521042266">
          <w:marLeft w:val="0"/>
          <w:marRight w:val="0"/>
          <w:marTop w:val="0"/>
          <w:marBottom w:val="0"/>
          <w:divBdr>
            <w:top w:val="none" w:sz="0" w:space="0" w:color="auto"/>
            <w:left w:val="none" w:sz="0" w:space="0" w:color="auto"/>
            <w:bottom w:val="none" w:sz="0" w:space="0" w:color="auto"/>
            <w:right w:val="none" w:sz="0" w:space="0" w:color="auto"/>
          </w:divBdr>
          <w:divsChild>
            <w:div w:id="1123503899">
              <w:marLeft w:val="0"/>
              <w:marRight w:val="0"/>
              <w:marTop w:val="0"/>
              <w:marBottom w:val="0"/>
              <w:divBdr>
                <w:top w:val="none" w:sz="0" w:space="0" w:color="auto"/>
                <w:left w:val="none" w:sz="0" w:space="0" w:color="auto"/>
                <w:bottom w:val="none" w:sz="0" w:space="0" w:color="auto"/>
                <w:right w:val="none" w:sz="0" w:space="0" w:color="auto"/>
              </w:divBdr>
            </w:div>
          </w:divsChild>
        </w:div>
        <w:div w:id="1033072256">
          <w:marLeft w:val="0"/>
          <w:marRight w:val="0"/>
          <w:marTop w:val="0"/>
          <w:marBottom w:val="0"/>
          <w:divBdr>
            <w:top w:val="none" w:sz="0" w:space="0" w:color="auto"/>
            <w:left w:val="none" w:sz="0" w:space="0" w:color="auto"/>
            <w:bottom w:val="none" w:sz="0" w:space="0" w:color="auto"/>
            <w:right w:val="none" w:sz="0" w:space="0" w:color="auto"/>
          </w:divBdr>
          <w:divsChild>
            <w:div w:id="570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281">
      <w:bodyDiv w:val="1"/>
      <w:marLeft w:val="0"/>
      <w:marRight w:val="0"/>
      <w:marTop w:val="0"/>
      <w:marBottom w:val="0"/>
      <w:divBdr>
        <w:top w:val="none" w:sz="0" w:space="0" w:color="auto"/>
        <w:left w:val="none" w:sz="0" w:space="0" w:color="auto"/>
        <w:bottom w:val="none" w:sz="0" w:space="0" w:color="auto"/>
        <w:right w:val="none" w:sz="0" w:space="0" w:color="auto"/>
      </w:divBdr>
    </w:div>
    <w:div w:id="1463890689">
      <w:bodyDiv w:val="1"/>
      <w:marLeft w:val="0"/>
      <w:marRight w:val="0"/>
      <w:marTop w:val="0"/>
      <w:marBottom w:val="0"/>
      <w:divBdr>
        <w:top w:val="none" w:sz="0" w:space="0" w:color="auto"/>
        <w:left w:val="none" w:sz="0" w:space="0" w:color="auto"/>
        <w:bottom w:val="none" w:sz="0" w:space="0" w:color="auto"/>
        <w:right w:val="none" w:sz="0" w:space="0" w:color="auto"/>
      </w:divBdr>
    </w:div>
    <w:div w:id="1475023620">
      <w:bodyDiv w:val="1"/>
      <w:marLeft w:val="0"/>
      <w:marRight w:val="0"/>
      <w:marTop w:val="0"/>
      <w:marBottom w:val="0"/>
      <w:divBdr>
        <w:top w:val="none" w:sz="0" w:space="0" w:color="auto"/>
        <w:left w:val="none" w:sz="0" w:space="0" w:color="auto"/>
        <w:bottom w:val="none" w:sz="0" w:space="0" w:color="auto"/>
        <w:right w:val="none" w:sz="0" w:space="0" w:color="auto"/>
      </w:divBdr>
    </w:div>
    <w:div w:id="1479808767">
      <w:bodyDiv w:val="1"/>
      <w:marLeft w:val="0"/>
      <w:marRight w:val="0"/>
      <w:marTop w:val="0"/>
      <w:marBottom w:val="0"/>
      <w:divBdr>
        <w:top w:val="none" w:sz="0" w:space="0" w:color="auto"/>
        <w:left w:val="none" w:sz="0" w:space="0" w:color="auto"/>
        <w:bottom w:val="none" w:sz="0" w:space="0" w:color="auto"/>
        <w:right w:val="none" w:sz="0" w:space="0" w:color="auto"/>
      </w:divBdr>
    </w:div>
    <w:div w:id="1605186335">
      <w:bodyDiv w:val="1"/>
      <w:marLeft w:val="0"/>
      <w:marRight w:val="0"/>
      <w:marTop w:val="0"/>
      <w:marBottom w:val="0"/>
      <w:divBdr>
        <w:top w:val="none" w:sz="0" w:space="0" w:color="auto"/>
        <w:left w:val="none" w:sz="0" w:space="0" w:color="auto"/>
        <w:bottom w:val="none" w:sz="0" w:space="0" w:color="auto"/>
        <w:right w:val="none" w:sz="0" w:space="0" w:color="auto"/>
      </w:divBdr>
    </w:div>
    <w:div w:id="1657222658">
      <w:bodyDiv w:val="1"/>
      <w:marLeft w:val="0"/>
      <w:marRight w:val="0"/>
      <w:marTop w:val="0"/>
      <w:marBottom w:val="0"/>
      <w:divBdr>
        <w:top w:val="none" w:sz="0" w:space="0" w:color="auto"/>
        <w:left w:val="none" w:sz="0" w:space="0" w:color="auto"/>
        <w:bottom w:val="none" w:sz="0" w:space="0" w:color="auto"/>
        <w:right w:val="none" w:sz="0" w:space="0" w:color="auto"/>
      </w:divBdr>
    </w:div>
    <w:div w:id="1688559242">
      <w:bodyDiv w:val="1"/>
      <w:marLeft w:val="0"/>
      <w:marRight w:val="0"/>
      <w:marTop w:val="0"/>
      <w:marBottom w:val="0"/>
      <w:divBdr>
        <w:top w:val="none" w:sz="0" w:space="0" w:color="auto"/>
        <w:left w:val="none" w:sz="0" w:space="0" w:color="auto"/>
        <w:bottom w:val="none" w:sz="0" w:space="0" w:color="auto"/>
        <w:right w:val="none" w:sz="0" w:space="0" w:color="auto"/>
      </w:divBdr>
    </w:div>
    <w:div w:id="1894735704">
      <w:bodyDiv w:val="1"/>
      <w:marLeft w:val="0"/>
      <w:marRight w:val="0"/>
      <w:marTop w:val="0"/>
      <w:marBottom w:val="0"/>
      <w:divBdr>
        <w:top w:val="none" w:sz="0" w:space="0" w:color="auto"/>
        <w:left w:val="none" w:sz="0" w:space="0" w:color="auto"/>
        <w:bottom w:val="none" w:sz="0" w:space="0" w:color="auto"/>
        <w:right w:val="none" w:sz="0" w:space="0" w:color="auto"/>
      </w:divBdr>
    </w:div>
    <w:div w:id="1984040539">
      <w:bodyDiv w:val="1"/>
      <w:marLeft w:val="0"/>
      <w:marRight w:val="0"/>
      <w:marTop w:val="0"/>
      <w:marBottom w:val="0"/>
      <w:divBdr>
        <w:top w:val="none" w:sz="0" w:space="0" w:color="auto"/>
        <w:left w:val="none" w:sz="0" w:space="0" w:color="auto"/>
        <w:bottom w:val="none" w:sz="0" w:space="0" w:color="auto"/>
        <w:right w:val="none" w:sz="0" w:space="0" w:color="auto"/>
      </w:divBdr>
    </w:div>
    <w:div w:id="1996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0.144767" TargetMode="External"/><Relationship Id="rId5" Type="http://schemas.openxmlformats.org/officeDocument/2006/relationships/footnotes" Target="footnotes.xml"/><Relationship Id="rId10" Type="http://schemas.openxmlformats.org/officeDocument/2006/relationships/hyperlink" Target="https://doi.org/10.1016/j.apsoil.2021.104147" TargetMode="External"/><Relationship Id="rId4" Type="http://schemas.openxmlformats.org/officeDocument/2006/relationships/webSettings" Target="webSettings.xml"/><Relationship Id="rId9" Type="http://schemas.openxmlformats.org/officeDocument/2006/relationships/hyperlink" Target="https://doi.org/10.1016/j.scitotenv.2021.15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42</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2025-07-05T11:21:00Z</dcterms:created>
  <dcterms:modified xsi:type="dcterms:W3CDTF">2025-07-10T13:23:00Z</dcterms:modified>
</cp:coreProperties>
</file>