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CE" w:rsidRPr="00621DA9" w:rsidRDefault="00182FCE" w:rsidP="00182FCE">
      <w:pPr>
        <w:spacing w:after="0" w:line="360" w:lineRule="auto"/>
        <w:jc w:val="center"/>
        <w:rPr>
          <w:rFonts w:ascii="Times New Roman" w:hAnsi="Times New Roman" w:cs="Times New Roman"/>
          <w:b/>
          <w:sz w:val="28"/>
          <w:szCs w:val="28"/>
        </w:rPr>
      </w:pPr>
      <w:r w:rsidRPr="00621DA9">
        <w:rPr>
          <w:rFonts w:ascii="Times New Roman" w:hAnsi="Times New Roman" w:cs="Times New Roman"/>
          <w:b/>
          <w:sz w:val="28"/>
          <w:szCs w:val="28"/>
        </w:rPr>
        <w:t xml:space="preserve">THE POTENCY OF </w:t>
      </w:r>
      <w:r w:rsidRPr="00621DA9">
        <w:rPr>
          <w:rFonts w:ascii="Times New Roman" w:hAnsi="Times New Roman" w:cs="Times New Roman"/>
          <w:b/>
          <w:i/>
          <w:sz w:val="28"/>
          <w:szCs w:val="28"/>
        </w:rPr>
        <w:t xml:space="preserve">PENICILLIUM </w:t>
      </w:r>
      <w:r w:rsidRPr="00621DA9">
        <w:rPr>
          <w:rFonts w:ascii="Times New Roman" w:hAnsi="Times New Roman" w:cs="Times New Roman"/>
          <w:b/>
          <w:sz w:val="28"/>
          <w:szCs w:val="28"/>
        </w:rPr>
        <w:t>CITRININ TOXIN</w:t>
      </w:r>
    </w:p>
    <w:p w:rsidR="00182FCE" w:rsidRDefault="00182FCE" w:rsidP="00182FCE">
      <w:pPr>
        <w:spacing w:after="0" w:line="360" w:lineRule="auto"/>
        <w:jc w:val="center"/>
        <w:rPr>
          <w:rFonts w:ascii="Times New Roman" w:hAnsi="Times New Roman" w:cs="Times New Roman"/>
          <w:b/>
          <w:sz w:val="28"/>
          <w:szCs w:val="28"/>
        </w:rPr>
      </w:pPr>
    </w:p>
    <w:p w:rsidR="00182FCE" w:rsidRPr="006A21FC" w:rsidRDefault="00182FCE" w:rsidP="00182FCE">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182FCE" w:rsidRDefault="00182FCE" w:rsidP="00182FCE">
      <w:pPr>
        <w:spacing w:after="0" w:line="360" w:lineRule="auto"/>
        <w:jc w:val="center"/>
        <w:rPr>
          <w:rFonts w:ascii="Times New Roman" w:hAnsi="Times New Roman" w:cs="Times New Roman"/>
          <w:b/>
          <w:sz w:val="28"/>
          <w:szCs w:val="28"/>
        </w:rPr>
      </w:pPr>
    </w:p>
    <w:p w:rsidR="00182FCE" w:rsidRDefault="00182FCE" w:rsidP="00182FCE">
      <w:pPr>
        <w:spacing w:line="240" w:lineRule="auto"/>
        <w:jc w:val="center"/>
        <w:rPr>
          <w:rFonts w:ascii="Arial Black" w:hAnsi="Arial Black" w:cs="Times New Roman"/>
          <w:sz w:val="28"/>
          <w:szCs w:val="28"/>
        </w:rPr>
      </w:pPr>
      <w:r>
        <w:rPr>
          <w:rFonts w:ascii="Arial Black" w:hAnsi="Arial Black" w:cs="Times New Roman"/>
          <w:sz w:val="28"/>
          <w:szCs w:val="28"/>
        </w:rPr>
        <w:t>HASSAN RASHEEDAT OLAJUMOKE</w:t>
      </w:r>
    </w:p>
    <w:p w:rsidR="00182FCE" w:rsidRDefault="00182FCE" w:rsidP="00182FCE">
      <w:pPr>
        <w:spacing w:line="240" w:lineRule="auto"/>
        <w:jc w:val="center"/>
        <w:rPr>
          <w:rFonts w:ascii="Arial Black" w:hAnsi="Arial Black" w:cs="Times New Roman"/>
          <w:sz w:val="28"/>
          <w:szCs w:val="28"/>
        </w:rPr>
      </w:pPr>
      <w:r w:rsidRPr="006A21FC">
        <w:rPr>
          <w:rFonts w:ascii="Arial Black" w:hAnsi="Arial Black" w:cs="Times New Roman"/>
          <w:sz w:val="28"/>
          <w:szCs w:val="28"/>
        </w:rPr>
        <w:t>HND/23/SLT/FT/</w:t>
      </w:r>
      <w:r>
        <w:rPr>
          <w:rFonts w:ascii="Arial Black" w:hAnsi="Arial Black" w:cs="Times New Roman"/>
          <w:sz w:val="28"/>
          <w:szCs w:val="28"/>
        </w:rPr>
        <w:t>0972</w:t>
      </w:r>
    </w:p>
    <w:p w:rsidR="00182FCE" w:rsidRPr="006A21FC" w:rsidRDefault="00182FCE" w:rsidP="00182FCE">
      <w:pPr>
        <w:spacing w:line="240" w:lineRule="auto"/>
        <w:jc w:val="center"/>
        <w:rPr>
          <w:rFonts w:ascii="Arial Black" w:hAnsi="Arial Black" w:cs="Times New Roman"/>
          <w:sz w:val="28"/>
          <w:szCs w:val="28"/>
        </w:rPr>
      </w:pPr>
    </w:p>
    <w:p w:rsidR="00182FCE" w:rsidRDefault="00182FCE" w:rsidP="00182FC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182FCE" w:rsidRDefault="00182FCE" w:rsidP="00182FC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182FCE" w:rsidRDefault="00182FCE" w:rsidP="00182FC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182FCE" w:rsidRDefault="00182FCE" w:rsidP="00182FCE">
      <w:pPr>
        <w:spacing w:after="0" w:line="360" w:lineRule="auto"/>
        <w:jc w:val="center"/>
        <w:rPr>
          <w:rFonts w:ascii="Times New Roman" w:hAnsi="Times New Roman" w:cs="Times New Roman"/>
          <w:b/>
          <w:sz w:val="28"/>
          <w:szCs w:val="28"/>
        </w:rPr>
      </w:pPr>
    </w:p>
    <w:p w:rsidR="00182FCE" w:rsidRDefault="00182FCE" w:rsidP="00182FCE">
      <w:pPr>
        <w:spacing w:after="0" w:line="360" w:lineRule="auto"/>
        <w:jc w:val="right"/>
        <w:rPr>
          <w:rFonts w:ascii="Times New Roman" w:hAnsi="Times New Roman" w:cs="Times New Roman"/>
          <w:b/>
          <w:bCs/>
          <w:sz w:val="28"/>
          <w:szCs w:val="28"/>
        </w:rPr>
      </w:pPr>
    </w:p>
    <w:p w:rsidR="00182FCE" w:rsidRDefault="00182FCE" w:rsidP="00182FCE">
      <w:pPr>
        <w:spacing w:after="0" w:line="360" w:lineRule="auto"/>
        <w:jc w:val="right"/>
        <w:rPr>
          <w:rFonts w:ascii="Times New Roman" w:hAnsi="Times New Roman" w:cs="Times New Roman"/>
          <w:b/>
          <w:bCs/>
          <w:sz w:val="28"/>
          <w:szCs w:val="28"/>
        </w:rPr>
      </w:pPr>
    </w:p>
    <w:p w:rsidR="00182FCE" w:rsidRDefault="00182FCE" w:rsidP="00182FCE">
      <w:pPr>
        <w:spacing w:after="0" w:line="360" w:lineRule="auto"/>
        <w:jc w:val="right"/>
        <w:rPr>
          <w:rFonts w:ascii="Times New Roman" w:hAnsi="Times New Roman" w:cs="Times New Roman"/>
          <w:b/>
          <w:bCs/>
          <w:sz w:val="28"/>
          <w:szCs w:val="28"/>
        </w:rPr>
      </w:pPr>
    </w:p>
    <w:p w:rsidR="00182FCE" w:rsidRDefault="00182FCE" w:rsidP="00182FCE">
      <w:pPr>
        <w:spacing w:after="0" w:line="360" w:lineRule="auto"/>
        <w:jc w:val="right"/>
        <w:rPr>
          <w:rFonts w:ascii="Times New Roman" w:hAnsi="Times New Roman" w:cs="Times New Roman"/>
          <w:b/>
          <w:bCs/>
          <w:sz w:val="28"/>
          <w:szCs w:val="28"/>
        </w:rPr>
      </w:pPr>
    </w:p>
    <w:p w:rsidR="00182FCE" w:rsidRDefault="00182FCE" w:rsidP="00182FCE">
      <w:pPr>
        <w:spacing w:after="0" w:line="360" w:lineRule="auto"/>
        <w:jc w:val="right"/>
        <w:rPr>
          <w:rFonts w:ascii="Times New Roman" w:hAnsi="Times New Roman" w:cs="Times New Roman"/>
          <w:b/>
          <w:bCs/>
          <w:sz w:val="28"/>
          <w:szCs w:val="28"/>
        </w:rPr>
      </w:pPr>
    </w:p>
    <w:p w:rsidR="00182FCE" w:rsidRDefault="00182FCE" w:rsidP="00182FCE">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182FCE" w:rsidRDefault="00182FCE" w:rsidP="00182FCE">
      <w:pPr>
        <w:spacing w:after="0" w:line="360" w:lineRule="auto"/>
        <w:jc w:val="right"/>
        <w:rPr>
          <w:rFonts w:ascii="Times New Roman" w:hAnsi="Times New Roman" w:cs="Times New Roman"/>
          <w:b/>
          <w:bCs/>
          <w:sz w:val="28"/>
          <w:szCs w:val="28"/>
        </w:rPr>
      </w:pPr>
    </w:p>
    <w:p w:rsidR="00182FCE" w:rsidRPr="006A21FC" w:rsidRDefault="00182FCE" w:rsidP="00182FCE">
      <w:pPr>
        <w:spacing w:after="0" w:line="360" w:lineRule="auto"/>
        <w:jc w:val="right"/>
        <w:rPr>
          <w:rFonts w:ascii="Times New Roman" w:hAnsi="Times New Roman" w:cs="Times New Roman"/>
          <w:b/>
          <w:bCs/>
          <w:sz w:val="28"/>
          <w:szCs w:val="28"/>
        </w:rPr>
      </w:pPr>
    </w:p>
    <w:p w:rsidR="00182FCE" w:rsidRDefault="00182FCE" w:rsidP="00182FCE">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182FCE" w:rsidRDefault="00182FCE" w:rsidP="00182FCE">
      <w:pPr>
        <w:spacing w:after="0" w:line="240" w:lineRule="auto"/>
        <w:jc w:val="center"/>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HASSAN RASHEEDAT OLAJUMOKEwith matric number HND/23/SLT/FT/0972 carried out in the Microbiology Unit of the Department of Science Laboratory Technology, Institute of Applied Sciences, Kwara State Polytechnic, Ilorin. The project is a true reflection of the student`s input.</w:t>
      </w:r>
    </w:p>
    <w:p w:rsidR="00182FCE" w:rsidRDefault="00182FCE" w:rsidP="00182FC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182FCE" w:rsidRDefault="00182FCE" w:rsidP="00182FC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182FCE" w:rsidRDefault="00182FCE" w:rsidP="00182FC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182FCE" w:rsidRDefault="00182FCE" w:rsidP="00182FCE">
      <w:pPr>
        <w:jc w:val="both"/>
        <w:rPr>
          <w:rFonts w:ascii="Times New Roman" w:hAnsi="Times New Roman" w:cs="Times New Roman"/>
          <w:sz w:val="28"/>
          <w:szCs w:val="28"/>
        </w:rPr>
      </w:pPr>
    </w:p>
    <w:p w:rsidR="00182FCE" w:rsidRDefault="00182FCE" w:rsidP="00182F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182FCE" w:rsidRDefault="00182FCE" w:rsidP="00182FCE">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182FCE" w:rsidRDefault="00182FCE" w:rsidP="00182FC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182FCE" w:rsidRDefault="00182FCE" w:rsidP="00182FCE">
      <w:pPr>
        <w:spacing w:after="0"/>
        <w:jc w:val="both"/>
        <w:rPr>
          <w:rFonts w:ascii="Times New Roman" w:hAnsi="Times New Roman" w:cs="Times New Roman"/>
          <w:sz w:val="28"/>
          <w:szCs w:val="28"/>
        </w:rPr>
      </w:pPr>
    </w:p>
    <w:p w:rsidR="00182FCE" w:rsidRDefault="00182FCE" w:rsidP="00182F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182FCE" w:rsidRDefault="00182FCE" w:rsidP="00182FCE">
      <w:pPr>
        <w:spacing w:after="0"/>
        <w:jc w:val="both"/>
        <w:rPr>
          <w:rFonts w:ascii="Times New Roman" w:hAnsi="Times New Roman" w:cs="Times New Roman"/>
          <w:sz w:val="28"/>
          <w:szCs w:val="28"/>
        </w:rPr>
      </w:pPr>
      <w:r>
        <w:rPr>
          <w:rFonts w:ascii="Times New Roman" w:hAnsi="Times New Roman" w:cs="Times New Roman"/>
          <w:sz w:val="28"/>
          <w:szCs w:val="28"/>
        </w:rPr>
        <w:t>DR.USMAN A.</w:t>
      </w:r>
    </w:p>
    <w:p w:rsidR="00182FCE" w:rsidRDefault="00182FCE" w:rsidP="00182FC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182FCE" w:rsidRDefault="00182FCE" w:rsidP="00182FCE">
      <w:pPr>
        <w:jc w:val="both"/>
        <w:rPr>
          <w:rFonts w:ascii="Times New Roman" w:hAnsi="Times New Roman" w:cs="Times New Roman"/>
          <w:sz w:val="28"/>
          <w:szCs w:val="28"/>
        </w:rPr>
      </w:pPr>
    </w:p>
    <w:p w:rsidR="00182FCE" w:rsidRDefault="00182FCE" w:rsidP="00182FC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182FCE" w:rsidRDefault="00182FCE" w:rsidP="00182FC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182FCE" w:rsidRDefault="00182FCE" w:rsidP="00182FCE">
      <w:pPr>
        <w:spacing w:line="480" w:lineRule="auto"/>
        <w:rPr>
          <w:rFonts w:ascii="Times New Roman" w:hAnsi="Times New Roman" w:cs="Times New Roman"/>
          <w:b/>
          <w:bCs/>
          <w:sz w:val="28"/>
          <w:szCs w:val="28"/>
        </w:rPr>
      </w:pPr>
    </w:p>
    <w:p w:rsidR="00182FCE" w:rsidRDefault="00182FCE" w:rsidP="00182FCE">
      <w:pPr>
        <w:spacing w:line="480" w:lineRule="auto"/>
        <w:rPr>
          <w:rFonts w:ascii="Times New Roman" w:hAnsi="Times New Roman" w:cs="Times New Roman"/>
          <w:b/>
          <w:bCs/>
          <w:sz w:val="28"/>
          <w:szCs w:val="28"/>
        </w:rPr>
      </w:pPr>
    </w:p>
    <w:p w:rsidR="00182FCE" w:rsidRDefault="00182FCE" w:rsidP="00182FCE">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182FCE" w:rsidRPr="00B12BF7" w:rsidRDefault="00182FCE" w:rsidP="00182F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dedicate this project to GOD Almighty for his love and guidance that he bestowed upon me. </w:t>
      </w: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182FCE" w:rsidRPr="002D467F" w:rsidRDefault="00182FCE" w:rsidP="00182FCE">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182FCE" w:rsidRDefault="00182FCE" w:rsidP="00182FCE">
      <w:pPr>
        <w:tabs>
          <w:tab w:val="left" w:pos="3340"/>
        </w:tabs>
        <w:spacing w:line="360" w:lineRule="auto"/>
        <w:jc w:val="both"/>
        <w:rPr>
          <w:rFonts w:ascii="Times New Roman" w:hAnsi="Times New Roman" w:cs="Times New Roman"/>
          <w:sz w:val="28"/>
          <w:szCs w:val="28"/>
        </w:rPr>
      </w:pPr>
      <w:r>
        <w:rPr>
          <w:rFonts w:ascii="Times New Roman" w:hAnsi="Times New Roman" w:cs="Times New Roman"/>
          <w:sz w:val="28"/>
          <w:szCs w:val="28"/>
        </w:rPr>
        <w:t>All praise belong only to the supreme being the Lord of all Creations, peace and blessings of Allah be upon our noble no prophet Muhammad (SAW). And all those who believe in his message till day of judgment. My special greeting goes to my project Supervisor  MR. OLARONGBE G.O  he gave me all necessary encouragement and offered several pieces of advise, May almighty Allah bless him and his family (Ameen). I particular express my profound gratitude to my beloved MR. &amp; MRS. HASSAN for their immeasurable contribution by giving me education and other basic requirements of life.My appreciation also to my grandma MRS. ATOKE T.A. God will reward her abundantly. I also extend my greetings to my lovely heart, my one and only the person who care for me, encourage  me, optimist me, love me in person of MUKAIL OLARENWAJU. God will bless you and your family in all way (Amin).I must not forget to mention dearest sister in person of FATIMOH A JOKE, GANIYAT OMOTAYO. GOD will continue to bless you (Ameen).   My special greeting as also goes to my beloved brother and sisters, KAOSARAT GBOBGOLOMO, NASIFAT   FUNMILAYO, HAMEED TOBILOBA, AISHAT MAYOWA, ABDUL RAHMAN AKOREDE. MY appreciation also goes to my lovely friends : ABDUL WASIU BOLAJI,  SHUKURAT OMOWUMI, SHIKEMI, ROFIAT,  ZAINAB,  TIFE, ADETOLA,  MARIAM, FAHEEZAT. JAZAKUMLAU KAERAN to you all.</w:t>
      </w:r>
    </w:p>
    <w:p w:rsidR="00182FCE" w:rsidRPr="00456CB6" w:rsidRDefault="00182FCE" w:rsidP="00182FCE">
      <w:pPr>
        <w:tabs>
          <w:tab w:val="left" w:pos="3340"/>
        </w:tabs>
        <w:spacing w:line="360" w:lineRule="auto"/>
        <w:jc w:val="both"/>
        <w:rPr>
          <w:rFonts w:ascii="Times New Roman" w:hAnsi="Times New Roman" w:cs="Times New Roman"/>
          <w:sz w:val="28"/>
          <w:szCs w:val="28"/>
        </w:rPr>
      </w:pPr>
    </w:p>
    <w:p w:rsidR="00182FCE" w:rsidRDefault="00182FCE" w:rsidP="00182FC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182FCE" w:rsidRDefault="00182FCE" w:rsidP="00182FCE">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82FCE" w:rsidRDefault="00182FCE" w:rsidP="00182FC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2.3</w:t>
      </w:r>
      <w:r>
        <w:rPr>
          <w:rFonts w:ascii="Times New Roman" w:hAnsi="Times New Roman" w:cs="Times New Roman"/>
          <w:sz w:val="28"/>
          <w:szCs w:val="28"/>
        </w:rPr>
        <w:tab/>
        <w:t>Samples Collection, Sample Processing and culturing</w:t>
      </w:r>
      <w:r>
        <w:rPr>
          <w:rFonts w:ascii="Times New Roman" w:hAnsi="Times New Roman" w:cs="Times New Roman"/>
          <w:sz w:val="28"/>
          <w:szCs w:val="28"/>
        </w:rPr>
        <w:tab/>
      </w:r>
      <w:r>
        <w:rPr>
          <w:rFonts w:ascii="Times New Roman" w:hAnsi="Times New Roman" w:cs="Times New Roman"/>
          <w:sz w:val="28"/>
          <w:szCs w:val="28"/>
        </w:rPr>
        <w:tab/>
        <w:t>29</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Citrinin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t>33</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isolates</w:t>
      </w:r>
      <w:r>
        <w:rPr>
          <w:rFonts w:ascii="Times New Roman" w:hAnsi="Times New Roman" w:cs="Times New Roman"/>
          <w:sz w:val="28"/>
          <w:szCs w:val="28"/>
        </w:rPr>
        <w:tab/>
      </w:r>
      <w:r>
        <w:rPr>
          <w:rFonts w:ascii="Times New Roman" w:hAnsi="Times New Roman" w:cs="Times New Roman"/>
          <w:sz w:val="28"/>
          <w:szCs w:val="28"/>
        </w:rPr>
        <w:tab/>
        <w:t>36</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ab/>
        <w:t>36</w:t>
      </w:r>
    </w:p>
    <w:p w:rsidR="00182FCE" w:rsidRDefault="00182FCE" w:rsidP="00182FCE">
      <w:pPr>
        <w:spacing w:line="36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ab/>
        <w:t xml:space="preserve"> 37</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ab/>
        <w:t xml:space="preserve"> 37</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ab/>
        <w:t xml:space="preserve"> 38</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182FCE" w:rsidRDefault="00182FCE" w:rsidP="00182FC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82FCE" w:rsidRDefault="00182FCE" w:rsidP="00182FCE">
      <w:pPr>
        <w:spacing w:line="36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182FCE" w:rsidRDefault="00182FCE" w:rsidP="00182FCE">
      <w:pPr>
        <w:tabs>
          <w:tab w:val="left" w:pos="3780"/>
        </w:tabs>
        <w:spacing w:line="480" w:lineRule="auto"/>
        <w:jc w:val="both"/>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182FCE" w:rsidRDefault="00182FCE" w:rsidP="00182FCE">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182FCE" w:rsidRDefault="00182FCE" w:rsidP="00182F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Pr>
          <w:rFonts w:ascii="Times New Roman" w:hAnsi="Times New Roman" w:cs="Times New Roman"/>
          <w:iCs/>
          <w:sz w:val="28"/>
          <w:szCs w:val="28"/>
        </w:rPr>
        <w:t>Daily Observation for 100% conc. Toxin Administration in Rats</w:t>
      </w:r>
      <w:r>
        <w:rPr>
          <w:rFonts w:ascii="Times New Roman" w:hAnsi="Times New Roman" w:cs="Times New Roman"/>
          <w:sz w:val="28"/>
          <w:szCs w:val="28"/>
        </w:rPr>
        <w:t>36</w:t>
      </w:r>
    </w:p>
    <w:p w:rsidR="00182FCE" w:rsidRDefault="00182FCE" w:rsidP="00182FCE">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w:t>
      </w:r>
      <w:r>
        <w:rPr>
          <w:rFonts w:ascii="Times New Roman" w:hAnsi="Times New Roman" w:cs="Times New Roman"/>
          <w:iCs/>
          <w:sz w:val="28"/>
          <w:szCs w:val="28"/>
        </w:rPr>
        <w:t>Daily Observation for 80% conc. Toxin Administration in Rats</w:t>
      </w:r>
      <w:r>
        <w:rPr>
          <w:rFonts w:ascii="Times New Roman" w:hAnsi="Times New Roman" w:cs="Times New Roman"/>
          <w:sz w:val="28"/>
          <w:szCs w:val="28"/>
        </w:rPr>
        <w:t>37</w:t>
      </w:r>
    </w:p>
    <w:p w:rsidR="00182FCE" w:rsidRDefault="00182FCE" w:rsidP="00182F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 60% conc. Toxin Administration in Rats</w:t>
      </w:r>
      <w:r>
        <w:rPr>
          <w:rFonts w:ascii="Times New Roman" w:hAnsi="Times New Roman" w:cs="Times New Roman"/>
          <w:sz w:val="28"/>
          <w:szCs w:val="28"/>
        </w:rPr>
        <w:t>37</w:t>
      </w:r>
    </w:p>
    <w:p w:rsidR="00182FCE" w:rsidRDefault="00182FCE" w:rsidP="00182F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 50% conc. Toxin Administration in Rats</w:t>
      </w:r>
      <w:r>
        <w:rPr>
          <w:rFonts w:ascii="Times New Roman" w:hAnsi="Times New Roman" w:cs="Times New Roman"/>
          <w:sz w:val="28"/>
          <w:szCs w:val="28"/>
        </w:rPr>
        <w:t>38</w:t>
      </w:r>
    </w:p>
    <w:p w:rsidR="00182FCE" w:rsidRDefault="00182FCE" w:rsidP="00182FCE">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182FCE" w:rsidRDefault="00182FCE" w:rsidP="00182FCE">
      <w:pPr>
        <w:spacing w:line="480" w:lineRule="auto"/>
        <w:jc w:val="both"/>
        <w:rPr>
          <w:rFonts w:ascii="Times New Roman" w:hAnsi="Times New Roman" w:cs="Times New Roman"/>
          <w:sz w:val="28"/>
          <w:szCs w:val="28"/>
        </w:rPr>
      </w:pPr>
    </w:p>
    <w:p w:rsidR="00182FCE" w:rsidRDefault="00182FCE" w:rsidP="00182FCE">
      <w:pPr>
        <w:spacing w:line="480" w:lineRule="auto"/>
        <w:jc w:val="center"/>
        <w:rPr>
          <w:rFonts w:ascii="Times New Roman" w:hAnsi="Times New Roman" w:cs="Times New Roman"/>
          <w:sz w:val="28"/>
          <w:szCs w:val="28"/>
        </w:rPr>
      </w:pPr>
    </w:p>
    <w:p w:rsidR="00182FCE" w:rsidRDefault="00182FCE" w:rsidP="00182FCE">
      <w:pPr>
        <w:spacing w:line="480" w:lineRule="auto"/>
        <w:jc w:val="center"/>
        <w:rPr>
          <w:rFonts w:ascii="Times New Roman" w:hAnsi="Times New Roman" w:cs="Times New Roman"/>
          <w:b/>
          <w:bCs/>
          <w:sz w:val="28"/>
          <w:szCs w:val="28"/>
        </w:rPr>
      </w:pPr>
    </w:p>
    <w:p w:rsidR="00182FCE" w:rsidRDefault="00182FCE" w:rsidP="00182FCE">
      <w:pPr>
        <w:spacing w:line="480" w:lineRule="auto"/>
        <w:jc w:val="center"/>
        <w:rPr>
          <w:rFonts w:ascii="Times New Roman" w:hAnsi="Times New Roman" w:cs="Times New Roman"/>
          <w:b/>
          <w:bCs/>
          <w:sz w:val="28"/>
          <w:szCs w:val="28"/>
        </w:rPr>
      </w:pPr>
    </w:p>
    <w:p w:rsidR="00182FCE" w:rsidRDefault="00182FCE" w:rsidP="00182FCE">
      <w:pPr>
        <w:spacing w:line="480" w:lineRule="auto"/>
        <w:jc w:val="center"/>
        <w:rPr>
          <w:rFonts w:ascii="Times New Roman" w:hAnsi="Times New Roman" w:cs="Times New Roman"/>
          <w:b/>
          <w:bCs/>
          <w:sz w:val="28"/>
          <w:szCs w:val="28"/>
        </w:rPr>
      </w:pPr>
    </w:p>
    <w:p w:rsidR="00182FCE" w:rsidRDefault="00182FCE" w:rsidP="00182FCE">
      <w:pPr>
        <w:spacing w:line="480" w:lineRule="auto"/>
        <w:jc w:val="center"/>
        <w:rPr>
          <w:rFonts w:ascii="Times New Roman" w:hAnsi="Times New Roman" w:cs="Times New Roman"/>
          <w:b/>
          <w:bCs/>
          <w:sz w:val="28"/>
          <w:szCs w:val="28"/>
        </w:rPr>
      </w:pPr>
    </w:p>
    <w:p w:rsidR="00182FCE" w:rsidRDefault="00182FCE" w:rsidP="00182FCE">
      <w:pPr>
        <w:spacing w:line="480" w:lineRule="auto"/>
        <w:jc w:val="center"/>
        <w:rPr>
          <w:rFonts w:ascii="Times New Roman" w:hAnsi="Times New Roman" w:cs="Times New Roman"/>
          <w:b/>
          <w:bCs/>
          <w:sz w:val="28"/>
          <w:szCs w:val="28"/>
        </w:rPr>
      </w:pPr>
    </w:p>
    <w:p w:rsidR="00182FCE" w:rsidRDefault="00182FCE" w:rsidP="00182F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182FCE" w:rsidRDefault="00182FCE" w:rsidP="00182FCE">
      <w:pPr>
        <w:spacing w:line="480" w:lineRule="auto"/>
        <w:jc w:val="both"/>
        <w:rPr>
          <w:rFonts w:ascii="Times New Roman" w:hAnsi="Times New Roman" w:cs="Times New Roman"/>
          <w:sz w:val="28"/>
          <w:szCs w:val="28"/>
        </w:rPr>
      </w:pPr>
      <w:r w:rsidRPr="00B06E5D">
        <w:rPr>
          <w:rFonts w:ascii="Times New Roman" w:hAnsi="Times New Roman" w:cs="Times New Roman"/>
          <w:i/>
          <w:iCs/>
          <w:sz w:val="28"/>
          <w:szCs w:val="28"/>
        </w:rPr>
        <w:t>Penicillium citrinum</w:t>
      </w:r>
      <w:r>
        <w:rPr>
          <w:rFonts w:ascii="Times New Roman" w:hAnsi="Times New Roman" w:cs="Times New Roman"/>
          <w:sz w:val="28"/>
          <w:szCs w:val="28"/>
        </w:rPr>
        <w:t xml:space="preserve"> is a toxigenic fungus commonly found on spoiled food products, capable of producing citrinin, a mycotoxin known for causing liver and kidney damage in both humans and animals. This study aimed to evaluate the potency of citrinin toxin produced by </w:t>
      </w:r>
      <w:r w:rsidRPr="00B06E5D">
        <w:rPr>
          <w:rFonts w:ascii="Times New Roman" w:hAnsi="Times New Roman" w:cs="Times New Roman"/>
          <w:i/>
          <w:iCs/>
          <w:sz w:val="28"/>
          <w:szCs w:val="28"/>
        </w:rPr>
        <w:t>Penicillium citrinum</w:t>
      </w:r>
      <w:r>
        <w:rPr>
          <w:rFonts w:ascii="Times New Roman" w:hAnsi="Times New Roman" w:cs="Times New Roman"/>
          <w:sz w:val="28"/>
          <w:szCs w:val="28"/>
        </w:rPr>
        <w:t xml:space="preserve"> at varying concentrations using an animal model (rat). The specific objectives were to isolate the fungus from overripe bananas, confirm its identity through macroscopic and microscopic observations, subject it to toxin production via media incubation, and assess the toxicological effects of the extracted toxin on rats.Spoiled bananas were collected and cultured on Potato Dextrose Agar (PDA) to isolate </w:t>
      </w:r>
      <w:r w:rsidRPr="00B06E5D">
        <w:rPr>
          <w:rFonts w:ascii="Times New Roman" w:hAnsi="Times New Roman" w:cs="Times New Roman"/>
          <w:i/>
          <w:iCs/>
          <w:sz w:val="28"/>
          <w:szCs w:val="28"/>
        </w:rPr>
        <w:t>P</w:t>
      </w:r>
      <w:r>
        <w:rPr>
          <w:rFonts w:ascii="Times New Roman" w:hAnsi="Times New Roman" w:cs="Times New Roman"/>
          <w:sz w:val="28"/>
          <w:szCs w:val="28"/>
        </w:rPr>
        <w:t xml:space="preserve">. </w:t>
      </w:r>
      <w:r w:rsidRPr="00B06E5D">
        <w:rPr>
          <w:rFonts w:ascii="Times New Roman" w:hAnsi="Times New Roman" w:cs="Times New Roman"/>
          <w:i/>
          <w:iCs/>
          <w:sz w:val="28"/>
          <w:szCs w:val="28"/>
        </w:rPr>
        <w:t>citrinum</w:t>
      </w:r>
      <w:r>
        <w:rPr>
          <w:rFonts w:ascii="Times New Roman" w:hAnsi="Times New Roman" w:cs="Times New Roman"/>
          <w:sz w:val="28"/>
          <w:szCs w:val="28"/>
        </w:rPr>
        <w:t xml:space="preserve">. Pure colonies were confirmed based on their bluish-green appearance and microscopic structures such as septate hyphae and brush-like conidiophores. Toxin production was induced by growing the isolate in Potato Dextrose Broth (PDB) containing streptomycin to inhibit bacterial growth. The culture was incubated on a rotary shaker for 3 days, followed by 5 days at room temperature. The biomass was separated via filtration, and the clear supernatant containing the crude citrinin extract was used for toxicity </w:t>
      </w:r>
      <w:r>
        <w:rPr>
          <w:rFonts w:ascii="Times New Roman" w:hAnsi="Times New Roman" w:cs="Times New Roman"/>
          <w:sz w:val="28"/>
          <w:szCs w:val="28"/>
        </w:rPr>
        <w:lastRenderedPageBreak/>
        <w:t xml:space="preserve">testing. Rats were grouped and administered 50%, 60%, 80%, and 100% toxin concentrations. Observations were made daily to monitor behavioral changes, feeding patterns, physical appearance, and survival. Post-mortem examinations were conducted on affected rats to evaluate organ damage.The results demonstrated a dose-dependent toxic response: rats exposed to higher concentrations exhibited abnormal behavior, reduced activity, and eventually death, while those at lower doses showed milder symptoms. Gross pathology revealed pale kidneys, dark liver spots, and intestinal shrinkage in high-dose groups. These findings confirm that </w:t>
      </w:r>
      <w:r w:rsidRPr="00B06E5D">
        <w:rPr>
          <w:rFonts w:ascii="Times New Roman" w:hAnsi="Times New Roman" w:cs="Times New Roman"/>
          <w:i/>
          <w:iCs/>
          <w:sz w:val="28"/>
          <w:szCs w:val="28"/>
        </w:rPr>
        <w:t>P. citrinum</w:t>
      </w:r>
      <w:r>
        <w:rPr>
          <w:rFonts w:ascii="Times New Roman" w:hAnsi="Times New Roman" w:cs="Times New Roman"/>
          <w:sz w:val="28"/>
          <w:szCs w:val="28"/>
        </w:rPr>
        <w:t xml:space="preserve"> produces a potent citrinin toxin, and even moderate exposure poses a health risk if contaminated food is consumed.</w:t>
      </w:r>
    </w:p>
    <w:p w:rsidR="00182FCE" w:rsidRDefault="00182FCE" w:rsidP="00182FCE">
      <w:pPr>
        <w:spacing w:line="480" w:lineRule="auto"/>
        <w:jc w:val="both"/>
        <w:rPr>
          <w:rFonts w:ascii="Times New Roman" w:hAnsi="Times New Roman" w:cs="Times New Roman"/>
          <w:sz w:val="28"/>
          <w:szCs w:val="28"/>
        </w:rPr>
      </w:pPr>
      <w:r>
        <w:rPr>
          <w:rFonts w:ascii="Times New Roman" w:hAnsi="Times New Roman" w:cs="Times New Roman"/>
          <w:sz w:val="28"/>
          <w:szCs w:val="28"/>
        </w:rPr>
        <w:t>Keywords: Penicillium citrinum, citrinin, mycotoxin, fungal toxin, food spoilage, toxicity, rats, concentration-dependent effects</w:t>
      </w:r>
    </w:p>
    <w:p w:rsidR="00182FCE" w:rsidRDefault="00182FCE" w:rsidP="00182FCE">
      <w:pPr>
        <w:spacing w:line="480" w:lineRule="auto"/>
        <w:jc w:val="both"/>
      </w:pPr>
    </w:p>
    <w:p w:rsidR="00182FCE" w:rsidRDefault="00182FCE" w:rsidP="00182FCE">
      <w:pPr>
        <w:spacing w:line="480" w:lineRule="auto"/>
        <w:jc w:val="both"/>
      </w:pPr>
    </w:p>
    <w:p w:rsidR="00182FCE" w:rsidRDefault="00182FCE" w:rsidP="00753DC2">
      <w:pPr>
        <w:spacing w:line="480" w:lineRule="auto"/>
        <w:jc w:val="center"/>
      </w:pPr>
    </w:p>
    <w:p w:rsidR="00182FCE" w:rsidRDefault="00182FCE" w:rsidP="00753DC2">
      <w:pPr>
        <w:spacing w:line="480" w:lineRule="auto"/>
        <w:jc w:val="center"/>
        <w:rPr>
          <w:rFonts w:ascii="Times New Roman" w:hAnsi="Times New Roman" w:cs="Times New Roman"/>
          <w:sz w:val="28"/>
          <w:szCs w:val="28"/>
        </w:rPr>
      </w:pPr>
    </w:p>
    <w:p w:rsidR="00471BB7" w:rsidRDefault="00471BB7" w:rsidP="00753DC2">
      <w:pPr>
        <w:spacing w:line="480" w:lineRule="auto"/>
        <w:jc w:val="center"/>
        <w:rPr>
          <w:rFonts w:ascii="Times New Roman" w:hAnsi="Times New Roman" w:cs="Times New Roman"/>
          <w:sz w:val="28"/>
          <w:szCs w:val="28"/>
        </w:rPr>
      </w:pPr>
      <w:r w:rsidRPr="00471BB7">
        <w:rPr>
          <w:rFonts w:ascii="Times New Roman" w:hAnsi="Times New Roman" w:cs="Times New Roman"/>
          <w:sz w:val="28"/>
          <w:szCs w:val="28"/>
        </w:rPr>
        <w:lastRenderedPageBreak/>
        <w:t>CHAPTER ONE</w:t>
      </w:r>
    </w:p>
    <w:p w:rsidR="000E1722" w:rsidRPr="00471BB7" w:rsidRDefault="000E17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rsidR="00277922" w:rsidRDefault="00016CF8" w:rsidP="00471BB7">
      <w:pPr>
        <w:spacing w:line="480" w:lineRule="auto"/>
        <w:jc w:val="both"/>
        <w:rPr>
          <w:rFonts w:ascii="Times New Roman" w:hAnsi="Times New Roman" w:cs="Times New Roman"/>
          <w:sz w:val="28"/>
          <w:szCs w:val="28"/>
        </w:rPr>
      </w:pPr>
      <w:r w:rsidRPr="00471BB7">
        <w:rPr>
          <w:rFonts w:ascii="Times New Roman" w:hAnsi="Times New Roman" w:cs="Times New Roman"/>
          <w:sz w:val="28"/>
          <w:szCs w:val="28"/>
        </w:rPr>
        <w:t>Fungi are a diverse kingdom of eukaryotic organisms that include molds, yeasts, and mushrooms, characterized by their heterotrophic mode of nutrition and filamentous growth in most species. Unlike plants, fungi lack chlorophyll and cannot perform photosynthesis; instead, they obtain nutrients through the decomposition of organic matter, parasitism, or mutualistic relationships (Heitman et al., 2021). They are found in almost every environment, from soil and water to extreme habitats such as deep-sea hydrothermal vents and arid deserts. Their ecological role in nutrient cycling, organic matter decomposition, and symbiotic associations with plants makes them indispensable to global ecosystems (Gao et al., 2022).Structurally, fungi exhibit great variation, but most filamentous species consist of hyphae, which form an interconnected network known as mycelium. The hyphal cell walls are primarily composed of chitin, a strong polysaccharide also found in arthropod exoskeletons (Gauthier</w:t>
      </w:r>
      <w:r w:rsidR="00A62CB0">
        <w:rPr>
          <w:rFonts w:ascii="Times New Roman" w:hAnsi="Times New Roman" w:cs="Times New Roman"/>
          <w:sz w:val="28"/>
          <w:szCs w:val="28"/>
        </w:rPr>
        <w:t>et</w:t>
      </w:r>
      <w:r w:rsidR="009C559B">
        <w:rPr>
          <w:rFonts w:ascii="Times New Roman" w:hAnsi="Times New Roman" w:cs="Times New Roman"/>
          <w:sz w:val="28"/>
          <w:szCs w:val="28"/>
        </w:rPr>
        <w:t xml:space="preserve"> al</w:t>
      </w:r>
      <w:r w:rsidR="00A62CB0">
        <w:rPr>
          <w:rFonts w:ascii="Times New Roman" w:hAnsi="Times New Roman" w:cs="Times New Roman"/>
          <w:sz w:val="28"/>
          <w:szCs w:val="28"/>
        </w:rPr>
        <w:t xml:space="preserve">., </w:t>
      </w:r>
      <w:r w:rsidRPr="00471BB7">
        <w:rPr>
          <w:rFonts w:ascii="Times New Roman" w:hAnsi="Times New Roman" w:cs="Times New Roman"/>
          <w:sz w:val="28"/>
          <w:szCs w:val="28"/>
        </w:rPr>
        <w:t xml:space="preserve">2019). Yeasts, in contrast, exist as unicellular organisms and reproduce through </w:t>
      </w:r>
      <w:r w:rsidRPr="00471BB7">
        <w:rPr>
          <w:rFonts w:ascii="Times New Roman" w:hAnsi="Times New Roman" w:cs="Times New Roman"/>
          <w:sz w:val="28"/>
          <w:szCs w:val="28"/>
        </w:rPr>
        <w:lastRenderedPageBreak/>
        <w:t xml:space="preserve">budding or fission, contributing significantly to fermentation industries and biotechnology. Fungi reproduce both sexually and asexually through spores, which can be airborne, waterborne, or spread via animals, allowing for rapid colonization and survival in diverse environments (Golan &amp; Pringle, 2017).The classification of fungi is based on morphological, reproductive, and molecular characteristics. Major fungal phyla include Ascomycota (sac fungi), </w:t>
      </w:r>
      <w:r w:rsidRPr="00AA12BF">
        <w:rPr>
          <w:rFonts w:ascii="Times New Roman" w:hAnsi="Times New Roman" w:cs="Times New Roman"/>
          <w:iCs/>
          <w:sz w:val="28"/>
          <w:szCs w:val="28"/>
        </w:rPr>
        <w:t>Basidiomycota</w:t>
      </w:r>
      <w:r w:rsidRPr="00471BB7">
        <w:rPr>
          <w:rFonts w:ascii="Times New Roman" w:hAnsi="Times New Roman" w:cs="Times New Roman"/>
          <w:sz w:val="28"/>
          <w:szCs w:val="28"/>
        </w:rPr>
        <w:t xml:space="preserve"> (club fungi), </w:t>
      </w:r>
      <w:r w:rsidRPr="00AA12BF">
        <w:rPr>
          <w:rFonts w:ascii="Times New Roman" w:hAnsi="Times New Roman" w:cs="Times New Roman"/>
          <w:iCs/>
          <w:sz w:val="28"/>
          <w:szCs w:val="28"/>
        </w:rPr>
        <w:t>Zygomycota</w:t>
      </w:r>
      <w:r w:rsidRPr="00471BB7">
        <w:rPr>
          <w:rFonts w:ascii="Times New Roman" w:hAnsi="Times New Roman" w:cs="Times New Roman"/>
          <w:sz w:val="28"/>
          <w:szCs w:val="28"/>
        </w:rPr>
        <w:t xml:space="preserve">(bread molds), </w:t>
      </w:r>
      <w:r w:rsidRPr="00AA12BF">
        <w:rPr>
          <w:rFonts w:ascii="Times New Roman" w:hAnsi="Times New Roman" w:cs="Times New Roman"/>
          <w:iCs/>
          <w:sz w:val="28"/>
          <w:szCs w:val="28"/>
        </w:rPr>
        <w:t>Chytridiomycota</w:t>
      </w:r>
      <w:r w:rsidRPr="00471BB7">
        <w:rPr>
          <w:rFonts w:ascii="Times New Roman" w:hAnsi="Times New Roman" w:cs="Times New Roman"/>
          <w:sz w:val="28"/>
          <w:szCs w:val="28"/>
        </w:rPr>
        <w:t xml:space="preserve"> (aquatic fungi), and </w:t>
      </w:r>
      <w:r w:rsidRPr="00AA12BF">
        <w:rPr>
          <w:rFonts w:ascii="Times New Roman" w:hAnsi="Times New Roman" w:cs="Times New Roman"/>
          <w:iCs/>
          <w:sz w:val="28"/>
          <w:szCs w:val="28"/>
        </w:rPr>
        <w:t>Glomeromycota</w:t>
      </w:r>
      <w:r w:rsidRPr="00471BB7">
        <w:rPr>
          <w:rFonts w:ascii="Times New Roman" w:hAnsi="Times New Roman" w:cs="Times New Roman"/>
          <w:sz w:val="28"/>
          <w:szCs w:val="28"/>
        </w:rPr>
        <w:t xml:space="preserve"> (</w:t>
      </w:r>
      <w:r w:rsidRPr="00AA12BF">
        <w:rPr>
          <w:rFonts w:ascii="Times New Roman" w:hAnsi="Times New Roman" w:cs="Times New Roman"/>
          <w:iCs/>
          <w:sz w:val="28"/>
          <w:szCs w:val="28"/>
        </w:rPr>
        <w:t>arbuscularmycorrhizal</w:t>
      </w:r>
      <w:r w:rsidRPr="00471BB7">
        <w:rPr>
          <w:rFonts w:ascii="Times New Roman" w:hAnsi="Times New Roman" w:cs="Times New Roman"/>
          <w:sz w:val="28"/>
          <w:szCs w:val="28"/>
        </w:rPr>
        <w:t xml:space="preserve"> fungi). Among these, Ascomycota is the largest phylum, encompassing many industrially and medically significant genera such as </w:t>
      </w:r>
      <w:r w:rsidRPr="007669DB">
        <w:rPr>
          <w:rFonts w:ascii="Times New Roman" w:hAnsi="Times New Roman" w:cs="Times New Roman"/>
          <w:i/>
          <w:iCs/>
          <w:sz w:val="28"/>
          <w:szCs w:val="28"/>
        </w:rPr>
        <w:t>Penicillium</w:t>
      </w:r>
      <w:r w:rsidRPr="00471BB7">
        <w:rPr>
          <w:rFonts w:ascii="Times New Roman" w:hAnsi="Times New Roman" w:cs="Times New Roman"/>
          <w:sz w:val="28"/>
          <w:szCs w:val="28"/>
        </w:rPr>
        <w:t xml:space="preserve">, </w:t>
      </w:r>
      <w:r w:rsidRPr="007669DB">
        <w:rPr>
          <w:rFonts w:ascii="Times New Roman" w:hAnsi="Times New Roman" w:cs="Times New Roman"/>
          <w:i/>
          <w:iCs/>
          <w:sz w:val="28"/>
          <w:szCs w:val="28"/>
        </w:rPr>
        <w:t>Aspergillus</w:t>
      </w:r>
      <w:r w:rsidRPr="00471BB7">
        <w:rPr>
          <w:rFonts w:ascii="Times New Roman" w:hAnsi="Times New Roman" w:cs="Times New Roman"/>
          <w:sz w:val="28"/>
          <w:szCs w:val="28"/>
        </w:rPr>
        <w:t xml:space="preserve">, and </w:t>
      </w:r>
      <w:r w:rsidRPr="007669DB">
        <w:rPr>
          <w:rFonts w:ascii="Times New Roman" w:hAnsi="Times New Roman" w:cs="Times New Roman"/>
          <w:i/>
          <w:iCs/>
          <w:sz w:val="28"/>
          <w:szCs w:val="28"/>
        </w:rPr>
        <w:t>Saccharomyces</w:t>
      </w:r>
      <w:r w:rsidRPr="00471BB7">
        <w:rPr>
          <w:rFonts w:ascii="Times New Roman" w:hAnsi="Times New Roman" w:cs="Times New Roman"/>
          <w:sz w:val="28"/>
          <w:szCs w:val="28"/>
        </w:rPr>
        <w:t xml:space="preserve"> (Alexopoulos</w:t>
      </w:r>
      <w:r w:rsidR="00652866">
        <w:rPr>
          <w:rFonts w:ascii="Times New Roman" w:hAnsi="Times New Roman" w:cs="Times New Roman"/>
          <w:sz w:val="28"/>
          <w:szCs w:val="28"/>
        </w:rPr>
        <w:t xml:space="preserve"> et al., </w:t>
      </w:r>
      <w:r w:rsidRPr="00471BB7">
        <w:rPr>
          <w:rFonts w:ascii="Times New Roman" w:hAnsi="Times New Roman" w:cs="Times New Roman"/>
          <w:sz w:val="28"/>
          <w:szCs w:val="28"/>
        </w:rPr>
        <w:t xml:space="preserve">2020). The advent of molecular techniques such as whole-genome sequencing and phylogenetic analysis has led to more accurate fungal classification and identification, enhancing our understanding of their evolutionary relationships and functional diversity (Sharma &amp; Ghosh, 2021).Fungi have significant economic and medical importance. They serve as natural decomposers, breaking down complex organic compounds into simpler forms that enrich the soil. Many fungi form mutualistic relationships </w:t>
      </w:r>
      <w:r w:rsidRPr="00471BB7">
        <w:rPr>
          <w:rFonts w:ascii="Times New Roman" w:hAnsi="Times New Roman" w:cs="Times New Roman"/>
          <w:sz w:val="28"/>
          <w:szCs w:val="28"/>
        </w:rPr>
        <w:lastRenderedPageBreak/>
        <w:t xml:space="preserve">with plants, enhancing nutrient uptake through </w:t>
      </w:r>
      <w:r w:rsidRPr="00AA12BF">
        <w:rPr>
          <w:rFonts w:ascii="Times New Roman" w:hAnsi="Times New Roman" w:cs="Times New Roman"/>
          <w:iCs/>
          <w:sz w:val="28"/>
          <w:szCs w:val="28"/>
        </w:rPr>
        <w:t>mycorrhizal</w:t>
      </w:r>
      <w:r w:rsidRPr="00471BB7">
        <w:rPr>
          <w:rFonts w:ascii="Times New Roman" w:hAnsi="Times New Roman" w:cs="Times New Roman"/>
          <w:sz w:val="28"/>
          <w:szCs w:val="28"/>
        </w:rPr>
        <w:t xml:space="preserve"> associations. In industry, fungal species such as </w:t>
      </w:r>
      <w:r w:rsidRPr="00AA12BF">
        <w:rPr>
          <w:rFonts w:ascii="Times New Roman" w:hAnsi="Times New Roman" w:cs="Times New Roman"/>
          <w:i/>
          <w:sz w:val="28"/>
          <w:szCs w:val="28"/>
        </w:rPr>
        <w:t>Saccharomyces cerevisiae</w:t>
      </w:r>
      <w:r w:rsidRPr="00471BB7">
        <w:rPr>
          <w:rFonts w:ascii="Times New Roman" w:hAnsi="Times New Roman" w:cs="Times New Roman"/>
          <w:sz w:val="28"/>
          <w:szCs w:val="28"/>
        </w:rPr>
        <w:t xml:space="preserve"> are indispensable for alcohol fermentation, bread making, and bioethanol production. Additionally, fungi produce bioactive compounds, including antibiotics such as penicillin, immunosuppressants like cyclosporine, and cholesterol-lowering drugs such as lovastatin (Hibbett et al., 2018). However, some fungi also pose serious threats to human health, agriculture, and food safety. Pathogenic species like </w:t>
      </w:r>
      <w:r w:rsidRPr="00E31755">
        <w:rPr>
          <w:rFonts w:ascii="Times New Roman" w:hAnsi="Times New Roman" w:cs="Times New Roman"/>
          <w:i/>
          <w:iCs/>
          <w:sz w:val="28"/>
          <w:szCs w:val="28"/>
        </w:rPr>
        <w:t>Candida albicans</w:t>
      </w:r>
      <w:r w:rsidRPr="00471BB7">
        <w:rPr>
          <w:rFonts w:ascii="Times New Roman" w:hAnsi="Times New Roman" w:cs="Times New Roman"/>
          <w:sz w:val="28"/>
          <w:szCs w:val="28"/>
        </w:rPr>
        <w:t xml:space="preserve"> cause opportunistic infections, while plant pathogens such as </w:t>
      </w:r>
      <w:r w:rsidRPr="00E31755">
        <w:rPr>
          <w:rFonts w:ascii="Times New Roman" w:hAnsi="Times New Roman" w:cs="Times New Roman"/>
          <w:i/>
          <w:iCs/>
          <w:sz w:val="28"/>
          <w:szCs w:val="28"/>
        </w:rPr>
        <w:t>Fusarium</w:t>
      </w:r>
      <w:r w:rsidRPr="00471BB7">
        <w:rPr>
          <w:rFonts w:ascii="Times New Roman" w:hAnsi="Times New Roman" w:cs="Times New Roman"/>
          <w:sz w:val="28"/>
          <w:szCs w:val="28"/>
        </w:rPr>
        <w:t xml:space="preserve"> and </w:t>
      </w:r>
      <w:r w:rsidR="00E31755" w:rsidRPr="00E31755">
        <w:rPr>
          <w:rFonts w:ascii="Times New Roman" w:hAnsi="Times New Roman" w:cs="Times New Roman"/>
          <w:i/>
          <w:iCs/>
          <w:sz w:val="28"/>
          <w:szCs w:val="28"/>
        </w:rPr>
        <w:t>Aspergillu</w:t>
      </w:r>
      <w:r w:rsidR="0013206C">
        <w:rPr>
          <w:rFonts w:ascii="Times New Roman" w:hAnsi="Times New Roman" w:cs="Times New Roman"/>
          <w:i/>
          <w:iCs/>
          <w:sz w:val="28"/>
          <w:szCs w:val="28"/>
        </w:rPr>
        <w:t xml:space="preserve">s </w:t>
      </w:r>
      <w:r w:rsidRPr="00471BB7">
        <w:rPr>
          <w:rFonts w:ascii="Times New Roman" w:hAnsi="Times New Roman" w:cs="Times New Roman"/>
          <w:sz w:val="28"/>
          <w:szCs w:val="28"/>
        </w:rPr>
        <w:t>significantly reduce crop yields. Furthermore, certain fu</w:t>
      </w:r>
      <w:r w:rsidR="00AA12BF">
        <w:rPr>
          <w:rFonts w:ascii="Times New Roman" w:hAnsi="Times New Roman" w:cs="Times New Roman"/>
          <w:sz w:val="28"/>
          <w:szCs w:val="28"/>
        </w:rPr>
        <w:t xml:space="preserve">ngal species produce mycotoxins </w:t>
      </w:r>
      <w:r w:rsidRPr="00471BB7">
        <w:rPr>
          <w:rFonts w:ascii="Times New Roman" w:hAnsi="Times New Roman" w:cs="Times New Roman"/>
          <w:sz w:val="28"/>
          <w:szCs w:val="28"/>
        </w:rPr>
        <w:t xml:space="preserve">secondary metabolites that contaminate food and feed, leading to severe health consequences (Frisvad, 2018).The study of fungi, known as mycology, continues to expand due to their broad impact on medicine, biotechnology, and agriculture. Emerging research focuses on harnessing fungi for bioremediation, biofuel production, and novel drug discovery. However, challenges such as antifungal resistance, fungal infections in immunocompromised individuals, and climate change-driven alterations in fungal distribution require continued investigation (Fisher et al., 2020). As </w:t>
      </w:r>
      <w:r w:rsidRPr="00471BB7">
        <w:rPr>
          <w:rFonts w:ascii="Times New Roman" w:hAnsi="Times New Roman" w:cs="Times New Roman"/>
          <w:sz w:val="28"/>
          <w:szCs w:val="28"/>
        </w:rPr>
        <w:lastRenderedPageBreak/>
        <w:t>scientific understanding of fungi deepens, their applications in various industries and environmental conservation efforts will continue to grow.</w:t>
      </w:r>
    </w:p>
    <w:p w:rsidR="004F6A58" w:rsidRDefault="00277922"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genus </w:t>
      </w:r>
      <w:r w:rsidRPr="00AA12BF">
        <w:rPr>
          <w:rFonts w:ascii="Times New Roman" w:hAnsi="Times New Roman" w:cs="Times New Roman"/>
          <w:i/>
          <w:sz w:val="28"/>
          <w:szCs w:val="28"/>
        </w:rPr>
        <w:t>Penicillium</w:t>
      </w:r>
      <w:r>
        <w:rPr>
          <w:rFonts w:ascii="Times New Roman" w:hAnsi="Times New Roman" w:cs="Times New Roman"/>
          <w:sz w:val="28"/>
          <w:szCs w:val="28"/>
        </w:rPr>
        <w:t xml:space="preserve"> comprises a diverse group of filamentous fungi that are widely distributed in soil, air, decaying organic matter, and food products. These fungi belong to the phylum </w:t>
      </w:r>
      <w:r w:rsidRPr="00AA12BF">
        <w:rPr>
          <w:rFonts w:ascii="Times New Roman" w:hAnsi="Times New Roman" w:cs="Times New Roman"/>
          <w:iCs/>
          <w:sz w:val="28"/>
          <w:szCs w:val="28"/>
        </w:rPr>
        <w:t>Ascomycota</w:t>
      </w:r>
      <w:r>
        <w:rPr>
          <w:rFonts w:ascii="Times New Roman" w:hAnsi="Times New Roman" w:cs="Times New Roman"/>
          <w:sz w:val="28"/>
          <w:szCs w:val="28"/>
        </w:rPr>
        <w:t xml:space="preserve"> and the family </w:t>
      </w:r>
      <w:r w:rsidRPr="00AA12BF">
        <w:rPr>
          <w:rFonts w:ascii="Times New Roman" w:hAnsi="Times New Roman" w:cs="Times New Roman"/>
          <w:iCs/>
          <w:sz w:val="28"/>
          <w:szCs w:val="28"/>
        </w:rPr>
        <w:t>Trichocomace</w:t>
      </w:r>
      <w:r w:rsidRPr="007D0BBF">
        <w:rPr>
          <w:rFonts w:ascii="Times New Roman" w:hAnsi="Times New Roman" w:cs="Times New Roman"/>
          <w:i/>
          <w:iCs/>
          <w:sz w:val="28"/>
          <w:szCs w:val="28"/>
        </w:rPr>
        <w:t>ae</w:t>
      </w:r>
      <w:r>
        <w:rPr>
          <w:rFonts w:ascii="Times New Roman" w:hAnsi="Times New Roman" w:cs="Times New Roman"/>
          <w:sz w:val="28"/>
          <w:szCs w:val="28"/>
        </w:rPr>
        <w:t xml:space="preserve">, characterized by their ability to produce conidia in chains from brush-like conidiophores. </w:t>
      </w:r>
      <w:r w:rsidRPr="007D0BBF">
        <w:rPr>
          <w:rFonts w:ascii="Times New Roman" w:hAnsi="Times New Roman" w:cs="Times New Roman"/>
          <w:i/>
          <w:iCs/>
          <w:sz w:val="28"/>
          <w:szCs w:val="28"/>
        </w:rPr>
        <w:t>Penicillium</w:t>
      </w:r>
      <w:r>
        <w:rPr>
          <w:rFonts w:ascii="Times New Roman" w:hAnsi="Times New Roman" w:cs="Times New Roman"/>
          <w:sz w:val="28"/>
          <w:szCs w:val="28"/>
        </w:rPr>
        <w:t xml:space="preserve"> species are among the most studied fungi due to their industrial, medical, and agricultural significance, as well as their ability to produce secondary metabolites, including beneficial antibiotics and harmful mycotoxins (Houbraken et al., 2020). Members of the </w:t>
      </w:r>
      <w:r w:rsidRPr="007D0BBF">
        <w:rPr>
          <w:rFonts w:ascii="Times New Roman" w:hAnsi="Times New Roman" w:cs="Times New Roman"/>
          <w:i/>
          <w:iCs/>
          <w:sz w:val="28"/>
          <w:szCs w:val="28"/>
        </w:rPr>
        <w:t>Penicillium</w:t>
      </w:r>
      <w:r>
        <w:rPr>
          <w:rFonts w:ascii="Times New Roman" w:hAnsi="Times New Roman" w:cs="Times New Roman"/>
          <w:sz w:val="28"/>
          <w:szCs w:val="28"/>
        </w:rPr>
        <w:t xml:space="preserve"> genus are predominantly saprophytic, playing a crucial role in organic matter decomposition and nutrient recycling. They are commonly found in soil, where they contribute to the breakdown of plant material and release essential nutrients into the environment. Due to their high adaptability, </w:t>
      </w:r>
      <w:r w:rsidRPr="007D0BBF">
        <w:rPr>
          <w:rFonts w:ascii="Times New Roman" w:hAnsi="Times New Roman" w:cs="Times New Roman"/>
          <w:i/>
          <w:iCs/>
          <w:sz w:val="28"/>
          <w:szCs w:val="28"/>
        </w:rPr>
        <w:t>Penicillium</w:t>
      </w:r>
      <w:r>
        <w:rPr>
          <w:rFonts w:ascii="Times New Roman" w:hAnsi="Times New Roman" w:cs="Times New Roman"/>
          <w:sz w:val="28"/>
          <w:szCs w:val="28"/>
        </w:rPr>
        <w:t xml:space="preserve"> species can thrive in diverse habitats, including indoor environments, refrigerated foods, and even extreme ecological niches such as </w:t>
      </w:r>
      <w:r w:rsidR="00AA12BF">
        <w:rPr>
          <w:rFonts w:ascii="Times New Roman" w:hAnsi="Times New Roman" w:cs="Times New Roman"/>
          <w:sz w:val="28"/>
          <w:szCs w:val="28"/>
        </w:rPr>
        <w:t>polar region</w:t>
      </w:r>
      <w:r>
        <w:rPr>
          <w:rFonts w:ascii="Times New Roman" w:hAnsi="Times New Roman" w:cs="Times New Roman"/>
          <w:sz w:val="28"/>
          <w:szCs w:val="28"/>
        </w:rPr>
        <w:t xml:space="preserve"> and deep-sea sediments (Visagie et al., 2017). This adaptability is partly attributed to their ability to produce </w:t>
      </w:r>
      <w:r>
        <w:rPr>
          <w:rFonts w:ascii="Times New Roman" w:hAnsi="Times New Roman" w:cs="Times New Roman"/>
          <w:sz w:val="28"/>
          <w:szCs w:val="28"/>
        </w:rPr>
        <w:lastRenderedPageBreak/>
        <w:t xml:space="preserve">spores that can withstand harsh conditions and remain dormant until favorable growth conditions arise. The morphological characteristics of </w:t>
      </w:r>
      <w:r w:rsidRPr="007D0BBF">
        <w:rPr>
          <w:rFonts w:ascii="Times New Roman" w:hAnsi="Times New Roman" w:cs="Times New Roman"/>
          <w:i/>
          <w:iCs/>
          <w:sz w:val="28"/>
          <w:szCs w:val="28"/>
        </w:rPr>
        <w:t>Penicillium</w:t>
      </w:r>
      <w:r>
        <w:rPr>
          <w:rFonts w:ascii="Times New Roman" w:hAnsi="Times New Roman" w:cs="Times New Roman"/>
          <w:sz w:val="28"/>
          <w:szCs w:val="28"/>
        </w:rPr>
        <w:t xml:space="preserve"> species include septate hyphae, conidiophores that branch in a distinctive </w:t>
      </w:r>
      <w:r w:rsidRPr="007D0BBF">
        <w:rPr>
          <w:rFonts w:ascii="Times New Roman" w:hAnsi="Times New Roman" w:cs="Times New Roman"/>
          <w:i/>
          <w:iCs/>
          <w:sz w:val="28"/>
          <w:szCs w:val="28"/>
        </w:rPr>
        <w:t>penicillus</w:t>
      </w:r>
      <w:r>
        <w:rPr>
          <w:rFonts w:ascii="Times New Roman" w:hAnsi="Times New Roman" w:cs="Times New Roman"/>
          <w:sz w:val="28"/>
          <w:szCs w:val="28"/>
        </w:rPr>
        <w:t>-like structure, and pigmented conidia. Colony appearance varies depending on the species and growth medium, but many species exhibit blue-green, yellow, or white pigmentation. While traditional taxonomy relied on morphological features, advancements in molecular phylogenetics have significantly improved species identification, revealing cryptic diversity within the genus. Techniques such as</w:t>
      </w:r>
      <w:r w:rsidR="00463D0B">
        <w:rPr>
          <w:rFonts w:ascii="Times New Roman" w:hAnsi="Times New Roman" w:cs="Times New Roman"/>
          <w:sz w:val="28"/>
          <w:szCs w:val="28"/>
        </w:rPr>
        <w:t xml:space="preserve"> Internal Transcribed Spacer region of the ribosomal DNA(</w:t>
      </w:r>
      <w:r>
        <w:rPr>
          <w:rFonts w:ascii="Times New Roman" w:hAnsi="Times New Roman" w:cs="Times New Roman"/>
          <w:sz w:val="28"/>
          <w:szCs w:val="28"/>
        </w:rPr>
        <w:t>ITS rDNA</w:t>
      </w:r>
      <w:r w:rsidR="00463D0B">
        <w:rPr>
          <w:rFonts w:ascii="Times New Roman" w:hAnsi="Times New Roman" w:cs="Times New Roman"/>
          <w:sz w:val="28"/>
          <w:szCs w:val="28"/>
        </w:rPr>
        <w:t>)</w:t>
      </w:r>
      <w:r>
        <w:rPr>
          <w:rFonts w:ascii="Times New Roman" w:hAnsi="Times New Roman" w:cs="Times New Roman"/>
          <w:sz w:val="28"/>
          <w:szCs w:val="28"/>
        </w:rPr>
        <w:t xml:space="preserve"> sequencing and whole-genome analysis have provided deeper insights into the genetic relationships and functional diversity of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species (Samson et al., 2019). Many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species have beneficial applications in biotechnology, agriculture, and medicine. The most well-known example is </w:t>
      </w:r>
      <w:r w:rsidRPr="00786B70">
        <w:rPr>
          <w:rFonts w:ascii="Times New Roman" w:hAnsi="Times New Roman" w:cs="Times New Roman"/>
          <w:i/>
          <w:iCs/>
          <w:sz w:val="28"/>
          <w:szCs w:val="28"/>
        </w:rPr>
        <w:t>Penicilliumrubens</w:t>
      </w:r>
      <w:r>
        <w:rPr>
          <w:rFonts w:ascii="Times New Roman" w:hAnsi="Times New Roman" w:cs="Times New Roman"/>
          <w:sz w:val="28"/>
          <w:szCs w:val="28"/>
        </w:rPr>
        <w:t xml:space="preserve"> (formerly </w:t>
      </w:r>
      <w:r w:rsidRPr="00786B70">
        <w:rPr>
          <w:rFonts w:ascii="Times New Roman" w:hAnsi="Times New Roman" w:cs="Times New Roman"/>
          <w:i/>
          <w:iCs/>
          <w:sz w:val="28"/>
          <w:szCs w:val="28"/>
        </w:rPr>
        <w:t>P</w:t>
      </w:r>
      <w:r>
        <w:rPr>
          <w:rFonts w:ascii="Times New Roman" w:hAnsi="Times New Roman" w:cs="Times New Roman"/>
          <w:sz w:val="28"/>
          <w:szCs w:val="28"/>
        </w:rPr>
        <w:t xml:space="preserve">. </w:t>
      </w:r>
      <w:r w:rsidRPr="00786B70">
        <w:rPr>
          <w:rFonts w:ascii="Times New Roman" w:hAnsi="Times New Roman" w:cs="Times New Roman"/>
          <w:i/>
          <w:iCs/>
          <w:sz w:val="28"/>
          <w:szCs w:val="28"/>
        </w:rPr>
        <w:t>chrysogenum</w:t>
      </w:r>
      <w:r>
        <w:rPr>
          <w:rFonts w:ascii="Times New Roman" w:hAnsi="Times New Roman" w:cs="Times New Roman"/>
          <w:sz w:val="28"/>
          <w:szCs w:val="28"/>
        </w:rPr>
        <w:t xml:space="preserve">), which produces penicillin, the first widely used antibiotic discovered by Alexander Fleming in 1928. Additionally,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species play an essential role in food production, contributing to the ripening and flavor development of blue-veined cheeses </w:t>
      </w:r>
      <w:r>
        <w:rPr>
          <w:rFonts w:ascii="Times New Roman" w:hAnsi="Times New Roman" w:cs="Times New Roman"/>
          <w:sz w:val="28"/>
          <w:szCs w:val="28"/>
        </w:rPr>
        <w:lastRenderedPageBreak/>
        <w:t xml:space="preserve">such as Roquefort and Gorgonzola. Industrial enzymes derived from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strains, including pectinases, cellulases, and lipases, are widely used in food processing, textile production, and biofuel generation (De Hoog et al., 2021). Despite their numerous benefits, some </w:t>
      </w:r>
      <w:r w:rsidRPr="00786B70">
        <w:rPr>
          <w:rFonts w:ascii="Times New Roman" w:hAnsi="Times New Roman" w:cs="Times New Roman"/>
          <w:i/>
          <w:iCs/>
          <w:sz w:val="28"/>
          <w:szCs w:val="28"/>
        </w:rPr>
        <w:t>Penicillium</w:t>
      </w:r>
      <w:r>
        <w:rPr>
          <w:rFonts w:ascii="Times New Roman" w:hAnsi="Times New Roman" w:cs="Times New Roman"/>
          <w:sz w:val="28"/>
          <w:szCs w:val="28"/>
        </w:rPr>
        <w:t xml:space="preserve"> species pose serious risks to food safety and human health due to their ability to produce mycotoxins. Among these, citrinin, </w:t>
      </w:r>
      <w:r w:rsidRPr="00753DC2">
        <w:rPr>
          <w:rFonts w:ascii="Times New Roman" w:hAnsi="Times New Roman" w:cs="Times New Roman"/>
          <w:iCs/>
          <w:sz w:val="28"/>
          <w:szCs w:val="28"/>
        </w:rPr>
        <w:t>patulin</w:t>
      </w:r>
      <w:r>
        <w:rPr>
          <w:rFonts w:ascii="Times New Roman" w:hAnsi="Times New Roman" w:cs="Times New Roman"/>
          <w:sz w:val="28"/>
          <w:szCs w:val="28"/>
        </w:rPr>
        <w:t xml:space="preserve">, and </w:t>
      </w:r>
      <w:r w:rsidRPr="00753DC2">
        <w:rPr>
          <w:rFonts w:ascii="Times New Roman" w:hAnsi="Times New Roman" w:cs="Times New Roman"/>
          <w:iCs/>
          <w:sz w:val="28"/>
          <w:szCs w:val="28"/>
        </w:rPr>
        <w:t>ochratoxin</w:t>
      </w:r>
      <w:r>
        <w:rPr>
          <w:rFonts w:ascii="Times New Roman" w:hAnsi="Times New Roman" w:cs="Times New Roman"/>
          <w:sz w:val="28"/>
          <w:szCs w:val="28"/>
        </w:rPr>
        <w:t xml:space="preserve"> A are particularly concerning, as they are associated with nephrotoxicity, hepatotoxicity, and carcinogenicity in humans and animals. </w:t>
      </w:r>
      <w:r w:rsidRPr="00786B70">
        <w:rPr>
          <w:rFonts w:ascii="Times New Roman" w:hAnsi="Times New Roman" w:cs="Times New Roman"/>
          <w:i/>
          <w:iCs/>
          <w:sz w:val="28"/>
          <w:szCs w:val="28"/>
        </w:rPr>
        <w:t>Penicilliumcitrinum</w:t>
      </w:r>
      <w:r>
        <w:rPr>
          <w:rFonts w:ascii="Times New Roman" w:hAnsi="Times New Roman" w:cs="Times New Roman"/>
          <w:sz w:val="28"/>
          <w:szCs w:val="28"/>
        </w:rPr>
        <w:t xml:space="preserve">, </w:t>
      </w:r>
      <w:r w:rsidRPr="005671B3">
        <w:rPr>
          <w:rFonts w:ascii="Times New Roman" w:hAnsi="Times New Roman" w:cs="Times New Roman"/>
          <w:i/>
          <w:iCs/>
          <w:sz w:val="28"/>
          <w:szCs w:val="28"/>
        </w:rPr>
        <w:t xml:space="preserve">P. </w:t>
      </w:r>
      <w:r w:rsidRPr="00786B70">
        <w:rPr>
          <w:rFonts w:ascii="Times New Roman" w:hAnsi="Times New Roman" w:cs="Times New Roman"/>
          <w:i/>
          <w:iCs/>
          <w:sz w:val="28"/>
          <w:szCs w:val="28"/>
        </w:rPr>
        <w:t>expansum</w:t>
      </w:r>
      <w:r>
        <w:rPr>
          <w:rFonts w:ascii="Times New Roman" w:hAnsi="Times New Roman" w:cs="Times New Roman"/>
          <w:sz w:val="28"/>
          <w:szCs w:val="28"/>
        </w:rPr>
        <w:t xml:space="preserve">, and </w:t>
      </w:r>
      <w:r w:rsidRPr="005671B3">
        <w:rPr>
          <w:rFonts w:ascii="Times New Roman" w:hAnsi="Times New Roman" w:cs="Times New Roman"/>
          <w:i/>
          <w:iCs/>
          <w:sz w:val="28"/>
          <w:szCs w:val="28"/>
        </w:rPr>
        <w:t>P. verrucosum</w:t>
      </w:r>
      <w:r>
        <w:rPr>
          <w:rFonts w:ascii="Times New Roman" w:hAnsi="Times New Roman" w:cs="Times New Roman"/>
          <w:sz w:val="28"/>
          <w:szCs w:val="28"/>
        </w:rPr>
        <w:t xml:space="preserve"> are notable producers of these mycotoxins, which frequently contaminate cereals, fruits, nuts, and dairy products, leading to regulatory concerns and economic losses in the food industry (Frisvad &amp; Samson, 2018). The presence of mycotoxigenic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in indoor environments can also contribute to respiratory problems and allergic reactions, making their control a priority in food storage and building maintenance. In recent years, research on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has expanded to explore their biotechnological potential beyond antibiotics and enzymes. Some strains exhibit biocontrol properties, inhibiting plant pathogens and reducing postharvest spoilage. Others are being investigated for their ability </w:t>
      </w:r>
      <w:r>
        <w:rPr>
          <w:rFonts w:ascii="Times New Roman" w:hAnsi="Times New Roman" w:cs="Times New Roman"/>
          <w:sz w:val="28"/>
          <w:szCs w:val="28"/>
        </w:rPr>
        <w:lastRenderedPageBreak/>
        <w:t xml:space="preserve">to degrade environmental pollutants, including heavy metals and hydrocarbons, offering promising applications in bioremediation (Gonçalves et al., 2020). Understanding the genetic and metabolic pathways responsible for these capabilities can further enhance the exploitation of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for sustainable industrial and environmental applications. Despite their economic and ecological significance,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remain underexplored in certain areas, particularly concerning their potential role in human health beyond mycotoxin production. Some studies suggest that certain strains may produce bioactive compounds with antifungal, anticancer, and immunomodulatory properties, opening new avenues for pharmaceutical applications (Zhang et al., 2022). However, the dual nature of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as both a beneficial and harmful microorganism necessitates continuous monitoring, improved detection methods, and regulatory frameworks to minimize risks associated with mycotoxin contamination while maximizing their biotechnological potential. With growing advancements in genomic research, synthetic biology, and metabolomics, the future of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research holds great promise. Unlocking the full metabolic potential of these fungi can lead to novel drug discoveries, </w:t>
      </w:r>
      <w:r>
        <w:rPr>
          <w:rFonts w:ascii="Times New Roman" w:hAnsi="Times New Roman" w:cs="Times New Roman"/>
          <w:sz w:val="28"/>
          <w:szCs w:val="28"/>
        </w:rPr>
        <w:lastRenderedPageBreak/>
        <w:t xml:space="preserve">improved food production methods, and sustainable biotechnological innovations. However, challenges such as antifungal resistance, climate change-driven shifts in fungal distribution, and the emergence of new toxigenic strains underscore the need for continued interdisciplinary research on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species (Cabañes et al., 2021).</w:t>
      </w:r>
    </w:p>
    <w:p w:rsidR="004F6A58" w:rsidRDefault="004F6A58" w:rsidP="00471BB7">
      <w:pPr>
        <w:spacing w:line="480" w:lineRule="auto"/>
        <w:jc w:val="both"/>
        <w:rPr>
          <w:rFonts w:ascii="Times New Roman" w:hAnsi="Times New Roman" w:cs="Times New Roman"/>
          <w:sz w:val="28"/>
          <w:szCs w:val="28"/>
        </w:rPr>
      </w:pPr>
      <w:r w:rsidRPr="00AA12BF">
        <w:rPr>
          <w:rFonts w:ascii="Times New Roman" w:hAnsi="Times New Roman" w:cs="Times New Roman"/>
          <w:iCs/>
          <w:sz w:val="28"/>
          <w:szCs w:val="28"/>
        </w:rPr>
        <w:t>Citrinin</w:t>
      </w:r>
      <w:r>
        <w:rPr>
          <w:rFonts w:ascii="Times New Roman" w:hAnsi="Times New Roman" w:cs="Times New Roman"/>
          <w:sz w:val="28"/>
          <w:szCs w:val="28"/>
        </w:rPr>
        <w:t xml:space="preserve"> is a mycotoxin produced by several fungal species, primarily from the genera </w:t>
      </w:r>
      <w:r w:rsidRPr="005671B3">
        <w:rPr>
          <w:rFonts w:ascii="Times New Roman" w:hAnsi="Times New Roman" w:cs="Times New Roman"/>
          <w:i/>
          <w:iCs/>
          <w:sz w:val="28"/>
          <w:szCs w:val="28"/>
        </w:rPr>
        <w:t>Penicillium</w:t>
      </w:r>
      <w:r>
        <w:rPr>
          <w:rFonts w:ascii="Times New Roman" w:hAnsi="Times New Roman" w:cs="Times New Roman"/>
          <w:sz w:val="28"/>
          <w:szCs w:val="28"/>
        </w:rPr>
        <w:t xml:space="preserve">, </w:t>
      </w:r>
      <w:r w:rsidRPr="005671B3">
        <w:rPr>
          <w:rFonts w:ascii="Times New Roman" w:hAnsi="Times New Roman" w:cs="Times New Roman"/>
          <w:i/>
          <w:iCs/>
          <w:sz w:val="28"/>
          <w:szCs w:val="28"/>
        </w:rPr>
        <w:t>Aspergillus</w:t>
      </w:r>
      <w:r>
        <w:rPr>
          <w:rFonts w:ascii="Times New Roman" w:hAnsi="Times New Roman" w:cs="Times New Roman"/>
          <w:sz w:val="28"/>
          <w:szCs w:val="28"/>
        </w:rPr>
        <w:t xml:space="preserve">, and Monascus. It was first discovered in </w:t>
      </w:r>
      <w:r w:rsidRPr="00867A2B">
        <w:rPr>
          <w:rFonts w:ascii="Times New Roman" w:hAnsi="Times New Roman" w:cs="Times New Roman"/>
          <w:i/>
          <w:iCs/>
          <w:sz w:val="28"/>
          <w:szCs w:val="28"/>
        </w:rPr>
        <w:t>Penicillium</w:t>
      </w:r>
      <w:r w:rsidRPr="005671B3">
        <w:rPr>
          <w:rFonts w:ascii="Times New Roman" w:hAnsi="Times New Roman" w:cs="Times New Roman"/>
          <w:i/>
          <w:iCs/>
          <w:sz w:val="28"/>
          <w:szCs w:val="28"/>
        </w:rPr>
        <w:t>citrinum</w:t>
      </w:r>
      <w:r>
        <w:rPr>
          <w:rFonts w:ascii="Times New Roman" w:hAnsi="Times New Roman" w:cs="Times New Roman"/>
          <w:sz w:val="28"/>
          <w:szCs w:val="28"/>
        </w:rPr>
        <w:t xml:space="preserve"> in 1931 and has since been identified in various food and feed products, raising significant concerns about its toxic effects on human and animal health (Zhang et al., 2018).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contamination is particularly prevalent in stored grains, nuts, fruits, and dairy products, as well as in fermented food items such as red yeast rice, which is commonly used in traditional Asian medicine and food coloring (Liu et al., 2020). Due to its nephrotoxic, hepatotoxic, and genotoxic properties,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is regarded as a major food safety hazard, necessitating strict regulatory monitoring and control measures worldwide. Structurally,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belongs to the polyketide class of secondary metabolites, characterized by a benzophenone-like structure. It is a yellow crystalline compound with relatively high stability </w:t>
      </w:r>
      <w:r>
        <w:rPr>
          <w:rFonts w:ascii="Times New Roman" w:hAnsi="Times New Roman" w:cs="Times New Roman"/>
          <w:sz w:val="28"/>
          <w:szCs w:val="28"/>
        </w:rPr>
        <w:lastRenderedPageBreak/>
        <w:t xml:space="preserve">under normal storage conditions but can degrade into other toxic metabolites when exposed to heat and light. Recent studies have identified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derivatives, such as dihydrocitrinone, which exhibit even greater toxicity than the parent compound (Zhou et al., 2021). The biosynthesis of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involves a complex enzymatic pathway governed by polyketide synthase genes, with regulatory mechanisms that vary between fungal species. Advances in genomic and transcriptomic analysis have provided deeper insights into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biosynthetic gene clusters, offering potential strategies for targeted mycotoxin mitigation (He &amp; Cox, 2019). The toxicological effects of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have been extensively studied in both in vitro and in vivo models. The kidney is the primary target organ, with </w:t>
      </w:r>
      <w:r w:rsidRPr="00AA12BF">
        <w:rPr>
          <w:rFonts w:ascii="Times New Roman" w:hAnsi="Times New Roman" w:cs="Times New Roman"/>
          <w:iCs/>
          <w:sz w:val="28"/>
          <w:szCs w:val="28"/>
        </w:rPr>
        <w:t>citrinin</w:t>
      </w:r>
      <w:r>
        <w:rPr>
          <w:rFonts w:ascii="Times New Roman" w:hAnsi="Times New Roman" w:cs="Times New Roman"/>
          <w:sz w:val="28"/>
          <w:szCs w:val="28"/>
        </w:rPr>
        <w:t xml:space="preserve"> exposure leading to nephropathy characterized by oxidative stress, mitochondrial dysfunction, and apoptotic cell death. Chronic exposure to low doses of </w:t>
      </w:r>
      <w:r w:rsidRPr="009752C9">
        <w:rPr>
          <w:rFonts w:ascii="Times New Roman" w:hAnsi="Times New Roman" w:cs="Times New Roman"/>
          <w:iCs/>
          <w:sz w:val="28"/>
          <w:szCs w:val="28"/>
        </w:rPr>
        <w:t>ci</w:t>
      </w:r>
      <w:r w:rsidRPr="00AA12BF">
        <w:rPr>
          <w:rFonts w:ascii="Times New Roman" w:hAnsi="Times New Roman" w:cs="Times New Roman"/>
          <w:iCs/>
          <w:sz w:val="28"/>
          <w:szCs w:val="28"/>
        </w:rPr>
        <w:t>trinin</w:t>
      </w:r>
      <w:r>
        <w:rPr>
          <w:rFonts w:ascii="Times New Roman" w:hAnsi="Times New Roman" w:cs="Times New Roman"/>
          <w:sz w:val="28"/>
          <w:szCs w:val="28"/>
        </w:rPr>
        <w:t xml:space="preserve"> has been linked to renal fibrosis and progressive kidney damage, particularly in animals consuming contaminated feed (Geng et al., 2021). In addition to nephrotoxicity,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has been shown to exert hepatotoxic effects by inducing liver enzyme dysregulation, lipid peroxidation, and inflammation. Emerging evidence also suggests a potential </w:t>
      </w:r>
      <w:r>
        <w:rPr>
          <w:rFonts w:ascii="Times New Roman" w:hAnsi="Times New Roman" w:cs="Times New Roman"/>
          <w:sz w:val="28"/>
          <w:szCs w:val="28"/>
        </w:rPr>
        <w:lastRenderedPageBreak/>
        <w:t xml:space="preserve">role in carcinogenesis, as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has been found to cause DNA damage, chromosomal aberrations, and cell cycle arrest in human cell lines (Shi et al., 2022). Human exposure to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primarily occurs through dietary consumption of contaminated food products. Regulatory agencies, including the European Food Safety Authority (EFSA) and the U.S. Food and Drug Administration (FDA), have established maximum allowable limits for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in food and feed to minimize health risks</w:t>
      </w:r>
      <w:r w:rsidR="00C879DE">
        <w:rPr>
          <w:rFonts w:ascii="Times New Roman" w:hAnsi="Times New Roman" w:cs="Times New Roman"/>
          <w:sz w:val="28"/>
          <w:szCs w:val="28"/>
        </w:rPr>
        <w:t>, EFSA set 0.2 micrograms/kilogram, EU 2micrograms/kilogram but FDA has not set an official limits, but check food supplements and removes any that have unsafe amount of citrinin</w:t>
      </w:r>
      <w:r>
        <w:rPr>
          <w:rFonts w:ascii="Times New Roman" w:hAnsi="Times New Roman" w:cs="Times New Roman"/>
          <w:sz w:val="28"/>
          <w:szCs w:val="28"/>
        </w:rPr>
        <w:t xml:space="preserve">. However, the global nature of food trade poses challenges in maintaining strict surveillance, particularly in developing countries where mycotoxin testing infrastructure is limited. Traditional mycotoxin detection methods, such as high-performance liquid chromatography (HPLC) and enzyme-linked immunosorbent assays (ELISA), have been widely used for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quantification, but recent advancements in biosensor technology and molecular diagnostics offer more rapid and sensitive detection approaches (Wang et al., 2020). Beyond food safety concerns,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contamination has significant economic </w:t>
      </w:r>
      <w:r>
        <w:rPr>
          <w:rFonts w:ascii="Times New Roman" w:hAnsi="Times New Roman" w:cs="Times New Roman"/>
          <w:sz w:val="28"/>
          <w:szCs w:val="28"/>
        </w:rPr>
        <w:lastRenderedPageBreak/>
        <w:t xml:space="preserve">implications for the agricultural and food industries. Contaminated crops and food products often require disposal, leading to financial losses for farmers and manufacturers. Additionally, livestock consuming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-contaminated feed can suffer from reduced productivity, weight loss, and reproductive issues, further exacerbating economic burdens. Strategies for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mitigation include improved storage conditions, biocontrol approaches using antagonistic microorganisms, and the development of detoxification methods such as enzymatic degradation and adsorption techniques (Haque et al., 2021). Recent research has explored potential applications of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and its derivatives in pharmaceutical and biotechnological fields. Despite its toxic properties, some studies suggest that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exhibits antimicrobial and anticancer activities at controlled concentrations, warranting further investigation into its potential therapeutic uses. However, the risks associated with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exposure currently outweigh its potential benefits, necessitating continued efforts in risk assessment, regulatory compliance, and food safety research (Sun et al., 2022). As climate change alters global temperature and humidity patterns, the prevalence of </w:t>
      </w:r>
      <w:r w:rsidRPr="009752C9">
        <w:rPr>
          <w:rFonts w:ascii="Times New Roman" w:hAnsi="Times New Roman" w:cs="Times New Roman"/>
          <w:iCs/>
          <w:sz w:val="28"/>
          <w:szCs w:val="28"/>
        </w:rPr>
        <w:t>citrinin</w:t>
      </w:r>
      <w:r w:rsidRPr="009752C9">
        <w:rPr>
          <w:rFonts w:ascii="Times New Roman" w:hAnsi="Times New Roman" w:cs="Times New Roman"/>
          <w:sz w:val="28"/>
          <w:szCs w:val="28"/>
        </w:rPr>
        <w:t>-</w:t>
      </w:r>
      <w:r>
        <w:rPr>
          <w:rFonts w:ascii="Times New Roman" w:hAnsi="Times New Roman" w:cs="Times New Roman"/>
          <w:sz w:val="28"/>
          <w:szCs w:val="28"/>
        </w:rPr>
        <w:t xml:space="preserve">producing fungi is expected to increase, posing new challenges for food security and </w:t>
      </w:r>
      <w:r>
        <w:rPr>
          <w:rFonts w:ascii="Times New Roman" w:hAnsi="Times New Roman" w:cs="Times New Roman"/>
          <w:sz w:val="28"/>
          <w:szCs w:val="28"/>
        </w:rPr>
        <w:lastRenderedPageBreak/>
        <w:t xml:space="preserve">public health. Future research should focus on developing integrated mycotoxin management strategies, including genetic engineering approaches to inhibit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biosynthesis, the use of probiotics to degrade mycotoxins in the gut, and improved regulatory frameworks to minimize exposure risks. The interplay between environmental factors, fungal metabolism, and human health underscores the need for a multidisciplinary approach in addressing </w:t>
      </w:r>
      <w:r w:rsidRPr="009752C9">
        <w:rPr>
          <w:rFonts w:ascii="Times New Roman" w:hAnsi="Times New Roman" w:cs="Times New Roman"/>
          <w:iCs/>
          <w:sz w:val="28"/>
          <w:szCs w:val="28"/>
        </w:rPr>
        <w:t>citrinin</w:t>
      </w:r>
      <w:r>
        <w:rPr>
          <w:rFonts w:ascii="Times New Roman" w:hAnsi="Times New Roman" w:cs="Times New Roman"/>
          <w:sz w:val="28"/>
          <w:szCs w:val="28"/>
        </w:rPr>
        <w:t xml:space="preserve"> contamination and its associated hazards (Rai et al., 2023).</w:t>
      </w:r>
    </w:p>
    <w:p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1.1 LITERATURE REVIEW</w:t>
      </w:r>
    </w:p>
    <w:p w:rsidR="00C879DE" w:rsidRPr="00762D86"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have reported the widespread contamination of food and feed with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For instance, Liu et al. (2021) conducted an extensive survey on cereals, fruits, and dairy products, revealing that over 30% of tested samples contained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levels exceeding regulatory limits. These findings underscore the need for improved detection and mitigation strategies to reduce dietary exposure. Another study by Geng et al. (2021) investigated the occurrence of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in Asian fermented foods, demonstrating its persistent presence in red yeast rice, a popular food additive. A study by Sun et al. (2022) explored the molecular mechanisms of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-induced </w:t>
      </w:r>
      <w:r>
        <w:rPr>
          <w:rFonts w:ascii="Times New Roman" w:hAnsi="Times New Roman" w:cs="Times New Roman"/>
          <w:sz w:val="28"/>
          <w:szCs w:val="28"/>
        </w:rPr>
        <w:lastRenderedPageBreak/>
        <w:t xml:space="preserve">nephrotoxicity, showing that oxidative stress and mitochondrial dysfunction play critical roles in renal cell apoptosis. Similar findings were reported by Zhou et al. (2021), who demonstrated that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exposure leads to DNA damage and chromosomal aberrations, raising concerns about its potential carcinogenicity. In animal models,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has been shown to induce kidney fibrosis and liver inflammation, further supporting its classification as a high-risk mycotoxin (He &amp; Cox, 2019). Detection methods have also been an area of active research. Traditional techniques such as high-performance liquid chromatography (HPLC) and enzyme-linked immunosorbent assays (ELISA) have been widely used to quantify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levels in food (Wang et al., 2020). However, recent advancements in biosensor technology and molecular diagnostics have led to more rapid and sensitive detection methods. For example, Haque et al. (2021) developed a novel fluorescence-based biosensor capable of detecting </w:t>
      </w:r>
      <w:r w:rsidRPr="00BC3BDF">
        <w:rPr>
          <w:rFonts w:ascii="Times New Roman" w:hAnsi="Times New Roman" w:cs="Times New Roman"/>
          <w:iCs/>
          <w:sz w:val="28"/>
          <w:szCs w:val="28"/>
        </w:rPr>
        <w:t>citrinin</w:t>
      </w:r>
      <w:r>
        <w:rPr>
          <w:rFonts w:ascii="Times New Roman" w:hAnsi="Times New Roman" w:cs="Times New Roman"/>
          <w:sz w:val="28"/>
          <w:szCs w:val="28"/>
        </w:rPr>
        <w:t xml:space="preserve"> at nanomolar concentrations, offering a promising alternative for food safety monitoring. Research on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mitigation strategies has expanded significantly. Various physical, chemical, and biological approaches have been investigated to reduce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contamination in food and feed. Rai et al. (2023) explored the use of </w:t>
      </w:r>
      <w:r>
        <w:rPr>
          <w:rFonts w:ascii="Times New Roman" w:hAnsi="Times New Roman" w:cs="Times New Roman"/>
          <w:sz w:val="28"/>
          <w:szCs w:val="28"/>
        </w:rPr>
        <w:lastRenderedPageBreak/>
        <w:t xml:space="preserve">probiotic bacteria to degrade citrinin in contaminated food, demonstrating a significant reduction in toxin levels. Similarly, enzymatic degradation techniques using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-degrading enzymes have shown potential in detoxification (Liu et al., 2020). A study by Zhou et al. (2021) found that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exposure leads to hepatic fibrosis in rodents, suggesting that prolonged dietary exposure may contribute to chronic liver diseases. Additionally, research by Liu et al. (2021) showed that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suppresses immune function by inhibiting cytokine production and impairing T-cell responses, raising concerns about its impact on immune-compromised individuals. Recent findings have also highlighted </w:t>
      </w:r>
      <w:r w:rsidRPr="005C7A45">
        <w:rPr>
          <w:rFonts w:ascii="Times New Roman" w:hAnsi="Times New Roman" w:cs="Times New Roman"/>
          <w:iCs/>
          <w:sz w:val="28"/>
          <w:szCs w:val="28"/>
        </w:rPr>
        <w:t>citrinin’s</w:t>
      </w:r>
      <w:r>
        <w:rPr>
          <w:rFonts w:ascii="Times New Roman" w:hAnsi="Times New Roman" w:cs="Times New Roman"/>
          <w:sz w:val="28"/>
          <w:szCs w:val="28"/>
        </w:rPr>
        <w:t xml:space="preserve"> potential carcinogenic effects. Although it is not classified as a confirmed human carcinogen, studies suggest that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may act as a co-carcinogen by inducing DNA damage and promoting tumorigenesis. For example, He and Cox (2019) demonstrated that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exposure enhances the mutagenic effects of other mycotoxins, such as aflatoxins, by disrupting DNA repair mechanisms. This has led to growing concerns about its long-term impact on public health, particularly in populations with high dietary exposure. Numerous studies have examined the prevalence of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contamination in </w:t>
      </w:r>
      <w:r>
        <w:rPr>
          <w:rFonts w:ascii="Times New Roman" w:hAnsi="Times New Roman" w:cs="Times New Roman"/>
          <w:sz w:val="28"/>
          <w:szCs w:val="28"/>
        </w:rPr>
        <w:lastRenderedPageBreak/>
        <w:t xml:space="preserve">food and feed products, revealing its widespread occurrence in grains, dairy, fermented foods, and even dietary supplements. Research by Wang et al. (2020) analyzed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contamination levels in rice and wheat samples across multiple countries, reporting contamination rates exceeding regulatory limits in over 25% of tested samples. Similarly, Geng et al. (2021) focused on fermented foods, particularly red yeast rice, a widely consumed traditional food product known to contain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due to fungal fermentation. Their findings emphasized the difficulty of eliminating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from such products without affecting their desired characteristics. In addition to dietary exposure, occupational exposure to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has also been studied. Agricultural workers, millers, and food handlers are at higher risk due to inhalation of airborne fungal spores containing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A study by Haque et al. (2021) analyzed occupational exposure in grain storage facilities and found that workers had significantly higher urinary citrinin levels compared to the general population. This raises concerns about the need for improved workplace safety measures and exposure monitoring in high-risk industries. The detection of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in food, feed, and biological samples has been a major research focus, leading to the development of </w:t>
      </w:r>
      <w:r>
        <w:rPr>
          <w:rFonts w:ascii="Times New Roman" w:hAnsi="Times New Roman" w:cs="Times New Roman"/>
          <w:sz w:val="28"/>
          <w:szCs w:val="28"/>
        </w:rPr>
        <w:lastRenderedPageBreak/>
        <w:t xml:space="preserve">various analytical techniques. Traditional methods such as high-performance liquid chromatography (HPLC) and enzyme-linked immunosorbent assays (ELISA) have been widely used, offering high sensitivity and specificity. However, these techniques are often expensive and require specialized laboratory equipment, limiting their accessibility in resource-limited settings (Wang et al., 2020). Recent advancements have led to the development of more rapid and cost-effective detection methods. A study by Rai et al. (2023) introduced a biosensor-based detection system that utilizes fluorescence and electrochemical signals to detect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at nanomolar concentrations. Similarly, Liu et al. (2020) explored the use of molecularly imprinted polymers for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detection, providing an innovative approach for on-site testing. These advancements are critical for improving food safety monitoring and reducing the risk of </w:t>
      </w:r>
      <w:r w:rsidR="00182FCE">
        <w:rPr>
          <w:rFonts w:ascii="Times New Roman" w:hAnsi="Times New Roman" w:cs="Times New Roman"/>
          <w:sz w:val="28"/>
          <w:szCs w:val="28"/>
        </w:rPr>
        <w:t>*</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exposure. Efforts to mitigate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contamination have focused on physical, chemical, and biological detoxification methods. Traditional approaches include heat treatment, ultraviolet (UV) irradiation, and chemical detoxification using ozone or ammonia. However, these methods have limitations, as they can alter food properties or produce toxic byproducts (Wang et al., 2020). Recent studies </w:t>
      </w:r>
      <w:r>
        <w:rPr>
          <w:rFonts w:ascii="Times New Roman" w:hAnsi="Times New Roman" w:cs="Times New Roman"/>
          <w:sz w:val="28"/>
          <w:szCs w:val="28"/>
        </w:rPr>
        <w:lastRenderedPageBreak/>
        <w:t xml:space="preserve">have explored biological detoxification as a more sustainable alternative. For instance, Haque et al. (2021) demonstrated that certain probiotic bacteria, such as Lactobacillus strains, can degrade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into non-toxic metabolites. Similarly, enzymatic degradation methods using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-degrading enzymes have shown promise in reducing toxin levels in contaminated food products (Rai et al., 2023). Further research is needed to optimize these approaches and assess their feasibility for large-scale application. Several theoretical frameworks have guided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research, particularly in toxicology, food safety, and microbiology. The dose-response theory has been widely used to assess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toxicity, demonstrating a clear relationship between exposure levels and adverse health effects (Shi et al., 2022). Additionally, the oxidative stress hypothesis has provided insights into </w:t>
      </w:r>
      <w:r w:rsidRPr="005C7A45">
        <w:rPr>
          <w:rFonts w:ascii="Times New Roman" w:hAnsi="Times New Roman" w:cs="Times New Roman"/>
          <w:iCs/>
          <w:sz w:val="28"/>
          <w:szCs w:val="28"/>
        </w:rPr>
        <w:t>citrinin’s</w:t>
      </w:r>
      <w:r>
        <w:rPr>
          <w:rFonts w:ascii="Times New Roman" w:hAnsi="Times New Roman" w:cs="Times New Roman"/>
          <w:sz w:val="28"/>
          <w:szCs w:val="28"/>
        </w:rPr>
        <w:t xml:space="preserve"> mechanism of action, highlighting its role in generating reactive oxygen species (ROS) and inducing cellular damage (Sun et al., 2022). From a food safety perspective, the Hazard Analysis and Critical Control Points (HACCP) framework has been applied to minimize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 contamination during food production and storage (Geng et al., 2021). This approach emphasizes risk </w:t>
      </w:r>
      <w:r>
        <w:rPr>
          <w:rFonts w:ascii="Times New Roman" w:hAnsi="Times New Roman" w:cs="Times New Roman"/>
          <w:sz w:val="28"/>
          <w:szCs w:val="28"/>
        </w:rPr>
        <w:lastRenderedPageBreak/>
        <w:t>assessment, monitoring, and preventive measures to ensure compliance with regulatory standards.</w:t>
      </w:r>
    </w:p>
    <w:p w:rsidR="00C879DE" w:rsidRDefault="00C879DE" w:rsidP="00C879D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extensive research on </w:t>
      </w:r>
      <w:r w:rsidRPr="00486D48">
        <w:rPr>
          <w:rFonts w:ascii="Times New Roman" w:hAnsi="Times New Roman" w:cs="Times New Roman"/>
          <w:i/>
          <w:iCs/>
          <w:sz w:val="28"/>
          <w:szCs w:val="28"/>
        </w:rPr>
        <w:t>Penicilliumcitrinin</w:t>
      </w:r>
      <w:r>
        <w:rPr>
          <w:rFonts w:ascii="Times New Roman" w:hAnsi="Times New Roman" w:cs="Times New Roman"/>
          <w:sz w:val="28"/>
          <w:szCs w:val="28"/>
        </w:rPr>
        <w:t xml:space="preserve"> toxin, several gaps remain that warrant further investigation. These gaps exist across multiple aspects, including toxicology, exposure assessment, detection techniques, mitigation strategies, and public health impact. </w:t>
      </w:r>
      <w:r w:rsidRPr="00486D48">
        <w:rPr>
          <w:rFonts w:ascii="Times New Roman" w:hAnsi="Times New Roman" w:cs="Times New Roman"/>
          <w:sz w:val="28"/>
          <w:szCs w:val="28"/>
        </w:rPr>
        <w:t>Identifying</w:t>
      </w:r>
      <w:r>
        <w:rPr>
          <w:rFonts w:ascii="Times New Roman" w:hAnsi="Times New Roman" w:cs="Times New Roman"/>
          <w:sz w:val="28"/>
          <w:szCs w:val="28"/>
        </w:rPr>
        <w:t xml:space="preserve"> these gaps is crucial for guiding future research efforts aimed at reducing </w:t>
      </w:r>
      <w:r w:rsidRPr="005C7A45">
        <w:rPr>
          <w:rFonts w:ascii="Times New Roman" w:hAnsi="Times New Roman" w:cs="Times New Roman"/>
          <w:iCs/>
          <w:sz w:val="28"/>
          <w:szCs w:val="28"/>
        </w:rPr>
        <w:t>citrinin</w:t>
      </w:r>
      <w:r>
        <w:rPr>
          <w:rFonts w:ascii="Times New Roman" w:hAnsi="Times New Roman" w:cs="Times New Roman"/>
          <w:sz w:val="28"/>
          <w:szCs w:val="28"/>
        </w:rPr>
        <w:t xml:space="preserve">-associated risks and improving food safety regulations. </w:t>
      </w:r>
      <w:r w:rsidRPr="00E932B2">
        <w:rPr>
          <w:rFonts w:ascii="Times New Roman" w:hAnsi="Times New Roman" w:cs="Times New Roman"/>
          <w:sz w:val="28"/>
          <w:szCs w:val="28"/>
        </w:rPr>
        <w:t xml:space="preserve">While the nephrotoxic and hepatotoxic effects of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are well established, research on its long-term impact on human health remains limited. Most toxicological studies have been conducted in animal models over short durations, leaving a significant gap in understanding chronic low-dose exposure effects in humans (Sun et al., 2022). Epidemiological studies linking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exposure to kidney diseases, liver disorders, or carcinogenicity are scarce, and more population-based studies are needed to assess its role in chronic illnesses (Zhou et al., 2021). Additionally, the potential synergistic effects of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with other mycotoxins, such as </w:t>
      </w:r>
      <w:r w:rsidRPr="005C7A45">
        <w:rPr>
          <w:rFonts w:ascii="Times New Roman" w:hAnsi="Times New Roman" w:cs="Times New Roman"/>
          <w:iCs/>
          <w:sz w:val="28"/>
          <w:szCs w:val="28"/>
        </w:rPr>
        <w:t>ochratoxin</w:t>
      </w:r>
      <w:r w:rsidRPr="00E932B2">
        <w:rPr>
          <w:rFonts w:ascii="Times New Roman" w:hAnsi="Times New Roman" w:cs="Times New Roman"/>
          <w:sz w:val="28"/>
          <w:szCs w:val="28"/>
        </w:rPr>
        <w:t xml:space="preserve"> A and aflatoxins, remain underexplored (Wang et al., 2020). Despite the widespread occurrence of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in food </w:t>
      </w:r>
      <w:r w:rsidRPr="00E932B2">
        <w:rPr>
          <w:rFonts w:ascii="Times New Roman" w:hAnsi="Times New Roman" w:cs="Times New Roman"/>
          <w:sz w:val="28"/>
          <w:szCs w:val="28"/>
        </w:rPr>
        <w:lastRenderedPageBreak/>
        <w:t xml:space="preserve">and agricultural products, accurate exposure assessment in humans is challenging. Most studies rely on food sample analyses rather than direct biomonitoring in individuals (Geng et al., 2021). The development of reliable biomarkers for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exposure, such as urinary metabolites, could significantly improve risk assessment. Moreover, variations in dietary habits and food processing techniques influence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exposure levels, requiring region-specific studies to develop more accurate exposure models (Haque et al., 2021). Regulatory guidelines for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exposure vary between countries, leading to inconsistencies in risk assessment and food safety enforcement. The European Food Safety Authority (EFSA) has set strict limits on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in food products, particularly red yeast rice, while the U.S. Food and Drug Administration (FDA) has yet to establish definitive exposure thresholds (Wang et al., 2020). This regulatory disparity highlights the need for harmonized global standards based on updated toxicological and epidemiological data. Furthermore, more research is required to establish safe exposure limits that account for vulnerable populations, such as pregnant women, children, and individuals with pre-existing kidney conditions (Shi et al., 2022). Although advances in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detection </w:t>
      </w:r>
      <w:r w:rsidRPr="00E932B2">
        <w:rPr>
          <w:rFonts w:ascii="Times New Roman" w:hAnsi="Times New Roman" w:cs="Times New Roman"/>
          <w:sz w:val="28"/>
          <w:szCs w:val="28"/>
        </w:rPr>
        <w:lastRenderedPageBreak/>
        <w:t xml:space="preserve">methods have improved analytical sensitivity, many techniques remain expensive, time-consuming, and inaccessible in low-resource settings. Traditional methods such as high-performance liquid chromatography (HPLC) and enzyme-linked immunosorbent assays (ELISA) require specialized laboratories, limiting their applicability for routine food safety monitoring (Liu et al., 2021). Emerging technologies, such as biosensors and nanotechnology-based assays, show promise for real-time monitoring, but further validation studies are needed to assess their accuracy, reliability, and cost-effectiveness for large-scale application (Rai et al., 2023). Most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detoxification strategies focus on physical or chemical methods, such as heat treatment and UV irradiation, which may alter food properties or produce harmful byproducts (Wang et al., 2020). While some studies have explored biological degradation using probiotic bacteria and enzymatic detoxification, these approaches remain in early experimental stages (Haque et al., 2021). More research is required to identify effective microbial strains and enzymes capable of degrading </w:t>
      </w:r>
      <w:r w:rsidRPr="00BE2569">
        <w:rPr>
          <w:rFonts w:ascii="Times New Roman" w:hAnsi="Times New Roman" w:cs="Times New Roman"/>
          <w:i/>
          <w:iCs/>
          <w:sz w:val="28"/>
          <w:szCs w:val="28"/>
        </w:rPr>
        <w:t>citrinin</w:t>
      </w:r>
      <w:r w:rsidRPr="00E932B2">
        <w:rPr>
          <w:rFonts w:ascii="Times New Roman" w:hAnsi="Times New Roman" w:cs="Times New Roman"/>
          <w:sz w:val="28"/>
          <w:szCs w:val="28"/>
        </w:rPr>
        <w:t xml:space="preserve"> safely without compromising food quality. Additionally, optimizing bioremediation techniques for large-scale application could help reduce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contamination in food and feed </w:t>
      </w:r>
      <w:r w:rsidRPr="00E932B2">
        <w:rPr>
          <w:rFonts w:ascii="Times New Roman" w:hAnsi="Times New Roman" w:cs="Times New Roman"/>
          <w:sz w:val="28"/>
          <w:szCs w:val="28"/>
        </w:rPr>
        <w:lastRenderedPageBreak/>
        <w:t xml:space="preserve">products. The biosynthetic pathway of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is only partially understood, with gaps in knowledge regarding the regulatory genes and environmental factors influencing toxin production (Grollman et al., 2017). Further genomic and transcriptomic studies on </w:t>
      </w:r>
      <w:r w:rsidRPr="00BE2569">
        <w:rPr>
          <w:rFonts w:ascii="Times New Roman" w:hAnsi="Times New Roman" w:cs="Times New Roman"/>
          <w:i/>
          <w:iCs/>
          <w:sz w:val="28"/>
          <w:szCs w:val="28"/>
        </w:rPr>
        <w:t>Penicilliumcitrinum</w:t>
      </w:r>
      <w:r w:rsidRPr="00E932B2">
        <w:rPr>
          <w:rFonts w:ascii="Times New Roman" w:hAnsi="Times New Roman" w:cs="Times New Roman"/>
          <w:sz w:val="28"/>
          <w:szCs w:val="28"/>
        </w:rPr>
        <w:t xml:space="preserve"> could provide insights into gene regulation mechanisms and potential genetic targets for controlling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synthesis (Shi et al., 2022). Understanding these molecular pathways could also aid in developing antifungal strategies to prevent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contamination at the source. While dietary exposure to </w:t>
      </w:r>
      <w:r w:rsidRPr="005C7A45">
        <w:rPr>
          <w:rFonts w:ascii="Times New Roman" w:hAnsi="Times New Roman" w:cs="Times New Roman"/>
          <w:iCs/>
          <w:sz w:val="28"/>
          <w:szCs w:val="28"/>
        </w:rPr>
        <w:t>citrin</w:t>
      </w:r>
      <w:r w:rsidRPr="005C7A45">
        <w:rPr>
          <w:rFonts w:ascii="Times New Roman" w:hAnsi="Times New Roman" w:cs="Times New Roman"/>
          <w:sz w:val="28"/>
          <w:szCs w:val="28"/>
        </w:rPr>
        <w:t>in</w:t>
      </w:r>
      <w:r w:rsidRPr="00E932B2">
        <w:rPr>
          <w:rFonts w:ascii="Times New Roman" w:hAnsi="Times New Roman" w:cs="Times New Roman"/>
          <w:sz w:val="28"/>
          <w:szCs w:val="28"/>
        </w:rPr>
        <w:t xml:space="preserve">has been extensively studied, occupational exposure remains largely overlooked. Agricultural workers, millers, and food handlers are at risk of inhaling airborne fungal spores containing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yet few studies have investigated the potential respiratory effects and systemic absorption of inhaled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(Haque et al., 2021). Future research should assess occupational exposure risks and develop protective measures to minimize health hazards for workers in high-risk industries. Consumer awareness regarding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contamination in food remains low, with limited public health campaigns addressing mycotoxin risks. Studies suggest that many individuals, especially in developing regions, lack knowledge about </w:t>
      </w:r>
      <w:r w:rsidRPr="00E932B2">
        <w:rPr>
          <w:rFonts w:ascii="Times New Roman" w:hAnsi="Times New Roman" w:cs="Times New Roman"/>
          <w:sz w:val="28"/>
          <w:szCs w:val="28"/>
        </w:rPr>
        <w:lastRenderedPageBreak/>
        <w:t xml:space="preserve">foodborne mycotoxins and their potential health effects (Geng et al., 2021). Research should explore effective communication strategies to educate consumers about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 xml:space="preserve"> risks, proper food storage, and preventive measures to reduce exposure. Public health interventions, including food labeling regulations and consumer awareness programs, could play a vital role in mitigating </w:t>
      </w:r>
      <w:r w:rsidRPr="005C7A45">
        <w:rPr>
          <w:rFonts w:ascii="Times New Roman" w:hAnsi="Times New Roman" w:cs="Times New Roman"/>
          <w:iCs/>
          <w:sz w:val="28"/>
          <w:szCs w:val="28"/>
        </w:rPr>
        <w:t>citrinin</w:t>
      </w:r>
      <w:r w:rsidRPr="00E932B2">
        <w:rPr>
          <w:rFonts w:ascii="Times New Roman" w:hAnsi="Times New Roman" w:cs="Times New Roman"/>
          <w:sz w:val="28"/>
          <w:szCs w:val="28"/>
        </w:rPr>
        <w:t>-related health risks.</w:t>
      </w:r>
    </w:p>
    <w:p w:rsidR="00C879DE" w:rsidRDefault="00C879DE" w:rsidP="00C879DE">
      <w:pPr>
        <w:spacing w:line="480" w:lineRule="auto"/>
        <w:jc w:val="both"/>
        <w:rPr>
          <w:rFonts w:ascii="Times New Roman" w:hAnsi="Times New Roman" w:cs="Times New Roman"/>
          <w:sz w:val="28"/>
          <w:szCs w:val="28"/>
        </w:rPr>
      </w:pPr>
      <w:r w:rsidRPr="008F0058">
        <w:rPr>
          <w:rFonts w:ascii="Times New Roman" w:hAnsi="Times New Roman" w:cs="Times New Roman"/>
          <w:sz w:val="28"/>
          <w:szCs w:val="28"/>
        </w:rPr>
        <w:t xml:space="preserve">One of the primary debates surrounding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revolves around its toxicity in humans. While multiple animal studies have confirmed its nephrotoxic, hepatotoxic, and immunotoxic effects, direct evidence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-induced toxicity in humans remains limited (Shi et al., 2022). Some researchers argue that existing toxicological data from animal models are sufficient to classify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as a significant human health risk (Wang et al., 2020). Others contend that due to the absence of large-scale human studies, the true impact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on human health remains inconclusive (Geng et al., 2021). This ongoing debate has implications for risk assessment and regulatory decisions regarding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exposure limits. There is no global consensus on the permissible limits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in food and feed products. The European Food Safety Authority (EFSA) has set strict limits on </w:t>
      </w:r>
      <w:r w:rsidRPr="00A15331">
        <w:rPr>
          <w:rFonts w:ascii="Times New Roman" w:hAnsi="Times New Roman" w:cs="Times New Roman"/>
          <w:sz w:val="28"/>
          <w:szCs w:val="28"/>
        </w:rPr>
        <w:t>citrinin</w:t>
      </w:r>
      <w:r w:rsidRPr="008F0058">
        <w:rPr>
          <w:rFonts w:ascii="Times New Roman" w:hAnsi="Times New Roman" w:cs="Times New Roman"/>
          <w:sz w:val="28"/>
          <w:szCs w:val="28"/>
        </w:rPr>
        <w:t xml:space="preserve"> levels, </w:t>
      </w:r>
      <w:r w:rsidRPr="008F0058">
        <w:rPr>
          <w:rFonts w:ascii="Times New Roman" w:hAnsi="Times New Roman" w:cs="Times New Roman"/>
          <w:sz w:val="28"/>
          <w:szCs w:val="28"/>
        </w:rPr>
        <w:lastRenderedPageBreak/>
        <w:t xml:space="preserve">particularly in red yeast rice, due to its potential nephrotoxicity (EFSA, 2019). In contrast, the U.S. Food and Drug Administration (FDA) has not established a definitive regulatory threshold, arguing that more toxicological data are needed before imposing strict regulations (Zhou et al., 2021). This regulatory inconsistency raises concerns about the effectiveness of existing policies in protecting consumers from citrinin-related health risks. Some researchers advocate for a harmonized global standard, while others argue that regulatory thresholds should be determined based on region-specific dietary habits and exposure patterns (Haque et al., 2021). Another ongoing debate concerns the interaction between citrinin and other mycotoxins, particularly </w:t>
      </w:r>
      <w:r w:rsidRPr="005C7A45">
        <w:rPr>
          <w:rFonts w:ascii="Times New Roman" w:hAnsi="Times New Roman" w:cs="Times New Roman"/>
          <w:iCs/>
          <w:sz w:val="28"/>
          <w:szCs w:val="28"/>
        </w:rPr>
        <w:t>ochratoxin</w:t>
      </w:r>
      <w:r w:rsidRPr="00953CD4">
        <w:rPr>
          <w:rFonts w:ascii="Times New Roman" w:hAnsi="Times New Roman" w:cs="Times New Roman"/>
          <w:i/>
          <w:iCs/>
          <w:sz w:val="28"/>
          <w:szCs w:val="28"/>
        </w:rPr>
        <w:t xml:space="preserve"> A.</w:t>
      </w:r>
      <w:r w:rsidRPr="008F0058">
        <w:rPr>
          <w:rFonts w:ascii="Times New Roman" w:hAnsi="Times New Roman" w:cs="Times New Roman"/>
          <w:sz w:val="28"/>
          <w:szCs w:val="28"/>
        </w:rPr>
        <w:t xml:space="preserve"> Some studies suggest that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acts synergistically with </w:t>
      </w:r>
      <w:r w:rsidRPr="005C7A45">
        <w:rPr>
          <w:rFonts w:ascii="Times New Roman" w:hAnsi="Times New Roman" w:cs="Times New Roman"/>
          <w:iCs/>
          <w:sz w:val="28"/>
          <w:szCs w:val="28"/>
        </w:rPr>
        <w:t>ochratoxin</w:t>
      </w:r>
      <w:r w:rsidRPr="00953CD4">
        <w:rPr>
          <w:rFonts w:ascii="Times New Roman" w:hAnsi="Times New Roman" w:cs="Times New Roman"/>
          <w:i/>
          <w:iCs/>
          <w:sz w:val="28"/>
          <w:szCs w:val="28"/>
        </w:rPr>
        <w:t>A</w:t>
      </w:r>
      <w:r w:rsidRPr="008F0058">
        <w:rPr>
          <w:rFonts w:ascii="Times New Roman" w:hAnsi="Times New Roman" w:cs="Times New Roman"/>
          <w:sz w:val="28"/>
          <w:szCs w:val="28"/>
        </w:rPr>
        <w:t xml:space="preserve">, exacerbating its nephrotoxic effects (Sun et al., 2022). This has led to concerns that even low levels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exposure could pose significant health risks when combined with other mycotoxins. However, other researchers argue that the evidence supporting this synergistic effect is insufficient and that more mechanistic studies are required to confirm this interaction (Liu et al., 2021). The debate over </w:t>
      </w:r>
      <w:r w:rsidRPr="005C7A45">
        <w:rPr>
          <w:rFonts w:ascii="Times New Roman" w:hAnsi="Times New Roman" w:cs="Times New Roman"/>
          <w:iCs/>
          <w:sz w:val="28"/>
          <w:szCs w:val="28"/>
        </w:rPr>
        <w:t>citrinin’s</w:t>
      </w:r>
      <w:r w:rsidRPr="008F0058">
        <w:rPr>
          <w:rFonts w:ascii="Times New Roman" w:hAnsi="Times New Roman" w:cs="Times New Roman"/>
          <w:sz w:val="28"/>
          <w:szCs w:val="28"/>
        </w:rPr>
        <w:t xml:space="preserve"> role in multi-mycotoxin toxicity highlights the need for further </w:t>
      </w:r>
      <w:r w:rsidRPr="008F0058">
        <w:rPr>
          <w:rFonts w:ascii="Times New Roman" w:hAnsi="Times New Roman" w:cs="Times New Roman"/>
          <w:sz w:val="28"/>
          <w:szCs w:val="28"/>
        </w:rPr>
        <w:lastRenderedPageBreak/>
        <w:t xml:space="preserve">research into its interactions with other foodborne toxins. The accuracy and reliability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detection methods are another source of contention. Traditional detection methods, such as high-performance liquid chromatography (HPLC) and liquid chromatography-mass spectrometry (LC-MS), are widely used for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analysis. However, critics argue that these methods are time-consuming, expensive, and require specialized laboratories, making them impractical for large-scale food safety monitoring (Rai et al., 2023). On the other hand, rapid detection methods, such as enzyme-linked immunosorbent assays (ELISA) and biosensors, have been proposed as cost-effective alternatives. However, some researchers question the sensitivity and specificity of these newer methods, arguing that further validation studies are needed before they can replace conventional techniques (Shi et al., 2022). The debate over the best approach to mitigate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continues among scientists and industry stakeholders. Chemical and physical detoxification methods, such as UV irradiation and heat treatment, have been shown to reduce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levels in contaminated products (Wang et al., 2020). However, these methods often raise concerns about food quality deterioration and the formation of potentially harmful </w:t>
      </w:r>
      <w:r w:rsidRPr="008F0058">
        <w:rPr>
          <w:rFonts w:ascii="Times New Roman" w:hAnsi="Times New Roman" w:cs="Times New Roman"/>
          <w:sz w:val="28"/>
          <w:szCs w:val="28"/>
        </w:rPr>
        <w:lastRenderedPageBreak/>
        <w:t xml:space="preserve">degradation products. Some researchers advocate for biological detoxification using probiotic bacteria and enzymatic degradation, arguing that these methods offer a safer and more sustainable alternative (Haque et al., 2021). However, critics highlight the need for more research to optimize these biological approaches for large-scale application. The lack of a universally accepted detoxification strategy underscores the complexity of managing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effectively. There is a growing discussion on how climate change may impact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in food crops. Some researchers suggest that rising global temperatures and increased humidity create favorable conditions for </w:t>
      </w:r>
      <w:r w:rsidRPr="0069290A">
        <w:rPr>
          <w:rFonts w:ascii="Times New Roman" w:hAnsi="Times New Roman" w:cs="Times New Roman"/>
          <w:i/>
          <w:iCs/>
          <w:sz w:val="28"/>
          <w:szCs w:val="28"/>
        </w:rPr>
        <w:t>Penicillium</w:t>
      </w:r>
      <w:r w:rsidRPr="008F0058">
        <w:rPr>
          <w:rFonts w:ascii="Times New Roman" w:hAnsi="Times New Roman" w:cs="Times New Roman"/>
          <w:sz w:val="28"/>
          <w:szCs w:val="28"/>
        </w:rPr>
        <w:t xml:space="preserve"> species to thrive, potentially leading to higher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levels (Zhou et al., 2021). This perspective supports the argument for stricter monitoring and adaptive food safety policies to address climate-related risks. However, skeptics argue that while climate change may influence fungal growth patterns, other factors such as agricultural practices and post-harvest storage conditions play a more significant role in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contamination (Geng et al., 2021). This debate highlights the need for interdisciplinary research to assess the long-term impact of climate change on mycotoxin prevalence. The </w:t>
      </w:r>
      <w:r w:rsidRPr="008F0058">
        <w:rPr>
          <w:rFonts w:ascii="Times New Roman" w:hAnsi="Times New Roman" w:cs="Times New Roman"/>
          <w:sz w:val="28"/>
          <w:szCs w:val="28"/>
        </w:rPr>
        <w:lastRenderedPageBreak/>
        <w:t xml:space="preserve">economic implications of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regulations and mitigation strategies have also been a point of contention. Stricter regulations on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levels could lead to increased food waste, higher production costs, and economic losses for farmers and food manufacturers (Rai et al., 2023). Some industry stakeholders argue that overly stringent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regulations could disproportionately affect small-scale farmers in developing countries who lack access to advanced detection and mitigation technologies. Conversely, public health advocates emphasize that prioritizing food safety over economic concerns is necessary to prevent long-term health consequences associated with </w:t>
      </w:r>
      <w:r w:rsidRPr="005C7A45">
        <w:rPr>
          <w:rFonts w:ascii="Times New Roman" w:hAnsi="Times New Roman" w:cs="Times New Roman"/>
          <w:iCs/>
          <w:sz w:val="28"/>
          <w:szCs w:val="28"/>
        </w:rPr>
        <w:t>citrinin</w:t>
      </w:r>
      <w:r w:rsidRPr="008F0058">
        <w:rPr>
          <w:rFonts w:ascii="Times New Roman" w:hAnsi="Times New Roman" w:cs="Times New Roman"/>
          <w:sz w:val="28"/>
          <w:szCs w:val="28"/>
        </w:rPr>
        <w:t xml:space="preserve"> exposure (Shi et al., 2022). Balancing economic viability with public health protection remains a challenge in policymaking.</w:t>
      </w:r>
    </w:p>
    <w:p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1.2  STATEMENT</w:t>
      </w:r>
      <w:r w:rsidR="008B7CEE">
        <w:rPr>
          <w:rFonts w:ascii="Times New Roman" w:hAnsi="Times New Roman" w:cs="Times New Roman"/>
          <w:sz w:val="28"/>
          <w:szCs w:val="28"/>
        </w:rPr>
        <w:t xml:space="preserve"> OF PROBLEM </w:t>
      </w:r>
    </w:p>
    <w:p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There is limited local research on the presence and potency of citrinin from fruits like bananas.</w:t>
      </w:r>
    </w:p>
    <w:p w:rsidR="006B402D" w:rsidRPr="00201F4C" w:rsidRDefault="006B402D" w:rsidP="00201F4C">
      <w:pPr>
        <w:pStyle w:val="ListParagraph"/>
        <w:numPr>
          <w:ilvl w:val="0"/>
          <w:numId w:val="8"/>
        </w:numPr>
        <w:spacing w:line="480" w:lineRule="auto"/>
        <w:jc w:val="both"/>
        <w:rPr>
          <w:rFonts w:ascii="Times New Roman" w:hAnsi="Times New Roman" w:cs="Times New Roman"/>
          <w:sz w:val="28"/>
          <w:szCs w:val="28"/>
        </w:rPr>
      </w:pPr>
      <w:r w:rsidRPr="00201F4C">
        <w:rPr>
          <w:rFonts w:ascii="Times New Roman" w:hAnsi="Times New Roman" w:cs="Times New Roman"/>
          <w:sz w:val="28"/>
          <w:szCs w:val="28"/>
        </w:rPr>
        <w:t>Low-cost, simple methods for citrinin detection are lacking, making food safety monitoring difficult.</w:t>
      </w:r>
    </w:p>
    <w:p w:rsidR="005B6C47" w:rsidRDefault="005B6C47" w:rsidP="005B6C47">
      <w:pPr>
        <w:pStyle w:val="NormalWeb"/>
        <w:numPr>
          <w:ilvl w:val="0"/>
          <w:numId w:val="8"/>
        </w:numPr>
        <w:spacing w:line="480" w:lineRule="auto"/>
        <w:jc w:val="both"/>
        <w:rPr>
          <w:sz w:val="28"/>
          <w:szCs w:val="28"/>
        </w:rPr>
      </w:pPr>
      <w:r>
        <w:rPr>
          <w:sz w:val="28"/>
          <w:szCs w:val="28"/>
        </w:rPr>
        <w:lastRenderedPageBreak/>
        <w:t xml:space="preserve">Despite global awareness of citrinin’s toxicological effects such as immunotoxicity, neurotoxicity, and genotoxicity contamination in food chains remains a persistent challenge due to inadequate storage conditions, limited surveillance, and insufficient public awareness. </w:t>
      </w:r>
    </w:p>
    <w:p w:rsidR="005B6C47" w:rsidRDefault="005B6C47" w:rsidP="005B6C47">
      <w:pPr>
        <w:pStyle w:val="NormalWeb"/>
        <w:numPr>
          <w:ilvl w:val="0"/>
          <w:numId w:val="8"/>
        </w:numPr>
        <w:spacing w:line="480" w:lineRule="auto"/>
        <w:jc w:val="both"/>
        <w:rPr>
          <w:sz w:val="28"/>
          <w:szCs w:val="28"/>
        </w:rPr>
      </w:pPr>
      <w:r>
        <w:rPr>
          <w:sz w:val="28"/>
          <w:szCs w:val="28"/>
        </w:rPr>
        <w:t xml:space="preserve">The variation in citrinin toxicity at different concentrations and its organ-specific effects in mammals are still under-researched, particularly in vivo studies involving animal models. </w:t>
      </w:r>
    </w:p>
    <w:p w:rsidR="00BC3BDF" w:rsidRPr="00BC3BDF" w:rsidRDefault="00602320" w:rsidP="00BC3BD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BC3BDF">
        <w:rPr>
          <w:rFonts w:ascii="Times New Roman" w:hAnsi="Times New Roman" w:cs="Times New Roman"/>
          <w:sz w:val="28"/>
          <w:szCs w:val="28"/>
        </w:rPr>
        <w:t>.</w:t>
      </w:r>
      <w:r w:rsidRPr="00BC3BDF">
        <w:rPr>
          <w:rFonts w:ascii="Times New Roman" w:hAnsi="Times New Roman" w:cs="Times New Roman"/>
          <w:sz w:val="28"/>
          <w:szCs w:val="28"/>
        </w:rPr>
        <w:t>JUSTIFICATION OF STUDY</w:t>
      </w:r>
    </w:p>
    <w:p w:rsidR="001A5DB4" w:rsidRDefault="00E129CA" w:rsidP="00E129CA">
      <w:pPr>
        <w:pStyle w:val="NormalWeb"/>
        <w:spacing w:line="480" w:lineRule="auto"/>
        <w:jc w:val="both"/>
        <w:rPr>
          <w:sz w:val="28"/>
          <w:szCs w:val="28"/>
        </w:rPr>
      </w:pPr>
      <w:r>
        <w:rPr>
          <w:sz w:val="28"/>
          <w:szCs w:val="28"/>
        </w:rPr>
        <w:t xml:space="preserve">The presence of </w:t>
      </w:r>
      <w:r w:rsidRPr="00B80C1B">
        <w:rPr>
          <w:i/>
          <w:iCs/>
          <w:sz w:val="28"/>
          <w:szCs w:val="28"/>
        </w:rPr>
        <w:t>Penicillium</w:t>
      </w:r>
      <w:r>
        <w:rPr>
          <w:sz w:val="28"/>
          <w:szCs w:val="28"/>
        </w:rPr>
        <w:t xml:space="preserve"> citrinin in food products, particularly fruits and their derivatives, poses a significant public health concern due to its ability to produce citrinin a mycotoxin with confirmed toxic effects. Although regulatory bodies like the WHO and EFSA have established safety limits, citrinin contamination remains underreported in many regions, especially in developing countries with limited food quality monitoring. Studying the toxicity of citrinin at varying concentrations using animal models provides essential data on dose-dependent pathological effects, which is crucial for refining health guidelines. This study also helps to bridge existing gaps in </w:t>
      </w:r>
      <w:r>
        <w:rPr>
          <w:sz w:val="28"/>
          <w:szCs w:val="28"/>
        </w:rPr>
        <w:lastRenderedPageBreak/>
        <w:t>citrinin toxicology, contributes to global efforts on food safety, and supports the development of effective mitigation strategies.</w:t>
      </w:r>
    </w:p>
    <w:p w:rsidR="007A11B4" w:rsidRDefault="007A11B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AIMS AND OBJECTIVES </w:t>
      </w:r>
    </w:p>
    <w:p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aimcheck the potency of </w:t>
      </w:r>
      <w:r w:rsidRPr="00B503E2">
        <w:rPr>
          <w:rFonts w:ascii="Times New Roman" w:hAnsi="Times New Roman" w:cs="Times New Roman"/>
          <w:i/>
          <w:sz w:val="28"/>
          <w:szCs w:val="28"/>
        </w:rPr>
        <w:t>Penicillium</w:t>
      </w:r>
      <w:r>
        <w:rPr>
          <w:rFonts w:ascii="Times New Roman" w:hAnsi="Times New Roman" w:cs="Times New Roman"/>
          <w:sz w:val="28"/>
          <w:szCs w:val="28"/>
        </w:rPr>
        <w:t xml:space="preserve"> citrinin toxin at vary degree of concentration</w:t>
      </w:r>
    </w:p>
    <w:p w:rsidR="00602320" w:rsidRDefault="00602320" w:rsidP="0060232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r w:rsidRPr="00AA25DA">
        <w:rPr>
          <w:rFonts w:ascii="Times New Roman" w:hAnsi="Times New Roman" w:cs="Times New Roman"/>
          <w:i/>
          <w:iCs/>
          <w:sz w:val="28"/>
          <w:szCs w:val="28"/>
        </w:rPr>
        <w:t>Penicillium</w:t>
      </w:r>
      <w:r w:rsidRPr="009535E4">
        <w:rPr>
          <w:rFonts w:ascii="Times New Roman" w:hAnsi="Times New Roman" w:cs="Times New Roman"/>
          <w:i/>
          <w:iCs/>
          <w:sz w:val="28"/>
          <w:szCs w:val="28"/>
        </w:rPr>
        <w:t>citrinum</w:t>
      </w:r>
      <w:r w:rsidRPr="00970C16">
        <w:rPr>
          <w:rFonts w:ascii="Times New Roman" w:hAnsi="Times New Roman" w:cs="Times New Roman"/>
          <w:sz w:val="28"/>
          <w:szCs w:val="28"/>
        </w:rPr>
        <w:t xml:space="preserve"> from overripe bananas</w:t>
      </w:r>
    </w:p>
    <w:p w:rsidR="00602320"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rsidR="00602320" w:rsidRPr="004764C4" w:rsidRDefault="00602320" w:rsidP="00602320">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rsidR="00FC55AC" w:rsidRPr="00602320" w:rsidRDefault="00602320" w:rsidP="00471BB7">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rsidR="00DE225E" w:rsidRDefault="00DE225E" w:rsidP="00471BB7">
      <w:pPr>
        <w:spacing w:line="480" w:lineRule="auto"/>
        <w:jc w:val="both"/>
        <w:rPr>
          <w:rFonts w:ascii="Times New Roman" w:hAnsi="Times New Roman" w:cs="Times New Roman"/>
          <w:sz w:val="28"/>
          <w:szCs w:val="28"/>
        </w:rPr>
      </w:pPr>
    </w:p>
    <w:p w:rsidR="00DE225E" w:rsidRDefault="00DE225E" w:rsidP="00471BB7">
      <w:pPr>
        <w:spacing w:line="480" w:lineRule="auto"/>
        <w:jc w:val="both"/>
        <w:rPr>
          <w:rFonts w:ascii="Times New Roman" w:hAnsi="Times New Roman" w:cs="Times New Roman"/>
          <w:sz w:val="28"/>
          <w:szCs w:val="28"/>
        </w:rPr>
      </w:pPr>
    </w:p>
    <w:p w:rsidR="00E129CA" w:rsidRDefault="00E129CA" w:rsidP="00471BB7">
      <w:pPr>
        <w:spacing w:line="480" w:lineRule="auto"/>
        <w:jc w:val="both"/>
        <w:rPr>
          <w:rFonts w:ascii="Times New Roman" w:hAnsi="Times New Roman" w:cs="Times New Roman"/>
          <w:sz w:val="28"/>
          <w:szCs w:val="28"/>
        </w:rPr>
      </w:pPr>
    </w:p>
    <w:p w:rsidR="00077DBE" w:rsidRDefault="00077DBE" w:rsidP="00471BB7">
      <w:pPr>
        <w:spacing w:line="480" w:lineRule="auto"/>
        <w:jc w:val="both"/>
        <w:rPr>
          <w:rFonts w:ascii="Times New Roman" w:hAnsi="Times New Roman" w:cs="Times New Roman"/>
          <w:sz w:val="28"/>
          <w:szCs w:val="28"/>
        </w:rPr>
      </w:pPr>
    </w:p>
    <w:p w:rsidR="00077DBE" w:rsidRDefault="00077DBE" w:rsidP="00471BB7">
      <w:pPr>
        <w:spacing w:line="480" w:lineRule="auto"/>
        <w:jc w:val="both"/>
        <w:rPr>
          <w:rFonts w:ascii="Times New Roman" w:hAnsi="Times New Roman" w:cs="Times New Roman"/>
          <w:sz w:val="28"/>
          <w:szCs w:val="28"/>
        </w:rPr>
      </w:pPr>
    </w:p>
    <w:p w:rsidR="00EA4F2B" w:rsidRDefault="00FC55AC" w:rsidP="00406099">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rsidR="0066433F" w:rsidRDefault="00FC55A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F153AE">
        <w:rPr>
          <w:rFonts w:ascii="Times New Roman" w:hAnsi="Times New Roman" w:cs="Times New Roman"/>
          <w:sz w:val="28"/>
          <w:szCs w:val="28"/>
        </w:rPr>
        <w:t>IALS AND METHOD</w:t>
      </w:r>
    </w:p>
    <w:p w:rsidR="0066433F" w:rsidRDefault="0066433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 Materials</w:t>
      </w:r>
    </w:p>
    <w:p w:rsidR="00FC55AC"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Overripe banana</w:t>
      </w:r>
      <w:r w:rsidR="0066433F">
        <w:rPr>
          <w:rFonts w:ascii="Times New Roman" w:hAnsi="Times New Roman" w:cs="Times New Roman"/>
          <w:sz w:val="28"/>
          <w:szCs w:val="28"/>
        </w:rPr>
        <w:t>, conical flakes, beakers, cotton wool, aluminum foil paper, wire loop, spirit lamp, matches, stirring rod, 70% dilute ethanol, petri dishes, distilled water, Lacto phenol cotton blue, nose mask, gloves, autoclaves, incubator, glass slide, test tubes, centrifuge, wistar rats, oral feeding syringe, digital weighing scale, microscope and spatula, antibiotics (streptomycin), rotary shaker, hot a</w:t>
      </w:r>
      <w:r>
        <w:rPr>
          <w:rFonts w:ascii="Times New Roman" w:hAnsi="Times New Roman" w:cs="Times New Roman"/>
          <w:sz w:val="28"/>
          <w:szCs w:val="28"/>
        </w:rPr>
        <w:t>ir oven, dissecting instrument.</w:t>
      </w:r>
    </w:p>
    <w:p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2.2Sterilization of Equipment and Environment</w:t>
      </w:r>
    </w:p>
    <w:p w:rsidR="00F153AE"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rsidR="009F599F"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2.3Sample Collection</w:t>
      </w:r>
      <w:r w:rsidR="00077DBE">
        <w:rPr>
          <w:rFonts w:ascii="Times New Roman" w:hAnsi="Times New Roman" w:cs="Times New Roman"/>
          <w:sz w:val="28"/>
          <w:szCs w:val="28"/>
        </w:rPr>
        <w:t>, Sample Processing and Culturing</w:t>
      </w:r>
    </w:p>
    <w:p w:rsidR="00B313CD" w:rsidRDefault="00B1450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 pieces of overripe banana was brought from a fruit seller, at kwara state polytechnic gate junction, Ilorin, Kwara state.</w:t>
      </w:r>
      <w:r w:rsidR="00D62A45">
        <w:rPr>
          <w:rFonts w:ascii="Times New Roman" w:hAnsi="Times New Roman" w:cs="Times New Roman"/>
          <w:sz w:val="28"/>
          <w:szCs w:val="28"/>
        </w:rPr>
        <w:t xml:space="preserve">The banana was first washed with distilled water, then </w:t>
      </w:r>
      <w:r w:rsidR="00C67C2F">
        <w:rPr>
          <w:rFonts w:ascii="Times New Roman" w:hAnsi="Times New Roman" w:cs="Times New Roman"/>
          <w:sz w:val="28"/>
          <w:szCs w:val="28"/>
        </w:rPr>
        <w:t xml:space="preserve">cleaned with cotton wool </w:t>
      </w:r>
      <w:r w:rsidR="00B7356F">
        <w:rPr>
          <w:rFonts w:ascii="Times New Roman" w:hAnsi="Times New Roman" w:cs="Times New Roman"/>
          <w:sz w:val="28"/>
          <w:szCs w:val="28"/>
        </w:rPr>
        <w:t>soaked with 70% ethanol</w:t>
      </w:r>
      <w:r w:rsidR="001723D2">
        <w:rPr>
          <w:rFonts w:ascii="Times New Roman" w:hAnsi="Times New Roman" w:cs="Times New Roman"/>
          <w:sz w:val="28"/>
          <w:szCs w:val="28"/>
        </w:rPr>
        <w:t xml:space="preserve"> before washing again with distilled water. Afterward it was</w:t>
      </w:r>
      <w:r w:rsidR="00650E5F">
        <w:rPr>
          <w:rFonts w:ascii="Times New Roman" w:hAnsi="Times New Roman" w:cs="Times New Roman"/>
          <w:sz w:val="28"/>
          <w:szCs w:val="28"/>
        </w:rPr>
        <w:t xml:space="preserve">peeled and </w:t>
      </w:r>
      <w:r w:rsidR="001723D2">
        <w:rPr>
          <w:rFonts w:ascii="Times New Roman" w:hAnsi="Times New Roman" w:cs="Times New Roman"/>
          <w:sz w:val="28"/>
          <w:szCs w:val="28"/>
        </w:rPr>
        <w:t xml:space="preserve">cut into </w:t>
      </w:r>
      <w:r w:rsidR="003363C6">
        <w:rPr>
          <w:rFonts w:ascii="Times New Roman" w:hAnsi="Times New Roman" w:cs="Times New Roman"/>
          <w:sz w:val="28"/>
          <w:szCs w:val="28"/>
        </w:rPr>
        <w:t>four (4) pieces</w:t>
      </w:r>
      <w:r w:rsidR="0095319F">
        <w:rPr>
          <w:rFonts w:ascii="Times New Roman" w:hAnsi="Times New Roman" w:cs="Times New Roman"/>
          <w:sz w:val="28"/>
          <w:szCs w:val="28"/>
        </w:rPr>
        <w:t xml:space="preserve"> with measurements of 0-2</w:t>
      </w:r>
      <w:r w:rsidR="000C0A20">
        <w:rPr>
          <w:rFonts w:ascii="Times New Roman" w:hAnsi="Times New Roman" w:cs="Times New Roman"/>
          <w:sz w:val="28"/>
          <w:szCs w:val="28"/>
        </w:rPr>
        <w:t>cm length</w:t>
      </w:r>
      <w:r w:rsidR="00A04126">
        <w:rPr>
          <w:rFonts w:ascii="Times New Roman" w:hAnsi="Times New Roman" w:cs="Times New Roman"/>
          <w:sz w:val="28"/>
          <w:szCs w:val="28"/>
        </w:rPr>
        <w:t xml:space="preserve">. It was then transferred into a clean beaker and </w:t>
      </w:r>
      <w:r w:rsidR="003836E9">
        <w:rPr>
          <w:rFonts w:ascii="Times New Roman" w:hAnsi="Times New Roman" w:cs="Times New Roman"/>
          <w:sz w:val="28"/>
          <w:szCs w:val="28"/>
        </w:rPr>
        <w:t>10ml of distilled water was measured and pour into it, then mixed together</w:t>
      </w:r>
      <w:r w:rsidR="0007408E">
        <w:rPr>
          <w:rFonts w:ascii="Times New Roman" w:hAnsi="Times New Roman" w:cs="Times New Roman"/>
          <w:sz w:val="28"/>
          <w:szCs w:val="28"/>
        </w:rPr>
        <w:t>.</w:t>
      </w:r>
      <w:r w:rsidR="005B6C47">
        <w:rPr>
          <w:rFonts w:ascii="Times New Roman" w:hAnsi="Times New Roman" w:cs="Times New Roman"/>
          <w:sz w:val="28"/>
          <w:szCs w:val="28"/>
        </w:rPr>
        <w:t xml:space="preserve"> After the agar plates have solidify, 0.1ml of serial dilution 10-² and 10-³ were taking from each tubes and inoculated on corresponding labelled agar plate. After Inoculation, all the plates was placed invertedly, wrapped with foil paper, and incubated at room temperature (25⁰c) for 3-days </w:t>
      </w:r>
    </w:p>
    <w:p w:rsidR="00BC2C6C"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BC2C6C">
        <w:rPr>
          <w:rFonts w:ascii="Times New Roman" w:hAnsi="Times New Roman" w:cs="Times New Roman"/>
          <w:sz w:val="28"/>
          <w:szCs w:val="28"/>
        </w:rPr>
        <w:t xml:space="preserve"> Media preparation </w:t>
      </w:r>
    </w:p>
    <w:p w:rsidR="00DC2494" w:rsidRDefault="00DC2494" w:rsidP="00DC2494">
      <w:pPr>
        <w:spacing w:line="480" w:lineRule="auto"/>
        <w:ind w:left="3" w:right="117"/>
        <w:jc w:val="both"/>
        <w:rPr>
          <w:rFonts w:ascii="Times New Roman" w:hAnsi="Times New Roman" w:cs="Times New Roman"/>
          <w:kern w:val="0"/>
          <w:sz w:val="28"/>
          <w:szCs w:val="28"/>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rPr>
        <w:t xml:space="preserve">Potato Dextrose Agar (PDA) and Potato Dextrose Broth (PDB) were prepared according to the manufacturer instructions and sterilized by autoclaving at 121°C for fifteen minutes. Upon cooling, 1 mL of streptomycin was aseptically added to prevent bacterial contamination, </w:t>
      </w:r>
      <w:r>
        <w:rPr>
          <w:rFonts w:ascii="Times New Roman" w:hAnsi="Times New Roman" w:cs="Times New Roman"/>
          <w:kern w:val="0"/>
          <w:sz w:val="28"/>
          <w:szCs w:val="28"/>
        </w:rPr>
        <w:lastRenderedPageBreak/>
        <w:t>and approximately 250 mL of the medium was poured into petri dishes and left to solidify (Pitt &amp; Hocking, 2021).</w:t>
      </w:r>
    </w:p>
    <w:p w:rsidR="00F62BF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F62BFD">
        <w:rPr>
          <w:rFonts w:ascii="Times New Roman" w:hAnsi="Times New Roman" w:cs="Times New Roman"/>
          <w:sz w:val="28"/>
          <w:szCs w:val="28"/>
        </w:rPr>
        <w:t xml:space="preserve"> Serial Dilution </w:t>
      </w:r>
    </w:p>
    <w:p w:rsidR="009C1DF5" w:rsidRDefault="0071241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(4) test tube </w:t>
      </w:r>
      <w:r w:rsidR="00BB7E69">
        <w:rPr>
          <w:rFonts w:ascii="Times New Roman" w:hAnsi="Times New Roman" w:cs="Times New Roman"/>
          <w:sz w:val="28"/>
          <w:szCs w:val="28"/>
        </w:rPr>
        <w:t xml:space="preserve">labelled 10-¹ to 10-4 </w:t>
      </w:r>
      <w:r>
        <w:rPr>
          <w:rFonts w:ascii="Times New Roman" w:hAnsi="Times New Roman" w:cs="Times New Roman"/>
          <w:sz w:val="28"/>
          <w:szCs w:val="28"/>
        </w:rPr>
        <w:t xml:space="preserve">was placed in </w:t>
      </w:r>
      <w:r w:rsidR="00986A31">
        <w:rPr>
          <w:rFonts w:ascii="Times New Roman" w:hAnsi="Times New Roman" w:cs="Times New Roman"/>
          <w:sz w:val="28"/>
          <w:szCs w:val="28"/>
        </w:rPr>
        <w:t xml:space="preserve">a tuberack and each tubewas filled with </w:t>
      </w:r>
      <w:r w:rsidR="00B05677">
        <w:rPr>
          <w:rFonts w:ascii="Times New Roman" w:hAnsi="Times New Roman" w:cs="Times New Roman"/>
          <w:sz w:val="28"/>
          <w:szCs w:val="28"/>
        </w:rPr>
        <w:t>9ml of distilled water using 10ml needle and syringe</w:t>
      </w:r>
      <w:r w:rsidR="00EE3987">
        <w:rPr>
          <w:rFonts w:ascii="Times New Roman" w:hAnsi="Times New Roman" w:cs="Times New Roman"/>
          <w:sz w:val="28"/>
          <w:szCs w:val="28"/>
        </w:rPr>
        <w:t xml:space="preserve">, then from the prepared </w:t>
      </w:r>
      <w:r w:rsidR="00774EED">
        <w:rPr>
          <w:rFonts w:ascii="Times New Roman" w:hAnsi="Times New Roman" w:cs="Times New Roman"/>
          <w:sz w:val="28"/>
          <w:szCs w:val="28"/>
        </w:rPr>
        <w:t>banana sample in a beaker</w:t>
      </w:r>
      <w:r w:rsidR="00B6130E">
        <w:rPr>
          <w:rFonts w:ascii="Times New Roman" w:hAnsi="Times New Roman" w:cs="Times New Roman"/>
          <w:sz w:val="28"/>
          <w:szCs w:val="28"/>
        </w:rPr>
        <w:t xml:space="preserve"> (Initial suspension)</w:t>
      </w:r>
      <w:r w:rsidR="00774EED">
        <w:rPr>
          <w:rFonts w:ascii="Times New Roman" w:hAnsi="Times New Roman" w:cs="Times New Roman"/>
          <w:sz w:val="28"/>
          <w:szCs w:val="28"/>
        </w:rPr>
        <w:t>, 1ml was withdraw and</w:t>
      </w:r>
      <w:r w:rsidR="00D21539">
        <w:rPr>
          <w:rFonts w:ascii="Times New Roman" w:hAnsi="Times New Roman" w:cs="Times New Roman"/>
          <w:sz w:val="28"/>
          <w:szCs w:val="28"/>
        </w:rPr>
        <w:t xml:space="preserve"> transferred into 10-¹, from 10-¹ 1ml was </w:t>
      </w:r>
      <w:r w:rsidR="00500E20">
        <w:rPr>
          <w:rFonts w:ascii="Times New Roman" w:hAnsi="Times New Roman" w:cs="Times New Roman"/>
          <w:sz w:val="28"/>
          <w:szCs w:val="28"/>
        </w:rPr>
        <w:t>withdraw and transferred into 10-², from 10-² 1ml was withdraw and transferred into 10-³</w:t>
      </w:r>
      <w:r w:rsidR="006A05BF">
        <w:rPr>
          <w:rFonts w:ascii="Times New Roman" w:hAnsi="Times New Roman" w:cs="Times New Roman"/>
          <w:sz w:val="28"/>
          <w:szCs w:val="28"/>
        </w:rPr>
        <w:t>,</w:t>
      </w:r>
      <w:r w:rsidR="00500E20">
        <w:rPr>
          <w:rFonts w:ascii="Times New Roman" w:hAnsi="Times New Roman" w:cs="Times New Roman"/>
          <w:sz w:val="28"/>
          <w:szCs w:val="28"/>
        </w:rPr>
        <w:t xml:space="preserve"> from 10-³ </w:t>
      </w:r>
      <w:r w:rsidR="006A05BF">
        <w:rPr>
          <w:rFonts w:ascii="Times New Roman" w:hAnsi="Times New Roman" w:cs="Times New Roman"/>
          <w:sz w:val="28"/>
          <w:szCs w:val="28"/>
        </w:rPr>
        <w:t>1ml was withdraw and transferred into 10-</w:t>
      </w:r>
      <w:r w:rsidR="0024741A">
        <w:rPr>
          <w:rFonts w:ascii="Times New Roman" w:hAnsi="Times New Roman" w:cs="Times New Roman"/>
          <w:sz w:val="28"/>
          <w:szCs w:val="28"/>
        </w:rPr>
        <w:t>⁴</w:t>
      </w:r>
      <w:r w:rsidR="006A05BF">
        <w:rPr>
          <w:rFonts w:ascii="Times New Roman" w:hAnsi="Times New Roman" w:cs="Times New Roman"/>
          <w:sz w:val="28"/>
          <w:szCs w:val="28"/>
        </w:rPr>
        <w:t xml:space="preserve"> respectfully </w:t>
      </w:r>
    </w:p>
    <w:p w:rsidR="001858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F83DEC">
        <w:rPr>
          <w:rFonts w:ascii="Times New Roman" w:hAnsi="Times New Roman" w:cs="Times New Roman"/>
          <w:sz w:val="28"/>
          <w:szCs w:val="28"/>
        </w:rPr>
        <w:t xml:space="preserve">Classification and Identification </w:t>
      </w:r>
    </w:p>
    <w:p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(Cheesbrough, 2018; Pitt &amp; Hocking, 2021).</w:t>
      </w:r>
    </w:p>
    <w:p w:rsidR="005E3E31"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E3E31">
        <w:rPr>
          <w:rFonts w:ascii="Times New Roman" w:hAnsi="Times New Roman" w:cs="Times New Roman"/>
          <w:sz w:val="28"/>
          <w:szCs w:val="28"/>
        </w:rPr>
        <w:t xml:space="preserve"> Subculturing </w:t>
      </w:r>
    </w:p>
    <w:p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Emerging fungal colonies were subcultured onto fresh PDA plates to obtain pure isolates. These were incubated under the same conditions for 7days (Watanabe, 2017).</w:t>
      </w:r>
    </w:p>
    <w:p w:rsidR="00F871D7"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57CB2">
        <w:rPr>
          <w:rFonts w:ascii="Times New Roman" w:hAnsi="Times New Roman" w:cs="Times New Roman"/>
          <w:sz w:val="28"/>
          <w:szCs w:val="28"/>
        </w:rPr>
        <w:t xml:space="preserve"> Toxin Extraction </w:t>
      </w:r>
    </w:p>
    <w:p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w:t>
      </w:r>
      <w:r w:rsidR="00EB4B2C">
        <w:rPr>
          <w:rFonts w:ascii="Times New Roman" w:hAnsi="Times New Roman" w:cs="Times New Roman"/>
          <w:sz w:val="28"/>
          <w:szCs w:val="28"/>
        </w:rPr>
        <w:t xml:space="preserve">ns </w:t>
      </w:r>
      <w:r>
        <w:rPr>
          <w:rFonts w:ascii="Times New Roman" w:hAnsi="Times New Roman" w:cs="Times New Roman"/>
          <w:sz w:val="28"/>
          <w:szCs w:val="28"/>
        </w:rPr>
        <w:t>then left undisturbed for 5 more days at room temperature to complete patulin biosynthesis (Kabak et al., 2019).</w:t>
      </w:r>
    </w:p>
    <w:p w:rsidR="00AA31BD"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sidR="00AA31BD">
        <w:rPr>
          <w:rFonts w:ascii="Times New Roman" w:hAnsi="Times New Roman" w:cs="Times New Roman"/>
          <w:sz w:val="28"/>
          <w:szCs w:val="28"/>
        </w:rPr>
        <w:t xml:space="preserve"> Separation of Biomass </w:t>
      </w:r>
    </w:p>
    <w:p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w:t>
      </w:r>
    </w:p>
    <w:p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sidR="001E0B98">
        <w:rPr>
          <w:rFonts w:ascii="Times New Roman" w:hAnsi="Times New Roman" w:cs="Times New Roman"/>
          <w:sz w:val="28"/>
          <w:szCs w:val="28"/>
        </w:rPr>
        <w:t xml:space="preserve">Preparation of </w:t>
      </w:r>
      <w:r w:rsidR="0051523A">
        <w:rPr>
          <w:rFonts w:ascii="Times New Roman" w:hAnsi="Times New Roman" w:cs="Times New Roman"/>
          <w:sz w:val="28"/>
          <w:szCs w:val="28"/>
        </w:rPr>
        <w:t xml:space="preserve">Citrinin </w:t>
      </w:r>
      <w:r w:rsidR="001E0B98">
        <w:rPr>
          <w:rFonts w:ascii="Times New Roman" w:hAnsi="Times New Roman" w:cs="Times New Roman"/>
          <w:sz w:val="28"/>
          <w:szCs w:val="28"/>
        </w:rPr>
        <w:t>Concentrations</w:t>
      </w:r>
    </w:p>
    <w:p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w:t>
      </w:r>
      <w:r w:rsidR="009C6F6D">
        <w:rPr>
          <w:rFonts w:ascii="Times New Roman" w:hAnsi="Times New Roman" w:cs="Times New Roman"/>
          <w:sz w:val="28"/>
          <w:szCs w:val="28"/>
        </w:rPr>
        <w:t xml:space="preserve"> (supernatant</w:t>
      </w:r>
      <w:r w:rsidR="00F85C81">
        <w:rPr>
          <w:rFonts w:ascii="Times New Roman" w:hAnsi="Times New Roman" w:cs="Times New Roman"/>
          <w:sz w:val="28"/>
          <w:szCs w:val="28"/>
        </w:rPr>
        <w:t>)</w:t>
      </w:r>
      <w:r>
        <w:rPr>
          <w:rFonts w:ascii="Times New Roman" w:hAnsi="Times New Roman" w:cs="Times New Roman"/>
          <w:sz w:val="28"/>
          <w:szCs w:val="28"/>
        </w:rPr>
        <w:t xml:space="preserve">, regarded as the 100% concentration, was diluted using sterile distilled water to obtain lower concentrations of </w:t>
      </w:r>
      <w:r w:rsidR="00E5195E">
        <w:rPr>
          <w:rFonts w:ascii="Times New Roman" w:hAnsi="Times New Roman" w:cs="Times New Roman"/>
          <w:sz w:val="28"/>
          <w:szCs w:val="28"/>
        </w:rPr>
        <w:lastRenderedPageBreak/>
        <w:t>c</w:t>
      </w:r>
      <w:r w:rsidR="00F85C81">
        <w:rPr>
          <w:rFonts w:ascii="Times New Roman" w:hAnsi="Times New Roman" w:cs="Times New Roman"/>
          <w:sz w:val="28"/>
          <w:szCs w:val="28"/>
        </w:rPr>
        <w:t>itrinin</w:t>
      </w:r>
      <w:r>
        <w:rPr>
          <w:rFonts w:ascii="Times New Roman" w:hAnsi="Times New Roman" w:cs="Times New Roman"/>
          <w:sz w:val="28"/>
          <w:szCs w:val="28"/>
        </w:rPr>
        <w:t>. Each prepared concentration was measured into a sterile test tube as follows:</w:t>
      </w:r>
    </w:p>
    <w:p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r w:rsidR="00E5195E">
        <w:rPr>
          <w:rFonts w:ascii="Times New Roman" w:hAnsi="Times New Roman" w:cs="Times New Roman"/>
          <w:sz w:val="28"/>
          <w:szCs w:val="28"/>
        </w:rPr>
        <w:t xml:space="preserve">citrinin </w:t>
      </w:r>
      <w:r>
        <w:rPr>
          <w:rFonts w:ascii="Times New Roman" w:hAnsi="Times New Roman" w:cs="Times New Roman"/>
          <w:sz w:val="28"/>
          <w:szCs w:val="28"/>
        </w:rPr>
        <w:t>filtrate.</w:t>
      </w:r>
    </w:p>
    <w:p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00F85C81">
        <w:rPr>
          <w:rFonts w:ascii="Times New Roman" w:hAnsi="Times New Roman" w:cs="Times New Roman"/>
          <w:sz w:val="28"/>
          <w:szCs w:val="28"/>
        </w:rPr>
        <w:t>0</w:t>
      </w:r>
      <w:r>
        <w:rPr>
          <w:rFonts w:ascii="Times New Roman" w:hAnsi="Times New Roman" w:cs="Times New Roman"/>
          <w:sz w:val="28"/>
          <w:szCs w:val="28"/>
        </w:rPr>
        <w:t xml:space="preserve">% concentration: 4 mL of crude </w:t>
      </w:r>
      <w:r w:rsidR="00E5195E">
        <w:rPr>
          <w:rFonts w:ascii="Times New Roman" w:hAnsi="Times New Roman" w:cs="Times New Roman"/>
          <w:sz w:val="28"/>
          <w:szCs w:val="28"/>
        </w:rPr>
        <w:t xml:space="preserve">citrinin </w:t>
      </w:r>
      <w:r>
        <w:rPr>
          <w:rFonts w:ascii="Times New Roman" w:hAnsi="Times New Roman" w:cs="Times New Roman"/>
          <w:sz w:val="28"/>
          <w:szCs w:val="28"/>
        </w:rPr>
        <w:t>filtrate mixed with 1 mL of sterile distilled water.</w:t>
      </w:r>
    </w:p>
    <w:p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r w:rsidR="001560AA">
        <w:rPr>
          <w:rFonts w:ascii="Times New Roman" w:hAnsi="Times New Roman" w:cs="Times New Roman"/>
          <w:sz w:val="28"/>
          <w:szCs w:val="28"/>
        </w:rPr>
        <w:t xml:space="preserve">citrinin </w:t>
      </w:r>
      <w:r>
        <w:rPr>
          <w:rFonts w:ascii="Times New Roman" w:hAnsi="Times New Roman" w:cs="Times New Roman"/>
          <w:sz w:val="28"/>
          <w:szCs w:val="28"/>
        </w:rPr>
        <w:t>filtrate mixed with 2 mL of sterile distilled water.</w:t>
      </w:r>
    </w:p>
    <w:p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r w:rsidR="001560AA">
        <w:rPr>
          <w:rFonts w:ascii="Times New Roman" w:hAnsi="Times New Roman" w:cs="Times New Roman"/>
          <w:sz w:val="28"/>
          <w:szCs w:val="28"/>
        </w:rPr>
        <w:t xml:space="preserve">citrinin </w:t>
      </w:r>
      <w:r>
        <w:rPr>
          <w:rFonts w:ascii="Times New Roman" w:hAnsi="Times New Roman" w:cs="Times New Roman"/>
          <w:sz w:val="28"/>
          <w:szCs w:val="28"/>
        </w:rPr>
        <w:t>filtrate mixed with 2.5 mL of sterile distilled water.</w:t>
      </w:r>
      <w:r w:rsidR="00DC2494">
        <w:rPr>
          <w:rFonts w:ascii="Times New Roman" w:hAnsi="Times New Roman" w:cs="Times New Roman"/>
          <w:sz w:val="28"/>
          <w:szCs w:val="28"/>
        </w:rPr>
        <w:t>Each mixture was homogenized and labeled accordingly for further use.</w:t>
      </w:r>
    </w:p>
    <w:p w:rsidR="001E0B98"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4C3249">
        <w:rPr>
          <w:rFonts w:ascii="Times New Roman" w:hAnsi="Times New Roman" w:cs="Times New Roman"/>
          <w:sz w:val="28"/>
          <w:szCs w:val="28"/>
        </w:rPr>
        <w:t>Identification and Grouping of Experimental Rats</w:t>
      </w:r>
    </w:p>
    <w:p w:rsidR="001E0B98" w:rsidRDefault="00DC249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1E0B98">
        <w:rPr>
          <w:rFonts w:ascii="Times New Roman" w:hAnsi="Times New Roman" w:cs="Times New Roman"/>
          <w:sz w:val="28"/>
          <w:szCs w:val="28"/>
        </w:rPr>
        <w:t xml:space="preserve">.To ensure proper identification and monitoring, each rat was marked with a distinct, non-toxic </w:t>
      </w:r>
      <w:r w:rsidR="001E0B98">
        <w:rPr>
          <w:rFonts w:ascii="Times New Roman" w:hAnsi="Times New Roman" w:cs="Times New Roman"/>
          <w:sz w:val="28"/>
          <w:szCs w:val="28"/>
        </w:rPr>
        <w:lastRenderedPageBreak/>
        <w:t xml:space="preserve">color corresponding to its treatment group. The rats were grouped based on the concentration of </w:t>
      </w:r>
      <w:r w:rsidR="001E0B98" w:rsidRPr="0067383E">
        <w:rPr>
          <w:rFonts w:ascii="Times New Roman" w:hAnsi="Times New Roman" w:cs="Times New Roman"/>
          <w:i/>
          <w:iCs/>
          <w:sz w:val="28"/>
          <w:szCs w:val="28"/>
        </w:rPr>
        <w:t>Penicillium</w:t>
      </w:r>
      <w:r w:rsidR="0067383E" w:rsidRPr="0067383E">
        <w:rPr>
          <w:rFonts w:ascii="Times New Roman" w:hAnsi="Times New Roman" w:cs="Times New Roman"/>
          <w:i/>
          <w:iCs/>
          <w:sz w:val="28"/>
          <w:szCs w:val="28"/>
        </w:rPr>
        <w:t>citrini</w:t>
      </w:r>
      <w:r w:rsidR="007A1F4F">
        <w:rPr>
          <w:rFonts w:ascii="Times New Roman" w:hAnsi="Times New Roman" w:cs="Times New Roman"/>
          <w:i/>
          <w:iCs/>
          <w:sz w:val="28"/>
          <w:szCs w:val="28"/>
        </w:rPr>
        <w:t>um</w:t>
      </w:r>
      <w:r w:rsidR="001E0B98">
        <w:rPr>
          <w:rFonts w:ascii="Times New Roman" w:hAnsi="Times New Roman" w:cs="Times New Roman"/>
          <w:sz w:val="28"/>
          <w:szCs w:val="28"/>
        </w:rPr>
        <w:t>toxin they received as follows:</w:t>
      </w:r>
    </w:p>
    <w:p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1E0B98" w:rsidRDefault="001E0B98"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w:t>
      </w:r>
      <w:r w:rsidR="00797DB5">
        <w:rPr>
          <w:rFonts w:ascii="Times New Roman" w:hAnsi="Times New Roman" w:cs="Times New Roman"/>
          <w:sz w:val="28"/>
          <w:szCs w:val="28"/>
        </w:rPr>
        <w:t>n</w:t>
      </w:r>
      <w:r w:rsidR="00DE225E">
        <w:rPr>
          <w:rFonts w:ascii="Times New Roman" w:hAnsi="Times New Roman" w:cs="Times New Roman"/>
          <w:sz w:val="28"/>
          <w:szCs w:val="28"/>
        </w:rPr>
        <w:t>s</w:t>
      </w:r>
      <w:r w:rsidR="00797DB5">
        <w:rPr>
          <w:rFonts w:ascii="Times New Roman" w:hAnsi="Times New Roman" w:cs="Times New Roman"/>
          <w:sz w:val="28"/>
          <w:szCs w:val="28"/>
        </w:rPr>
        <w:t xml:space="preserve">. </w:t>
      </w:r>
      <w:r>
        <w:rPr>
          <w:rFonts w:ascii="Times New Roman" w:hAnsi="Times New Roman" w:cs="Times New Roman"/>
          <w:sz w:val="28"/>
          <w:szCs w:val="28"/>
        </w:rPr>
        <w:t>The color marking was maintained throughout the experiment for accurate tracking and observation.</w:t>
      </w:r>
    </w:p>
    <w:p w:rsidR="001E0B98" w:rsidRDefault="00B95AF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077DBE">
        <w:rPr>
          <w:rFonts w:ascii="Times New Roman" w:hAnsi="Times New Roman" w:cs="Times New Roman"/>
          <w:sz w:val="28"/>
          <w:szCs w:val="28"/>
        </w:rPr>
        <w:t>2</w:t>
      </w:r>
      <w:r w:rsidR="001E0B98">
        <w:rPr>
          <w:rFonts w:ascii="Times New Roman" w:hAnsi="Times New Roman" w:cs="Times New Roman"/>
          <w:sz w:val="28"/>
          <w:szCs w:val="28"/>
        </w:rPr>
        <w:t>Toxin Administration</w:t>
      </w:r>
    </w:p>
    <w:p w:rsidR="00DC2494" w:rsidRDefault="00DC2494" w:rsidP="00DC249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2B1EDF" w:rsidRDefault="00077DB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sidR="002B1EDF">
        <w:rPr>
          <w:rFonts w:ascii="Times New Roman" w:hAnsi="Times New Roman" w:cs="Times New Roman"/>
          <w:sz w:val="28"/>
          <w:szCs w:val="28"/>
        </w:rPr>
        <w:t>Dissection and Post-Mortem Examination</w:t>
      </w:r>
    </w:p>
    <w:p w:rsidR="0039798E" w:rsidRDefault="00894539"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experiment, rats were euthanized, and post-mortem analysis was performed. Organs (liver, kidney, intestine, and heart) were </w:t>
      </w:r>
      <w:r>
        <w:rPr>
          <w:rFonts w:ascii="Times New Roman" w:hAnsi="Times New Roman" w:cs="Times New Roman"/>
          <w:sz w:val="28"/>
          <w:szCs w:val="28"/>
        </w:rPr>
        <w:lastRenderedPageBreak/>
        <w:t>examined macroscopically for abnormalities such as discoloration, swelling, and enlargement, in line with pathological evaluation protocols (Chinwe et al., 2021).</w:t>
      </w: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077DBE" w:rsidRDefault="00077DBE" w:rsidP="00DE225E">
      <w:pPr>
        <w:spacing w:line="480" w:lineRule="auto"/>
        <w:jc w:val="center"/>
        <w:rPr>
          <w:rFonts w:ascii="Times New Roman" w:hAnsi="Times New Roman" w:cs="Times New Roman"/>
          <w:sz w:val="28"/>
          <w:szCs w:val="28"/>
        </w:rPr>
      </w:pPr>
    </w:p>
    <w:p w:rsidR="007020CB" w:rsidRDefault="00946C9C" w:rsidP="00DE225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t>
      </w:r>
      <w:r w:rsidR="007020CB">
        <w:rPr>
          <w:rFonts w:ascii="Times New Roman" w:hAnsi="Times New Roman" w:cs="Times New Roman"/>
          <w:sz w:val="28"/>
          <w:szCs w:val="28"/>
        </w:rPr>
        <w:t>HREE</w:t>
      </w:r>
    </w:p>
    <w:p w:rsidR="00736340" w:rsidRPr="00D751B6" w:rsidRDefault="00736340" w:rsidP="00D751B6">
      <w:pPr>
        <w:pStyle w:val="ListParagraph"/>
        <w:numPr>
          <w:ilvl w:val="0"/>
          <w:numId w:val="7"/>
        </w:numPr>
        <w:spacing w:line="480" w:lineRule="auto"/>
        <w:jc w:val="both"/>
        <w:rPr>
          <w:rFonts w:ascii="Times New Roman" w:hAnsi="Times New Roman" w:cs="Times New Roman"/>
          <w:sz w:val="28"/>
          <w:szCs w:val="28"/>
        </w:rPr>
      </w:pPr>
      <w:r w:rsidRPr="00D751B6">
        <w:rPr>
          <w:rFonts w:ascii="Times New Roman" w:hAnsi="Times New Roman" w:cs="Times New Roman"/>
          <w:sz w:val="28"/>
          <w:szCs w:val="28"/>
        </w:rPr>
        <w:t>RESULTS</w:t>
      </w:r>
    </w:p>
    <w:p w:rsidR="00946C9C" w:rsidRDefault="00946C9C" w:rsidP="00736340">
      <w:pPr>
        <w:spacing w:line="480" w:lineRule="auto"/>
        <w:jc w:val="both"/>
        <w:rPr>
          <w:rFonts w:ascii="Times New Roman" w:hAnsi="Times New Roman" w:cs="Times New Roman"/>
          <w:sz w:val="28"/>
          <w:szCs w:val="28"/>
        </w:rPr>
      </w:pPr>
      <w:r w:rsidRPr="00736340">
        <w:rPr>
          <w:rFonts w:ascii="Times New Roman" w:hAnsi="Times New Roman" w:cs="Times New Roman"/>
          <w:sz w:val="28"/>
          <w:szCs w:val="28"/>
        </w:rPr>
        <w:t>Table 1</w:t>
      </w:r>
      <w:r w:rsidR="00261E97" w:rsidRPr="00736340">
        <w:rPr>
          <w:rFonts w:ascii="Times New Roman" w:hAnsi="Times New Roman" w:cs="Times New Roman"/>
          <w:sz w:val="28"/>
          <w:szCs w:val="28"/>
        </w:rPr>
        <w:t xml:space="preserve">: </w:t>
      </w:r>
      <w:r w:rsidR="00BF07CC">
        <w:rPr>
          <w:rFonts w:ascii="Times New Roman" w:hAnsi="Times New Roman" w:cs="Times New Roman"/>
          <w:sz w:val="28"/>
          <w:szCs w:val="28"/>
        </w:rPr>
        <w:t>Characterization and identification of fungal isolates</w:t>
      </w:r>
    </w:p>
    <w:tbl>
      <w:tblPr>
        <w:tblStyle w:val="TableGrid"/>
        <w:tblW w:w="10478" w:type="dxa"/>
        <w:tblInd w:w="-558" w:type="dxa"/>
        <w:tblBorders>
          <w:left w:val="none" w:sz="0" w:space="0" w:color="auto"/>
          <w:right w:val="none" w:sz="0" w:space="0" w:color="auto"/>
          <w:insideV w:val="none" w:sz="0" w:space="0" w:color="auto"/>
        </w:tblBorders>
        <w:tblLook w:val="04A0"/>
      </w:tblPr>
      <w:tblGrid>
        <w:gridCol w:w="5239"/>
        <w:gridCol w:w="5239"/>
      </w:tblGrid>
      <w:tr w:rsidR="00BF07CC" w:rsidRPr="00F134DD" w:rsidTr="00E83C63">
        <w:trPr>
          <w:trHeight w:val="344"/>
        </w:trPr>
        <w:tc>
          <w:tcPr>
            <w:tcW w:w="5239" w:type="dxa"/>
          </w:tcPr>
          <w:p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rsidR="00BF07CC" w:rsidRPr="00F134DD" w:rsidRDefault="00BF07CC" w:rsidP="00E83C63">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BF07CC" w:rsidRPr="00F134DD" w:rsidTr="00E83C63">
        <w:trPr>
          <w:trHeight w:val="1348"/>
        </w:trPr>
        <w:tc>
          <w:tcPr>
            <w:tcW w:w="5239" w:type="dxa"/>
          </w:tcPr>
          <w:p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bluish-green</w:t>
            </w:r>
          </w:p>
          <w:p w:rsidR="00BF07CC" w:rsidRDefault="00BF07CC" w:rsidP="00E83C63">
            <w:pPr>
              <w:spacing w:line="276" w:lineRule="auto"/>
              <w:jc w:val="center"/>
              <w:rPr>
                <w:rFonts w:ascii="Times New Roman" w:hAnsi="Times New Roman" w:cs="Times New Roman"/>
                <w:sz w:val="28"/>
                <w:szCs w:val="28"/>
              </w:rPr>
            </w:pPr>
          </w:p>
          <w:p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Septate</w:t>
            </w:r>
          </w:p>
          <w:p w:rsidR="00BF07CC"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and branched often terminate in brush-like structure (penicillin)</w:t>
            </w:r>
          </w:p>
          <w:p w:rsidR="00BF07CC" w:rsidRPr="00F134DD" w:rsidRDefault="00BF07CC" w:rsidP="00E83C63">
            <w:pPr>
              <w:spacing w:line="276" w:lineRule="auto"/>
              <w:jc w:val="center"/>
              <w:rPr>
                <w:rFonts w:ascii="Times New Roman" w:hAnsi="Times New Roman" w:cs="Times New Roman"/>
                <w:sz w:val="28"/>
                <w:szCs w:val="28"/>
              </w:rPr>
            </w:pPr>
            <w:r>
              <w:rPr>
                <w:rFonts w:ascii="Times New Roman" w:hAnsi="Times New Roman" w:cs="Times New Roman"/>
                <w:sz w:val="28"/>
                <w:szCs w:val="28"/>
              </w:rPr>
              <w:t>Smooth to roughened born in unbranched chains</w:t>
            </w:r>
          </w:p>
        </w:tc>
      </w:tr>
    </w:tbl>
    <w:p w:rsidR="00346043" w:rsidRDefault="00346043" w:rsidP="00A72A90">
      <w:pPr>
        <w:tabs>
          <w:tab w:val="right" w:pos="8640"/>
        </w:tabs>
        <w:spacing w:line="480" w:lineRule="auto"/>
        <w:jc w:val="both"/>
        <w:rPr>
          <w:rFonts w:ascii="Times New Roman" w:hAnsi="Times New Roman" w:cs="Times New Roman"/>
          <w:sz w:val="28"/>
          <w:szCs w:val="28"/>
        </w:rPr>
      </w:pPr>
    </w:p>
    <w:p w:rsidR="003B1D88"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2</w:t>
      </w:r>
      <w:r w:rsidR="004C5C93">
        <w:rPr>
          <w:rFonts w:ascii="Times New Roman" w:hAnsi="Times New Roman" w:cs="Times New Roman"/>
          <w:sz w:val="28"/>
          <w:szCs w:val="28"/>
        </w:rPr>
        <w:t xml:space="preserve">: </w:t>
      </w:r>
      <w:r w:rsidR="004C5C93"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XSpec="center" w:tblpY="1"/>
        <w:tblOverlap w:val="never"/>
        <w:tblW w:w="11358" w:type="dxa"/>
        <w:tblBorders>
          <w:left w:val="none" w:sz="0" w:space="0" w:color="auto"/>
          <w:right w:val="none" w:sz="0" w:space="0" w:color="auto"/>
          <w:insideH w:val="none" w:sz="0" w:space="0" w:color="auto"/>
          <w:insideV w:val="none" w:sz="0" w:space="0" w:color="auto"/>
        </w:tblBorders>
        <w:tblLayout w:type="fixed"/>
        <w:tblLook w:val="04A0"/>
      </w:tblPr>
      <w:tblGrid>
        <w:gridCol w:w="523"/>
        <w:gridCol w:w="1406"/>
        <w:gridCol w:w="1587"/>
        <w:gridCol w:w="1197"/>
        <w:gridCol w:w="1381"/>
        <w:gridCol w:w="1565"/>
        <w:gridCol w:w="1105"/>
        <w:gridCol w:w="1197"/>
        <w:gridCol w:w="1397"/>
      </w:tblGrid>
      <w:tr w:rsidR="00E83C63" w:rsidTr="009C3E0B">
        <w:trPr>
          <w:trHeight w:val="482"/>
        </w:trPr>
        <w:tc>
          <w:tcPr>
            <w:tcW w:w="523" w:type="dxa"/>
            <w:tcBorders>
              <w:top w:val="single" w:sz="4" w:space="0" w:color="auto"/>
              <w:bottom w:val="single" w:sz="4" w:space="0" w:color="auto"/>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406" w:type="dxa"/>
            <w:tcBorders>
              <w:top w:val="single" w:sz="4" w:space="0" w:color="auto"/>
              <w:bottom w:val="single" w:sz="4" w:space="0" w:color="auto"/>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General </w:t>
            </w:r>
            <w:r w:rsidR="00E831DA">
              <w:rPr>
                <w:rFonts w:ascii="Times New Roman" w:hAnsi="Times New Roman" w:cs="Times New Roman"/>
                <w:iCs/>
                <w:sz w:val="28"/>
                <w:szCs w:val="28"/>
              </w:rPr>
              <w:t>appearance</w:t>
            </w:r>
          </w:p>
        </w:tc>
        <w:tc>
          <w:tcPr>
            <w:tcW w:w="1587" w:type="dxa"/>
            <w:tcBorders>
              <w:top w:val="single" w:sz="4" w:space="0" w:color="auto"/>
              <w:bottom w:val="single" w:sz="4" w:space="0" w:color="auto"/>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97" w:type="dxa"/>
            <w:tcBorders>
              <w:top w:val="single" w:sz="4" w:space="0" w:color="auto"/>
              <w:bottom w:val="single" w:sz="4" w:space="0" w:color="auto"/>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381" w:type="dxa"/>
            <w:tcBorders>
              <w:top w:val="single" w:sz="4" w:space="0" w:color="auto"/>
              <w:bottom w:val="single" w:sz="4" w:space="0" w:color="auto"/>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&amp;drinking</w:t>
            </w:r>
          </w:p>
        </w:tc>
        <w:tc>
          <w:tcPr>
            <w:tcW w:w="1565" w:type="dxa"/>
            <w:tcBorders>
              <w:top w:val="single" w:sz="4" w:space="0" w:color="auto"/>
              <w:bottom w:val="single" w:sz="4" w:space="0" w:color="auto"/>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105" w:type="dxa"/>
            <w:tcBorders>
              <w:top w:val="single" w:sz="4" w:space="0" w:color="auto"/>
              <w:bottom w:val="single" w:sz="4" w:space="0" w:color="auto"/>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97" w:type="dxa"/>
            <w:tcBorders>
              <w:top w:val="single" w:sz="4" w:space="0" w:color="auto"/>
              <w:bottom w:val="single" w:sz="4" w:space="0" w:color="auto"/>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397" w:type="dxa"/>
            <w:tcBorders>
              <w:top w:val="single" w:sz="4" w:space="0" w:color="auto"/>
              <w:bottom w:val="single" w:sz="4" w:space="0" w:color="auto"/>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C63" w:rsidTr="009C3E0B">
        <w:trPr>
          <w:trHeight w:val="117"/>
        </w:trPr>
        <w:tc>
          <w:tcPr>
            <w:tcW w:w="523" w:type="dxa"/>
            <w:tcBorders>
              <w:top w:val="single" w:sz="4" w:space="0" w:color="auto"/>
              <w:bottom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406" w:type="dxa"/>
            <w:tcBorders>
              <w:top w:val="single" w:sz="4" w:space="0" w:color="auto"/>
              <w:bottom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single" w:sz="4" w:space="0" w:color="auto"/>
              <w:bottom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97" w:type="dxa"/>
            <w:tcBorders>
              <w:top w:val="single" w:sz="4" w:space="0" w:color="auto"/>
              <w:bottom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Borders>
              <w:top w:val="single" w:sz="4" w:space="0" w:color="auto"/>
              <w:bottom w:val="nil"/>
            </w:tcBorders>
          </w:tcPr>
          <w:p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Excessive</w:t>
            </w:r>
          </w:p>
        </w:tc>
        <w:tc>
          <w:tcPr>
            <w:tcW w:w="1565" w:type="dxa"/>
            <w:tcBorders>
              <w:top w:val="single" w:sz="4" w:space="0" w:color="auto"/>
              <w:bottom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w:t>
            </w:r>
            <w:r w:rsidR="00C15820">
              <w:rPr>
                <w:rFonts w:ascii="Times New Roman" w:hAnsi="Times New Roman" w:cs="Times New Roman"/>
                <w:iCs/>
                <w:sz w:val="28"/>
                <w:szCs w:val="28"/>
              </w:rPr>
              <w:t>al</w:t>
            </w:r>
          </w:p>
        </w:tc>
        <w:tc>
          <w:tcPr>
            <w:tcW w:w="1105" w:type="dxa"/>
            <w:tcBorders>
              <w:top w:val="single" w:sz="4" w:space="0" w:color="auto"/>
              <w:bottom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single" w:sz="4" w:space="0" w:color="auto"/>
              <w:bottom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single" w:sz="4" w:space="0" w:color="auto"/>
              <w:bottom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rsidTr="009C3E0B">
        <w:trPr>
          <w:trHeight w:val="120"/>
        </w:trPr>
        <w:tc>
          <w:tcPr>
            <w:tcW w:w="523" w:type="dxa"/>
            <w:tcBorders>
              <w:top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406" w:type="dxa"/>
            <w:tcBorders>
              <w:top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BF07CC">
              <w:rPr>
                <w:rFonts w:ascii="Times New Roman" w:hAnsi="Times New Roman" w:cs="Times New Roman"/>
                <w:iCs/>
                <w:sz w:val="28"/>
                <w:szCs w:val="28"/>
              </w:rPr>
              <w:t>mal</w:t>
            </w:r>
          </w:p>
        </w:tc>
        <w:tc>
          <w:tcPr>
            <w:tcW w:w="1587" w:type="dxa"/>
            <w:tcBorders>
              <w:top w:val="nil"/>
            </w:tcBorders>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97" w:type="dxa"/>
            <w:tcBorders>
              <w:top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Borders>
              <w:top w:val="nil"/>
            </w:tcBorders>
          </w:tcPr>
          <w:p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Excessive</w:t>
            </w:r>
          </w:p>
        </w:tc>
        <w:tc>
          <w:tcPr>
            <w:tcW w:w="1565" w:type="dxa"/>
            <w:tcBorders>
              <w:top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Borders>
              <w:top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Borders>
              <w:top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Borders>
              <w:top w:val="nil"/>
            </w:tcBorders>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rsidTr="009C3E0B">
        <w:trPr>
          <w:trHeight w:val="120"/>
        </w:trPr>
        <w:tc>
          <w:tcPr>
            <w:tcW w:w="523"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406" w:type="dxa"/>
          </w:tcPr>
          <w:p w:rsidR="004C5C93" w:rsidRDefault="00BF07CC"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87"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381" w:type="dxa"/>
          </w:tcPr>
          <w:p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Excessive</w:t>
            </w:r>
          </w:p>
        </w:tc>
        <w:tc>
          <w:tcPr>
            <w:tcW w:w="1565"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105"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1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rsidTr="009C3E0B">
        <w:trPr>
          <w:trHeight w:val="117"/>
        </w:trPr>
        <w:tc>
          <w:tcPr>
            <w:tcW w:w="523"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406"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587"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105"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rsidTr="009C3E0B">
        <w:trPr>
          <w:trHeight w:val="120"/>
        </w:trPr>
        <w:tc>
          <w:tcPr>
            <w:tcW w:w="523"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406"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rsidR="004C5C93" w:rsidRDefault="00C15820"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381"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3B1D88">
              <w:rPr>
                <w:rFonts w:ascii="Times New Roman" w:hAnsi="Times New Roman" w:cs="Times New Roman"/>
                <w:iCs/>
                <w:sz w:val="28"/>
                <w:szCs w:val="28"/>
              </w:rPr>
              <w:t>mal</w:t>
            </w:r>
          </w:p>
        </w:tc>
        <w:tc>
          <w:tcPr>
            <w:tcW w:w="1565" w:type="dxa"/>
          </w:tcPr>
          <w:p w:rsidR="004C5C93" w:rsidRDefault="009C3E0B"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105"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rsidTr="009C3E0B">
        <w:trPr>
          <w:trHeight w:val="120"/>
        </w:trPr>
        <w:tc>
          <w:tcPr>
            <w:tcW w:w="523"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406"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rsidR="004C5C93" w:rsidRPr="009C3E0B" w:rsidRDefault="009C3E0B" w:rsidP="00E83C63">
            <w:pPr>
              <w:tabs>
                <w:tab w:val="right" w:pos="8640"/>
              </w:tabs>
              <w:jc w:val="both"/>
              <w:rPr>
                <w:rFonts w:ascii="Times New Roman" w:hAnsi="Times New Roman" w:cs="Times New Roman"/>
                <w:iCs/>
                <w:sz w:val="30"/>
                <w:szCs w:val="28"/>
              </w:rPr>
            </w:pPr>
            <w:r>
              <w:rPr>
                <w:rFonts w:ascii="Times New Roman" w:hAnsi="Times New Roman" w:cs="Times New Roman"/>
                <w:iCs/>
                <w:kern w:val="0"/>
                <w:sz w:val="28"/>
                <w:szCs w:val="28"/>
              </w:rPr>
              <w:t>Tachypnea</w:t>
            </w:r>
          </w:p>
        </w:tc>
        <w:tc>
          <w:tcPr>
            <w:tcW w:w="1105"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r>
      <w:tr w:rsidR="00E83C63" w:rsidTr="009C3E0B">
        <w:trPr>
          <w:trHeight w:val="267"/>
        </w:trPr>
        <w:tc>
          <w:tcPr>
            <w:tcW w:w="523"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406"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C15820">
              <w:rPr>
                <w:rFonts w:ascii="Times New Roman" w:hAnsi="Times New Roman" w:cs="Times New Roman"/>
                <w:iCs/>
                <w:sz w:val="28"/>
                <w:szCs w:val="28"/>
              </w:rPr>
              <w:t>mal</w:t>
            </w:r>
          </w:p>
        </w:tc>
        <w:tc>
          <w:tcPr>
            <w:tcW w:w="1381" w:type="dxa"/>
          </w:tcPr>
          <w:p w:rsidR="004C5C93" w:rsidRDefault="00315C15"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65"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105"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197"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w:t>
            </w:r>
            <w:r w:rsidR="00E83C63">
              <w:rPr>
                <w:rFonts w:ascii="Times New Roman" w:hAnsi="Times New Roman" w:cs="Times New Roman"/>
                <w:iCs/>
                <w:sz w:val="28"/>
                <w:szCs w:val="28"/>
              </w:rPr>
              <w:t>mal</w:t>
            </w:r>
          </w:p>
        </w:tc>
        <w:tc>
          <w:tcPr>
            <w:tcW w:w="1397" w:type="dxa"/>
          </w:tcPr>
          <w:p w:rsidR="004C5C93" w:rsidRDefault="00E83C63" w:rsidP="00E83C63">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Abnormal</w:t>
            </w:r>
          </w:p>
        </w:tc>
      </w:tr>
      <w:tr w:rsidR="00E83C63" w:rsidTr="009C3E0B">
        <w:trPr>
          <w:trHeight w:val="124"/>
        </w:trPr>
        <w:tc>
          <w:tcPr>
            <w:tcW w:w="523" w:type="dxa"/>
          </w:tcPr>
          <w:p w:rsidR="004C5C93" w:rsidRDefault="004C5C93"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406"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587" w:type="dxa"/>
          </w:tcPr>
          <w:p w:rsidR="004C5C93" w:rsidRDefault="003B1D88" w:rsidP="00E83C63">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97" w:type="dxa"/>
          </w:tcPr>
          <w:p w:rsidR="004C5C93" w:rsidRDefault="004C5C93" w:rsidP="00E83C63">
            <w:pPr>
              <w:tabs>
                <w:tab w:val="right" w:pos="8640"/>
              </w:tabs>
              <w:jc w:val="both"/>
              <w:rPr>
                <w:rFonts w:ascii="Times New Roman" w:hAnsi="Times New Roman" w:cs="Times New Roman"/>
                <w:iCs/>
                <w:sz w:val="28"/>
                <w:szCs w:val="28"/>
              </w:rPr>
            </w:pPr>
          </w:p>
        </w:tc>
        <w:tc>
          <w:tcPr>
            <w:tcW w:w="1381" w:type="dxa"/>
          </w:tcPr>
          <w:p w:rsidR="004C5C93" w:rsidRDefault="004C5C93" w:rsidP="00E83C63">
            <w:pPr>
              <w:tabs>
                <w:tab w:val="right" w:pos="8640"/>
              </w:tabs>
              <w:jc w:val="both"/>
              <w:rPr>
                <w:rFonts w:ascii="Times New Roman" w:hAnsi="Times New Roman" w:cs="Times New Roman"/>
                <w:iCs/>
                <w:sz w:val="28"/>
                <w:szCs w:val="28"/>
              </w:rPr>
            </w:pPr>
          </w:p>
        </w:tc>
        <w:tc>
          <w:tcPr>
            <w:tcW w:w="1565" w:type="dxa"/>
          </w:tcPr>
          <w:p w:rsidR="004C5C93" w:rsidRDefault="004C5C93" w:rsidP="00E83C63">
            <w:pPr>
              <w:tabs>
                <w:tab w:val="right" w:pos="8640"/>
              </w:tabs>
              <w:jc w:val="both"/>
              <w:rPr>
                <w:rFonts w:ascii="Times New Roman" w:hAnsi="Times New Roman" w:cs="Times New Roman"/>
                <w:iCs/>
                <w:sz w:val="28"/>
                <w:szCs w:val="28"/>
              </w:rPr>
            </w:pPr>
          </w:p>
        </w:tc>
        <w:tc>
          <w:tcPr>
            <w:tcW w:w="1105" w:type="dxa"/>
          </w:tcPr>
          <w:p w:rsidR="004C5C93" w:rsidRDefault="004C5C93" w:rsidP="00E83C63">
            <w:pPr>
              <w:tabs>
                <w:tab w:val="right" w:pos="8640"/>
              </w:tabs>
              <w:jc w:val="both"/>
              <w:rPr>
                <w:rFonts w:ascii="Times New Roman" w:hAnsi="Times New Roman" w:cs="Times New Roman"/>
                <w:iCs/>
                <w:sz w:val="28"/>
                <w:szCs w:val="28"/>
              </w:rPr>
            </w:pPr>
          </w:p>
        </w:tc>
        <w:tc>
          <w:tcPr>
            <w:tcW w:w="1197" w:type="dxa"/>
          </w:tcPr>
          <w:p w:rsidR="004C5C93" w:rsidRDefault="004C5C93" w:rsidP="00E83C63">
            <w:pPr>
              <w:tabs>
                <w:tab w:val="right" w:pos="8640"/>
              </w:tabs>
              <w:jc w:val="both"/>
              <w:rPr>
                <w:rFonts w:ascii="Times New Roman" w:hAnsi="Times New Roman" w:cs="Times New Roman"/>
                <w:iCs/>
                <w:sz w:val="28"/>
                <w:szCs w:val="28"/>
              </w:rPr>
            </w:pPr>
          </w:p>
        </w:tc>
        <w:tc>
          <w:tcPr>
            <w:tcW w:w="1397" w:type="dxa"/>
          </w:tcPr>
          <w:p w:rsidR="004C5C93" w:rsidRDefault="004C5C93" w:rsidP="00E83C63">
            <w:pPr>
              <w:tabs>
                <w:tab w:val="right" w:pos="8640"/>
              </w:tabs>
              <w:jc w:val="both"/>
              <w:rPr>
                <w:rFonts w:ascii="Times New Roman" w:hAnsi="Times New Roman" w:cs="Times New Roman"/>
                <w:iCs/>
                <w:sz w:val="28"/>
                <w:szCs w:val="28"/>
              </w:rPr>
            </w:pPr>
          </w:p>
        </w:tc>
      </w:tr>
    </w:tbl>
    <w:p w:rsidR="00233D4D" w:rsidRDefault="00233D4D" w:rsidP="004C5C93">
      <w:pPr>
        <w:tabs>
          <w:tab w:val="right" w:pos="8640"/>
        </w:tabs>
        <w:spacing w:line="480" w:lineRule="auto"/>
        <w:jc w:val="both"/>
        <w:rPr>
          <w:rFonts w:ascii="Times New Roman" w:hAnsi="Times New Roman" w:cs="Times New Roman"/>
          <w:iCs/>
        </w:rPr>
      </w:pPr>
    </w:p>
    <w:p w:rsidR="00E83C63" w:rsidRPr="00315C15"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3</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for8</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tblPr>
      <w:tblGrid>
        <w:gridCol w:w="511"/>
        <w:gridCol w:w="1375"/>
        <w:gridCol w:w="1462"/>
        <w:gridCol w:w="1170"/>
        <w:gridCol w:w="1440"/>
        <w:gridCol w:w="1530"/>
        <w:gridCol w:w="1084"/>
        <w:gridCol w:w="1166"/>
        <w:gridCol w:w="1440"/>
      </w:tblGrid>
      <w:tr w:rsidR="00315C15" w:rsidTr="009C3E0B">
        <w:trPr>
          <w:trHeight w:val="492"/>
        </w:trPr>
        <w:tc>
          <w:tcPr>
            <w:tcW w:w="511" w:type="dxa"/>
            <w:tcBorders>
              <w:top w:val="single" w:sz="4" w:space="0" w:color="auto"/>
              <w:bottom w:val="single" w:sz="4" w:space="0" w:color="auto"/>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lastRenderedPageBreak/>
              <w:t>Day</w:t>
            </w:r>
          </w:p>
        </w:tc>
        <w:tc>
          <w:tcPr>
            <w:tcW w:w="1375" w:type="dxa"/>
            <w:tcBorders>
              <w:top w:val="single" w:sz="4" w:space="0" w:color="auto"/>
              <w:bottom w:val="single" w:sz="4" w:space="0" w:color="auto"/>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w:t>
            </w:r>
            <w:r w:rsidR="00E831DA">
              <w:rPr>
                <w:rFonts w:ascii="Times New Roman" w:hAnsi="Times New Roman" w:cs="Times New Roman"/>
                <w:iCs/>
                <w:sz w:val="28"/>
                <w:szCs w:val="28"/>
              </w:rPr>
              <w:t>]</w:t>
            </w:r>
            <w:r>
              <w:rPr>
                <w:rFonts w:ascii="Times New Roman" w:hAnsi="Times New Roman" w:cs="Times New Roman"/>
                <w:iCs/>
                <w:sz w:val="28"/>
                <w:szCs w:val="28"/>
              </w:rPr>
              <w:t>eeding &amp; drinking</w:t>
            </w:r>
          </w:p>
        </w:tc>
        <w:tc>
          <w:tcPr>
            <w:tcW w:w="1530" w:type="dxa"/>
            <w:tcBorders>
              <w:top w:val="single" w:sz="4" w:space="0" w:color="auto"/>
              <w:bottom w:val="single" w:sz="4" w:space="0" w:color="auto"/>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315C15" w:rsidTr="009C3E0B">
        <w:trPr>
          <w:trHeight w:val="119"/>
        </w:trPr>
        <w:tc>
          <w:tcPr>
            <w:tcW w:w="511" w:type="dxa"/>
            <w:tcBorders>
              <w:top w:val="single" w:sz="4" w:space="0" w:color="auto"/>
              <w:bottom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rsidTr="009C3E0B">
        <w:trPr>
          <w:trHeight w:val="122"/>
        </w:trPr>
        <w:tc>
          <w:tcPr>
            <w:tcW w:w="511" w:type="dxa"/>
            <w:tcBorders>
              <w:top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Borders>
              <w:top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rsidTr="009C3E0B">
        <w:trPr>
          <w:trHeight w:val="122"/>
        </w:trPr>
        <w:tc>
          <w:tcPr>
            <w:tcW w:w="511"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084"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rsidTr="009C3E0B">
        <w:trPr>
          <w:trHeight w:val="119"/>
        </w:trPr>
        <w:tc>
          <w:tcPr>
            <w:tcW w:w="511"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17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Dull</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Tachypnea</w:t>
            </w:r>
          </w:p>
        </w:tc>
        <w:tc>
          <w:tcPr>
            <w:tcW w:w="1084"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rsidTr="009C3E0B">
        <w:trPr>
          <w:trHeight w:val="122"/>
        </w:trPr>
        <w:tc>
          <w:tcPr>
            <w:tcW w:w="511"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rsidR="00315C15" w:rsidRDefault="00315C15" w:rsidP="00315C15">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084"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rsidTr="009C3E0B">
        <w:trPr>
          <w:trHeight w:val="122"/>
        </w:trPr>
        <w:tc>
          <w:tcPr>
            <w:tcW w:w="511"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084"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315C15" w:rsidTr="009C3E0B">
        <w:trPr>
          <w:trHeight w:val="746"/>
        </w:trPr>
        <w:tc>
          <w:tcPr>
            <w:tcW w:w="511"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Blind</w:t>
            </w:r>
          </w:p>
        </w:tc>
        <w:tc>
          <w:tcPr>
            <w:tcW w:w="1166"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Abnormal</w:t>
            </w:r>
          </w:p>
        </w:tc>
      </w:tr>
      <w:tr w:rsidR="00315C15" w:rsidTr="009C3E0B">
        <w:trPr>
          <w:trHeight w:val="126"/>
        </w:trPr>
        <w:tc>
          <w:tcPr>
            <w:tcW w:w="511"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rsidR="00315C15" w:rsidRDefault="00315C15"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Death</w:t>
            </w:r>
          </w:p>
        </w:tc>
        <w:tc>
          <w:tcPr>
            <w:tcW w:w="1170" w:type="dxa"/>
          </w:tcPr>
          <w:p w:rsidR="00315C15" w:rsidRDefault="00315C15" w:rsidP="00E831DA">
            <w:pPr>
              <w:tabs>
                <w:tab w:val="right" w:pos="8640"/>
              </w:tabs>
              <w:jc w:val="both"/>
              <w:rPr>
                <w:rFonts w:ascii="Times New Roman" w:hAnsi="Times New Roman" w:cs="Times New Roman"/>
                <w:iCs/>
                <w:sz w:val="28"/>
                <w:szCs w:val="28"/>
              </w:rPr>
            </w:pPr>
          </w:p>
        </w:tc>
        <w:tc>
          <w:tcPr>
            <w:tcW w:w="1440" w:type="dxa"/>
          </w:tcPr>
          <w:p w:rsidR="00315C15" w:rsidRDefault="00315C15" w:rsidP="00E831DA">
            <w:pPr>
              <w:tabs>
                <w:tab w:val="right" w:pos="8640"/>
              </w:tabs>
              <w:jc w:val="both"/>
              <w:rPr>
                <w:rFonts w:ascii="Times New Roman" w:hAnsi="Times New Roman" w:cs="Times New Roman"/>
                <w:iCs/>
                <w:sz w:val="28"/>
                <w:szCs w:val="28"/>
              </w:rPr>
            </w:pPr>
          </w:p>
        </w:tc>
        <w:tc>
          <w:tcPr>
            <w:tcW w:w="1530" w:type="dxa"/>
          </w:tcPr>
          <w:p w:rsidR="00315C15" w:rsidRDefault="00315C15" w:rsidP="00E831DA">
            <w:pPr>
              <w:tabs>
                <w:tab w:val="right" w:pos="8640"/>
              </w:tabs>
              <w:jc w:val="both"/>
              <w:rPr>
                <w:rFonts w:ascii="Times New Roman" w:hAnsi="Times New Roman" w:cs="Times New Roman"/>
                <w:iCs/>
                <w:sz w:val="28"/>
                <w:szCs w:val="28"/>
              </w:rPr>
            </w:pPr>
          </w:p>
        </w:tc>
        <w:tc>
          <w:tcPr>
            <w:tcW w:w="1084" w:type="dxa"/>
          </w:tcPr>
          <w:p w:rsidR="00315C15" w:rsidRDefault="00315C15" w:rsidP="00E831DA">
            <w:pPr>
              <w:tabs>
                <w:tab w:val="right" w:pos="8640"/>
              </w:tabs>
              <w:jc w:val="both"/>
              <w:rPr>
                <w:rFonts w:ascii="Times New Roman" w:hAnsi="Times New Roman" w:cs="Times New Roman"/>
                <w:iCs/>
                <w:sz w:val="28"/>
                <w:szCs w:val="28"/>
              </w:rPr>
            </w:pPr>
          </w:p>
        </w:tc>
        <w:tc>
          <w:tcPr>
            <w:tcW w:w="1166" w:type="dxa"/>
          </w:tcPr>
          <w:p w:rsidR="00315C15" w:rsidRDefault="00315C15" w:rsidP="00E831DA">
            <w:pPr>
              <w:tabs>
                <w:tab w:val="right" w:pos="8640"/>
              </w:tabs>
              <w:jc w:val="both"/>
              <w:rPr>
                <w:rFonts w:ascii="Times New Roman" w:hAnsi="Times New Roman" w:cs="Times New Roman"/>
                <w:iCs/>
                <w:sz w:val="28"/>
                <w:szCs w:val="28"/>
              </w:rPr>
            </w:pPr>
          </w:p>
        </w:tc>
        <w:tc>
          <w:tcPr>
            <w:tcW w:w="1440" w:type="dxa"/>
          </w:tcPr>
          <w:p w:rsidR="00315C15" w:rsidRDefault="00315C15" w:rsidP="00E831DA">
            <w:pPr>
              <w:tabs>
                <w:tab w:val="right" w:pos="8640"/>
              </w:tabs>
              <w:jc w:val="both"/>
              <w:rPr>
                <w:rFonts w:ascii="Times New Roman" w:hAnsi="Times New Roman" w:cs="Times New Roman"/>
                <w:iCs/>
                <w:sz w:val="28"/>
                <w:szCs w:val="28"/>
              </w:rPr>
            </w:pPr>
          </w:p>
        </w:tc>
      </w:tr>
    </w:tbl>
    <w:p w:rsidR="009C3E0B" w:rsidRPr="00E831DA" w:rsidRDefault="00233D4D" w:rsidP="004C5C9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4</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for6</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tblPr>
      <w:tblGrid>
        <w:gridCol w:w="511"/>
        <w:gridCol w:w="1375"/>
        <w:gridCol w:w="1462"/>
        <w:gridCol w:w="1170"/>
        <w:gridCol w:w="1440"/>
        <w:gridCol w:w="1530"/>
        <w:gridCol w:w="1084"/>
        <w:gridCol w:w="1166"/>
        <w:gridCol w:w="1440"/>
      </w:tblGrid>
      <w:tr w:rsidR="009C3E0B" w:rsidTr="00E831DA">
        <w:trPr>
          <w:trHeight w:val="492"/>
        </w:trPr>
        <w:tc>
          <w:tcPr>
            <w:tcW w:w="511" w:type="dxa"/>
            <w:tcBorders>
              <w:top w:val="single" w:sz="4" w:space="0" w:color="auto"/>
              <w:bottom w:val="single" w:sz="4" w:space="0" w:color="auto"/>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9C3E0B" w:rsidTr="00E831DA">
        <w:trPr>
          <w:trHeight w:val="119"/>
        </w:trPr>
        <w:tc>
          <w:tcPr>
            <w:tcW w:w="511" w:type="dxa"/>
            <w:tcBorders>
              <w:top w:val="single" w:sz="4" w:space="0" w:color="auto"/>
              <w:bottom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single" w:sz="4" w:space="0" w:color="auto"/>
              <w:bottom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rsidTr="00E831DA">
        <w:trPr>
          <w:trHeight w:val="122"/>
        </w:trPr>
        <w:tc>
          <w:tcPr>
            <w:tcW w:w="511" w:type="dxa"/>
            <w:tcBorders>
              <w:top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Borders>
              <w:top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rsidTr="00E831DA">
        <w:trPr>
          <w:trHeight w:val="122"/>
        </w:trPr>
        <w:tc>
          <w:tcPr>
            <w:tcW w:w="511"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084"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rsidTr="00E831DA">
        <w:trPr>
          <w:trHeight w:val="119"/>
        </w:trPr>
        <w:tc>
          <w:tcPr>
            <w:tcW w:w="511"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rsidR="009C3E0B" w:rsidRDefault="009C3E0B" w:rsidP="009C3E0B">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rsidTr="00E831DA">
        <w:trPr>
          <w:trHeight w:val="122"/>
        </w:trPr>
        <w:tc>
          <w:tcPr>
            <w:tcW w:w="511"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084"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rsidTr="00E831DA">
        <w:trPr>
          <w:trHeight w:val="122"/>
        </w:trPr>
        <w:tc>
          <w:tcPr>
            <w:tcW w:w="511"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084"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9C3E0B" w:rsidTr="00E831DA">
        <w:trPr>
          <w:trHeight w:val="746"/>
        </w:trPr>
        <w:tc>
          <w:tcPr>
            <w:tcW w:w="511"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Abnormal</w:t>
            </w:r>
          </w:p>
        </w:tc>
      </w:tr>
      <w:tr w:rsidR="009C3E0B" w:rsidTr="00E831DA">
        <w:trPr>
          <w:trHeight w:val="126"/>
        </w:trPr>
        <w:tc>
          <w:tcPr>
            <w:tcW w:w="511"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9C3E0B" w:rsidRDefault="009C3E0B"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9C3E0B"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rsidR="00E831DA" w:rsidRPr="00E831DA" w:rsidRDefault="00233D4D" w:rsidP="00E831DA">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lastRenderedPageBreak/>
        <w:t>Table 5</w:t>
      </w:r>
      <w:r w:rsidR="004C5C93">
        <w:rPr>
          <w:rFonts w:ascii="Times New Roman" w:hAnsi="Times New Roman" w:cs="Times New Roman"/>
          <w:sz w:val="28"/>
          <w:szCs w:val="28"/>
        </w:rPr>
        <w:t xml:space="preserve">: </w:t>
      </w:r>
      <w:r w:rsidR="004C5C93">
        <w:rPr>
          <w:rFonts w:ascii="Times New Roman" w:hAnsi="Times New Roman" w:cs="Times New Roman"/>
          <w:iCs/>
          <w:sz w:val="28"/>
          <w:szCs w:val="28"/>
        </w:rPr>
        <w:t>Daily Observation for5</w:t>
      </w:r>
      <w:r w:rsidR="004C5C93" w:rsidRPr="00C52E7C">
        <w:rPr>
          <w:rFonts w:ascii="Times New Roman" w:hAnsi="Times New Roman" w:cs="Times New Roman"/>
          <w:iCs/>
          <w:sz w:val="28"/>
          <w:szCs w:val="28"/>
        </w:rPr>
        <w:t>0% conc. Toxin Administration in Rats</w:t>
      </w:r>
    </w:p>
    <w:tbl>
      <w:tblPr>
        <w:tblStyle w:val="TableGrid"/>
        <w:tblpPr w:leftFromText="180" w:rightFromText="180" w:vertAnchor="text" w:tblpXSpec="center" w:tblpY="1"/>
        <w:tblOverlap w:val="never"/>
        <w:tblW w:w="11178" w:type="dxa"/>
        <w:tblBorders>
          <w:left w:val="none" w:sz="0" w:space="0" w:color="auto"/>
          <w:right w:val="none" w:sz="0" w:space="0" w:color="auto"/>
          <w:insideH w:val="none" w:sz="0" w:space="0" w:color="auto"/>
          <w:insideV w:val="none" w:sz="0" w:space="0" w:color="auto"/>
        </w:tblBorders>
        <w:tblLayout w:type="fixed"/>
        <w:tblLook w:val="04A0"/>
      </w:tblPr>
      <w:tblGrid>
        <w:gridCol w:w="511"/>
        <w:gridCol w:w="1375"/>
        <w:gridCol w:w="1462"/>
        <w:gridCol w:w="1170"/>
        <w:gridCol w:w="1440"/>
        <w:gridCol w:w="1530"/>
        <w:gridCol w:w="1084"/>
        <w:gridCol w:w="1166"/>
        <w:gridCol w:w="1440"/>
      </w:tblGrid>
      <w:tr w:rsidR="00E831DA" w:rsidTr="00E831DA">
        <w:trPr>
          <w:trHeight w:val="492"/>
        </w:trPr>
        <w:tc>
          <w:tcPr>
            <w:tcW w:w="511" w:type="dxa"/>
            <w:tcBorders>
              <w:top w:val="single" w:sz="4" w:space="0" w:color="auto"/>
              <w:bottom w:val="single" w:sz="4" w:space="0" w:color="auto"/>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Day</w:t>
            </w:r>
          </w:p>
        </w:tc>
        <w:tc>
          <w:tcPr>
            <w:tcW w:w="1375" w:type="dxa"/>
            <w:tcBorders>
              <w:top w:val="single" w:sz="4" w:space="0" w:color="auto"/>
              <w:bottom w:val="single" w:sz="4" w:space="0" w:color="auto"/>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462" w:type="dxa"/>
            <w:tcBorders>
              <w:top w:val="single" w:sz="4" w:space="0" w:color="auto"/>
              <w:bottom w:val="single" w:sz="4" w:space="0" w:color="auto"/>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Behavior </w:t>
            </w:r>
          </w:p>
        </w:tc>
        <w:tc>
          <w:tcPr>
            <w:tcW w:w="1170" w:type="dxa"/>
            <w:tcBorders>
              <w:top w:val="single" w:sz="4" w:space="0" w:color="auto"/>
              <w:bottom w:val="single" w:sz="4" w:space="0" w:color="auto"/>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1440" w:type="dxa"/>
            <w:tcBorders>
              <w:top w:val="single" w:sz="4" w:space="0" w:color="auto"/>
              <w:bottom w:val="single" w:sz="4" w:space="0" w:color="auto"/>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30" w:type="dxa"/>
            <w:tcBorders>
              <w:top w:val="single" w:sz="4" w:space="0" w:color="auto"/>
              <w:bottom w:val="single" w:sz="4" w:space="0" w:color="auto"/>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084" w:type="dxa"/>
            <w:tcBorders>
              <w:top w:val="single" w:sz="4" w:space="0" w:color="auto"/>
              <w:bottom w:val="single" w:sz="4" w:space="0" w:color="auto"/>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Eye &amp; nose</w:t>
            </w:r>
          </w:p>
        </w:tc>
        <w:tc>
          <w:tcPr>
            <w:tcW w:w="1166" w:type="dxa"/>
            <w:tcBorders>
              <w:top w:val="single" w:sz="4" w:space="0" w:color="auto"/>
              <w:bottom w:val="single" w:sz="4" w:space="0" w:color="auto"/>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Excretion </w:t>
            </w:r>
          </w:p>
        </w:tc>
        <w:tc>
          <w:tcPr>
            <w:tcW w:w="1440" w:type="dxa"/>
            <w:tcBorders>
              <w:top w:val="single" w:sz="4" w:space="0" w:color="auto"/>
              <w:bottom w:val="single" w:sz="4" w:space="0" w:color="auto"/>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Skin color</w:t>
            </w:r>
          </w:p>
        </w:tc>
      </w:tr>
      <w:tr w:rsidR="00E831DA" w:rsidTr="00E831DA">
        <w:trPr>
          <w:trHeight w:val="119"/>
        </w:trPr>
        <w:tc>
          <w:tcPr>
            <w:tcW w:w="511" w:type="dxa"/>
            <w:tcBorders>
              <w:top w:val="single" w:sz="4" w:space="0" w:color="auto"/>
              <w:bottom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1</w:t>
            </w:r>
          </w:p>
        </w:tc>
        <w:tc>
          <w:tcPr>
            <w:tcW w:w="1375" w:type="dxa"/>
            <w:tcBorders>
              <w:top w:val="single" w:sz="4" w:space="0" w:color="auto"/>
              <w:bottom w:val="nil"/>
            </w:tcBorders>
          </w:tcPr>
          <w:p w:rsidR="00E831DA" w:rsidRDefault="00233D4D"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w:t>
            </w:r>
            <w:r w:rsidR="00E831DA">
              <w:rPr>
                <w:rFonts w:ascii="Times New Roman" w:hAnsi="Times New Roman" w:cs="Times New Roman"/>
                <w:iCs/>
                <w:sz w:val="28"/>
                <w:szCs w:val="28"/>
              </w:rPr>
              <w:t>al</w:t>
            </w:r>
          </w:p>
        </w:tc>
        <w:tc>
          <w:tcPr>
            <w:tcW w:w="1462" w:type="dxa"/>
            <w:tcBorders>
              <w:top w:val="single" w:sz="4" w:space="0" w:color="auto"/>
              <w:bottom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70" w:type="dxa"/>
            <w:tcBorders>
              <w:top w:val="single" w:sz="4" w:space="0" w:color="auto"/>
              <w:bottom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1440" w:type="dxa"/>
            <w:tcBorders>
              <w:top w:val="single" w:sz="4" w:space="0" w:color="auto"/>
              <w:bottom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single" w:sz="4" w:space="0" w:color="auto"/>
              <w:bottom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single" w:sz="4" w:space="0" w:color="auto"/>
              <w:bottom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single" w:sz="4" w:space="0" w:color="auto"/>
              <w:bottom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single" w:sz="4" w:space="0" w:color="auto"/>
              <w:bottom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rsidTr="00E831DA">
        <w:trPr>
          <w:trHeight w:val="122"/>
        </w:trPr>
        <w:tc>
          <w:tcPr>
            <w:tcW w:w="511" w:type="dxa"/>
            <w:tcBorders>
              <w:top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2</w:t>
            </w:r>
          </w:p>
        </w:tc>
        <w:tc>
          <w:tcPr>
            <w:tcW w:w="1375" w:type="dxa"/>
            <w:tcBorders>
              <w:top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Borders>
              <w:top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More active</w:t>
            </w:r>
          </w:p>
        </w:tc>
        <w:tc>
          <w:tcPr>
            <w:tcW w:w="1170" w:type="dxa"/>
            <w:tcBorders>
              <w:top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Borders>
              <w:top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084" w:type="dxa"/>
            <w:tcBorders>
              <w:top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Borders>
              <w:top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Borders>
              <w:top w:val="nil"/>
            </w:tcBorders>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rsidTr="00E831DA">
        <w:trPr>
          <w:trHeight w:val="122"/>
        </w:trPr>
        <w:tc>
          <w:tcPr>
            <w:tcW w:w="511"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3</w:t>
            </w:r>
          </w:p>
        </w:tc>
        <w:tc>
          <w:tcPr>
            <w:tcW w:w="1375"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462"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17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Excessive</w:t>
            </w:r>
          </w:p>
        </w:tc>
        <w:tc>
          <w:tcPr>
            <w:tcW w:w="153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Nor]mal</w:t>
            </w:r>
          </w:p>
        </w:tc>
        <w:tc>
          <w:tcPr>
            <w:tcW w:w="1084"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rsidTr="00E831DA">
        <w:trPr>
          <w:trHeight w:val="119"/>
        </w:trPr>
        <w:tc>
          <w:tcPr>
            <w:tcW w:w="511"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4</w:t>
            </w:r>
          </w:p>
        </w:tc>
        <w:tc>
          <w:tcPr>
            <w:tcW w:w="1375"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Not active</w:t>
            </w:r>
          </w:p>
        </w:tc>
        <w:tc>
          <w:tcPr>
            <w:tcW w:w="117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084"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rsidTr="00E831DA">
        <w:trPr>
          <w:trHeight w:val="122"/>
        </w:trPr>
        <w:tc>
          <w:tcPr>
            <w:tcW w:w="511"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5</w:t>
            </w:r>
          </w:p>
        </w:tc>
        <w:tc>
          <w:tcPr>
            <w:tcW w:w="1375"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Active</w:t>
            </w:r>
          </w:p>
        </w:tc>
        <w:tc>
          <w:tcPr>
            <w:tcW w:w="1462"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3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084"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rsidTr="00E831DA">
        <w:trPr>
          <w:trHeight w:val="122"/>
        </w:trPr>
        <w:tc>
          <w:tcPr>
            <w:tcW w:w="511"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6</w:t>
            </w:r>
          </w:p>
        </w:tc>
        <w:tc>
          <w:tcPr>
            <w:tcW w:w="1375"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62"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Aggressive</w:t>
            </w:r>
          </w:p>
        </w:tc>
        <w:tc>
          <w:tcPr>
            <w:tcW w:w="117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Tachypnea</w:t>
            </w:r>
          </w:p>
        </w:tc>
        <w:tc>
          <w:tcPr>
            <w:tcW w:w="1084"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r>
      <w:tr w:rsidR="00E831DA" w:rsidTr="00E831DA">
        <w:trPr>
          <w:trHeight w:val="746"/>
        </w:trPr>
        <w:tc>
          <w:tcPr>
            <w:tcW w:w="511"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7</w:t>
            </w:r>
          </w:p>
        </w:tc>
        <w:tc>
          <w:tcPr>
            <w:tcW w:w="1375"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17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Palpitation</w:t>
            </w:r>
          </w:p>
        </w:tc>
        <w:tc>
          <w:tcPr>
            <w:tcW w:w="1084"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kern w:val="0"/>
                <w:sz w:val="28"/>
                <w:szCs w:val="28"/>
              </w:rPr>
              <w:t>Abnormal</w:t>
            </w:r>
          </w:p>
        </w:tc>
      </w:tr>
      <w:tr w:rsidR="00E831DA" w:rsidTr="00E831DA">
        <w:trPr>
          <w:trHeight w:val="126"/>
        </w:trPr>
        <w:tc>
          <w:tcPr>
            <w:tcW w:w="511"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8</w:t>
            </w:r>
          </w:p>
        </w:tc>
        <w:tc>
          <w:tcPr>
            <w:tcW w:w="1375"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Abnormal</w:t>
            </w:r>
          </w:p>
        </w:tc>
        <w:tc>
          <w:tcPr>
            <w:tcW w:w="1462"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Alive</w:t>
            </w:r>
          </w:p>
        </w:tc>
        <w:tc>
          <w:tcPr>
            <w:tcW w:w="117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Slow</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Reduce</w:t>
            </w:r>
          </w:p>
        </w:tc>
        <w:tc>
          <w:tcPr>
            <w:tcW w:w="153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Irritation</w:t>
            </w:r>
          </w:p>
        </w:tc>
        <w:tc>
          <w:tcPr>
            <w:tcW w:w="1084"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166"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440" w:type="dxa"/>
          </w:tcPr>
          <w:p w:rsidR="00E831DA" w:rsidRDefault="00E831DA" w:rsidP="00E831DA">
            <w:pPr>
              <w:tabs>
                <w:tab w:val="right" w:pos="8640"/>
              </w:tabs>
              <w:jc w:val="both"/>
              <w:rPr>
                <w:rFonts w:ascii="Times New Roman" w:hAnsi="Times New Roman" w:cs="Times New Roman"/>
                <w:iCs/>
                <w:sz w:val="28"/>
                <w:szCs w:val="28"/>
              </w:rPr>
            </w:pPr>
            <w:r>
              <w:rPr>
                <w:rFonts w:ascii="Times New Roman" w:hAnsi="Times New Roman" w:cs="Times New Roman"/>
                <w:iCs/>
                <w:sz w:val="28"/>
                <w:szCs w:val="28"/>
              </w:rPr>
              <w:t>Pale</w:t>
            </w:r>
          </w:p>
        </w:tc>
      </w:tr>
    </w:tbl>
    <w:p w:rsidR="00E831DA" w:rsidRPr="00233D4D" w:rsidRDefault="00E831DA" w:rsidP="00233D4D">
      <w:pPr>
        <w:tabs>
          <w:tab w:val="left" w:pos="1486"/>
        </w:tabs>
        <w:rPr>
          <w:rFonts w:ascii="Times New Roman" w:hAnsi="Times New Roman" w:cs="Times New Roman"/>
          <w:sz w:val="28"/>
          <w:szCs w:val="28"/>
        </w:rPr>
      </w:pPr>
    </w:p>
    <w:p w:rsidR="00C04A44" w:rsidRDefault="00C04A44" w:rsidP="00A72A90">
      <w:pPr>
        <w:tabs>
          <w:tab w:val="right" w:pos="8640"/>
        </w:tabs>
        <w:spacing w:line="480" w:lineRule="auto"/>
        <w:jc w:val="both"/>
        <w:rPr>
          <w:rFonts w:ascii="Times New Roman" w:hAnsi="Times New Roman" w:cs="Times New Roman"/>
          <w:iCs/>
          <w:sz w:val="28"/>
          <w:szCs w:val="28"/>
        </w:rPr>
      </w:pPr>
      <w:r>
        <w:rPr>
          <w:noProof/>
        </w:rPr>
        <w:drawing>
          <wp:inline distT="0" distB="0" distL="0" distR="0">
            <wp:extent cx="5892800" cy="3033485"/>
            <wp:effectExtent l="0" t="0" r="1270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4A9A" w:rsidRDefault="00974A9A" w:rsidP="00C964D3">
      <w:pPr>
        <w:tabs>
          <w:tab w:val="right" w:pos="8640"/>
        </w:tabs>
        <w:spacing w:line="480" w:lineRule="auto"/>
        <w:jc w:val="both"/>
        <w:rPr>
          <w:rFonts w:ascii="Times New Roman" w:hAnsi="Times New Roman" w:cs="Times New Roman"/>
          <w:sz w:val="28"/>
          <w:szCs w:val="28"/>
        </w:rPr>
      </w:pPr>
    </w:p>
    <w:p w:rsidR="00974A9A" w:rsidRDefault="00974A9A" w:rsidP="00C964D3">
      <w:pPr>
        <w:tabs>
          <w:tab w:val="right" w:pos="8640"/>
        </w:tabs>
        <w:spacing w:line="480" w:lineRule="auto"/>
        <w:jc w:val="both"/>
        <w:rPr>
          <w:rFonts w:ascii="Times New Roman" w:hAnsi="Times New Roman" w:cs="Times New Roman"/>
          <w:sz w:val="28"/>
          <w:szCs w:val="28"/>
        </w:rPr>
      </w:pPr>
    </w:p>
    <w:p w:rsidR="00261E97" w:rsidRPr="00C964D3" w:rsidRDefault="00261E97" w:rsidP="00C964D3">
      <w:pPr>
        <w:tabs>
          <w:tab w:val="right" w:pos="8640"/>
        </w:tabs>
        <w:spacing w:line="480" w:lineRule="auto"/>
        <w:jc w:val="both"/>
        <w:rPr>
          <w:rFonts w:ascii="Times New Roman" w:hAnsi="Times New Roman" w:cs="Times New Roman"/>
          <w:iCs/>
          <w:sz w:val="28"/>
          <w:szCs w:val="28"/>
        </w:rPr>
      </w:pPr>
      <w:r>
        <w:rPr>
          <w:rFonts w:ascii="Times New Roman" w:hAnsi="Times New Roman" w:cs="Times New Roman"/>
          <w:sz w:val="28"/>
          <w:szCs w:val="28"/>
        </w:rPr>
        <w:t>Table 6:</w:t>
      </w:r>
      <w:r w:rsidR="00263547">
        <w:rPr>
          <w:rFonts w:ascii="Times New Roman" w:hAnsi="Times New Roman" w:cs="Times New Roman"/>
          <w:sz w:val="28"/>
          <w:szCs w:val="28"/>
        </w:rPr>
        <w:t xml:space="preserve"> Post-Mortem Gross Pathological Findings</w:t>
      </w:r>
    </w:p>
    <w:tbl>
      <w:tblPr>
        <w:tblStyle w:val="TableGrid"/>
        <w:tblW w:w="9781" w:type="dxa"/>
        <w:tblLook w:val="04A0"/>
      </w:tblPr>
      <w:tblGrid>
        <w:gridCol w:w="1313"/>
        <w:gridCol w:w="2217"/>
        <w:gridCol w:w="2217"/>
        <w:gridCol w:w="2017"/>
        <w:gridCol w:w="2017"/>
      </w:tblGrid>
      <w:tr w:rsidR="00DE2263" w:rsidTr="00974A9A">
        <w:trPr>
          <w:trHeight w:val="996"/>
        </w:trPr>
        <w:tc>
          <w:tcPr>
            <w:tcW w:w="1313" w:type="dxa"/>
          </w:tcPr>
          <w:p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Rat ID </w:t>
            </w:r>
          </w:p>
        </w:tc>
        <w:tc>
          <w:tcPr>
            <w:tcW w:w="2217" w:type="dxa"/>
          </w:tcPr>
          <w:p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Heart Condition </w:t>
            </w:r>
          </w:p>
        </w:tc>
        <w:tc>
          <w:tcPr>
            <w:tcW w:w="2217" w:type="dxa"/>
          </w:tcPr>
          <w:p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Intestine Condition </w:t>
            </w:r>
          </w:p>
        </w:tc>
        <w:tc>
          <w:tcPr>
            <w:tcW w:w="2017" w:type="dxa"/>
          </w:tcPr>
          <w:p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Liver Condition </w:t>
            </w:r>
          </w:p>
        </w:tc>
        <w:tc>
          <w:tcPr>
            <w:tcW w:w="2017" w:type="dxa"/>
          </w:tcPr>
          <w:p w:rsidR="00DE2263" w:rsidRDefault="00DE226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Kidney Condition </w:t>
            </w:r>
          </w:p>
        </w:tc>
      </w:tr>
      <w:tr w:rsidR="00DE2263" w:rsidTr="00974A9A">
        <w:trPr>
          <w:trHeight w:val="996"/>
        </w:trPr>
        <w:tc>
          <w:tcPr>
            <w:tcW w:w="1313" w:type="dxa"/>
          </w:tcPr>
          <w:p w:rsidR="00DE2263" w:rsidRDefault="00F5147E"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17" w:type="dxa"/>
          </w:tcPr>
          <w:p w:rsidR="00DE2263" w:rsidRDefault="004E5996"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Still breathing </w:t>
            </w:r>
          </w:p>
        </w:tc>
        <w:tc>
          <w:tcPr>
            <w:tcW w:w="2217" w:type="dxa"/>
          </w:tcPr>
          <w:p w:rsidR="00DE2263" w:rsidRDefault="00CC209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AD0C7C">
              <w:rPr>
                <w:rFonts w:ascii="Times New Roman" w:hAnsi="Times New Roman" w:cs="Times New Roman"/>
                <w:sz w:val="28"/>
                <w:szCs w:val="28"/>
              </w:rPr>
              <w:t xml:space="preserve"> and </w:t>
            </w:r>
            <w:r>
              <w:rPr>
                <w:rFonts w:ascii="Times New Roman" w:hAnsi="Times New Roman" w:cs="Times New Roman"/>
                <w:sz w:val="28"/>
                <w:szCs w:val="28"/>
              </w:rPr>
              <w:t>Whitish</w:t>
            </w:r>
          </w:p>
        </w:tc>
        <w:tc>
          <w:tcPr>
            <w:tcW w:w="2017" w:type="dxa"/>
          </w:tcPr>
          <w:p w:rsidR="00DE2263" w:rsidRDefault="0055009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Has dark spot</w:t>
            </w:r>
          </w:p>
        </w:tc>
        <w:tc>
          <w:tcPr>
            <w:tcW w:w="2017" w:type="dxa"/>
          </w:tcPr>
          <w:p w:rsidR="00DE2263" w:rsidRDefault="00EE417A"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Pale</w:t>
            </w:r>
          </w:p>
        </w:tc>
      </w:tr>
      <w:tr w:rsidR="00DE2263" w:rsidTr="00974A9A">
        <w:trPr>
          <w:trHeight w:val="1025"/>
        </w:trPr>
        <w:tc>
          <w:tcPr>
            <w:tcW w:w="1313" w:type="dxa"/>
          </w:tcPr>
          <w:p w:rsidR="00DE2263" w:rsidRDefault="0039525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17" w:type="dxa"/>
          </w:tcPr>
          <w:p w:rsidR="00DE2263" w:rsidRDefault="006E439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All the blood has dried</w:t>
            </w:r>
          </w:p>
        </w:tc>
        <w:tc>
          <w:tcPr>
            <w:tcW w:w="2217" w:type="dxa"/>
          </w:tcPr>
          <w:p w:rsidR="00DE2263" w:rsidRDefault="002E318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Tiny</w:t>
            </w:r>
            <w:r w:rsidR="005D7EC2">
              <w:rPr>
                <w:rFonts w:ascii="Times New Roman" w:hAnsi="Times New Roman" w:cs="Times New Roman"/>
                <w:sz w:val="28"/>
                <w:szCs w:val="28"/>
              </w:rPr>
              <w:t xml:space="preserve"> andWhitish</w:t>
            </w:r>
          </w:p>
        </w:tc>
        <w:tc>
          <w:tcPr>
            <w:tcW w:w="2017" w:type="dxa"/>
          </w:tcPr>
          <w:p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Nil</w:t>
            </w:r>
          </w:p>
        </w:tc>
        <w:tc>
          <w:tcPr>
            <w:tcW w:w="2017" w:type="dxa"/>
          </w:tcPr>
          <w:p w:rsidR="00DE2263" w:rsidRDefault="005B327C"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Not fresh </w:t>
            </w:r>
          </w:p>
        </w:tc>
      </w:tr>
    </w:tbl>
    <w:p w:rsidR="009F599F" w:rsidRDefault="009F599F" w:rsidP="00471BB7">
      <w:pPr>
        <w:spacing w:line="480" w:lineRule="auto"/>
        <w:jc w:val="both"/>
        <w:rPr>
          <w:rFonts w:ascii="Times New Roman" w:hAnsi="Times New Roman" w:cs="Times New Roman"/>
          <w:sz w:val="28"/>
          <w:szCs w:val="28"/>
        </w:rPr>
      </w:pPr>
    </w:p>
    <w:p w:rsidR="00395254" w:rsidRDefault="00395254" w:rsidP="00471BB7">
      <w:pPr>
        <w:spacing w:line="480" w:lineRule="auto"/>
        <w:jc w:val="both"/>
        <w:rPr>
          <w:rFonts w:ascii="Times New Roman" w:hAnsi="Times New Roman" w:cs="Times New Roman"/>
          <w:sz w:val="28"/>
          <w:szCs w:val="28"/>
        </w:rPr>
      </w:pPr>
    </w:p>
    <w:p w:rsidR="00DE58FF" w:rsidRDefault="00DE58FF" w:rsidP="00471BB7">
      <w:pPr>
        <w:spacing w:line="480" w:lineRule="auto"/>
        <w:jc w:val="both"/>
        <w:rPr>
          <w:rFonts w:ascii="Times New Roman" w:hAnsi="Times New Roman" w:cs="Times New Roman"/>
          <w:sz w:val="28"/>
          <w:szCs w:val="28"/>
        </w:rPr>
      </w:pPr>
    </w:p>
    <w:p w:rsidR="00974A9A" w:rsidRDefault="00974A9A" w:rsidP="00471BB7">
      <w:pPr>
        <w:spacing w:line="480" w:lineRule="auto"/>
        <w:jc w:val="both"/>
        <w:rPr>
          <w:rFonts w:ascii="Times New Roman" w:hAnsi="Times New Roman" w:cs="Times New Roman"/>
          <w:sz w:val="28"/>
          <w:szCs w:val="28"/>
        </w:rPr>
      </w:pPr>
    </w:p>
    <w:p w:rsidR="00974A9A" w:rsidRDefault="00974A9A" w:rsidP="00471BB7">
      <w:pPr>
        <w:spacing w:line="480" w:lineRule="auto"/>
        <w:jc w:val="both"/>
        <w:rPr>
          <w:rFonts w:ascii="Times New Roman" w:hAnsi="Times New Roman" w:cs="Times New Roman"/>
          <w:sz w:val="28"/>
          <w:szCs w:val="28"/>
        </w:rPr>
      </w:pPr>
    </w:p>
    <w:p w:rsidR="00974A9A" w:rsidRDefault="00974A9A" w:rsidP="00471BB7">
      <w:pPr>
        <w:spacing w:line="480" w:lineRule="auto"/>
        <w:jc w:val="both"/>
        <w:rPr>
          <w:rFonts w:ascii="Times New Roman" w:hAnsi="Times New Roman" w:cs="Times New Roman"/>
          <w:sz w:val="28"/>
          <w:szCs w:val="28"/>
        </w:rPr>
      </w:pPr>
    </w:p>
    <w:p w:rsidR="00974A9A" w:rsidRDefault="00974A9A" w:rsidP="00471BB7">
      <w:pPr>
        <w:spacing w:line="480" w:lineRule="auto"/>
        <w:jc w:val="both"/>
        <w:rPr>
          <w:rFonts w:ascii="Times New Roman" w:hAnsi="Times New Roman" w:cs="Times New Roman"/>
          <w:sz w:val="28"/>
          <w:szCs w:val="28"/>
        </w:rPr>
      </w:pPr>
    </w:p>
    <w:p w:rsidR="00DE58FF" w:rsidRDefault="00DE58FF" w:rsidP="0073634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rsidR="00DE58FF" w:rsidRDefault="0068588B"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4.0 D</w:t>
      </w:r>
      <w:r w:rsidR="000B4933">
        <w:rPr>
          <w:rFonts w:ascii="Times New Roman" w:hAnsi="Times New Roman" w:cs="Times New Roman"/>
          <w:sz w:val="28"/>
          <w:szCs w:val="28"/>
        </w:rPr>
        <w:t xml:space="preserve">ISCUSSION AND CONCLUSION </w:t>
      </w:r>
    </w:p>
    <w:p w:rsidR="0046435B" w:rsidRDefault="000B4933"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of Results </w:t>
      </w:r>
    </w:p>
    <w:p w:rsidR="00637A7F" w:rsidRDefault="0046435B" w:rsidP="00233D4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of this study provide clear evidence of the toxic potential of </w:t>
      </w:r>
      <w:r w:rsidRPr="0095602C">
        <w:rPr>
          <w:rFonts w:ascii="Times New Roman" w:hAnsi="Times New Roman" w:cs="Times New Roman"/>
          <w:i/>
          <w:iCs/>
          <w:sz w:val="28"/>
          <w:szCs w:val="28"/>
        </w:rPr>
        <w:t>Penicilliumcitrinum</w:t>
      </w:r>
      <w:r>
        <w:rPr>
          <w:rFonts w:ascii="Times New Roman" w:hAnsi="Times New Roman" w:cs="Times New Roman"/>
          <w:sz w:val="28"/>
          <w:szCs w:val="28"/>
        </w:rPr>
        <w:t xml:space="preserve"> and its metabolite, citrinin, aligning with previous toxicological investigations on fungal secondary metabolites.</w:t>
      </w:r>
      <w:r w:rsidR="00233D4D">
        <w:rPr>
          <w:rFonts w:ascii="Times New Roman" w:hAnsi="Times New Roman" w:cs="Times New Roman"/>
          <w:sz w:val="28"/>
          <w:szCs w:val="28"/>
        </w:rPr>
        <w:t xml:space="preserve">Table 1, confirms the identification of the fungal isolate. The observation of bluish-green coloration, a powdery texture, septate and branched hyphae along with a </w:t>
      </w:r>
      <w:r w:rsidR="00233D4D" w:rsidRPr="00233D4D">
        <w:rPr>
          <w:rFonts w:ascii="Times New Roman" w:hAnsi="Times New Roman" w:cs="Times New Roman"/>
          <w:i/>
          <w:sz w:val="28"/>
          <w:szCs w:val="28"/>
        </w:rPr>
        <w:t>penicillus</w:t>
      </w:r>
      <w:r w:rsidR="00233D4D">
        <w:rPr>
          <w:rFonts w:ascii="Times New Roman" w:hAnsi="Times New Roman" w:cs="Times New Roman"/>
          <w:sz w:val="28"/>
          <w:szCs w:val="28"/>
        </w:rPr>
        <w:t xml:space="preserve">-like arrangement of conidiophores, and chains of round to elliptical conidia, aligns with the defining features of the </w:t>
      </w:r>
      <w:r w:rsidR="00233D4D" w:rsidRPr="00233D4D">
        <w:rPr>
          <w:rFonts w:ascii="Times New Roman" w:hAnsi="Times New Roman" w:cs="Times New Roman"/>
          <w:i/>
          <w:sz w:val="28"/>
          <w:szCs w:val="28"/>
        </w:rPr>
        <w:t>Penicillium</w:t>
      </w:r>
      <w:r w:rsidR="00233D4D">
        <w:rPr>
          <w:rFonts w:ascii="Times New Roman" w:hAnsi="Times New Roman" w:cs="Times New Roman"/>
          <w:sz w:val="28"/>
          <w:szCs w:val="28"/>
        </w:rPr>
        <w:t xml:space="preserve"> genus as outlined by Smith &amp; Read (2018) and De Vries et al. (2019).</w:t>
      </w:r>
    </w:p>
    <w:p w:rsidR="00637A7F" w:rsidRDefault="00233D4D"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Tables 2 through 5 </w:t>
      </w:r>
      <w:r w:rsidR="00637A7F">
        <w:rPr>
          <w:rFonts w:ascii="Times New Roman" w:hAnsi="Times New Roman" w:cs="Times New Roman"/>
          <w:sz w:val="28"/>
          <w:szCs w:val="28"/>
        </w:rPr>
        <w:t>detail the physiological and behavioral effects observed in rats administered with varying concentrations of the citrinin tox</w:t>
      </w:r>
      <w:r>
        <w:rPr>
          <w:rFonts w:ascii="Times New Roman" w:hAnsi="Times New Roman" w:cs="Times New Roman"/>
          <w:sz w:val="28"/>
          <w:szCs w:val="28"/>
        </w:rPr>
        <w:t>in over an 8-day period. Table 2</w:t>
      </w:r>
      <w:r w:rsidR="00637A7F">
        <w:rPr>
          <w:rFonts w:ascii="Times New Roman" w:hAnsi="Times New Roman" w:cs="Times New Roman"/>
          <w:sz w:val="28"/>
          <w:szCs w:val="28"/>
        </w:rPr>
        <w:t xml:space="preserve">, representing 100% toxin concentration, showed early onset of abnormal behavior including lethargy, aggression, and reduced feeding by Day 4. By Day 7, severe symptoms such as palpitations and abnormal skin coloration were observed, and one rat was dead by Day 8. </w:t>
      </w:r>
      <w:r w:rsidR="00637A7F">
        <w:rPr>
          <w:rFonts w:ascii="Times New Roman" w:hAnsi="Times New Roman" w:cs="Times New Roman"/>
          <w:sz w:val="28"/>
          <w:szCs w:val="28"/>
        </w:rPr>
        <w:lastRenderedPageBreak/>
        <w:t>This pattern of dose-dependent toxicity corresponds with findings by Flajs and Peraica (2009), who reported nephrotoxicity and behavioral changes in rats exp</w:t>
      </w:r>
      <w:r>
        <w:rPr>
          <w:rFonts w:ascii="Times New Roman" w:hAnsi="Times New Roman" w:cs="Times New Roman"/>
          <w:sz w:val="28"/>
          <w:szCs w:val="28"/>
        </w:rPr>
        <w:t>osed to high doses of citrinin. In Table 3</w:t>
      </w:r>
      <w:r w:rsidR="00637A7F">
        <w:rPr>
          <w:rFonts w:ascii="Times New Roman" w:hAnsi="Times New Roman" w:cs="Times New Roman"/>
          <w:sz w:val="28"/>
          <w:szCs w:val="28"/>
        </w:rPr>
        <w:t>, where rats were administered 80% toxin concentration, the onset of symptoms appeared slightly delayed but followed a similar trajectory. Symptoms such as d</w:t>
      </w:r>
      <w:r>
        <w:rPr>
          <w:rFonts w:ascii="Times New Roman" w:hAnsi="Times New Roman" w:cs="Times New Roman"/>
          <w:sz w:val="28"/>
          <w:szCs w:val="28"/>
        </w:rPr>
        <w:t>]</w:t>
      </w:r>
      <w:r w:rsidR="00637A7F">
        <w:rPr>
          <w:rFonts w:ascii="Times New Roman" w:hAnsi="Times New Roman" w:cs="Times New Roman"/>
          <w:sz w:val="28"/>
          <w:szCs w:val="28"/>
        </w:rPr>
        <w:t>ullness, slow locomotion, fast breathing, and eventual death by Day 8 were observed. This aligns with the work of O’Brien et al. (2001), who noted progressive organ damage and behavioral alterations at sub-lethal citri</w:t>
      </w:r>
      <w:r>
        <w:rPr>
          <w:rFonts w:ascii="Times New Roman" w:hAnsi="Times New Roman" w:cs="Times New Roman"/>
          <w:sz w:val="28"/>
          <w:szCs w:val="28"/>
        </w:rPr>
        <w:t>nin doses. At 60% concentration (Table 4</w:t>
      </w:r>
      <w:r w:rsidR="00637A7F">
        <w:rPr>
          <w:rFonts w:ascii="Times New Roman" w:hAnsi="Times New Roman" w:cs="Times New Roman"/>
          <w:sz w:val="28"/>
          <w:szCs w:val="28"/>
        </w:rPr>
        <w:t>), the rats showed milder but noticeable symptoms, including slow movement, less active behavior, and pale skin by Day 8. Notably, no deaths were recorded. These results mirror those of Bennet and Klich (2003), who found that moderate citrinin exposure causes reversible physiological stre</w:t>
      </w:r>
      <w:r>
        <w:rPr>
          <w:rFonts w:ascii="Times New Roman" w:hAnsi="Times New Roman" w:cs="Times New Roman"/>
          <w:sz w:val="28"/>
          <w:szCs w:val="28"/>
        </w:rPr>
        <w:t>ss without immediate lethality. In Table 5</w:t>
      </w:r>
      <w:r w:rsidR="00637A7F">
        <w:rPr>
          <w:rFonts w:ascii="Times New Roman" w:hAnsi="Times New Roman" w:cs="Times New Roman"/>
          <w:sz w:val="28"/>
          <w:szCs w:val="28"/>
        </w:rPr>
        <w:t xml:space="preserve">, representing 50% toxin concentration, the least severe symptoms were recorded. Behavioral changes such as aggression and low consumption were noted by Day 6, with signs of pallor and irregular respiration observed towards Day 8, but all rats remained alive. These findings reinforce the dose-response relationship of citrinin toxicity, consistent with research by </w:t>
      </w:r>
      <w:r w:rsidR="00637A7F">
        <w:rPr>
          <w:rFonts w:ascii="Times New Roman" w:hAnsi="Times New Roman" w:cs="Times New Roman"/>
          <w:sz w:val="28"/>
          <w:szCs w:val="28"/>
        </w:rPr>
        <w:lastRenderedPageBreak/>
        <w:t>Zöllner and Mayer-Helm (2006), who demonstrated cumulative sub-lethal effects of mycotoxins.</w:t>
      </w:r>
    </w:p>
    <w:p w:rsidR="00637A7F" w:rsidRDefault="00637A7F"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The</w:t>
      </w:r>
      <w:r w:rsidR="00233D4D">
        <w:rPr>
          <w:rFonts w:ascii="Times New Roman" w:hAnsi="Times New Roman" w:cs="Times New Roman"/>
          <w:sz w:val="28"/>
          <w:szCs w:val="28"/>
        </w:rPr>
        <w:t xml:space="preserve"> post-mortem findings in Table 6</w:t>
      </w:r>
      <w:r>
        <w:rPr>
          <w:rFonts w:ascii="Times New Roman" w:hAnsi="Times New Roman" w:cs="Times New Roman"/>
          <w:sz w:val="28"/>
          <w:szCs w:val="28"/>
        </w:rPr>
        <w:t xml:space="preserve"> provide anatomical evidence supporting the in vivo observations. The rat identified as Red, from the 100% concentration group, exhibited a pale kidney and dark spots on the liver, which are indicators of citrinin-induced nephrotoxicity and hepatotoxicity, as also documented by Speijers and van Egmond (1993). Similarly, the Black rat showed dried blood and tiny whitish intestines, suggesting dehydration and intestinal shrinkage due to systemic toxicity.</w:t>
      </w:r>
    </w:p>
    <w:p w:rsidR="0046435B" w:rsidRDefault="00C360D4"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0B70A9">
        <w:rPr>
          <w:rFonts w:ascii="Times New Roman" w:hAnsi="Times New Roman" w:cs="Times New Roman"/>
          <w:sz w:val="28"/>
          <w:szCs w:val="28"/>
        </w:rPr>
        <w:t xml:space="preserve">CONCLUSION </w:t>
      </w:r>
    </w:p>
    <w:p w:rsidR="003363B0" w:rsidRDefault="003363B0" w:rsidP="00471BB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isolation and identification of </w:t>
      </w:r>
      <w:r w:rsidRPr="003363B0">
        <w:rPr>
          <w:rFonts w:ascii="Times New Roman" w:hAnsi="Times New Roman" w:cs="Times New Roman"/>
          <w:i/>
          <w:iCs/>
          <w:sz w:val="28"/>
          <w:szCs w:val="28"/>
        </w:rPr>
        <w:t>Penicillium citrinum</w:t>
      </w:r>
      <w:r>
        <w:rPr>
          <w:rFonts w:ascii="Times New Roman" w:hAnsi="Times New Roman" w:cs="Times New Roman"/>
          <w:sz w:val="28"/>
          <w:szCs w:val="28"/>
        </w:rPr>
        <w:t xml:space="preserve"> and the preparation of its citrinin toxin, revealing significant dose-dependent toxic effects in rat models. High concentrations induced severe symptoms such as weight loss, behavioral changes, and mortality, while lower doses had minimal impact. These findings align with established research on citrinin’s nephrotoxic and neurotoxic effects, emphasizing its potential risk to animal and human health. The study </w:t>
      </w:r>
      <w:r>
        <w:rPr>
          <w:rFonts w:ascii="Times New Roman" w:hAnsi="Times New Roman" w:cs="Times New Roman"/>
          <w:sz w:val="28"/>
          <w:szCs w:val="28"/>
        </w:rPr>
        <w:lastRenderedPageBreak/>
        <w:t>underscores the importance of monitoring fungal contamination in food products and highlights the need for stricter regulations to mitigate citrinin exposure and its associated public health risks.</w:t>
      </w:r>
    </w:p>
    <w:p w:rsidR="003363B0" w:rsidRDefault="003363B0" w:rsidP="00471BB7">
      <w:pPr>
        <w:spacing w:line="480" w:lineRule="auto"/>
        <w:jc w:val="both"/>
        <w:rPr>
          <w:rFonts w:ascii="Times New Roman" w:hAnsi="Times New Roman" w:cs="Times New Roman"/>
          <w:sz w:val="28"/>
          <w:szCs w:val="28"/>
        </w:rPr>
      </w:pPr>
    </w:p>
    <w:p w:rsidR="003363B0" w:rsidRDefault="003363B0" w:rsidP="00471BB7">
      <w:pPr>
        <w:spacing w:line="480" w:lineRule="auto"/>
        <w:jc w:val="both"/>
        <w:rPr>
          <w:rFonts w:ascii="Times New Roman" w:hAnsi="Times New Roman" w:cs="Times New Roman"/>
          <w:sz w:val="28"/>
          <w:szCs w:val="28"/>
        </w:rPr>
      </w:pPr>
    </w:p>
    <w:p w:rsidR="00736340" w:rsidRDefault="00736340" w:rsidP="00471BB7">
      <w:pPr>
        <w:spacing w:line="480" w:lineRule="auto"/>
        <w:jc w:val="both"/>
        <w:rPr>
          <w:rFonts w:ascii="Times New Roman" w:hAnsi="Times New Roman" w:cs="Times New Roman"/>
          <w:sz w:val="28"/>
          <w:szCs w:val="28"/>
        </w:rPr>
      </w:pPr>
    </w:p>
    <w:p w:rsidR="00736340" w:rsidRDefault="00736340" w:rsidP="00471BB7">
      <w:pPr>
        <w:spacing w:line="480" w:lineRule="auto"/>
        <w:jc w:val="both"/>
        <w:rPr>
          <w:rFonts w:ascii="Times New Roman" w:hAnsi="Times New Roman" w:cs="Times New Roman"/>
          <w:sz w:val="28"/>
          <w:szCs w:val="28"/>
        </w:rPr>
      </w:pPr>
    </w:p>
    <w:p w:rsidR="00736340" w:rsidRDefault="00736340" w:rsidP="00471BB7">
      <w:pPr>
        <w:spacing w:line="480" w:lineRule="auto"/>
        <w:jc w:val="both"/>
        <w:rPr>
          <w:rFonts w:ascii="Times New Roman" w:hAnsi="Times New Roman" w:cs="Times New Roman"/>
          <w:sz w:val="28"/>
          <w:szCs w:val="28"/>
        </w:rPr>
      </w:pPr>
    </w:p>
    <w:p w:rsidR="00736340" w:rsidRDefault="00736340" w:rsidP="00471BB7">
      <w:pPr>
        <w:spacing w:line="480" w:lineRule="auto"/>
        <w:jc w:val="both"/>
        <w:rPr>
          <w:rFonts w:ascii="Times New Roman" w:hAnsi="Times New Roman" w:cs="Times New Roman"/>
          <w:sz w:val="28"/>
          <w:szCs w:val="28"/>
        </w:rPr>
      </w:pPr>
    </w:p>
    <w:p w:rsidR="00736340" w:rsidRDefault="00736340" w:rsidP="00471BB7">
      <w:pPr>
        <w:spacing w:line="480" w:lineRule="auto"/>
        <w:jc w:val="both"/>
        <w:rPr>
          <w:rFonts w:ascii="Times New Roman" w:hAnsi="Times New Roman" w:cs="Times New Roman"/>
          <w:sz w:val="28"/>
          <w:szCs w:val="28"/>
        </w:rPr>
      </w:pPr>
    </w:p>
    <w:p w:rsidR="00736340" w:rsidRDefault="00736340" w:rsidP="00471BB7">
      <w:pPr>
        <w:spacing w:line="480" w:lineRule="auto"/>
        <w:jc w:val="both"/>
        <w:rPr>
          <w:rFonts w:ascii="Times New Roman" w:hAnsi="Times New Roman" w:cs="Times New Roman"/>
          <w:sz w:val="28"/>
          <w:szCs w:val="28"/>
        </w:rPr>
      </w:pPr>
    </w:p>
    <w:p w:rsidR="00A041C0" w:rsidRDefault="00A041C0" w:rsidP="00041E90">
      <w:pPr>
        <w:spacing w:line="480" w:lineRule="auto"/>
        <w:jc w:val="center"/>
        <w:rPr>
          <w:rFonts w:ascii="Times New Roman" w:hAnsi="Times New Roman" w:cs="Times New Roman"/>
          <w:sz w:val="28"/>
          <w:szCs w:val="28"/>
        </w:rPr>
      </w:pPr>
    </w:p>
    <w:p w:rsidR="00A041C0" w:rsidRDefault="00A041C0" w:rsidP="00041E90">
      <w:pPr>
        <w:spacing w:line="480" w:lineRule="auto"/>
        <w:jc w:val="center"/>
        <w:rPr>
          <w:rFonts w:ascii="Times New Roman" w:hAnsi="Times New Roman" w:cs="Times New Roman"/>
          <w:sz w:val="28"/>
          <w:szCs w:val="28"/>
        </w:rPr>
      </w:pPr>
    </w:p>
    <w:p w:rsidR="00A041C0" w:rsidRDefault="00A041C0" w:rsidP="00041E90">
      <w:pPr>
        <w:spacing w:line="480" w:lineRule="auto"/>
        <w:jc w:val="center"/>
        <w:rPr>
          <w:rFonts w:ascii="Times New Roman" w:hAnsi="Times New Roman" w:cs="Times New Roman"/>
          <w:sz w:val="28"/>
          <w:szCs w:val="28"/>
        </w:rPr>
      </w:pPr>
    </w:p>
    <w:p w:rsidR="00A041C0" w:rsidRDefault="00A041C0" w:rsidP="00041E90">
      <w:pPr>
        <w:spacing w:line="480" w:lineRule="auto"/>
        <w:jc w:val="center"/>
        <w:rPr>
          <w:rFonts w:ascii="Times New Roman" w:hAnsi="Times New Roman" w:cs="Times New Roman"/>
          <w:sz w:val="28"/>
          <w:szCs w:val="28"/>
        </w:rPr>
      </w:pPr>
    </w:p>
    <w:p w:rsidR="00041E90" w:rsidRDefault="00942D6A" w:rsidP="00041E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Alexopoulo</w:t>
      </w:r>
      <w:r w:rsidR="00233D4D">
        <w:rPr>
          <w:rFonts w:ascii="Times New Roman" w:hAnsi="Times New Roman" w:cs="Times New Roman"/>
          <w:sz w:val="28"/>
          <w:szCs w:val="28"/>
        </w:rPr>
        <w:t>]</w:t>
      </w:r>
      <w:r>
        <w:rPr>
          <w:rFonts w:ascii="Times New Roman" w:hAnsi="Times New Roman" w:cs="Times New Roman"/>
          <w:sz w:val="28"/>
          <w:szCs w:val="28"/>
        </w:rPr>
        <w:t xml:space="preserve">s, S., Stamatelopoulou, E., &amp; Varzakas, T. (2020). Advances in occurrence, detection, and detoxification of citrinin: A potential mycotoxin threat in food safety. Foods, 9(11), 1574. </w:t>
      </w:r>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Bennett, J. W., &amp; Klich, M. (2019). Mycotoxins. Clinical Microbiology Reviews, 16(3), 497–516. </w:t>
      </w:r>
      <w:hyperlink r:id="rId8" w:history="1">
        <w:r w:rsidRPr="00473F58">
          <w:rPr>
            <w:rStyle w:val="Hyperlink"/>
            <w:rFonts w:ascii="Times New Roman" w:hAnsi="Times New Roman" w:cs="Times New Roman"/>
            <w:sz w:val="28"/>
            <w:szCs w:val="28"/>
          </w:rPr>
          <w:t>https://doi.org/10.1128/CMR.16.3.497-516.2003</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Cabanes, F. J., Bragulat, M. R., Castellá, G., &amp; Martín, R. (2021). Occurrence and significance of Penicillium species related to food and indoor environments. International Journal of Environmental Research and Public Health, 18(22), 11771. </w:t>
      </w:r>
      <w:hyperlink r:id="rId9" w:history="1">
        <w:r w:rsidRPr="00473F58">
          <w:rPr>
            <w:rStyle w:val="Hyperlink"/>
            <w:rFonts w:ascii="Times New Roman" w:hAnsi="Times New Roman" w:cs="Times New Roman"/>
            <w:sz w:val="28"/>
            <w:szCs w:val="28"/>
          </w:rPr>
          <w:t>https://doi.org/10.3390/ijerph182211771</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Dé Hoog, G. S., Guarro, J., Gené, J., &amp; Figueras, M. J. (2021). Atlas of Clinical Fungi (4</w:t>
      </w:r>
      <w:r w:rsidRPr="00724EE7">
        <w:rPr>
          <w:rFonts w:ascii="Times New Roman" w:hAnsi="Times New Roman" w:cs="Times New Roman"/>
          <w:sz w:val="28"/>
          <w:szCs w:val="28"/>
          <w:vertAlign w:val="superscript"/>
        </w:rPr>
        <w:t>th</w:t>
      </w:r>
      <w:r>
        <w:rPr>
          <w:rFonts w:ascii="Times New Roman" w:hAnsi="Times New Roman" w:cs="Times New Roman"/>
          <w:sz w:val="28"/>
          <w:szCs w:val="28"/>
        </w:rPr>
        <w:t xml:space="preserve"> ed.). Westerdijk Fungal Biodiversity Institute.</w:t>
      </w:r>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lastRenderedPageBreak/>
        <w:t>EFSA Panel on Contaminants in the Food Chain (CONTAM). (2019). Risk assessment of citrinin in food and feed. EFSA Journal, 17(3), e05656. https://doi.org/10.2903/j.efsa.2019.5656</w:t>
      </w:r>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Fisher, M. C., Alastruey-Izquierdo, A., Berman, J., Bicanic, T., Bignell, E. M., Bowyer, P., &amp; White, T. C. (2020). Tackling the emerging threat of antifungal resistance to human health. Nature Reviews Microbiology, 18(7), 401–412. </w:t>
      </w:r>
      <w:hyperlink r:id="rId10" w:history="1">
        <w:r w:rsidRPr="00473F58">
          <w:rPr>
            <w:rStyle w:val="Hyperlink"/>
            <w:rFonts w:ascii="Times New Roman" w:hAnsi="Times New Roman" w:cs="Times New Roman"/>
            <w:sz w:val="28"/>
            <w:szCs w:val="28"/>
          </w:rPr>
          <w:t>https://doi.org/10.1038/s41579-020-0360-3</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Frisvad, J. C. (2018). Fungal secondary metabolites as selective agents for biological interactions and their evolution. Fungal Genetics and Biology, 112, 53–55. </w:t>
      </w:r>
      <w:hyperlink r:id="rId11" w:history="1">
        <w:r w:rsidRPr="00473F58">
          <w:rPr>
            <w:rStyle w:val="Hyperlink"/>
            <w:rFonts w:ascii="Times New Roman" w:hAnsi="Times New Roman" w:cs="Times New Roman"/>
            <w:sz w:val="28"/>
            <w:szCs w:val="28"/>
          </w:rPr>
          <w:t>https://doi.org/10.1016/j.fgb.2017.10.002</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Frisvad, J. C., &amp; Samson, R. A. (2018). Polyphasic taxonomy of Penicillium subgenus Penicillium: A guide to identification of food and air-borne terverticillate penicillia and their mycotoxins. Studies in Mycology, 70(1), 1–260. </w:t>
      </w:r>
      <w:hyperlink r:id="rId12" w:history="1">
        <w:r w:rsidRPr="00473F58">
          <w:rPr>
            <w:rStyle w:val="Hyperlink"/>
            <w:rFonts w:ascii="Times New Roman" w:hAnsi="Times New Roman" w:cs="Times New Roman"/>
            <w:sz w:val="28"/>
            <w:szCs w:val="28"/>
          </w:rPr>
          <w:t>https://doi.org/10.3114/sim.2011.70.01</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lastRenderedPageBreak/>
        <w:t xml:space="preserve">Gao, L., Zhang, Y., Zhao, Y., &amp; Wang, J. (2022). Advances in mycotoxin detection methods and technologies. Toxins, 14(5), 312. </w:t>
      </w:r>
      <w:hyperlink r:id="rId13" w:history="1">
        <w:r w:rsidRPr="00473F58">
          <w:rPr>
            <w:rStyle w:val="Hyperlink"/>
            <w:rFonts w:ascii="Times New Roman" w:hAnsi="Times New Roman" w:cs="Times New Roman"/>
            <w:sz w:val="28"/>
            <w:szCs w:val="28"/>
          </w:rPr>
          <w:t>https://doi.org/10.3390/toxins14050312</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Gauther, S., Pont, F., Richard, E., &amp; Puel, O. (2019). Fungal secondary metabolites as chemical mediators in fungus–insect interactions. Frontiers in Microbiology, 10, 1168. </w:t>
      </w:r>
      <w:hyperlink r:id="rId14" w:history="1">
        <w:r w:rsidRPr="00473F58">
          <w:rPr>
            <w:rStyle w:val="Hyperlink"/>
            <w:rFonts w:ascii="Times New Roman" w:hAnsi="Times New Roman" w:cs="Times New Roman"/>
            <w:sz w:val="28"/>
            <w:szCs w:val="28"/>
          </w:rPr>
          <w:t>https://doi.org/10.3389/fmicb.2019.01168</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Geng, P., Kang, X., Chen, H., &amp; Xu, J. (2021). The health effects of citrinin exposure: What we know so far. Frontiers in Public Health, 9, 652468. </w:t>
      </w:r>
      <w:hyperlink r:id="rId15" w:history="1">
        <w:r w:rsidRPr="00473F58">
          <w:rPr>
            <w:rStyle w:val="Hyperlink"/>
            <w:rFonts w:ascii="Times New Roman" w:hAnsi="Times New Roman" w:cs="Times New Roman"/>
            <w:sz w:val="28"/>
            <w:szCs w:val="28"/>
          </w:rPr>
          <w:t>https://doi.org/10.3389/fpubh.2021.652468</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Golan, Y., &amp; Pringle, A. (2017). Long-distance dispersal of fungi. Microbiology Spectrum, 5(4), 5-4. </w:t>
      </w:r>
      <w:hyperlink r:id="rId16" w:history="1">
        <w:r w:rsidRPr="00473F58">
          <w:rPr>
            <w:rStyle w:val="Hyperlink"/>
            <w:rFonts w:ascii="Times New Roman" w:hAnsi="Times New Roman" w:cs="Times New Roman"/>
            <w:sz w:val="28"/>
            <w:szCs w:val="28"/>
          </w:rPr>
          <w:t>https://doi.org/10.1128/microbiolspec.FUNK-0047-2016</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Gonçalves, S. S., Figueiredo-Carvalho, M. H., Pinto, P. M., &amp; Zancopé-Oliveira, R. M. (2021). Emerging pathogens: Aspergillus, Fusarium and Mucorales. Microorganisms, 9(6), 1177. </w:t>
      </w:r>
      <w:hyperlink r:id="rId17" w:history="1">
        <w:r w:rsidRPr="00473F58">
          <w:rPr>
            <w:rStyle w:val="Hyperlink"/>
            <w:rFonts w:ascii="Times New Roman" w:hAnsi="Times New Roman" w:cs="Times New Roman"/>
            <w:sz w:val="28"/>
            <w:szCs w:val="28"/>
          </w:rPr>
          <w:t>https://doi.org/10.3390/microorganisms9061177</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lastRenderedPageBreak/>
        <w:t xml:space="preserve">Grollman, A. P., Shibutani, S., Moriya, M., Miller, F., Wu, L., Moll, U., &amp; Poirier, M. C. (2017). Aristolochic acid and the etiology of endemic (Balkan) nephropathy. Proceedings of the National Academy of Sciences, 111(2), 1301–1306. </w:t>
      </w:r>
      <w:hyperlink r:id="rId18" w:history="1">
        <w:r w:rsidRPr="00766252">
          <w:rPr>
            <w:rStyle w:val="Hyperlink"/>
            <w:rFonts w:ascii="Times New Roman" w:hAnsi="Times New Roman" w:cs="Times New Roman"/>
            <w:sz w:val="28"/>
            <w:szCs w:val="28"/>
          </w:rPr>
          <w:t>https://doi.org/10.1073/pnas.1320997111</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Haque, M., McKimm, J., Sartelli, M., Dhingra, S., &amp; Bakar, M. A. (2021). Fungal infections: A global burden and an emerging crisis. Infection and Drug Resistance, 14, 629–637. </w:t>
      </w:r>
      <w:hyperlink r:id="rId19" w:history="1">
        <w:r w:rsidRPr="00473F58">
          <w:rPr>
            <w:rStyle w:val="Hyperlink"/>
            <w:rFonts w:ascii="Times New Roman" w:hAnsi="Times New Roman" w:cs="Times New Roman"/>
            <w:sz w:val="28"/>
            <w:szCs w:val="28"/>
          </w:rPr>
          <w:t>https://doi.org/10.2147/IDR.S291313</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He, Q., &amp; Cox, R. J. (2019). The molecular steps of citrinin biosynthesis in fungi. Fungal Biology Reviews, 33(1), 44–52. </w:t>
      </w:r>
      <w:hyperlink r:id="rId20" w:history="1">
        <w:r w:rsidRPr="00473F58">
          <w:rPr>
            <w:rStyle w:val="Hyperlink"/>
            <w:rFonts w:ascii="Times New Roman" w:hAnsi="Times New Roman" w:cs="Times New Roman"/>
            <w:sz w:val="28"/>
            <w:szCs w:val="28"/>
          </w:rPr>
          <w:t>https://doi.org/10.1016/j.fbr.2018.11.002</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Heitman, J., Carter, D. A., Dyer, P. S., &amp; Soll, D. R. (2021). Genomics, molecular biology, and epidemiology of fungal infections. Cold Spring Harbor Perspectives in Medicine, 11(2), a038638. </w:t>
      </w:r>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Hetherington, A. C., &amp; Raistrick, H. (1931). Studies in the biochemistry of microorganisms: Citrinin, a metabolic product </w:t>
      </w:r>
      <w:r>
        <w:rPr>
          <w:rFonts w:ascii="Times New Roman" w:hAnsi="Times New Roman" w:cs="Times New Roman"/>
          <w:sz w:val="28"/>
          <w:szCs w:val="28"/>
        </w:rPr>
        <w:lastRenderedPageBreak/>
        <w:t xml:space="preserve">of Penicillium citrinum Thom. Philosophical Transactions of the Royal Society B: Biological Sciences, 220(482–493), 269–295. </w:t>
      </w:r>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Hibbett, D. S., Abarenkov, K., Kõljalg, U., Öpik, M., Chai, B., Cole, J. R., &amp; Nilsson, R. H. (2018). Sequence-based classification and identification of fungi. Mycologia, 110(5), 911–930. </w:t>
      </w:r>
      <w:hyperlink r:id="rId21" w:history="1">
        <w:r w:rsidRPr="00473F58">
          <w:rPr>
            <w:rStyle w:val="Hyperlink"/>
            <w:rFonts w:ascii="Times New Roman" w:hAnsi="Times New Roman" w:cs="Times New Roman"/>
            <w:sz w:val="28"/>
            <w:szCs w:val="28"/>
          </w:rPr>
          <w:t>https://doi.org/10.1080/00275514.2018.1491406</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Houbraken, J., Visagie, C. M., &amp; Samson, R. A. (2020). Penicillium taxonomy in the genomic era. Studies in Mycology, 95, 1–27. </w:t>
      </w:r>
      <w:hyperlink r:id="rId22" w:history="1">
        <w:r w:rsidRPr="00834CCE">
          <w:rPr>
            <w:rStyle w:val="Hyperlink"/>
            <w:rFonts w:ascii="Times New Roman" w:hAnsi="Times New Roman" w:cs="Times New Roman"/>
            <w:sz w:val="28"/>
            <w:szCs w:val="28"/>
          </w:rPr>
          <w:t>https://doi.org/10.1016/j.simyco.2020.05.001</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Liu, J., Wang, Y., Liu, Y., &amp; Yan, H. (2020). Molecular characterization and health impact of fungal toxins. Environmental Research, 189, 109899. </w:t>
      </w:r>
      <w:hyperlink r:id="rId23" w:history="1">
        <w:r w:rsidRPr="00473F58">
          <w:rPr>
            <w:rStyle w:val="Hyperlink"/>
            <w:rFonts w:ascii="Times New Roman" w:hAnsi="Times New Roman" w:cs="Times New Roman"/>
            <w:sz w:val="28"/>
            <w:szCs w:val="28"/>
          </w:rPr>
          <w:t>https://doi.org/10.1016/j.envres.2020.109899</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Liu, Y., Lou, Z., &amp; Wang, H. (2021). Mycotoxins and human health: Advances in analytical methods for mycotoxin detection. Comprehensive Reviews in Food Science and Food Safety, 20(6), 5661–5680. </w:t>
      </w:r>
      <w:hyperlink r:id="rId24" w:history="1">
        <w:r w:rsidRPr="00473F58">
          <w:rPr>
            <w:rStyle w:val="Hyperlink"/>
            <w:rFonts w:ascii="Times New Roman" w:hAnsi="Times New Roman" w:cs="Times New Roman"/>
            <w:sz w:val="28"/>
            <w:szCs w:val="28"/>
          </w:rPr>
          <w:t>https://doi.org/10.1111/1541-4337.12818</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lastRenderedPageBreak/>
        <w:t xml:space="preserve">Manda, G., Nechifor, M. T., &amp; Neagu, T. M. (2018). Molecular mechanisms of citrinin toxicity: Oxidative stress and mitochondrial failure. Toxicology Reports, 5, 449–456. </w:t>
      </w:r>
      <w:hyperlink r:id="rId25" w:history="1">
        <w:r w:rsidRPr="00794BE7">
          <w:rPr>
            <w:rStyle w:val="Hyperlink"/>
            <w:rFonts w:ascii="Times New Roman" w:hAnsi="Times New Roman" w:cs="Times New Roman"/>
            <w:sz w:val="28"/>
            <w:szCs w:val="28"/>
          </w:rPr>
          <w:t>https://doi.org/10.1016/j.toxrep.2018.03.007</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Rai, M., Ingle, A. P., Paralikar, P., &amp; dos Santos, C. A. (2023). Emerging fungal threats and strategies for combating fungal diseases. Mycoses, 66(2), 147–162. </w:t>
      </w:r>
      <w:hyperlink r:id="rId26" w:history="1">
        <w:r w:rsidRPr="00473F58">
          <w:rPr>
            <w:rStyle w:val="Hyperlink"/>
            <w:rFonts w:ascii="Times New Roman" w:hAnsi="Times New Roman" w:cs="Times New Roman"/>
            <w:sz w:val="28"/>
            <w:szCs w:val="28"/>
          </w:rPr>
          <w:t>https://doi.org/10.1111/myc.13497</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Samson, R. A., Visagie, C. M., Houbraken, J., Hong, S. B., Hubka, V., Klaassen, C. H. W., &amp; Frisvad, J. C. (2020). Phylogeny, identification and nomenclature of the genus Penicillium. Studies in Mycology, 95, 1–249. </w:t>
      </w:r>
      <w:hyperlink r:id="rId27" w:history="1">
        <w:r w:rsidRPr="00794BE7">
          <w:rPr>
            <w:rStyle w:val="Hyperlink"/>
            <w:rFonts w:ascii="Times New Roman" w:hAnsi="Times New Roman" w:cs="Times New Roman"/>
            <w:sz w:val="28"/>
            <w:szCs w:val="28"/>
          </w:rPr>
          <w:t>https://doi.org/10.1016/j.simyco.2020.01.002</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Sharma, C., &amp; Ghosh, A. (2021). Insights into fungal biofilms: A critical appraisal. Microorganisms, 9(3), 659. </w:t>
      </w:r>
      <w:hyperlink r:id="rId28" w:history="1">
        <w:r w:rsidRPr="00473F58">
          <w:rPr>
            <w:rStyle w:val="Hyperlink"/>
            <w:rFonts w:ascii="Times New Roman" w:hAnsi="Times New Roman" w:cs="Times New Roman"/>
            <w:sz w:val="28"/>
            <w:szCs w:val="28"/>
          </w:rPr>
          <w:t>https://doi.org/10.3390/microorganisms9030659</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lastRenderedPageBreak/>
        <w:t xml:space="preserve">Shi, J., Liang, Y., Liu, J., &amp; Zhong, X. (2022). Advances in mycotoxin detection in food and feed. Frontiers in Nutrition, 9, 857216. </w:t>
      </w:r>
      <w:hyperlink r:id="rId29" w:history="1">
        <w:r w:rsidRPr="00473F58">
          <w:rPr>
            <w:rStyle w:val="Hyperlink"/>
            <w:rFonts w:ascii="Times New Roman" w:hAnsi="Times New Roman" w:cs="Times New Roman"/>
            <w:sz w:val="28"/>
            <w:szCs w:val="28"/>
          </w:rPr>
          <w:t>https://doi.org/10.3389/fnut.2022.857216</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Shinozuka, J., Murata, Y., &amp; Seki, K. (2020). Citrinin-induced oxidative brain damage in rodents and its potential implications in neurotoxicity. Toxins, 12(6), 387. </w:t>
      </w:r>
      <w:hyperlink r:id="rId30" w:history="1">
        <w:r w:rsidRPr="00794BE7">
          <w:rPr>
            <w:rStyle w:val="Hyperlink"/>
            <w:rFonts w:ascii="Times New Roman" w:hAnsi="Times New Roman" w:cs="Times New Roman"/>
            <w:sz w:val="28"/>
            <w:szCs w:val="28"/>
          </w:rPr>
          <w:t>https://doi.org/10.3390/toxins12060387</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Sun, X., Liu, W., &amp; Chen, S. (2022). Emerging detection technologies for mycotoxins. Toxins, 14(3), 170. </w:t>
      </w:r>
      <w:hyperlink r:id="rId31" w:history="1">
        <w:r w:rsidRPr="00473F58">
          <w:rPr>
            <w:rStyle w:val="Hyperlink"/>
            <w:rFonts w:ascii="Times New Roman" w:hAnsi="Times New Roman" w:cs="Times New Roman"/>
            <w:sz w:val="28"/>
            <w:szCs w:val="28"/>
          </w:rPr>
          <w:t>https://doi.org/10.3390/toxins14030170</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Visagie, C. M., Houbraken, J., &amp; Samson, R. A. (2017). Current taxonomy of Penicillium and Aspergillus. Studies in Mycology, 88, 1–16. </w:t>
      </w:r>
      <w:hyperlink r:id="rId32" w:history="1">
        <w:r w:rsidRPr="00794BE7">
          <w:rPr>
            <w:rStyle w:val="Hyperlink"/>
            <w:rFonts w:ascii="Times New Roman" w:hAnsi="Times New Roman" w:cs="Times New Roman"/>
            <w:sz w:val="28"/>
            <w:szCs w:val="28"/>
          </w:rPr>
          <w:t>https://doi.org/10.1016/j.simyco.2017.07.002</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Wang, Y., Zhao, C., Zhang, D., Wang, J., &amp; Liu, Y. (2019). Toxic effects of citrinin on renal function and oxidative stress in rats. Toxins, 11(8), 453. </w:t>
      </w:r>
      <w:hyperlink r:id="rId33" w:history="1">
        <w:r w:rsidRPr="00794BE7">
          <w:rPr>
            <w:rStyle w:val="Hyperlink"/>
            <w:rFonts w:ascii="Times New Roman" w:hAnsi="Times New Roman" w:cs="Times New Roman"/>
            <w:sz w:val="28"/>
            <w:szCs w:val="28"/>
          </w:rPr>
          <w:t>https://doi.org/10.3390/toxins11080453</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lastRenderedPageBreak/>
        <w:t xml:space="preserve">Yang, S., Zhang, Y., &amp; Lin, Y. (2021). Citrinin induces neurological and hepatic toxicity in Wistar rats via oxidative and inflammatory pathways. Environmental Toxicology and Pharmacology, 88, 103731. </w:t>
      </w:r>
      <w:hyperlink r:id="rId34" w:history="1">
        <w:r w:rsidRPr="00794BE7">
          <w:rPr>
            <w:rStyle w:val="Hyperlink"/>
            <w:rFonts w:ascii="Times New Roman" w:hAnsi="Times New Roman" w:cs="Times New Roman"/>
            <w:sz w:val="28"/>
            <w:szCs w:val="28"/>
          </w:rPr>
          <w:t>https://doi.org/10.1016/j.etap.2021.103731</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Zhang, X., Zhang, S., Sun, Y., &amp; Zhang, Y. (2022). Molecular identification of pathogenic fungi and detection of mycotoxin production. Mycotoxin Research, 38(3), 195–205. </w:t>
      </w:r>
      <w:hyperlink r:id="rId35" w:history="1">
        <w:r w:rsidRPr="00473F58">
          <w:rPr>
            <w:rStyle w:val="Hyperlink"/>
            <w:rFonts w:ascii="Times New Roman" w:hAnsi="Times New Roman" w:cs="Times New Roman"/>
            <w:sz w:val="28"/>
            <w:szCs w:val="28"/>
          </w:rPr>
          <w:t>https://doi.org/10.1007/s12550-022-00447-2</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 xml:space="preserve">Zhang, X., Zhang, S., Wang, J., &amp; Wang, Y. (2018). Insights into fungal pathogenicity: Molecular mechanisms and emerging therapeutic strategies. Fungal Biology Reviews, 32(2), 50–68. </w:t>
      </w:r>
      <w:hyperlink r:id="rId36" w:history="1">
        <w:r w:rsidRPr="00473F58">
          <w:rPr>
            <w:rStyle w:val="Hyperlink"/>
            <w:rFonts w:ascii="Times New Roman" w:hAnsi="Times New Roman" w:cs="Times New Roman"/>
            <w:sz w:val="28"/>
            <w:szCs w:val="28"/>
          </w:rPr>
          <w:t>https://doi.org/10.1016/j.fbr.2017.12.003</w:t>
        </w:r>
      </w:hyperlink>
    </w:p>
    <w:p w:rsidR="00041E90" w:rsidRDefault="00041E90" w:rsidP="00A041C0">
      <w:pPr>
        <w:spacing w:after="0" w:line="480" w:lineRule="auto"/>
        <w:ind w:left="840" w:right="720" w:hangingChars="300" w:hanging="840"/>
        <w:jc w:val="both"/>
        <w:rPr>
          <w:rFonts w:ascii="Times New Roman" w:hAnsi="Times New Roman" w:cs="Times New Roman"/>
          <w:sz w:val="28"/>
          <w:szCs w:val="28"/>
        </w:rPr>
      </w:pPr>
      <w:r>
        <w:rPr>
          <w:rFonts w:ascii="Times New Roman" w:hAnsi="Times New Roman" w:cs="Times New Roman"/>
          <w:sz w:val="28"/>
          <w:szCs w:val="28"/>
        </w:rPr>
        <w:t>Zhou, L., Kong, W., Wang, M., &amp; Luo, Y. (2021). Challenges in controlling fungal pathogens and mycotoxin contamination in food crops. Toxins, 13(2), 102.</w:t>
      </w:r>
    </w:p>
    <w:p w:rsidR="00736340" w:rsidRDefault="00736340" w:rsidP="00A041C0">
      <w:pPr>
        <w:spacing w:after="0" w:line="480" w:lineRule="auto"/>
        <w:ind w:left="840" w:hangingChars="300" w:hanging="840"/>
        <w:jc w:val="both"/>
        <w:rPr>
          <w:rFonts w:ascii="Times New Roman" w:hAnsi="Times New Roman" w:cs="Times New Roman"/>
          <w:sz w:val="28"/>
          <w:szCs w:val="28"/>
        </w:rPr>
      </w:pPr>
    </w:p>
    <w:p w:rsidR="00736340" w:rsidRPr="00736340" w:rsidRDefault="00736340" w:rsidP="00A041C0">
      <w:pPr>
        <w:spacing w:after="0" w:line="480" w:lineRule="auto"/>
        <w:ind w:left="840" w:hangingChars="300" w:hanging="840"/>
        <w:jc w:val="both"/>
        <w:rPr>
          <w:rFonts w:ascii="Times New Roman" w:hAnsi="Times New Roman" w:cs="Times New Roman"/>
          <w:sz w:val="28"/>
          <w:szCs w:val="28"/>
        </w:rPr>
      </w:pPr>
    </w:p>
    <w:sectPr w:rsidR="00736340" w:rsidRPr="00736340" w:rsidSect="00182FCE">
      <w:headerReference w:type="even" r:id="rId37"/>
      <w:headerReference w:type="default" r:id="rId38"/>
      <w:footerReference w:type="even" r:id="rId39"/>
      <w:footerReference w:type="default" r:id="rId40"/>
      <w:headerReference w:type="first" r:id="rId41"/>
      <w:footerReference w:type="first" r:id="rId42"/>
      <w:pgSz w:w="11520" w:h="14400"/>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A95" w:rsidRDefault="000F6A95" w:rsidP="00CE215B">
      <w:pPr>
        <w:spacing w:after="0" w:line="240" w:lineRule="auto"/>
      </w:pPr>
      <w:r>
        <w:separator/>
      </w:r>
    </w:p>
  </w:endnote>
  <w:endnote w:type="continuationSeparator" w:id="1">
    <w:p w:rsidR="000F6A95" w:rsidRDefault="000F6A95" w:rsidP="00CE2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44031177"/>
      <w:docPartObj>
        <w:docPartGallery w:val="Page Numbers (Bottom of Page)"/>
        <w:docPartUnique/>
      </w:docPartObj>
    </w:sdtPr>
    <w:sdtContent>
      <w:p w:rsidR="00E831DA" w:rsidRDefault="0017592D" w:rsidP="009752C9">
        <w:pPr>
          <w:pStyle w:val="Footer"/>
          <w:framePr w:wrap="none" w:vAnchor="text" w:hAnchor="margin" w:xAlign="center" w:y="1"/>
          <w:rPr>
            <w:rStyle w:val="PageNumber"/>
          </w:rPr>
        </w:pPr>
        <w:r>
          <w:rPr>
            <w:rStyle w:val="PageNumber"/>
          </w:rPr>
          <w:fldChar w:fldCharType="begin"/>
        </w:r>
        <w:r w:rsidR="00E831DA">
          <w:rPr>
            <w:rStyle w:val="PageNumber"/>
          </w:rPr>
          <w:instrText xml:space="preserve"> PAGE </w:instrText>
        </w:r>
        <w:r>
          <w:rPr>
            <w:rStyle w:val="PageNumber"/>
          </w:rPr>
          <w:fldChar w:fldCharType="end"/>
        </w:r>
      </w:p>
    </w:sdtContent>
  </w:sdt>
  <w:p w:rsidR="00E831DA" w:rsidRDefault="00E831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1DA" w:rsidRDefault="00E831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FCE" w:rsidRDefault="00182F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A95" w:rsidRDefault="000F6A95" w:rsidP="00CE215B">
      <w:pPr>
        <w:spacing w:after="0" w:line="240" w:lineRule="auto"/>
      </w:pPr>
      <w:r>
        <w:separator/>
      </w:r>
    </w:p>
  </w:footnote>
  <w:footnote w:type="continuationSeparator" w:id="1">
    <w:p w:rsidR="000F6A95" w:rsidRDefault="000F6A95" w:rsidP="00CE2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FCE" w:rsidRDefault="00182F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FCE" w:rsidRDefault="00182F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FCE" w:rsidRDefault="00182F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00638"/>
    <w:multiLevelType w:val="hybridMultilevel"/>
    <w:tmpl w:val="60AAD0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E5334"/>
    <w:multiLevelType w:val="multilevel"/>
    <w:tmpl w:val="FFFFFFF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69D1EA6"/>
    <w:multiLevelType w:val="hybridMultilevel"/>
    <w:tmpl w:val="42DC4E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20632A"/>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46124AB"/>
    <w:multiLevelType w:val="hybridMultilevel"/>
    <w:tmpl w:val="9F6EA9C6"/>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213AEC"/>
    <w:multiLevelType w:val="hybridMultilevel"/>
    <w:tmpl w:val="BB86AD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CB0796"/>
    <w:multiLevelType w:val="hybridMultilevel"/>
    <w:tmpl w:val="4A40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ED466D6"/>
    <w:multiLevelType w:val="multilevel"/>
    <w:tmpl w:val="DB0CE17E"/>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3"/>
  </w:num>
  <w:num w:numId="3">
    <w:abstractNumId w:val="2"/>
  </w:num>
  <w:num w:numId="4">
    <w:abstractNumId w:val="1"/>
  </w:num>
  <w:num w:numId="5">
    <w:abstractNumId w:val="9"/>
  </w:num>
  <w:num w:numId="6">
    <w:abstractNumId w:val="8"/>
  </w:num>
  <w:num w:numId="7">
    <w:abstractNumId w:val="4"/>
  </w:num>
  <w:num w:numId="8">
    <w:abstractNumId w:val="7"/>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EA4F2B"/>
    <w:rsid w:val="000003F4"/>
    <w:rsid w:val="000029FD"/>
    <w:rsid w:val="00003D9F"/>
    <w:rsid w:val="00013293"/>
    <w:rsid w:val="00013A5A"/>
    <w:rsid w:val="0001613E"/>
    <w:rsid w:val="00016CF8"/>
    <w:rsid w:val="000176F2"/>
    <w:rsid w:val="0002344C"/>
    <w:rsid w:val="00031291"/>
    <w:rsid w:val="000342F0"/>
    <w:rsid w:val="0003595A"/>
    <w:rsid w:val="00040AC2"/>
    <w:rsid w:val="00041A4E"/>
    <w:rsid w:val="00041E90"/>
    <w:rsid w:val="00044942"/>
    <w:rsid w:val="00056B23"/>
    <w:rsid w:val="00067A7D"/>
    <w:rsid w:val="0007408E"/>
    <w:rsid w:val="00076C10"/>
    <w:rsid w:val="00077DBE"/>
    <w:rsid w:val="00090988"/>
    <w:rsid w:val="000A0BE7"/>
    <w:rsid w:val="000A14BF"/>
    <w:rsid w:val="000A4831"/>
    <w:rsid w:val="000B4933"/>
    <w:rsid w:val="000B6201"/>
    <w:rsid w:val="000B70A9"/>
    <w:rsid w:val="000C0A20"/>
    <w:rsid w:val="000C174B"/>
    <w:rsid w:val="000C1DCC"/>
    <w:rsid w:val="000E1722"/>
    <w:rsid w:val="000E35A4"/>
    <w:rsid w:val="000F02A0"/>
    <w:rsid w:val="000F4BC8"/>
    <w:rsid w:val="000F6A95"/>
    <w:rsid w:val="00105CD6"/>
    <w:rsid w:val="00115FF8"/>
    <w:rsid w:val="0013206C"/>
    <w:rsid w:val="0014513E"/>
    <w:rsid w:val="00150934"/>
    <w:rsid w:val="00152CD7"/>
    <w:rsid w:val="001560AA"/>
    <w:rsid w:val="001605B9"/>
    <w:rsid w:val="001723D2"/>
    <w:rsid w:val="0017592D"/>
    <w:rsid w:val="00182FCE"/>
    <w:rsid w:val="001858D7"/>
    <w:rsid w:val="0019277B"/>
    <w:rsid w:val="00193D62"/>
    <w:rsid w:val="00194004"/>
    <w:rsid w:val="001A07E6"/>
    <w:rsid w:val="001A0E7A"/>
    <w:rsid w:val="001A4EE7"/>
    <w:rsid w:val="001A5DB4"/>
    <w:rsid w:val="001C1894"/>
    <w:rsid w:val="001C4B75"/>
    <w:rsid w:val="001E0B98"/>
    <w:rsid w:val="001E2238"/>
    <w:rsid w:val="001F1A67"/>
    <w:rsid w:val="001F4A10"/>
    <w:rsid w:val="00201F4C"/>
    <w:rsid w:val="00203009"/>
    <w:rsid w:val="00204770"/>
    <w:rsid w:val="00212A99"/>
    <w:rsid w:val="00213E72"/>
    <w:rsid w:val="0023122A"/>
    <w:rsid w:val="00233986"/>
    <w:rsid w:val="00233D4D"/>
    <w:rsid w:val="00240320"/>
    <w:rsid w:val="00240399"/>
    <w:rsid w:val="0024741A"/>
    <w:rsid w:val="002530C0"/>
    <w:rsid w:val="00254F84"/>
    <w:rsid w:val="00255B1C"/>
    <w:rsid w:val="00257CF0"/>
    <w:rsid w:val="00261E97"/>
    <w:rsid w:val="00263547"/>
    <w:rsid w:val="0027041C"/>
    <w:rsid w:val="0027231A"/>
    <w:rsid w:val="00277922"/>
    <w:rsid w:val="00277CA5"/>
    <w:rsid w:val="00280582"/>
    <w:rsid w:val="00280905"/>
    <w:rsid w:val="002813D7"/>
    <w:rsid w:val="0028430B"/>
    <w:rsid w:val="00290C31"/>
    <w:rsid w:val="00290EB4"/>
    <w:rsid w:val="002939B5"/>
    <w:rsid w:val="00295DC2"/>
    <w:rsid w:val="002B1EDF"/>
    <w:rsid w:val="002B300C"/>
    <w:rsid w:val="002B4D7C"/>
    <w:rsid w:val="002B6444"/>
    <w:rsid w:val="002C69B6"/>
    <w:rsid w:val="002D0320"/>
    <w:rsid w:val="002D2BA0"/>
    <w:rsid w:val="002D3427"/>
    <w:rsid w:val="002D47B1"/>
    <w:rsid w:val="002D55F0"/>
    <w:rsid w:val="002E318D"/>
    <w:rsid w:val="002E4916"/>
    <w:rsid w:val="002E61D5"/>
    <w:rsid w:val="00306812"/>
    <w:rsid w:val="00315C15"/>
    <w:rsid w:val="00315CB5"/>
    <w:rsid w:val="003162CE"/>
    <w:rsid w:val="003207BD"/>
    <w:rsid w:val="003209BD"/>
    <w:rsid w:val="0032557A"/>
    <w:rsid w:val="00325771"/>
    <w:rsid w:val="00327CCF"/>
    <w:rsid w:val="00333740"/>
    <w:rsid w:val="003363B0"/>
    <w:rsid w:val="003363C6"/>
    <w:rsid w:val="00346043"/>
    <w:rsid w:val="003460DB"/>
    <w:rsid w:val="00346E8B"/>
    <w:rsid w:val="00350165"/>
    <w:rsid w:val="00351B8A"/>
    <w:rsid w:val="00353339"/>
    <w:rsid w:val="00357CB2"/>
    <w:rsid w:val="00381547"/>
    <w:rsid w:val="00381F23"/>
    <w:rsid w:val="003836E9"/>
    <w:rsid w:val="003840F7"/>
    <w:rsid w:val="003845FB"/>
    <w:rsid w:val="0039034E"/>
    <w:rsid w:val="00395254"/>
    <w:rsid w:val="00396C16"/>
    <w:rsid w:val="0039798E"/>
    <w:rsid w:val="00397B32"/>
    <w:rsid w:val="003A0563"/>
    <w:rsid w:val="003B1D88"/>
    <w:rsid w:val="003C34DE"/>
    <w:rsid w:val="003D40F3"/>
    <w:rsid w:val="003D4395"/>
    <w:rsid w:val="003D6A7F"/>
    <w:rsid w:val="00405F79"/>
    <w:rsid w:val="00406099"/>
    <w:rsid w:val="00407F5D"/>
    <w:rsid w:val="00415918"/>
    <w:rsid w:val="0043056B"/>
    <w:rsid w:val="00430C61"/>
    <w:rsid w:val="0043580D"/>
    <w:rsid w:val="00446AB5"/>
    <w:rsid w:val="00447013"/>
    <w:rsid w:val="00450C4A"/>
    <w:rsid w:val="00451BB1"/>
    <w:rsid w:val="00454925"/>
    <w:rsid w:val="004618A6"/>
    <w:rsid w:val="00462913"/>
    <w:rsid w:val="00463D0B"/>
    <w:rsid w:val="0046435B"/>
    <w:rsid w:val="00471BB7"/>
    <w:rsid w:val="0047516B"/>
    <w:rsid w:val="0047712B"/>
    <w:rsid w:val="00486D48"/>
    <w:rsid w:val="00491AFA"/>
    <w:rsid w:val="00495101"/>
    <w:rsid w:val="004A20C5"/>
    <w:rsid w:val="004A3F21"/>
    <w:rsid w:val="004B1F1D"/>
    <w:rsid w:val="004B5D60"/>
    <w:rsid w:val="004C3249"/>
    <w:rsid w:val="004C5C93"/>
    <w:rsid w:val="004C6C46"/>
    <w:rsid w:val="004D0476"/>
    <w:rsid w:val="004D286D"/>
    <w:rsid w:val="004D47A9"/>
    <w:rsid w:val="004D50A6"/>
    <w:rsid w:val="004D7743"/>
    <w:rsid w:val="004E0044"/>
    <w:rsid w:val="004E14F5"/>
    <w:rsid w:val="004E1841"/>
    <w:rsid w:val="004E3302"/>
    <w:rsid w:val="004E3374"/>
    <w:rsid w:val="004E4B74"/>
    <w:rsid w:val="004E5996"/>
    <w:rsid w:val="004F5BAF"/>
    <w:rsid w:val="004F6A58"/>
    <w:rsid w:val="004F7464"/>
    <w:rsid w:val="00500E20"/>
    <w:rsid w:val="0050235C"/>
    <w:rsid w:val="00507F84"/>
    <w:rsid w:val="00512016"/>
    <w:rsid w:val="005125DA"/>
    <w:rsid w:val="0051523A"/>
    <w:rsid w:val="005166E7"/>
    <w:rsid w:val="00516D7B"/>
    <w:rsid w:val="00525D3F"/>
    <w:rsid w:val="00531ACD"/>
    <w:rsid w:val="00531D2C"/>
    <w:rsid w:val="00532B79"/>
    <w:rsid w:val="005341F0"/>
    <w:rsid w:val="00544460"/>
    <w:rsid w:val="00545781"/>
    <w:rsid w:val="00550090"/>
    <w:rsid w:val="00556838"/>
    <w:rsid w:val="005568BD"/>
    <w:rsid w:val="0056126F"/>
    <w:rsid w:val="005671B3"/>
    <w:rsid w:val="00570ADD"/>
    <w:rsid w:val="00573098"/>
    <w:rsid w:val="00575473"/>
    <w:rsid w:val="005A3771"/>
    <w:rsid w:val="005A63B4"/>
    <w:rsid w:val="005A7E41"/>
    <w:rsid w:val="005B327C"/>
    <w:rsid w:val="005B6C47"/>
    <w:rsid w:val="005C7A45"/>
    <w:rsid w:val="005C7B50"/>
    <w:rsid w:val="005D7EC2"/>
    <w:rsid w:val="005D7FE0"/>
    <w:rsid w:val="005E0085"/>
    <w:rsid w:val="005E3E31"/>
    <w:rsid w:val="005E6C40"/>
    <w:rsid w:val="005F3418"/>
    <w:rsid w:val="005F4B9C"/>
    <w:rsid w:val="00600473"/>
    <w:rsid w:val="00600E9C"/>
    <w:rsid w:val="00602320"/>
    <w:rsid w:val="006025AE"/>
    <w:rsid w:val="00606A40"/>
    <w:rsid w:val="00616F42"/>
    <w:rsid w:val="00624F44"/>
    <w:rsid w:val="00627DE0"/>
    <w:rsid w:val="00631443"/>
    <w:rsid w:val="00634736"/>
    <w:rsid w:val="00636366"/>
    <w:rsid w:val="00636A16"/>
    <w:rsid w:val="00637A7F"/>
    <w:rsid w:val="0064030C"/>
    <w:rsid w:val="00640DE6"/>
    <w:rsid w:val="006446E1"/>
    <w:rsid w:val="00647E4F"/>
    <w:rsid w:val="00650E5F"/>
    <w:rsid w:val="00652866"/>
    <w:rsid w:val="00662A4C"/>
    <w:rsid w:val="0066433F"/>
    <w:rsid w:val="00666736"/>
    <w:rsid w:val="0067383E"/>
    <w:rsid w:val="0068588B"/>
    <w:rsid w:val="00685D51"/>
    <w:rsid w:val="0069290A"/>
    <w:rsid w:val="006971B9"/>
    <w:rsid w:val="006A05BF"/>
    <w:rsid w:val="006A3E66"/>
    <w:rsid w:val="006B021F"/>
    <w:rsid w:val="006B1518"/>
    <w:rsid w:val="006B402D"/>
    <w:rsid w:val="006B6C1A"/>
    <w:rsid w:val="006C1F73"/>
    <w:rsid w:val="006C2BD3"/>
    <w:rsid w:val="006C3C05"/>
    <w:rsid w:val="006D2983"/>
    <w:rsid w:val="006D3DE5"/>
    <w:rsid w:val="006D70BF"/>
    <w:rsid w:val="006D7106"/>
    <w:rsid w:val="006E439D"/>
    <w:rsid w:val="006E4DDD"/>
    <w:rsid w:val="006F0B95"/>
    <w:rsid w:val="006F0E7A"/>
    <w:rsid w:val="006F76DE"/>
    <w:rsid w:val="00701200"/>
    <w:rsid w:val="007020CB"/>
    <w:rsid w:val="00702CE4"/>
    <w:rsid w:val="00702FFD"/>
    <w:rsid w:val="00706513"/>
    <w:rsid w:val="00710167"/>
    <w:rsid w:val="00711358"/>
    <w:rsid w:val="0071241E"/>
    <w:rsid w:val="00714039"/>
    <w:rsid w:val="007154B4"/>
    <w:rsid w:val="00721B11"/>
    <w:rsid w:val="00724EE7"/>
    <w:rsid w:val="0072731D"/>
    <w:rsid w:val="00732628"/>
    <w:rsid w:val="007332D3"/>
    <w:rsid w:val="00736340"/>
    <w:rsid w:val="00744C11"/>
    <w:rsid w:val="00751616"/>
    <w:rsid w:val="00753DC2"/>
    <w:rsid w:val="0076055F"/>
    <w:rsid w:val="00760B73"/>
    <w:rsid w:val="00762D86"/>
    <w:rsid w:val="00764068"/>
    <w:rsid w:val="007669DB"/>
    <w:rsid w:val="00774EED"/>
    <w:rsid w:val="00776CB6"/>
    <w:rsid w:val="00786B70"/>
    <w:rsid w:val="00791B12"/>
    <w:rsid w:val="00796C19"/>
    <w:rsid w:val="00797DB5"/>
    <w:rsid w:val="007A11B4"/>
    <w:rsid w:val="007A1F4F"/>
    <w:rsid w:val="007A5F57"/>
    <w:rsid w:val="007A634A"/>
    <w:rsid w:val="007B03DB"/>
    <w:rsid w:val="007B63A3"/>
    <w:rsid w:val="007C7698"/>
    <w:rsid w:val="007D036F"/>
    <w:rsid w:val="007D0BBF"/>
    <w:rsid w:val="007D1CA9"/>
    <w:rsid w:val="007D2411"/>
    <w:rsid w:val="007D46C1"/>
    <w:rsid w:val="007D48A3"/>
    <w:rsid w:val="007D6138"/>
    <w:rsid w:val="007D6420"/>
    <w:rsid w:val="007E700D"/>
    <w:rsid w:val="007F4FFE"/>
    <w:rsid w:val="007F5069"/>
    <w:rsid w:val="007F527B"/>
    <w:rsid w:val="007F7FAE"/>
    <w:rsid w:val="00807CEB"/>
    <w:rsid w:val="008164C4"/>
    <w:rsid w:val="0082604A"/>
    <w:rsid w:val="0082719D"/>
    <w:rsid w:val="008332B6"/>
    <w:rsid w:val="008333D1"/>
    <w:rsid w:val="008444CC"/>
    <w:rsid w:val="008445CB"/>
    <w:rsid w:val="00850AD5"/>
    <w:rsid w:val="00852888"/>
    <w:rsid w:val="00861340"/>
    <w:rsid w:val="0086780F"/>
    <w:rsid w:val="00867A2B"/>
    <w:rsid w:val="0087616C"/>
    <w:rsid w:val="00885EAE"/>
    <w:rsid w:val="00891E57"/>
    <w:rsid w:val="00894539"/>
    <w:rsid w:val="008A59E4"/>
    <w:rsid w:val="008B5395"/>
    <w:rsid w:val="008B5F2C"/>
    <w:rsid w:val="008B7CEE"/>
    <w:rsid w:val="008C0B69"/>
    <w:rsid w:val="008C5FF9"/>
    <w:rsid w:val="008C7C38"/>
    <w:rsid w:val="008D42B5"/>
    <w:rsid w:val="008D79EB"/>
    <w:rsid w:val="008E3EE2"/>
    <w:rsid w:val="008E6E44"/>
    <w:rsid w:val="008E7DCC"/>
    <w:rsid w:val="008F0058"/>
    <w:rsid w:val="008F0E5B"/>
    <w:rsid w:val="008F4C07"/>
    <w:rsid w:val="00900DDD"/>
    <w:rsid w:val="00903953"/>
    <w:rsid w:val="00911675"/>
    <w:rsid w:val="009131C3"/>
    <w:rsid w:val="009254AF"/>
    <w:rsid w:val="00931C12"/>
    <w:rsid w:val="009348B7"/>
    <w:rsid w:val="00942D6A"/>
    <w:rsid w:val="00945EF5"/>
    <w:rsid w:val="00946C9C"/>
    <w:rsid w:val="009504B7"/>
    <w:rsid w:val="0095319F"/>
    <w:rsid w:val="009535E4"/>
    <w:rsid w:val="00953CD4"/>
    <w:rsid w:val="0095602C"/>
    <w:rsid w:val="00957AC1"/>
    <w:rsid w:val="0096031C"/>
    <w:rsid w:val="0097093A"/>
    <w:rsid w:val="00970C16"/>
    <w:rsid w:val="00970F6F"/>
    <w:rsid w:val="009720BC"/>
    <w:rsid w:val="00974A9A"/>
    <w:rsid w:val="009752C9"/>
    <w:rsid w:val="00986A31"/>
    <w:rsid w:val="00990723"/>
    <w:rsid w:val="00990C08"/>
    <w:rsid w:val="00992673"/>
    <w:rsid w:val="00993445"/>
    <w:rsid w:val="00995F64"/>
    <w:rsid w:val="009978C5"/>
    <w:rsid w:val="009A3666"/>
    <w:rsid w:val="009A4113"/>
    <w:rsid w:val="009A4693"/>
    <w:rsid w:val="009A7027"/>
    <w:rsid w:val="009B350C"/>
    <w:rsid w:val="009C185B"/>
    <w:rsid w:val="009C1DF5"/>
    <w:rsid w:val="009C2DE0"/>
    <w:rsid w:val="009C3E0B"/>
    <w:rsid w:val="009C559B"/>
    <w:rsid w:val="009C6F6D"/>
    <w:rsid w:val="009D1180"/>
    <w:rsid w:val="009D1A79"/>
    <w:rsid w:val="009D3219"/>
    <w:rsid w:val="009D4401"/>
    <w:rsid w:val="009E72A9"/>
    <w:rsid w:val="009F020A"/>
    <w:rsid w:val="009F0AE5"/>
    <w:rsid w:val="009F599F"/>
    <w:rsid w:val="009F7F27"/>
    <w:rsid w:val="00A03519"/>
    <w:rsid w:val="00A04126"/>
    <w:rsid w:val="00A041C0"/>
    <w:rsid w:val="00A04CF4"/>
    <w:rsid w:val="00A06979"/>
    <w:rsid w:val="00A14FB6"/>
    <w:rsid w:val="00A15304"/>
    <w:rsid w:val="00A15331"/>
    <w:rsid w:val="00A1683D"/>
    <w:rsid w:val="00A22839"/>
    <w:rsid w:val="00A23A3C"/>
    <w:rsid w:val="00A24941"/>
    <w:rsid w:val="00A267E2"/>
    <w:rsid w:val="00A444A4"/>
    <w:rsid w:val="00A47051"/>
    <w:rsid w:val="00A527C6"/>
    <w:rsid w:val="00A62CB0"/>
    <w:rsid w:val="00A65F52"/>
    <w:rsid w:val="00A72A90"/>
    <w:rsid w:val="00A758DE"/>
    <w:rsid w:val="00A75C25"/>
    <w:rsid w:val="00A80EB4"/>
    <w:rsid w:val="00A83D19"/>
    <w:rsid w:val="00A85299"/>
    <w:rsid w:val="00A86079"/>
    <w:rsid w:val="00A8609E"/>
    <w:rsid w:val="00A9211D"/>
    <w:rsid w:val="00AA0E3E"/>
    <w:rsid w:val="00AA12BF"/>
    <w:rsid w:val="00AA1F0C"/>
    <w:rsid w:val="00AA28FA"/>
    <w:rsid w:val="00AA31BD"/>
    <w:rsid w:val="00AA6584"/>
    <w:rsid w:val="00AA696B"/>
    <w:rsid w:val="00AB18E1"/>
    <w:rsid w:val="00AC2DAE"/>
    <w:rsid w:val="00AC411F"/>
    <w:rsid w:val="00AD0C7C"/>
    <w:rsid w:val="00AD3F26"/>
    <w:rsid w:val="00AD4083"/>
    <w:rsid w:val="00AE6679"/>
    <w:rsid w:val="00AF5ED9"/>
    <w:rsid w:val="00B0300D"/>
    <w:rsid w:val="00B04714"/>
    <w:rsid w:val="00B05677"/>
    <w:rsid w:val="00B0664C"/>
    <w:rsid w:val="00B07892"/>
    <w:rsid w:val="00B12122"/>
    <w:rsid w:val="00B1450A"/>
    <w:rsid w:val="00B156E7"/>
    <w:rsid w:val="00B17B5C"/>
    <w:rsid w:val="00B220E7"/>
    <w:rsid w:val="00B27346"/>
    <w:rsid w:val="00B313CD"/>
    <w:rsid w:val="00B36A07"/>
    <w:rsid w:val="00B37860"/>
    <w:rsid w:val="00B41979"/>
    <w:rsid w:val="00B43573"/>
    <w:rsid w:val="00B44FC1"/>
    <w:rsid w:val="00B461C1"/>
    <w:rsid w:val="00B475B0"/>
    <w:rsid w:val="00B52EDA"/>
    <w:rsid w:val="00B5611F"/>
    <w:rsid w:val="00B6130E"/>
    <w:rsid w:val="00B7356F"/>
    <w:rsid w:val="00B77AC5"/>
    <w:rsid w:val="00B93617"/>
    <w:rsid w:val="00B94DAB"/>
    <w:rsid w:val="00B95AFA"/>
    <w:rsid w:val="00BA2034"/>
    <w:rsid w:val="00BA7735"/>
    <w:rsid w:val="00BA7A00"/>
    <w:rsid w:val="00BB0367"/>
    <w:rsid w:val="00BB4C21"/>
    <w:rsid w:val="00BB7E69"/>
    <w:rsid w:val="00BC2C6C"/>
    <w:rsid w:val="00BC3BDF"/>
    <w:rsid w:val="00BD10ED"/>
    <w:rsid w:val="00BD2A5E"/>
    <w:rsid w:val="00BD5E72"/>
    <w:rsid w:val="00BE2569"/>
    <w:rsid w:val="00BF07CC"/>
    <w:rsid w:val="00C01C38"/>
    <w:rsid w:val="00C01FA7"/>
    <w:rsid w:val="00C04A44"/>
    <w:rsid w:val="00C073E1"/>
    <w:rsid w:val="00C11C7D"/>
    <w:rsid w:val="00C11E7A"/>
    <w:rsid w:val="00C1380B"/>
    <w:rsid w:val="00C14772"/>
    <w:rsid w:val="00C15820"/>
    <w:rsid w:val="00C26599"/>
    <w:rsid w:val="00C314B4"/>
    <w:rsid w:val="00C33750"/>
    <w:rsid w:val="00C33DC8"/>
    <w:rsid w:val="00C340C9"/>
    <w:rsid w:val="00C34562"/>
    <w:rsid w:val="00C35470"/>
    <w:rsid w:val="00C360D4"/>
    <w:rsid w:val="00C44CF9"/>
    <w:rsid w:val="00C50550"/>
    <w:rsid w:val="00C54673"/>
    <w:rsid w:val="00C6388C"/>
    <w:rsid w:val="00C66F65"/>
    <w:rsid w:val="00C6740B"/>
    <w:rsid w:val="00C67466"/>
    <w:rsid w:val="00C67C2F"/>
    <w:rsid w:val="00C74B88"/>
    <w:rsid w:val="00C75178"/>
    <w:rsid w:val="00C879DE"/>
    <w:rsid w:val="00C920DA"/>
    <w:rsid w:val="00C94102"/>
    <w:rsid w:val="00C964D3"/>
    <w:rsid w:val="00CB568C"/>
    <w:rsid w:val="00CB57F1"/>
    <w:rsid w:val="00CC2093"/>
    <w:rsid w:val="00CC20D3"/>
    <w:rsid w:val="00CD0C74"/>
    <w:rsid w:val="00CD5963"/>
    <w:rsid w:val="00CD77A2"/>
    <w:rsid w:val="00CE215B"/>
    <w:rsid w:val="00CE72EC"/>
    <w:rsid w:val="00CF6E63"/>
    <w:rsid w:val="00D01D28"/>
    <w:rsid w:val="00D0341C"/>
    <w:rsid w:val="00D12EF9"/>
    <w:rsid w:val="00D16B2B"/>
    <w:rsid w:val="00D204C2"/>
    <w:rsid w:val="00D21539"/>
    <w:rsid w:val="00D23A1F"/>
    <w:rsid w:val="00D26006"/>
    <w:rsid w:val="00D34487"/>
    <w:rsid w:val="00D350AE"/>
    <w:rsid w:val="00D41C8C"/>
    <w:rsid w:val="00D42F46"/>
    <w:rsid w:val="00D477C0"/>
    <w:rsid w:val="00D5021D"/>
    <w:rsid w:val="00D55E62"/>
    <w:rsid w:val="00D57A76"/>
    <w:rsid w:val="00D62A45"/>
    <w:rsid w:val="00D70A50"/>
    <w:rsid w:val="00D7316B"/>
    <w:rsid w:val="00D746B7"/>
    <w:rsid w:val="00D751B6"/>
    <w:rsid w:val="00D760A1"/>
    <w:rsid w:val="00D833D4"/>
    <w:rsid w:val="00D83729"/>
    <w:rsid w:val="00D8443C"/>
    <w:rsid w:val="00D95E96"/>
    <w:rsid w:val="00D977FA"/>
    <w:rsid w:val="00DA01E0"/>
    <w:rsid w:val="00DA3678"/>
    <w:rsid w:val="00DA4158"/>
    <w:rsid w:val="00DB1D21"/>
    <w:rsid w:val="00DB1E62"/>
    <w:rsid w:val="00DB710B"/>
    <w:rsid w:val="00DC2494"/>
    <w:rsid w:val="00DC6486"/>
    <w:rsid w:val="00DD3E5C"/>
    <w:rsid w:val="00DE225E"/>
    <w:rsid w:val="00DE2263"/>
    <w:rsid w:val="00DE2B03"/>
    <w:rsid w:val="00DE3086"/>
    <w:rsid w:val="00DE58FF"/>
    <w:rsid w:val="00DF4E83"/>
    <w:rsid w:val="00E01138"/>
    <w:rsid w:val="00E1150A"/>
    <w:rsid w:val="00E129CA"/>
    <w:rsid w:val="00E147FE"/>
    <w:rsid w:val="00E16AF3"/>
    <w:rsid w:val="00E20D0B"/>
    <w:rsid w:val="00E229B1"/>
    <w:rsid w:val="00E309D4"/>
    <w:rsid w:val="00E31755"/>
    <w:rsid w:val="00E325ED"/>
    <w:rsid w:val="00E32675"/>
    <w:rsid w:val="00E440C0"/>
    <w:rsid w:val="00E45013"/>
    <w:rsid w:val="00E47C02"/>
    <w:rsid w:val="00E500A9"/>
    <w:rsid w:val="00E5195E"/>
    <w:rsid w:val="00E52F4A"/>
    <w:rsid w:val="00E54C7F"/>
    <w:rsid w:val="00E568B3"/>
    <w:rsid w:val="00E60631"/>
    <w:rsid w:val="00E614F4"/>
    <w:rsid w:val="00E64377"/>
    <w:rsid w:val="00E6473F"/>
    <w:rsid w:val="00E64B4B"/>
    <w:rsid w:val="00E70D60"/>
    <w:rsid w:val="00E760D4"/>
    <w:rsid w:val="00E762C7"/>
    <w:rsid w:val="00E831DA"/>
    <w:rsid w:val="00E83C63"/>
    <w:rsid w:val="00E83D60"/>
    <w:rsid w:val="00E84750"/>
    <w:rsid w:val="00E85813"/>
    <w:rsid w:val="00E91EA7"/>
    <w:rsid w:val="00E932B2"/>
    <w:rsid w:val="00EA370A"/>
    <w:rsid w:val="00EA4F2B"/>
    <w:rsid w:val="00EA7F9F"/>
    <w:rsid w:val="00EB4B2C"/>
    <w:rsid w:val="00EB51E5"/>
    <w:rsid w:val="00EB6C1C"/>
    <w:rsid w:val="00ED1C54"/>
    <w:rsid w:val="00ED25A1"/>
    <w:rsid w:val="00ED493B"/>
    <w:rsid w:val="00ED4C48"/>
    <w:rsid w:val="00EE3987"/>
    <w:rsid w:val="00EE417A"/>
    <w:rsid w:val="00EE62AB"/>
    <w:rsid w:val="00EE6F56"/>
    <w:rsid w:val="00EF19B6"/>
    <w:rsid w:val="00EF534B"/>
    <w:rsid w:val="00EF6C29"/>
    <w:rsid w:val="00F005D0"/>
    <w:rsid w:val="00F10186"/>
    <w:rsid w:val="00F13513"/>
    <w:rsid w:val="00F14FAD"/>
    <w:rsid w:val="00F153AE"/>
    <w:rsid w:val="00F2015B"/>
    <w:rsid w:val="00F26EC7"/>
    <w:rsid w:val="00F32218"/>
    <w:rsid w:val="00F3250B"/>
    <w:rsid w:val="00F32610"/>
    <w:rsid w:val="00F341BA"/>
    <w:rsid w:val="00F361DB"/>
    <w:rsid w:val="00F4631D"/>
    <w:rsid w:val="00F5147E"/>
    <w:rsid w:val="00F53636"/>
    <w:rsid w:val="00F564FA"/>
    <w:rsid w:val="00F617BF"/>
    <w:rsid w:val="00F62BFD"/>
    <w:rsid w:val="00F634F1"/>
    <w:rsid w:val="00F63BFD"/>
    <w:rsid w:val="00F747B4"/>
    <w:rsid w:val="00F83DEC"/>
    <w:rsid w:val="00F846A0"/>
    <w:rsid w:val="00F85C81"/>
    <w:rsid w:val="00F871D7"/>
    <w:rsid w:val="00F90EDE"/>
    <w:rsid w:val="00F91DCE"/>
    <w:rsid w:val="00FA0C41"/>
    <w:rsid w:val="00FA3F78"/>
    <w:rsid w:val="00FB0699"/>
    <w:rsid w:val="00FB2CC5"/>
    <w:rsid w:val="00FB7EAA"/>
    <w:rsid w:val="00FC55AC"/>
    <w:rsid w:val="00FC621E"/>
    <w:rsid w:val="00FD26E6"/>
    <w:rsid w:val="00FE2948"/>
    <w:rsid w:val="00FF0A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DA"/>
  </w:style>
  <w:style w:type="paragraph" w:styleId="Heading1">
    <w:name w:val="heading 1"/>
    <w:basedOn w:val="Normal"/>
    <w:next w:val="Normal"/>
    <w:link w:val="Heading1Char"/>
    <w:uiPriority w:val="9"/>
    <w:qFormat/>
    <w:rsid w:val="00EA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F2B"/>
    <w:rPr>
      <w:rFonts w:eastAsiaTheme="majorEastAsia" w:cstheme="majorBidi"/>
      <w:color w:val="272727" w:themeColor="text1" w:themeTint="D8"/>
    </w:rPr>
  </w:style>
  <w:style w:type="paragraph" w:styleId="Title">
    <w:name w:val="Title"/>
    <w:basedOn w:val="Normal"/>
    <w:next w:val="Normal"/>
    <w:link w:val="TitleChar"/>
    <w:uiPriority w:val="10"/>
    <w:qFormat/>
    <w:rsid w:val="00EA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F2B"/>
    <w:pPr>
      <w:spacing w:before="160"/>
      <w:jc w:val="center"/>
    </w:pPr>
    <w:rPr>
      <w:i/>
      <w:iCs/>
      <w:color w:val="404040" w:themeColor="text1" w:themeTint="BF"/>
    </w:rPr>
  </w:style>
  <w:style w:type="character" w:customStyle="1" w:styleId="QuoteChar">
    <w:name w:val="Quote Char"/>
    <w:basedOn w:val="DefaultParagraphFont"/>
    <w:link w:val="Quote"/>
    <w:uiPriority w:val="29"/>
    <w:rsid w:val="00EA4F2B"/>
    <w:rPr>
      <w:i/>
      <w:iCs/>
      <w:color w:val="404040" w:themeColor="text1" w:themeTint="BF"/>
    </w:rPr>
  </w:style>
  <w:style w:type="paragraph" w:styleId="ListParagraph">
    <w:name w:val="List Paragraph"/>
    <w:basedOn w:val="Normal"/>
    <w:uiPriority w:val="34"/>
    <w:qFormat/>
    <w:rsid w:val="00EA4F2B"/>
    <w:pPr>
      <w:ind w:left="720"/>
      <w:contextualSpacing/>
    </w:pPr>
  </w:style>
  <w:style w:type="character" w:styleId="IntenseEmphasis">
    <w:name w:val="Intense Emphasis"/>
    <w:basedOn w:val="DefaultParagraphFont"/>
    <w:uiPriority w:val="21"/>
    <w:qFormat/>
    <w:rsid w:val="00EA4F2B"/>
    <w:rPr>
      <w:i/>
      <w:iCs/>
      <w:color w:val="0F4761" w:themeColor="accent1" w:themeShade="BF"/>
    </w:rPr>
  </w:style>
  <w:style w:type="paragraph" w:styleId="IntenseQuote">
    <w:name w:val="Intense Quote"/>
    <w:basedOn w:val="Normal"/>
    <w:next w:val="Normal"/>
    <w:link w:val="IntenseQuoteChar"/>
    <w:uiPriority w:val="30"/>
    <w:qFormat/>
    <w:rsid w:val="00EA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F2B"/>
    <w:rPr>
      <w:i/>
      <w:iCs/>
      <w:color w:val="0F4761" w:themeColor="accent1" w:themeShade="BF"/>
    </w:rPr>
  </w:style>
  <w:style w:type="character" w:styleId="IntenseReference">
    <w:name w:val="Intense Reference"/>
    <w:basedOn w:val="DefaultParagraphFont"/>
    <w:uiPriority w:val="32"/>
    <w:qFormat/>
    <w:rsid w:val="00EA4F2B"/>
    <w:rPr>
      <w:b/>
      <w:bCs/>
      <w:smallCaps/>
      <w:color w:val="0F4761" w:themeColor="accent1" w:themeShade="BF"/>
      <w:spacing w:val="5"/>
    </w:rPr>
  </w:style>
  <w:style w:type="paragraph" w:styleId="Header">
    <w:name w:val="header"/>
    <w:basedOn w:val="Normal"/>
    <w:link w:val="HeaderChar"/>
    <w:uiPriority w:val="99"/>
    <w:unhideWhenUsed/>
    <w:rsid w:val="00CE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5B"/>
  </w:style>
  <w:style w:type="paragraph" w:styleId="Footer">
    <w:name w:val="footer"/>
    <w:basedOn w:val="Normal"/>
    <w:link w:val="FooterChar"/>
    <w:uiPriority w:val="99"/>
    <w:unhideWhenUsed/>
    <w:rsid w:val="00CE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5B"/>
  </w:style>
  <w:style w:type="character" w:styleId="PageNumber">
    <w:name w:val="page number"/>
    <w:basedOn w:val="DefaultParagraphFont"/>
    <w:uiPriority w:val="99"/>
    <w:semiHidden/>
    <w:unhideWhenUsed/>
    <w:rsid w:val="00CE215B"/>
  </w:style>
  <w:style w:type="table" w:styleId="TableGrid">
    <w:name w:val="Table Grid"/>
    <w:basedOn w:val="TableNormal"/>
    <w:uiPriority w:val="39"/>
    <w:rsid w:val="00D8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35B"/>
    <w:rPr>
      <w:color w:val="467886" w:themeColor="hyperlink"/>
      <w:u w:val="single"/>
    </w:rPr>
  </w:style>
  <w:style w:type="character" w:customStyle="1" w:styleId="UnresolvedMention1">
    <w:name w:val="Unresolved Mention1"/>
    <w:basedOn w:val="DefaultParagraphFont"/>
    <w:uiPriority w:val="99"/>
    <w:semiHidden/>
    <w:unhideWhenUsed/>
    <w:rsid w:val="0046435B"/>
    <w:rPr>
      <w:color w:val="605E5C"/>
      <w:shd w:val="clear" w:color="auto" w:fill="E1DFDD"/>
    </w:rPr>
  </w:style>
  <w:style w:type="paragraph" w:styleId="BalloonText">
    <w:name w:val="Balloon Text"/>
    <w:basedOn w:val="Normal"/>
    <w:link w:val="BalloonTextChar"/>
    <w:uiPriority w:val="99"/>
    <w:semiHidden/>
    <w:unhideWhenUsed/>
    <w:rsid w:val="00C96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3"/>
    <w:rPr>
      <w:rFonts w:ascii="Tahoma" w:hAnsi="Tahoma" w:cs="Tahoma"/>
      <w:sz w:val="16"/>
      <w:szCs w:val="16"/>
    </w:rPr>
  </w:style>
  <w:style w:type="paragraph" w:styleId="NormalWeb">
    <w:name w:val="Normal (Web)"/>
    <w:basedOn w:val="Normal"/>
    <w:uiPriority w:val="99"/>
    <w:unhideWhenUsed/>
    <w:rsid w:val="005B6C47"/>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224142402">
      <w:bodyDiv w:val="1"/>
      <w:marLeft w:val="0"/>
      <w:marRight w:val="0"/>
      <w:marTop w:val="0"/>
      <w:marBottom w:val="0"/>
      <w:divBdr>
        <w:top w:val="none" w:sz="0" w:space="0" w:color="auto"/>
        <w:left w:val="none" w:sz="0" w:space="0" w:color="auto"/>
        <w:bottom w:val="none" w:sz="0" w:space="0" w:color="auto"/>
        <w:right w:val="none" w:sz="0" w:space="0" w:color="auto"/>
      </w:divBdr>
    </w:div>
    <w:div w:id="413479001">
      <w:bodyDiv w:val="1"/>
      <w:marLeft w:val="0"/>
      <w:marRight w:val="0"/>
      <w:marTop w:val="0"/>
      <w:marBottom w:val="0"/>
      <w:divBdr>
        <w:top w:val="none" w:sz="0" w:space="0" w:color="auto"/>
        <w:left w:val="none" w:sz="0" w:space="0" w:color="auto"/>
        <w:bottom w:val="none" w:sz="0" w:space="0" w:color="auto"/>
        <w:right w:val="none" w:sz="0" w:space="0" w:color="auto"/>
      </w:divBdr>
    </w:div>
    <w:div w:id="433018420">
      <w:bodyDiv w:val="1"/>
      <w:marLeft w:val="0"/>
      <w:marRight w:val="0"/>
      <w:marTop w:val="0"/>
      <w:marBottom w:val="0"/>
      <w:divBdr>
        <w:top w:val="none" w:sz="0" w:space="0" w:color="auto"/>
        <w:left w:val="none" w:sz="0" w:space="0" w:color="auto"/>
        <w:bottom w:val="none" w:sz="0" w:space="0" w:color="auto"/>
        <w:right w:val="none" w:sz="0" w:space="0" w:color="auto"/>
      </w:divBdr>
    </w:div>
    <w:div w:id="505091695">
      <w:bodyDiv w:val="1"/>
      <w:marLeft w:val="0"/>
      <w:marRight w:val="0"/>
      <w:marTop w:val="0"/>
      <w:marBottom w:val="0"/>
      <w:divBdr>
        <w:top w:val="none" w:sz="0" w:space="0" w:color="auto"/>
        <w:left w:val="none" w:sz="0" w:space="0" w:color="auto"/>
        <w:bottom w:val="none" w:sz="0" w:space="0" w:color="auto"/>
        <w:right w:val="none" w:sz="0" w:space="0" w:color="auto"/>
      </w:divBdr>
    </w:div>
    <w:div w:id="536234250">
      <w:bodyDiv w:val="1"/>
      <w:marLeft w:val="0"/>
      <w:marRight w:val="0"/>
      <w:marTop w:val="0"/>
      <w:marBottom w:val="0"/>
      <w:divBdr>
        <w:top w:val="none" w:sz="0" w:space="0" w:color="auto"/>
        <w:left w:val="none" w:sz="0" w:space="0" w:color="auto"/>
        <w:bottom w:val="none" w:sz="0" w:space="0" w:color="auto"/>
        <w:right w:val="none" w:sz="0" w:space="0" w:color="auto"/>
      </w:divBdr>
    </w:div>
    <w:div w:id="880169055">
      <w:bodyDiv w:val="1"/>
      <w:marLeft w:val="0"/>
      <w:marRight w:val="0"/>
      <w:marTop w:val="0"/>
      <w:marBottom w:val="0"/>
      <w:divBdr>
        <w:top w:val="none" w:sz="0" w:space="0" w:color="auto"/>
        <w:left w:val="none" w:sz="0" w:space="0" w:color="auto"/>
        <w:bottom w:val="none" w:sz="0" w:space="0" w:color="auto"/>
        <w:right w:val="none" w:sz="0" w:space="0" w:color="auto"/>
      </w:divBdr>
    </w:div>
    <w:div w:id="1497303627">
      <w:bodyDiv w:val="1"/>
      <w:marLeft w:val="0"/>
      <w:marRight w:val="0"/>
      <w:marTop w:val="0"/>
      <w:marBottom w:val="0"/>
      <w:divBdr>
        <w:top w:val="none" w:sz="0" w:space="0" w:color="auto"/>
        <w:left w:val="none" w:sz="0" w:space="0" w:color="auto"/>
        <w:bottom w:val="none" w:sz="0" w:space="0" w:color="auto"/>
        <w:right w:val="none" w:sz="0" w:space="0" w:color="auto"/>
      </w:divBdr>
    </w:div>
    <w:div w:id="1564558851">
      <w:bodyDiv w:val="1"/>
      <w:marLeft w:val="0"/>
      <w:marRight w:val="0"/>
      <w:marTop w:val="0"/>
      <w:marBottom w:val="0"/>
      <w:divBdr>
        <w:top w:val="none" w:sz="0" w:space="0" w:color="auto"/>
        <w:left w:val="none" w:sz="0" w:space="0" w:color="auto"/>
        <w:bottom w:val="none" w:sz="0" w:space="0" w:color="auto"/>
        <w:right w:val="none" w:sz="0" w:space="0" w:color="auto"/>
      </w:divBdr>
    </w:div>
    <w:div w:id="1940679737">
      <w:bodyDiv w:val="1"/>
      <w:marLeft w:val="0"/>
      <w:marRight w:val="0"/>
      <w:marTop w:val="0"/>
      <w:marBottom w:val="0"/>
      <w:divBdr>
        <w:top w:val="none" w:sz="0" w:space="0" w:color="auto"/>
        <w:left w:val="none" w:sz="0" w:space="0" w:color="auto"/>
        <w:bottom w:val="none" w:sz="0" w:space="0" w:color="auto"/>
        <w:right w:val="none" w:sz="0" w:space="0" w:color="auto"/>
      </w:divBdr>
    </w:div>
    <w:div w:id="1993559661">
      <w:bodyDiv w:val="1"/>
      <w:marLeft w:val="0"/>
      <w:marRight w:val="0"/>
      <w:marTop w:val="0"/>
      <w:marBottom w:val="0"/>
      <w:divBdr>
        <w:top w:val="none" w:sz="0" w:space="0" w:color="auto"/>
        <w:left w:val="none" w:sz="0" w:space="0" w:color="auto"/>
        <w:bottom w:val="none" w:sz="0" w:space="0" w:color="auto"/>
        <w:right w:val="none" w:sz="0" w:space="0" w:color="auto"/>
      </w:divBdr>
    </w:div>
    <w:div w:id="21053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8/CMR.16.3.497-516.2003" TargetMode="External"/><Relationship Id="rId13" Type="http://schemas.openxmlformats.org/officeDocument/2006/relationships/hyperlink" Target="https://doi.org/10.3390/toxins14050312" TargetMode="External"/><Relationship Id="rId18" Type="http://schemas.openxmlformats.org/officeDocument/2006/relationships/hyperlink" Target="https://doi.org/10.1073/pnas.1320997111" TargetMode="External"/><Relationship Id="rId26" Type="http://schemas.openxmlformats.org/officeDocument/2006/relationships/hyperlink" Target="https://doi.org/10.1111/myc.13497"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0/00275514.2018.1491406" TargetMode="External"/><Relationship Id="rId34" Type="http://schemas.openxmlformats.org/officeDocument/2006/relationships/hyperlink" Target="https://doi.org/10.1016/j.etap.2021.103731" TargetMode="External"/><Relationship Id="rId42"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3114/sim.2011.70.01" TargetMode="External"/><Relationship Id="rId17" Type="http://schemas.openxmlformats.org/officeDocument/2006/relationships/hyperlink" Target="https://doi.org/10.3390/microorganisms9061177" TargetMode="External"/><Relationship Id="rId25" Type="http://schemas.openxmlformats.org/officeDocument/2006/relationships/hyperlink" Target="https://doi.org/10.1016/j.toxrep.2018.03.007" TargetMode="External"/><Relationship Id="rId33" Type="http://schemas.openxmlformats.org/officeDocument/2006/relationships/hyperlink" Target="https://doi.org/10.3390/toxins11080453"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28/microbiolspec.FUNK-0047-2016" TargetMode="External"/><Relationship Id="rId20" Type="http://schemas.openxmlformats.org/officeDocument/2006/relationships/hyperlink" Target="https://doi.org/10.1016/j.fbr.2018.11.002" TargetMode="External"/><Relationship Id="rId29" Type="http://schemas.openxmlformats.org/officeDocument/2006/relationships/hyperlink" Target="https://doi.org/10.3389/fnut.2022.857216"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gb.2017.10.002" TargetMode="External"/><Relationship Id="rId24" Type="http://schemas.openxmlformats.org/officeDocument/2006/relationships/hyperlink" Target="https://doi.org/10.1111/1541-4337.12818" TargetMode="External"/><Relationship Id="rId32" Type="http://schemas.openxmlformats.org/officeDocument/2006/relationships/hyperlink" Target="https://doi.org/10.1016/j.simyco.2017.07.00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89/fpubh.2021.652468" TargetMode="External"/><Relationship Id="rId23" Type="http://schemas.openxmlformats.org/officeDocument/2006/relationships/hyperlink" Target="https://doi.org/10.1016/j.envres.2020.109899" TargetMode="External"/><Relationship Id="rId28" Type="http://schemas.openxmlformats.org/officeDocument/2006/relationships/hyperlink" Target="https://doi.org/10.3390/microorganisms9030659" TargetMode="External"/><Relationship Id="rId36" Type="http://schemas.openxmlformats.org/officeDocument/2006/relationships/hyperlink" Target="https://doi.org/10.1016/j.fbr.2017.12.003" TargetMode="External"/><Relationship Id="rId10" Type="http://schemas.openxmlformats.org/officeDocument/2006/relationships/hyperlink" Target="https://doi.org/10.1038/s41579-020-0360-3" TargetMode="External"/><Relationship Id="rId19" Type="http://schemas.openxmlformats.org/officeDocument/2006/relationships/hyperlink" Target="https://doi.org/10.2147/IDR.S291313" TargetMode="External"/><Relationship Id="rId31" Type="http://schemas.openxmlformats.org/officeDocument/2006/relationships/hyperlink" Target="https://doi.org/10.3390/toxins1403017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ijerph182211771" TargetMode="External"/><Relationship Id="rId14" Type="http://schemas.openxmlformats.org/officeDocument/2006/relationships/hyperlink" Target="https://doi.org/10.3389/fmicb.2019.01168" TargetMode="External"/><Relationship Id="rId22" Type="http://schemas.openxmlformats.org/officeDocument/2006/relationships/hyperlink" Target="https://doi.org/10.1016/j.simyco.2020.05.001" TargetMode="External"/><Relationship Id="rId27" Type="http://schemas.openxmlformats.org/officeDocument/2006/relationships/hyperlink" Target="https://doi.org/10.1016/j.simyco.2020.01.002" TargetMode="External"/><Relationship Id="rId30" Type="http://schemas.openxmlformats.org/officeDocument/2006/relationships/hyperlink" Target="https://doi.org/10.3390/toxins12060387" TargetMode="External"/><Relationship Id="rId35" Type="http://schemas.openxmlformats.org/officeDocument/2006/relationships/hyperlink" Target="https://doi.org/10.1007/s12550-022-00447-2"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b="1" i="0" u="none" strike="noStrike" baseline="0">
                <a:effectLst/>
              </a:rPr>
              <a:t>Cumulative frequency chart for toxin conc. administration</a:t>
            </a:r>
            <a:endParaRPr lang="en-US" sz="1400"/>
          </a:p>
        </c:rich>
      </c:tx>
      <c:layout>
        <c:manualLayout>
          <c:xMode val="edge"/>
          <c:yMode val="edge"/>
          <c:x val="0.13721805875105048"/>
          <c:y val="3.1746031746031744E-2"/>
        </c:manualLayout>
      </c:layout>
    </c:title>
    <c:plotArea>
      <c:layout>
        <c:manualLayout>
          <c:layoutTarget val="inner"/>
          <c:xMode val="edge"/>
          <c:yMode val="edge"/>
          <c:x val="4.8871885035545584E-2"/>
          <c:y val="0.18270002157874271"/>
          <c:w val="0.91254655711073851"/>
          <c:h val="0.56362029636163347"/>
        </c:manualLayout>
      </c:layout>
      <c:barChart>
        <c:barDir val="col"/>
        <c:grouping val="clustered"/>
        <c:ser>
          <c:idx val="0"/>
          <c:order val="0"/>
          <c:tx>
            <c:strRef>
              <c:f>Sheet1!$B$1</c:f>
              <c:strCache>
                <c:ptCount val="1"/>
                <c:pt idx="0">
                  <c:v>Red</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5</c:v>
                </c:pt>
                <c:pt idx="1">
                  <c:v>4.5</c:v>
                </c:pt>
                <c:pt idx="2">
                  <c:v>5</c:v>
                </c:pt>
                <c:pt idx="3">
                  <c:v>4</c:v>
                </c:pt>
                <c:pt idx="4">
                  <c:v>3</c:v>
                </c:pt>
                <c:pt idx="5">
                  <c:v>2</c:v>
                </c:pt>
                <c:pt idx="6">
                  <c:v>1</c:v>
                </c:pt>
                <c:pt idx="7">
                  <c:v>0</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Blue</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5</c:v>
                </c:pt>
                <c:pt idx="1">
                  <c:v>4</c:v>
                </c:pt>
                <c:pt idx="2">
                  <c:v>5</c:v>
                </c:pt>
                <c:pt idx="3">
                  <c:v>4.5</c:v>
                </c:pt>
                <c:pt idx="4">
                  <c:v>3.5</c:v>
                </c:pt>
                <c:pt idx="5">
                  <c:v>3</c:v>
                </c:pt>
                <c:pt idx="6">
                  <c:v>1</c:v>
                </c:pt>
                <c:pt idx="7">
                  <c:v>1</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Green</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4.5</c:v>
                </c:pt>
                <c:pt idx="3">
                  <c:v>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Black</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5</c:v>
                </c:pt>
                <c:pt idx="1">
                  <c:v>5.5</c:v>
                </c:pt>
                <c:pt idx="2">
                  <c:v>5</c:v>
                </c:pt>
                <c:pt idx="3">
                  <c:v>4.5</c:v>
                </c:pt>
                <c:pt idx="4">
                  <c:v>4</c:v>
                </c:pt>
                <c:pt idx="5">
                  <c:v>3</c:v>
                </c:pt>
                <c:pt idx="6">
                  <c:v>2</c:v>
                </c:pt>
                <c:pt idx="7">
                  <c:v>1</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Control</c:v>
                </c:pt>
              </c:strCache>
            </c:strRef>
          </c:tx>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5</c:v>
                </c:pt>
                <c:pt idx="1">
                  <c:v>5.5</c:v>
                </c:pt>
                <c:pt idx="2">
                  <c:v>6</c:v>
                </c:pt>
                <c:pt idx="3">
                  <c:v>6</c:v>
                </c:pt>
                <c:pt idx="4">
                  <c:v>6.5</c:v>
                </c:pt>
                <c:pt idx="5">
                  <c:v>6.5</c:v>
                </c:pt>
                <c:pt idx="6">
                  <c:v>7</c:v>
                </c:pt>
                <c:pt idx="7">
                  <c:v>8</c:v>
                </c:pt>
              </c:numCache>
            </c:numRef>
          </c:val>
          <c:extLst xmlns:c16r2="http://schemas.microsoft.com/office/drawing/2015/06/chart">
            <c:ext xmlns:c16="http://schemas.microsoft.com/office/drawing/2014/chart" uri="{C3380CC4-5D6E-409C-BE32-E72D297353CC}">
              <c16:uniqueId val="{00000004-A7AF-7D46-8D6D-99B6B99D0DA9}"/>
            </c:ext>
          </c:extLst>
        </c:ser>
        <c:gapWidth val="145"/>
        <c:overlap val="-15"/>
        <c:axId val="81409152"/>
        <c:axId val="81411072"/>
      </c:barChart>
      <c:catAx>
        <c:axId val="81409152"/>
        <c:scaling>
          <c:orientation val="minMax"/>
        </c:scaling>
        <c:axPos val="b"/>
        <c:numFmt formatCode="General" sourceLinked="0"/>
        <c:majorTickMark val="none"/>
        <c:tickLblPos val="nextTo"/>
        <c:crossAx val="81411072"/>
        <c:crosses val="autoZero"/>
        <c:auto val="1"/>
        <c:lblAlgn val="ctr"/>
        <c:lblOffset val="100"/>
      </c:catAx>
      <c:valAx>
        <c:axId val="81411072"/>
        <c:scaling>
          <c:orientation val="minMax"/>
        </c:scaling>
        <c:axPos val="l"/>
        <c:majorGridlines/>
        <c:numFmt formatCode="General" sourceLinked="1"/>
        <c:majorTickMark val="none"/>
        <c:tickLblPos val="nextTo"/>
        <c:spPr>
          <a:ln w="12700">
            <a:noFill/>
          </a:ln>
        </c:spPr>
        <c:crossAx val="81409152"/>
        <c:crosses val="autoZero"/>
        <c:crossBetween val="between"/>
      </c:valAx>
    </c:plotArea>
    <c:legend>
      <c:legendPos val="b"/>
      <c:legendEntry>
        <c:idx val="4"/>
        <c:delete val="1"/>
      </c:legendEntry>
      <c:layout>
        <c:manualLayout>
          <c:xMode val="edge"/>
          <c:yMode val="edge"/>
          <c:x val="2.3934678446136611E-2"/>
          <c:y val="0.85043820537714343"/>
          <c:w val="0.95676906702331221"/>
          <c:h val="9.6229584125189366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61</Pages>
  <Words>9503</Words>
  <Characters>54169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user1</cp:lastModifiedBy>
  <cp:revision>3</cp:revision>
  <dcterms:created xsi:type="dcterms:W3CDTF">2025-07-10T07:32:00Z</dcterms:created>
  <dcterms:modified xsi:type="dcterms:W3CDTF">2025-07-14T09:58:00Z</dcterms:modified>
</cp:coreProperties>
</file>