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E3" w:rsidRPr="001906E3" w:rsidRDefault="00CC6D6E" w:rsidP="001906E3">
      <w:pPr>
        <w:spacing w:after="0" w:line="240" w:lineRule="auto"/>
        <w:jc w:val="center"/>
        <w:outlineLvl w:val="0"/>
        <w:rPr>
          <w:rFonts w:ascii="Arial Black" w:hAnsi="Arial Black" w:cs="Times New Roman"/>
          <w:b/>
          <w:sz w:val="38"/>
          <w:szCs w:val="24"/>
        </w:rPr>
      </w:pPr>
      <w:r w:rsidRPr="001906E3">
        <w:rPr>
          <w:rFonts w:ascii="Arial Black" w:hAnsi="Arial Black" w:cs="Times New Roman"/>
          <w:b/>
          <w:sz w:val="38"/>
          <w:szCs w:val="24"/>
        </w:rPr>
        <w:t xml:space="preserve">ANALYSIS ON PRICE OF SOME SELECTED FOOD ITEM </w:t>
      </w:r>
    </w:p>
    <w:p w:rsidR="00CC6D6E" w:rsidRPr="001906E3" w:rsidRDefault="00CC6D6E" w:rsidP="00936116">
      <w:pPr>
        <w:spacing w:after="0" w:line="360" w:lineRule="auto"/>
        <w:jc w:val="center"/>
        <w:outlineLvl w:val="0"/>
        <w:rPr>
          <w:rFonts w:ascii="Times New Roman" w:eastAsia="Times New Roman" w:hAnsi="Times New Roman" w:cs="Times New Roman"/>
          <w:b/>
          <w:bCs/>
          <w:kern w:val="36"/>
          <w:sz w:val="24"/>
          <w:szCs w:val="24"/>
        </w:rPr>
      </w:pPr>
      <w:r w:rsidRPr="001906E3">
        <w:rPr>
          <w:rFonts w:ascii="Times New Roman" w:hAnsi="Times New Roman" w:cs="Times New Roman"/>
          <w:b/>
          <w:sz w:val="34"/>
          <w:szCs w:val="24"/>
        </w:rPr>
        <w:t>(A CASE STUDY OF IPATA MARKET, ILORIN)</w:t>
      </w: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Pr="004A5B76" w:rsidRDefault="000C5718" w:rsidP="000C5718">
      <w:pPr>
        <w:jc w:val="center"/>
        <w:rPr>
          <w:rFonts w:hAnsi="Times New Roman" w:cs="Times New Roman"/>
          <w:b/>
          <w:sz w:val="24"/>
          <w:szCs w:val="24"/>
        </w:rPr>
      </w:pPr>
      <w:r w:rsidRPr="00CB5A62">
        <w:rPr>
          <w:rFonts w:hAnsi="Times New Roman" w:cs="Times New Roman"/>
          <w:b/>
          <w:sz w:val="62"/>
          <w:szCs w:val="24"/>
        </w:rPr>
        <w:t>BY</w:t>
      </w:r>
    </w:p>
    <w:p w:rsidR="000C5718" w:rsidRPr="004A5B76" w:rsidRDefault="000C5718" w:rsidP="000C5718">
      <w:pPr>
        <w:spacing w:line="360" w:lineRule="auto"/>
        <w:jc w:val="center"/>
        <w:rPr>
          <w:rFonts w:hAnsi="Times New Roman" w:cs="Times New Roman"/>
          <w:b/>
          <w:sz w:val="24"/>
          <w:szCs w:val="24"/>
        </w:rPr>
      </w:pPr>
    </w:p>
    <w:p w:rsidR="00216E08" w:rsidRPr="00295216" w:rsidRDefault="00216E08" w:rsidP="00295216">
      <w:pPr>
        <w:spacing w:line="240" w:lineRule="auto"/>
        <w:jc w:val="center"/>
        <w:rPr>
          <w:rFonts w:ascii="Arial Black" w:hAnsi="Arial Black" w:cs="Times New Roman"/>
          <w:b/>
          <w:sz w:val="32"/>
          <w:szCs w:val="24"/>
        </w:rPr>
      </w:pPr>
      <w:r w:rsidRPr="00295216">
        <w:rPr>
          <w:rFonts w:ascii="Arial Black" w:hAnsi="Arial Black" w:cs="Times New Roman"/>
          <w:b/>
          <w:sz w:val="32"/>
          <w:szCs w:val="24"/>
        </w:rPr>
        <w:t>ABDULAKEEM MORUFUAT AYOMIDE</w:t>
      </w:r>
    </w:p>
    <w:p w:rsidR="000C5718" w:rsidRPr="00295216" w:rsidRDefault="000C5718" w:rsidP="00295216">
      <w:pPr>
        <w:spacing w:line="240" w:lineRule="auto"/>
        <w:jc w:val="center"/>
        <w:rPr>
          <w:rFonts w:ascii="Arial Black" w:hAnsi="Arial Black" w:cs="Times New Roman"/>
          <w:b/>
          <w:sz w:val="32"/>
          <w:szCs w:val="24"/>
        </w:rPr>
      </w:pPr>
      <w:r w:rsidRPr="00295216">
        <w:rPr>
          <w:rFonts w:ascii="Arial Black" w:hAnsi="Arial Black" w:cs="Times New Roman"/>
          <w:b/>
          <w:sz w:val="32"/>
          <w:szCs w:val="24"/>
        </w:rPr>
        <w:t>ND/23/</w:t>
      </w:r>
      <w:r w:rsidR="00216E08" w:rsidRPr="00295216">
        <w:rPr>
          <w:rFonts w:ascii="Arial Black" w:hAnsi="Arial Black" w:cs="Times New Roman"/>
          <w:b/>
          <w:sz w:val="32"/>
          <w:szCs w:val="24"/>
        </w:rPr>
        <w:t>STA</w:t>
      </w:r>
      <w:r w:rsidRPr="00295216">
        <w:rPr>
          <w:rFonts w:ascii="Arial Black" w:hAnsi="Arial Black" w:cs="Times New Roman"/>
          <w:b/>
          <w:sz w:val="32"/>
          <w:szCs w:val="24"/>
        </w:rPr>
        <w:t>/FT/</w:t>
      </w:r>
      <w:r w:rsidR="00216E08" w:rsidRPr="00295216">
        <w:rPr>
          <w:rFonts w:ascii="Arial Black" w:hAnsi="Arial Black" w:cs="Times New Roman"/>
          <w:b/>
          <w:sz w:val="32"/>
          <w:szCs w:val="24"/>
        </w:rPr>
        <w:t>0098</w:t>
      </w:r>
    </w:p>
    <w:p w:rsidR="000C5718" w:rsidRDefault="000C5718" w:rsidP="000C5718">
      <w:pPr>
        <w:jc w:val="center"/>
        <w:rPr>
          <w:b/>
          <w:sz w:val="32"/>
        </w:rPr>
      </w:pPr>
      <w:r w:rsidRPr="00C66C2C">
        <w:rPr>
          <w:b/>
          <w:sz w:val="32"/>
        </w:rPr>
        <w:t xml:space="preserve">BEING A RESEARCH PROJECT SUBMITTED TO THE DEPARTMENT OF </w:t>
      </w:r>
      <w:r w:rsidR="0086085D">
        <w:rPr>
          <w:b/>
          <w:sz w:val="32"/>
        </w:rPr>
        <w:t>STATISTICS</w:t>
      </w:r>
      <w:r w:rsidRPr="00C66C2C">
        <w:rPr>
          <w:b/>
          <w:sz w:val="32"/>
        </w:rPr>
        <w:t xml:space="preserve">, INSTITUTE OF </w:t>
      </w:r>
      <w:r w:rsidR="0086085D">
        <w:rPr>
          <w:b/>
          <w:sz w:val="32"/>
        </w:rPr>
        <w:t>APPLIED SCIENCES</w:t>
      </w:r>
      <w:r w:rsidRPr="00C66C2C">
        <w:rPr>
          <w:b/>
          <w:sz w:val="32"/>
        </w:rPr>
        <w:t xml:space="preserve">, </w:t>
      </w:r>
      <w:r>
        <w:rPr>
          <w:b/>
          <w:sz w:val="32"/>
        </w:rPr>
        <w:t>KWARA STATE POLYTECHNIC, ILORIN</w:t>
      </w:r>
    </w:p>
    <w:p w:rsidR="000C5718" w:rsidRPr="00C66C2C" w:rsidRDefault="000C5718" w:rsidP="000C5718">
      <w:pPr>
        <w:jc w:val="center"/>
        <w:rPr>
          <w:b/>
          <w:sz w:val="32"/>
        </w:rPr>
      </w:pPr>
      <w:r w:rsidRPr="00C66C2C">
        <w:rPr>
          <w:b/>
          <w:sz w:val="32"/>
        </w:rPr>
        <w:t xml:space="preserve">IN PARTIAL FULFILLMENT FOR THE AWARD OF NATIONAL DIPLOMA (ND) IN </w:t>
      </w:r>
      <w:r w:rsidR="0086085D">
        <w:rPr>
          <w:b/>
          <w:sz w:val="32"/>
        </w:rPr>
        <w:t>STATISTICS</w:t>
      </w:r>
    </w:p>
    <w:p w:rsidR="000C5718" w:rsidRPr="00C66C2C" w:rsidRDefault="000C5718" w:rsidP="000C5718">
      <w:pPr>
        <w:ind w:left="4320" w:firstLine="720"/>
        <w:jc w:val="center"/>
        <w:rPr>
          <w:b/>
          <w:sz w:val="32"/>
        </w:rPr>
      </w:pPr>
    </w:p>
    <w:p w:rsidR="000C5718" w:rsidRDefault="000C5718" w:rsidP="000C5718">
      <w:pPr>
        <w:snapToGrid w:val="0"/>
        <w:spacing w:line="360" w:lineRule="auto"/>
        <w:jc w:val="center"/>
        <w:rPr>
          <w:rFonts w:eastAsia="SimSun" w:hAnsi="Times New Roman"/>
          <w:b/>
          <w:sz w:val="24"/>
          <w:lang w:val="en-GB"/>
        </w:rPr>
      </w:pPr>
      <w:r>
        <w:rPr>
          <w:b/>
          <w:sz w:val="32"/>
        </w:rPr>
        <w:t>JUNE, 2025</w:t>
      </w:r>
    </w:p>
    <w:p w:rsidR="000C5718" w:rsidRDefault="000C5718" w:rsidP="000C5718">
      <w:pPr>
        <w:jc w:val="center"/>
        <w:rPr>
          <w:rFonts w:eastAsia="SimSun" w:hAnsi="Times New Roman"/>
          <w:b/>
          <w:sz w:val="24"/>
          <w:lang w:val="en-GB"/>
        </w:rPr>
      </w:pPr>
    </w:p>
    <w:p w:rsidR="000C5718" w:rsidRDefault="000C5718">
      <w:pPr>
        <w:rPr>
          <w:rFonts w:ascii="Times New Roman" w:hAnsi="Times New Roman" w:cs="Times New Roman"/>
          <w:b/>
          <w:sz w:val="24"/>
          <w:szCs w:val="28"/>
        </w:rPr>
      </w:pPr>
      <w:r>
        <w:rPr>
          <w:rFonts w:ascii="Times New Roman" w:hAnsi="Times New Roman" w:cs="Times New Roman"/>
          <w:b/>
          <w:sz w:val="24"/>
          <w:szCs w:val="28"/>
        </w:rPr>
        <w:br w:type="page"/>
      </w:r>
    </w:p>
    <w:p w:rsidR="000C5718" w:rsidRPr="001822B7" w:rsidRDefault="000C5718" w:rsidP="000C5718">
      <w:pPr>
        <w:spacing w:line="480" w:lineRule="auto"/>
        <w:jc w:val="center"/>
        <w:rPr>
          <w:rFonts w:hAnsi="Times New Roman" w:cs="Times New Roman"/>
          <w:b/>
          <w:sz w:val="26"/>
          <w:szCs w:val="28"/>
        </w:rPr>
      </w:pPr>
      <w:r w:rsidRPr="00824A78">
        <w:rPr>
          <w:rFonts w:ascii="Times New Roman" w:hAnsi="Times New Roman" w:cs="Times New Roman"/>
          <w:b/>
          <w:sz w:val="24"/>
          <w:szCs w:val="28"/>
        </w:rPr>
        <w:lastRenderedPageBreak/>
        <w:t>CERTIFICATION</w:t>
      </w:r>
    </w:p>
    <w:p w:rsidR="000C5718" w:rsidRPr="00824A78" w:rsidRDefault="000C5718" w:rsidP="000C0B99">
      <w:pPr>
        <w:tabs>
          <w:tab w:val="left" w:pos="804"/>
        </w:tabs>
        <w:spacing w:line="480" w:lineRule="auto"/>
        <w:jc w:val="both"/>
        <w:rPr>
          <w:rFonts w:ascii="Times New Roman" w:hAnsi="Times New Roman" w:cs="Times New Roman"/>
          <w:sz w:val="26"/>
          <w:szCs w:val="28"/>
        </w:rPr>
      </w:pPr>
      <w:r w:rsidRPr="001822B7">
        <w:rPr>
          <w:rFonts w:hAnsi="Times New Roman" w:cs="Times New Roman"/>
          <w:sz w:val="26"/>
          <w:szCs w:val="28"/>
        </w:rPr>
        <w:tab/>
      </w:r>
      <w:r w:rsidRPr="00824A78">
        <w:rPr>
          <w:rFonts w:ascii="Times New Roman" w:hAnsi="Times New Roman" w:cs="Times New Roman"/>
          <w:sz w:val="26"/>
          <w:szCs w:val="28"/>
        </w:rPr>
        <w:t xml:space="preserve">This is to certify that this project has been read and approved as meeting the requirements in partial fulfillment for the award of National Diploma (ND) in </w:t>
      </w:r>
      <w:r w:rsidR="000C0B99">
        <w:rPr>
          <w:rFonts w:ascii="Times New Roman" w:hAnsi="Times New Roman" w:cs="Times New Roman"/>
          <w:sz w:val="26"/>
          <w:szCs w:val="28"/>
        </w:rPr>
        <w:t>Statistics</w:t>
      </w:r>
      <w:r w:rsidRPr="00824A78">
        <w:rPr>
          <w:rFonts w:ascii="Times New Roman" w:hAnsi="Times New Roman" w:cs="Times New Roman"/>
          <w:sz w:val="26"/>
          <w:szCs w:val="28"/>
        </w:rPr>
        <w:t xml:space="preserve">, Institute of </w:t>
      </w:r>
      <w:r w:rsidR="000C0B99">
        <w:rPr>
          <w:rFonts w:ascii="Times New Roman" w:hAnsi="Times New Roman" w:cs="Times New Roman"/>
          <w:sz w:val="26"/>
          <w:szCs w:val="28"/>
        </w:rPr>
        <w:t>Applied Sciences</w:t>
      </w:r>
      <w:r w:rsidRPr="00824A78">
        <w:rPr>
          <w:rFonts w:ascii="Times New Roman" w:hAnsi="Times New Roman" w:cs="Times New Roman"/>
          <w:sz w:val="26"/>
          <w:szCs w:val="28"/>
        </w:rPr>
        <w:t xml:space="preserve"> (I</w:t>
      </w:r>
      <w:r w:rsidR="000C0B99">
        <w:rPr>
          <w:rFonts w:ascii="Times New Roman" w:hAnsi="Times New Roman" w:cs="Times New Roman"/>
          <w:sz w:val="26"/>
          <w:szCs w:val="28"/>
        </w:rPr>
        <w:t>AS</w:t>
      </w:r>
      <w:r w:rsidRPr="00824A78">
        <w:rPr>
          <w:rFonts w:ascii="Times New Roman" w:hAnsi="Times New Roman" w:cs="Times New Roman"/>
          <w:sz w:val="26"/>
          <w:szCs w:val="28"/>
        </w:rPr>
        <w:t>) Kwara State Polytechnic, Ilorin Kwara State.</w:t>
      </w:r>
    </w:p>
    <w:p w:rsidR="000C5718" w:rsidRPr="00824A78" w:rsidRDefault="000C5718" w:rsidP="000C5718">
      <w:pPr>
        <w:tabs>
          <w:tab w:val="left" w:pos="804"/>
        </w:tabs>
        <w:rPr>
          <w:rFonts w:ascii="Times New Roman" w:hAnsi="Times New Roman" w:cs="Times New Roman"/>
          <w:sz w:val="26"/>
          <w:szCs w:val="28"/>
        </w:rPr>
      </w:pPr>
    </w:p>
    <w:p w:rsidR="000C5718" w:rsidRPr="00824A78" w:rsidRDefault="000C5718" w:rsidP="000C5718">
      <w:pPr>
        <w:tabs>
          <w:tab w:val="left" w:pos="804"/>
        </w:tabs>
        <w:spacing w:after="0" w:line="240" w:lineRule="auto"/>
        <w:rPr>
          <w:rFonts w:ascii="Times New Roman" w:hAnsi="Times New Roman" w:cs="Times New Roman"/>
          <w:sz w:val="26"/>
          <w:szCs w:val="28"/>
        </w:rPr>
      </w:pPr>
      <w:r w:rsidRPr="00824A78">
        <w:rPr>
          <w:rFonts w:ascii="Times New Roman" w:hAnsi="Times New Roman" w:cs="Times New Roman"/>
          <w:sz w:val="26"/>
          <w:szCs w:val="28"/>
        </w:rPr>
        <w:t>------------------------</w:t>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t xml:space="preserve">     </w:t>
      </w:r>
      <w:r w:rsidRPr="00824A78">
        <w:rPr>
          <w:rFonts w:ascii="Times New Roman" w:hAnsi="Times New Roman" w:cs="Times New Roman"/>
          <w:sz w:val="26"/>
          <w:szCs w:val="28"/>
        </w:rPr>
        <w:tab/>
      </w:r>
      <w:r w:rsidR="008B3AE2">
        <w:rPr>
          <w:rFonts w:ascii="Times New Roman" w:hAnsi="Times New Roman" w:cs="Times New Roman"/>
          <w:sz w:val="26"/>
          <w:szCs w:val="28"/>
        </w:rPr>
        <w:tab/>
      </w:r>
      <w:r w:rsidRPr="00824A78">
        <w:rPr>
          <w:rFonts w:ascii="Times New Roman" w:hAnsi="Times New Roman" w:cs="Times New Roman"/>
          <w:sz w:val="26"/>
          <w:szCs w:val="28"/>
        </w:rPr>
        <w:t>-------------------------------</w:t>
      </w:r>
    </w:p>
    <w:p w:rsidR="000C5718" w:rsidRPr="00824A78" w:rsidRDefault="000C5718" w:rsidP="000C5718">
      <w:pPr>
        <w:tabs>
          <w:tab w:val="left" w:pos="0"/>
        </w:tabs>
        <w:spacing w:after="0" w:line="240" w:lineRule="auto"/>
        <w:rPr>
          <w:rFonts w:ascii="Times New Roman" w:hAnsi="Times New Roman" w:cs="Times New Roman"/>
          <w:b/>
          <w:sz w:val="26"/>
          <w:szCs w:val="28"/>
        </w:rPr>
      </w:pPr>
      <w:r w:rsidRPr="00824A78">
        <w:rPr>
          <w:rFonts w:ascii="Times New Roman" w:hAnsi="Times New Roman" w:cs="Times New Roman"/>
          <w:b/>
          <w:sz w:val="26"/>
          <w:szCs w:val="28"/>
        </w:rPr>
        <w:t xml:space="preserve">MRS. </w:t>
      </w:r>
      <w:r w:rsidR="008B3AE2">
        <w:rPr>
          <w:rFonts w:ascii="Times New Roman" w:hAnsi="Times New Roman" w:cs="Times New Roman"/>
          <w:b/>
          <w:sz w:val="26"/>
          <w:szCs w:val="28"/>
        </w:rPr>
        <w:t>ELEPO, T</w:t>
      </w:r>
      <w:r w:rsidRPr="00824A78">
        <w:rPr>
          <w:rFonts w:ascii="Times New Roman" w:hAnsi="Times New Roman" w:cs="Times New Roman"/>
          <w:b/>
          <w:sz w:val="26"/>
          <w:szCs w:val="28"/>
        </w:rPr>
        <w:t>.A.</w:t>
      </w:r>
      <w:r w:rsidRPr="00824A78">
        <w:rPr>
          <w:rFonts w:ascii="Times New Roman" w:hAnsi="Times New Roman" w:cs="Times New Roman"/>
          <w:b/>
          <w:sz w:val="26"/>
          <w:szCs w:val="28"/>
        </w:rPr>
        <w:tab/>
      </w:r>
      <w:r w:rsidRPr="00824A78">
        <w:rPr>
          <w:rFonts w:ascii="Times New Roman" w:hAnsi="Times New Roman" w:cs="Times New Roman"/>
          <w:b/>
          <w:sz w:val="26"/>
          <w:szCs w:val="28"/>
        </w:rPr>
        <w:tab/>
      </w:r>
      <w:r w:rsidRPr="00824A78">
        <w:rPr>
          <w:rFonts w:ascii="Times New Roman" w:hAnsi="Times New Roman" w:cs="Times New Roman"/>
          <w:b/>
          <w:sz w:val="26"/>
          <w:szCs w:val="28"/>
        </w:rPr>
        <w:tab/>
      </w:r>
      <w:r w:rsidRPr="00824A78">
        <w:rPr>
          <w:rFonts w:ascii="Times New Roman" w:hAnsi="Times New Roman" w:cs="Times New Roman"/>
          <w:b/>
          <w:sz w:val="26"/>
          <w:szCs w:val="28"/>
        </w:rPr>
        <w:tab/>
      </w:r>
      <w:r w:rsidRPr="00824A78">
        <w:rPr>
          <w:rFonts w:ascii="Times New Roman" w:hAnsi="Times New Roman" w:cs="Times New Roman"/>
          <w:b/>
          <w:sz w:val="26"/>
          <w:szCs w:val="28"/>
        </w:rPr>
        <w:tab/>
      </w:r>
      <w:r w:rsidRPr="00824A78">
        <w:rPr>
          <w:rFonts w:ascii="Times New Roman" w:hAnsi="Times New Roman" w:cs="Times New Roman"/>
          <w:b/>
          <w:sz w:val="26"/>
          <w:szCs w:val="28"/>
        </w:rPr>
        <w:tab/>
        <w:t>DATE</w:t>
      </w:r>
    </w:p>
    <w:p w:rsidR="000C5718" w:rsidRPr="00824A78" w:rsidRDefault="000C5718" w:rsidP="000C5718">
      <w:pPr>
        <w:tabs>
          <w:tab w:val="left" w:pos="0"/>
        </w:tabs>
        <w:spacing w:after="0" w:line="240" w:lineRule="auto"/>
        <w:rPr>
          <w:rFonts w:ascii="Times New Roman" w:hAnsi="Times New Roman" w:cs="Times New Roman"/>
          <w:b/>
          <w:i/>
          <w:sz w:val="26"/>
          <w:szCs w:val="28"/>
        </w:rPr>
      </w:pPr>
      <w:r w:rsidRPr="00824A78">
        <w:rPr>
          <w:rFonts w:ascii="Times New Roman" w:hAnsi="Times New Roman" w:cs="Times New Roman"/>
          <w:b/>
          <w:i/>
          <w:sz w:val="26"/>
          <w:szCs w:val="28"/>
        </w:rPr>
        <w:t>(Project Supervisor)</w:t>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t xml:space="preserve">    </w:t>
      </w:r>
    </w:p>
    <w:p w:rsidR="000C5718" w:rsidRPr="00824A78" w:rsidRDefault="000C5718" w:rsidP="000C5718">
      <w:pPr>
        <w:spacing w:after="0" w:line="240" w:lineRule="auto"/>
        <w:jc w:val="center"/>
        <w:rPr>
          <w:rFonts w:ascii="Times New Roman" w:hAnsi="Times New Roman" w:cs="Times New Roman"/>
          <w:sz w:val="26"/>
          <w:szCs w:val="28"/>
        </w:rPr>
      </w:pPr>
    </w:p>
    <w:p w:rsidR="000C5718" w:rsidRPr="00824A78" w:rsidRDefault="000C5718" w:rsidP="000C5718">
      <w:pPr>
        <w:spacing w:after="0" w:line="240" w:lineRule="auto"/>
        <w:jc w:val="center"/>
        <w:rPr>
          <w:rFonts w:ascii="Times New Roman" w:hAnsi="Times New Roman" w:cs="Times New Roman"/>
          <w:sz w:val="26"/>
          <w:szCs w:val="28"/>
        </w:rPr>
      </w:pPr>
    </w:p>
    <w:p w:rsidR="000C5718" w:rsidRPr="00824A78" w:rsidRDefault="000C5718" w:rsidP="000C5718">
      <w:pPr>
        <w:spacing w:after="0" w:line="240" w:lineRule="auto"/>
        <w:jc w:val="center"/>
        <w:rPr>
          <w:rFonts w:ascii="Times New Roman" w:hAnsi="Times New Roman" w:cs="Times New Roman"/>
          <w:sz w:val="26"/>
          <w:szCs w:val="28"/>
        </w:rPr>
      </w:pPr>
    </w:p>
    <w:p w:rsidR="000C5718" w:rsidRPr="00824A78" w:rsidRDefault="000C5718" w:rsidP="000C5718">
      <w:pPr>
        <w:spacing w:after="0" w:line="240" w:lineRule="auto"/>
        <w:jc w:val="center"/>
        <w:rPr>
          <w:rFonts w:ascii="Times New Roman" w:hAnsi="Times New Roman" w:cs="Times New Roman"/>
          <w:sz w:val="26"/>
          <w:szCs w:val="28"/>
        </w:rPr>
      </w:pPr>
    </w:p>
    <w:p w:rsidR="000C5718" w:rsidRPr="00824A78" w:rsidRDefault="000C5718" w:rsidP="000C5718">
      <w:pPr>
        <w:spacing w:after="0" w:line="240" w:lineRule="auto"/>
        <w:rPr>
          <w:rFonts w:ascii="Times New Roman" w:hAnsi="Times New Roman" w:cs="Times New Roman"/>
          <w:sz w:val="26"/>
          <w:szCs w:val="28"/>
        </w:rPr>
      </w:pPr>
      <w:r w:rsidRPr="00824A78">
        <w:rPr>
          <w:rFonts w:ascii="Times New Roman" w:hAnsi="Times New Roman" w:cs="Times New Roman"/>
          <w:sz w:val="26"/>
          <w:szCs w:val="28"/>
        </w:rPr>
        <w:t xml:space="preserve">-------------------------                          </w:t>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t>-------------------------------</w:t>
      </w:r>
      <w:r w:rsidRPr="00824A78">
        <w:rPr>
          <w:rFonts w:ascii="Times New Roman" w:hAnsi="Times New Roman" w:cs="Times New Roman"/>
          <w:sz w:val="26"/>
          <w:szCs w:val="28"/>
        </w:rPr>
        <w:tab/>
      </w:r>
    </w:p>
    <w:p w:rsidR="000C5718" w:rsidRPr="00824A78" w:rsidRDefault="000C5718" w:rsidP="000C5718">
      <w:pPr>
        <w:spacing w:after="0" w:line="240" w:lineRule="auto"/>
        <w:rPr>
          <w:rFonts w:ascii="Times New Roman" w:hAnsi="Times New Roman" w:cs="Times New Roman"/>
          <w:b/>
          <w:sz w:val="26"/>
          <w:szCs w:val="28"/>
        </w:rPr>
      </w:pPr>
      <w:r w:rsidRPr="00824A78">
        <w:rPr>
          <w:rFonts w:ascii="Times New Roman" w:hAnsi="Times New Roman" w:cs="Times New Roman"/>
          <w:b/>
          <w:sz w:val="26"/>
          <w:szCs w:val="28"/>
        </w:rPr>
        <w:t>MR</w:t>
      </w:r>
      <w:r w:rsidR="00C1793A">
        <w:rPr>
          <w:rFonts w:ascii="Times New Roman" w:hAnsi="Times New Roman" w:cs="Times New Roman"/>
          <w:b/>
          <w:sz w:val="26"/>
          <w:szCs w:val="28"/>
        </w:rPr>
        <w:t>S</w:t>
      </w:r>
      <w:r w:rsidRPr="00824A78">
        <w:rPr>
          <w:rFonts w:ascii="Times New Roman" w:hAnsi="Times New Roman" w:cs="Times New Roman"/>
          <w:b/>
          <w:sz w:val="26"/>
          <w:szCs w:val="28"/>
        </w:rPr>
        <w:t xml:space="preserve">. </w:t>
      </w:r>
      <w:r w:rsidR="00AD00D6">
        <w:rPr>
          <w:rFonts w:ascii="Times New Roman" w:hAnsi="Times New Roman" w:cs="Times New Roman"/>
          <w:b/>
          <w:sz w:val="26"/>
          <w:szCs w:val="28"/>
        </w:rPr>
        <w:t>AJIBOYE, R.A.</w:t>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b/>
          <w:sz w:val="26"/>
          <w:szCs w:val="28"/>
        </w:rPr>
        <w:t>DATE</w:t>
      </w:r>
    </w:p>
    <w:p w:rsidR="000C5718" w:rsidRPr="00824A78" w:rsidRDefault="000C5718" w:rsidP="000C5718">
      <w:pPr>
        <w:spacing w:after="0" w:line="240" w:lineRule="auto"/>
        <w:rPr>
          <w:rFonts w:ascii="Times New Roman" w:hAnsi="Times New Roman" w:cs="Times New Roman"/>
          <w:b/>
          <w:i/>
          <w:sz w:val="26"/>
          <w:szCs w:val="28"/>
        </w:rPr>
      </w:pPr>
      <w:r w:rsidRPr="00824A78">
        <w:rPr>
          <w:rFonts w:ascii="Times New Roman" w:hAnsi="Times New Roman" w:cs="Times New Roman"/>
          <w:b/>
          <w:i/>
          <w:sz w:val="26"/>
          <w:szCs w:val="28"/>
        </w:rPr>
        <w:t>(Project coordinator)</w:t>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r>
      <w:r w:rsidRPr="00824A78">
        <w:rPr>
          <w:rFonts w:ascii="Times New Roman" w:hAnsi="Times New Roman" w:cs="Times New Roman"/>
          <w:b/>
          <w:i/>
          <w:sz w:val="26"/>
          <w:szCs w:val="28"/>
        </w:rPr>
        <w:tab/>
        <w:t xml:space="preserve">    </w:t>
      </w:r>
    </w:p>
    <w:p w:rsidR="000C5718" w:rsidRPr="00824A78" w:rsidRDefault="000C5718" w:rsidP="000C5718">
      <w:pPr>
        <w:spacing w:after="0" w:line="240" w:lineRule="auto"/>
        <w:rPr>
          <w:rFonts w:ascii="Times New Roman" w:hAnsi="Times New Roman" w:cs="Times New Roman"/>
          <w:sz w:val="26"/>
          <w:szCs w:val="28"/>
        </w:rPr>
      </w:pPr>
    </w:p>
    <w:p w:rsidR="000C5718" w:rsidRPr="00824A78" w:rsidRDefault="000C5718" w:rsidP="000C5718">
      <w:pPr>
        <w:spacing w:after="0" w:line="240" w:lineRule="auto"/>
        <w:rPr>
          <w:rFonts w:ascii="Times New Roman" w:hAnsi="Times New Roman" w:cs="Times New Roman"/>
          <w:sz w:val="26"/>
          <w:szCs w:val="28"/>
        </w:rPr>
      </w:pPr>
    </w:p>
    <w:p w:rsidR="000C5718" w:rsidRPr="00824A78" w:rsidRDefault="000C5718" w:rsidP="000C5718">
      <w:pPr>
        <w:spacing w:after="0" w:line="240" w:lineRule="auto"/>
        <w:rPr>
          <w:rFonts w:ascii="Times New Roman" w:hAnsi="Times New Roman" w:cs="Times New Roman"/>
          <w:sz w:val="26"/>
          <w:szCs w:val="28"/>
        </w:rPr>
      </w:pPr>
    </w:p>
    <w:p w:rsidR="000C5718" w:rsidRPr="00824A78" w:rsidRDefault="000C5718" w:rsidP="000C5718">
      <w:pPr>
        <w:spacing w:after="0" w:line="240" w:lineRule="auto"/>
        <w:rPr>
          <w:rFonts w:ascii="Times New Roman" w:hAnsi="Times New Roman" w:cs="Times New Roman"/>
          <w:sz w:val="26"/>
          <w:szCs w:val="28"/>
        </w:rPr>
      </w:pPr>
      <w:r w:rsidRPr="00824A78">
        <w:rPr>
          <w:rFonts w:ascii="Times New Roman" w:hAnsi="Times New Roman" w:cs="Times New Roman"/>
          <w:sz w:val="26"/>
          <w:szCs w:val="28"/>
        </w:rPr>
        <w:t>---------------------------</w:t>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r>
      <w:r w:rsidRPr="00824A78">
        <w:rPr>
          <w:rFonts w:ascii="Times New Roman" w:hAnsi="Times New Roman" w:cs="Times New Roman"/>
          <w:sz w:val="26"/>
          <w:szCs w:val="28"/>
        </w:rPr>
        <w:tab/>
        <w:t>--------------------------------</w:t>
      </w:r>
    </w:p>
    <w:p w:rsidR="000C5718" w:rsidRPr="00824A78" w:rsidRDefault="000C5718" w:rsidP="000C5718">
      <w:pPr>
        <w:spacing w:after="0" w:line="240" w:lineRule="auto"/>
        <w:rPr>
          <w:rFonts w:ascii="Times New Roman" w:hAnsi="Times New Roman" w:cs="Times New Roman"/>
          <w:sz w:val="26"/>
          <w:szCs w:val="28"/>
        </w:rPr>
      </w:pPr>
      <w:r w:rsidRPr="00824A78">
        <w:rPr>
          <w:rFonts w:ascii="Times New Roman" w:hAnsi="Times New Roman" w:cs="Times New Roman"/>
          <w:b/>
          <w:sz w:val="26"/>
          <w:szCs w:val="28"/>
        </w:rPr>
        <w:t>MR</w:t>
      </w:r>
      <w:r w:rsidR="008B3AE2">
        <w:rPr>
          <w:rFonts w:ascii="Times New Roman" w:hAnsi="Times New Roman" w:cs="Times New Roman"/>
          <w:b/>
          <w:sz w:val="26"/>
          <w:szCs w:val="28"/>
        </w:rPr>
        <w:t>S</w:t>
      </w:r>
      <w:r w:rsidRPr="00824A78">
        <w:rPr>
          <w:rFonts w:ascii="Times New Roman" w:hAnsi="Times New Roman" w:cs="Times New Roman"/>
          <w:b/>
          <w:sz w:val="26"/>
          <w:szCs w:val="28"/>
        </w:rPr>
        <w:t xml:space="preserve">. </w:t>
      </w:r>
      <w:r w:rsidR="008B3AE2">
        <w:rPr>
          <w:rFonts w:ascii="Times New Roman" w:hAnsi="Times New Roman" w:cs="Times New Roman"/>
          <w:b/>
          <w:sz w:val="26"/>
          <w:szCs w:val="28"/>
        </w:rPr>
        <w:t>ELEPO, T.A.</w:t>
      </w:r>
      <w:r w:rsidR="008B3AE2">
        <w:rPr>
          <w:rFonts w:ascii="Times New Roman" w:hAnsi="Times New Roman" w:cs="Times New Roman"/>
          <w:b/>
          <w:sz w:val="26"/>
          <w:szCs w:val="28"/>
        </w:rPr>
        <w:tab/>
      </w:r>
      <w:r w:rsidRPr="00824A78">
        <w:rPr>
          <w:rFonts w:ascii="Times New Roman" w:hAnsi="Times New Roman" w:cs="Times New Roman"/>
          <w:b/>
          <w:sz w:val="26"/>
          <w:szCs w:val="28"/>
        </w:rPr>
        <w:tab/>
      </w:r>
      <w:r w:rsidRPr="00824A78">
        <w:rPr>
          <w:rFonts w:ascii="Times New Roman" w:hAnsi="Times New Roman" w:cs="Times New Roman"/>
          <w:b/>
          <w:sz w:val="26"/>
          <w:szCs w:val="28"/>
        </w:rPr>
        <w:tab/>
      </w:r>
      <w:r w:rsidRPr="00824A78">
        <w:rPr>
          <w:rFonts w:ascii="Times New Roman" w:hAnsi="Times New Roman" w:cs="Times New Roman"/>
          <w:b/>
          <w:sz w:val="26"/>
          <w:szCs w:val="28"/>
        </w:rPr>
        <w:tab/>
        <w:t xml:space="preserve">       </w:t>
      </w:r>
      <w:r w:rsidRPr="00824A78">
        <w:rPr>
          <w:rFonts w:ascii="Times New Roman" w:hAnsi="Times New Roman" w:cs="Times New Roman"/>
          <w:b/>
          <w:sz w:val="26"/>
          <w:szCs w:val="28"/>
        </w:rPr>
        <w:tab/>
      </w:r>
      <w:r w:rsidRPr="00824A78">
        <w:rPr>
          <w:rFonts w:ascii="Times New Roman" w:hAnsi="Times New Roman" w:cs="Times New Roman"/>
          <w:b/>
          <w:sz w:val="26"/>
          <w:szCs w:val="28"/>
        </w:rPr>
        <w:tab/>
        <w:t>DATE</w:t>
      </w:r>
    </w:p>
    <w:p w:rsidR="000C5718" w:rsidRDefault="000C5718" w:rsidP="000C5718">
      <w:pPr>
        <w:spacing w:after="0" w:line="360" w:lineRule="auto"/>
        <w:outlineLvl w:val="0"/>
        <w:rPr>
          <w:rFonts w:ascii="Times New Roman" w:eastAsia="Times New Roman" w:hAnsi="Times New Roman" w:cs="Times New Roman"/>
          <w:b/>
          <w:bCs/>
          <w:kern w:val="36"/>
          <w:sz w:val="24"/>
          <w:szCs w:val="24"/>
        </w:rPr>
      </w:pPr>
      <w:r w:rsidRPr="00824A78">
        <w:rPr>
          <w:rFonts w:ascii="Times New Roman" w:hAnsi="Times New Roman" w:cs="Times New Roman"/>
          <w:b/>
          <w:i/>
          <w:sz w:val="26"/>
          <w:szCs w:val="28"/>
        </w:rPr>
        <w:t>Head of Department (H.O.D)</w:t>
      </w: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rsidP="00936116">
      <w:pPr>
        <w:spacing w:after="0" w:line="360" w:lineRule="auto"/>
        <w:jc w:val="center"/>
        <w:outlineLvl w:val="0"/>
        <w:rPr>
          <w:rFonts w:ascii="Times New Roman" w:eastAsia="Times New Roman" w:hAnsi="Times New Roman" w:cs="Times New Roman"/>
          <w:b/>
          <w:bCs/>
          <w:kern w:val="36"/>
          <w:sz w:val="24"/>
          <w:szCs w:val="24"/>
        </w:rPr>
      </w:pPr>
    </w:p>
    <w:p w:rsidR="000C5718" w:rsidRDefault="000C5718">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64198D" w:rsidRPr="00936116" w:rsidRDefault="00FE7AFD" w:rsidP="00936116">
      <w:pPr>
        <w:spacing w:after="0" w:line="360" w:lineRule="auto"/>
        <w:jc w:val="center"/>
        <w:outlineLvl w:val="0"/>
        <w:rPr>
          <w:rFonts w:ascii="Times New Roman" w:eastAsia="Times New Roman" w:hAnsi="Times New Roman" w:cs="Times New Roman"/>
          <w:b/>
          <w:bCs/>
          <w:i/>
          <w:kern w:val="36"/>
          <w:sz w:val="24"/>
          <w:szCs w:val="24"/>
        </w:rPr>
      </w:pPr>
      <w:r w:rsidRPr="00936116">
        <w:rPr>
          <w:rFonts w:ascii="Times New Roman" w:eastAsia="Times New Roman" w:hAnsi="Times New Roman" w:cs="Times New Roman"/>
          <w:b/>
          <w:bCs/>
          <w:kern w:val="36"/>
          <w:sz w:val="24"/>
          <w:szCs w:val="24"/>
        </w:rPr>
        <w:lastRenderedPageBreak/>
        <w:t>ABSTRACT</w:t>
      </w:r>
    </w:p>
    <w:p w:rsidR="0064198D" w:rsidRPr="00E97E1A" w:rsidRDefault="00602676" w:rsidP="008A2F17">
      <w:pPr>
        <w:spacing w:after="0" w:line="240" w:lineRule="auto"/>
        <w:jc w:val="both"/>
        <w:rPr>
          <w:rFonts w:ascii="Times New Roman" w:eastAsia="Times New Roman" w:hAnsi="Times New Roman" w:cs="Times New Roman"/>
          <w:sz w:val="24"/>
          <w:szCs w:val="24"/>
        </w:rPr>
      </w:pPr>
      <w:r w:rsidRPr="00E97E1A">
        <w:rPr>
          <w:rFonts w:ascii="Times New Roman" w:eastAsia="Times New Roman" w:hAnsi="Times New Roman" w:cs="Times New Roman"/>
          <w:sz w:val="24"/>
          <w:szCs w:val="24"/>
        </w:rPr>
        <w:t>This study examined</w:t>
      </w:r>
      <w:r w:rsidR="0064198D" w:rsidRPr="00E97E1A">
        <w:rPr>
          <w:rFonts w:ascii="Times New Roman" w:eastAsia="Times New Roman" w:hAnsi="Times New Roman" w:cs="Times New Roman"/>
          <w:sz w:val="24"/>
          <w:szCs w:val="24"/>
        </w:rPr>
        <w:t xml:space="preserve"> the </w:t>
      </w:r>
      <w:r w:rsidR="002F217B" w:rsidRPr="00E97E1A">
        <w:rPr>
          <w:rFonts w:ascii="Times New Roman" w:hAnsi="Times New Roman" w:cs="Times New Roman"/>
          <w:sz w:val="24"/>
          <w:szCs w:val="24"/>
        </w:rPr>
        <w:t>analysis on price of some selected food item</w:t>
      </w:r>
      <w:r w:rsidR="002F217B" w:rsidRPr="00E97E1A">
        <w:rPr>
          <w:rFonts w:ascii="Times New Roman" w:eastAsia="Times New Roman" w:hAnsi="Times New Roman" w:cs="Times New Roman"/>
          <w:sz w:val="24"/>
          <w:szCs w:val="24"/>
        </w:rPr>
        <w:t xml:space="preserve"> </w:t>
      </w:r>
      <w:r w:rsidR="0064198D" w:rsidRPr="00E97E1A">
        <w:rPr>
          <w:rFonts w:ascii="Times New Roman" w:eastAsia="Times New Roman" w:hAnsi="Times New Roman" w:cs="Times New Roman"/>
          <w:sz w:val="24"/>
          <w:szCs w:val="24"/>
        </w:rPr>
        <w:t>in Ipata Market, Ilorin, Nigeria</w:t>
      </w:r>
      <w:r w:rsidR="002F217B" w:rsidRPr="00E97E1A">
        <w:rPr>
          <w:rFonts w:ascii="Times New Roman" w:eastAsia="Times New Roman" w:hAnsi="Times New Roman" w:cs="Times New Roman"/>
          <w:sz w:val="24"/>
          <w:szCs w:val="24"/>
        </w:rPr>
        <w:t>. The Aim of this study is to analyze the price dynamics of selected food items in Ipata Market, Ilorin</w:t>
      </w:r>
    </w:p>
    <w:p w:rsidR="0064198D" w:rsidRPr="00936116" w:rsidRDefault="0064198D" w:rsidP="00936116">
      <w:pPr>
        <w:spacing w:after="0" w:line="360" w:lineRule="auto"/>
        <w:jc w:val="center"/>
        <w:rPr>
          <w:rFonts w:ascii="Times New Roman" w:hAnsi="Times New Roman" w:cs="Times New Roman"/>
          <w:sz w:val="24"/>
          <w:szCs w:val="24"/>
        </w:rPr>
      </w:pPr>
    </w:p>
    <w:p w:rsidR="007A157F" w:rsidRPr="00936116" w:rsidRDefault="007A157F" w:rsidP="00936116">
      <w:pPr>
        <w:spacing w:after="0" w:line="360" w:lineRule="auto"/>
        <w:jc w:val="center"/>
        <w:rPr>
          <w:rFonts w:ascii="Times New Roman" w:hAnsi="Times New Roman" w:cs="Times New Roman"/>
          <w:sz w:val="24"/>
          <w:szCs w:val="24"/>
        </w:rPr>
      </w:pPr>
    </w:p>
    <w:p w:rsidR="0064198D" w:rsidRPr="00936116" w:rsidRDefault="0064198D" w:rsidP="00936116">
      <w:pPr>
        <w:spacing w:after="0" w:line="360" w:lineRule="auto"/>
        <w:rPr>
          <w:rFonts w:ascii="Times New Roman" w:hAnsi="Times New Roman" w:cs="Times New Roman"/>
          <w:sz w:val="24"/>
          <w:szCs w:val="24"/>
        </w:rPr>
      </w:pPr>
      <w:r w:rsidRPr="00936116">
        <w:rPr>
          <w:rFonts w:ascii="Times New Roman" w:hAnsi="Times New Roman" w:cs="Times New Roman"/>
          <w:sz w:val="24"/>
          <w:szCs w:val="24"/>
        </w:rPr>
        <w:br w:type="page"/>
      </w:r>
    </w:p>
    <w:p w:rsidR="00992243" w:rsidRPr="00936116" w:rsidRDefault="00CA63CB" w:rsidP="00936116">
      <w:pPr>
        <w:spacing w:after="0" w:line="360" w:lineRule="auto"/>
        <w:jc w:val="center"/>
        <w:rPr>
          <w:rFonts w:ascii="Times New Roman" w:hAnsi="Times New Roman" w:cs="Times New Roman"/>
          <w:b/>
          <w:sz w:val="24"/>
          <w:szCs w:val="24"/>
        </w:rPr>
      </w:pPr>
      <w:r w:rsidRPr="00936116">
        <w:rPr>
          <w:rFonts w:ascii="Times New Roman" w:hAnsi="Times New Roman" w:cs="Times New Roman"/>
          <w:b/>
          <w:sz w:val="24"/>
          <w:szCs w:val="24"/>
        </w:rPr>
        <w:lastRenderedPageBreak/>
        <w:t>TABLE OF CONTENTS</w:t>
      </w:r>
    </w:p>
    <w:p w:rsidR="00294A9F" w:rsidRPr="00936116" w:rsidRDefault="00294A9F"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Title page</w:t>
      </w:r>
    </w:p>
    <w:p w:rsidR="00294A9F" w:rsidRPr="00936116" w:rsidRDefault="00294A9F"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Certification</w:t>
      </w:r>
    </w:p>
    <w:p w:rsidR="00294A9F" w:rsidRPr="00936116" w:rsidRDefault="00294A9F"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Dedication</w:t>
      </w:r>
    </w:p>
    <w:p w:rsidR="00294A9F" w:rsidRPr="00936116" w:rsidRDefault="00294A9F"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Acknowledgements</w:t>
      </w:r>
    </w:p>
    <w:p w:rsidR="00294A9F" w:rsidRPr="00936116" w:rsidRDefault="00294A9F"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Abstract</w:t>
      </w:r>
    </w:p>
    <w:p w:rsidR="00294A9F" w:rsidRPr="00936116" w:rsidRDefault="00294A9F"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Table of contents</w:t>
      </w:r>
    </w:p>
    <w:p w:rsidR="00CA63CB" w:rsidRPr="001E4FCD" w:rsidRDefault="00CA63CB" w:rsidP="00936116">
      <w:pPr>
        <w:spacing w:after="0" w:line="360" w:lineRule="auto"/>
        <w:jc w:val="both"/>
        <w:rPr>
          <w:rFonts w:ascii="Times New Roman" w:hAnsi="Times New Roman" w:cs="Times New Roman"/>
          <w:b/>
          <w:sz w:val="24"/>
          <w:szCs w:val="24"/>
        </w:rPr>
      </w:pPr>
      <w:r w:rsidRPr="001E4FCD">
        <w:rPr>
          <w:rFonts w:ascii="Times New Roman" w:hAnsi="Times New Roman" w:cs="Times New Roman"/>
          <w:b/>
          <w:sz w:val="24"/>
          <w:szCs w:val="24"/>
        </w:rPr>
        <w:t>Chapter One: Introduction</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Background to the Study</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Statement of the problem</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Objectives of the study</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Research questions</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Research Hypotheses</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Significance of the study</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Scope and limitation of the study</w:t>
      </w:r>
    </w:p>
    <w:p w:rsidR="00CA63CB" w:rsidRPr="00936116" w:rsidRDefault="00CA63CB" w:rsidP="00936116">
      <w:pPr>
        <w:pStyle w:val="ListParagraph"/>
        <w:numPr>
          <w:ilvl w:val="1"/>
          <w:numId w:val="1"/>
        </w:num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Definition of terms</w:t>
      </w:r>
    </w:p>
    <w:p w:rsidR="00CA63CB" w:rsidRPr="001E4FCD" w:rsidRDefault="00CA63CB" w:rsidP="00936116">
      <w:pPr>
        <w:spacing w:after="0" w:line="360" w:lineRule="auto"/>
        <w:jc w:val="both"/>
        <w:rPr>
          <w:rFonts w:ascii="Times New Roman" w:hAnsi="Times New Roman" w:cs="Times New Roman"/>
          <w:b/>
          <w:sz w:val="24"/>
          <w:szCs w:val="24"/>
        </w:rPr>
      </w:pPr>
      <w:r w:rsidRPr="001E4FCD">
        <w:rPr>
          <w:rFonts w:ascii="Times New Roman" w:hAnsi="Times New Roman" w:cs="Times New Roman"/>
          <w:b/>
          <w:sz w:val="24"/>
          <w:szCs w:val="24"/>
        </w:rPr>
        <w:t>Chapter Two: Literature Review</w:t>
      </w:r>
    </w:p>
    <w:p w:rsidR="00CA63CB" w:rsidRPr="00936116" w:rsidRDefault="00CA63CB" w:rsidP="00936116">
      <w:pPr>
        <w:spacing w:after="0" w:line="360" w:lineRule="auto"/>
        <w:jc w:val="both"/>
        <w:rPr>
          <w:rFonts w:ascii="Times New Roman" w:hAnsi="Times New Roman" w:cs="Times New Roman"/>
          <w:sz w:val="24"/>
          <w:szCs w:val="24"/>
        </w:rPr>
      </w:pPr>
      <w:r w:rsidRPr="001E4FCD">
        <w:rPr>
          <w:rFonts w:ascii="Times New Roman" w:hAnsi="Times New Roman" w:cs="Times New Roman"/>
          <w:b/>
          <w:sz w:val="24"/>
          <w:szCs w:val="24"/>
        </w:rPr>
        <w:t>Chapter Three: Methodology</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3.1</w:t>
      </w:r>
      <w:r w:rsidRPr="00936116">
        <w:rPr>
          <w:rFonts w:ascii="Times New Roman" w:hAnsi="Times New Roman" w:cs="Times New Roman"/>
          <w:sz w:val="24"/>
          <w:szCs w:val="24"/>
        </w:rPr>
        <w:tab/>
        <w:t>Research Design</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3.2</w:t>
      </w:r>
      <w:r w:rsidRPr="00936116">
        <w:rPr>
          <w:rFonts w:ascii="Times New Roman" w:hAnsi="Times New Roman" w:cs="Times New Roman"/>
          <w:sz w:val="24"/>
          <w:szCs w:val="24"/>
        </w:rPr>
        <w:tab/>
        <w:t>Sample Size and Sampling Technique</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3.3</w:t>
      </w:r>
      <w:r w:rsidRPr="00936116">
        <w:rPr>
          <w:rFonts w:ascii="Times New Roman" w:hAnsi="Times New Roman" w:cs="Times New Roman"/>
          <w:sz w:val="24"/>
          <w:szCs w:val="24"/>
        </w:rPr>
        <w:tab/>
        <w:t>Population of the study</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3.4</w:t>
      </w:r>
      <w:r w:rsidRPr="00936116">
        <w:rPr>
          <w:rFonts w:ascii="Times New Roman" w:hAnsi="Times New Roman" w:cs="Times New Roman"/>
          <w:sz w:val="24"/>
          <w:szCs w:val="24"/>
        </w:rPr>
        <w:tab/>
        <w:t>Methods of Data Collection</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3.5</w:t>
      </w:r>
      <w:r w:rsidRPr="00936116">
        <w:rPr>
          <w:rFonts w:ascii="Times New Roman" w:hAnsi="Times New Roman" w:cs="Times New Roman"/>
          <w:sz w:val="24"/>
          <w:szCs w:val="24"/>
        </w:rPr>
        <w:tab/>
        <w:t>Methods of data Analysis</w:t>
      </w:r>
    </w:p>
    <w:p w:rsidR="00CA63CB" w:rsidRPr="001E4FCD" w:rsidRDefault="00CA63CB" w:rsidP="00936116">
      <w:pPr>
        <w:spacing w:after="0" w:line="360" w:lineRule="auto"/>
        <w:jc w:val="both"/>
        <w:rPr>
          <w:rFonts w:ascii="Times New Roman" w:hAnsi="Times New Roman" w:cs="Times New Roman"/>
          <w:b/>
          <w:sz w:val="24"/>
          <w:szCs w:val="24"/>
        </w:rPr>
      </w:pPr>
      <w:r w:rsidRPr="001E4FCD">
        <w:rPr>
          <w:rFonts w:ascii="Times New Roman" w:hAnsi="Times New Roman" w:cs="Times New Roman"/>
          <w:b/>
          <w:sz w:val="24"/>
          <w:szCs w:val="24"/>
        </w:rPr>
        <w:t>Chapter Four: Data Presentation and Analysis</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4.1</w:t>
      </w:r>
      <w:r w:rsidRPr="00936116">
        <w:rPr>
          <w:rFonts w:ascii="Times New Roman" w:hAnsi="Times New Roman" w:cs="Times New Roman"/>
          <w:sz w:val="24"/>
          <w:szCs w:val="24"/>
        </w:rPr>
        <w:tab/>
        <w:t xml:space="preserve">Presentation and Analysis </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4.2</w:t>
      </w:r>
      <w:r w:rsidRPr="00936116">
        <w:rPr>
          <w:rFonts w:ascii="Times New Roman" w:hAnsi="Times New Roman" w:cs="Times New Roman"/>
          <w:sz w:val="24"/>
          <w:szCs w:val="24"/>
        </w:rPr>
        <w:tab/>
        <w:t>Testing of Hypotheses</w:t>
      </w:r>
    </w:p>
    <w:p w:rsidR="00CA63CB" w:rsidRPr="001E4FCD" w:rsidRDefault="00CA63CB" w:rsidP="00936116">
      <w:pPr>
        <w:spacing w:after="0" w:line="360" w:lineRule="auto"/>
        <w:jc w:val="both"/>
        <w:rPr>
          <w:rFonts w:ascii="Times New Roman" w:hAnsi="Times New Roman" w:cs="Times New Roman"/>
          <w:b/>
          <w:sz w:val="24"/>
          <w:szCs w:val="24"/>
        </w:rPr>
      </w:pPr>
      <w:r w:rsidRPr="001E4FCD">
        <w:rPr>
          <w:rFonts w:ascii="Times New Roman" w:hAnsi="Times New Roman" w:cs="Times New Roman"/>
          <w:b/>
          <w:sz w:val="24"/>
          <w:szCs w:val="24"/>
        </w:rPr>
        <w:t>Chapter Five: Summary, Conclusion and Recommendations</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5.1</w:t>
      </w:r>
      <w:r w:rsidRPr="00936116">
        <w:rPr>
          <w:rFonts w:ascii="Times New Roman" w:hAnsi="Times New Roman" w:cs="Times New Roman"/>
          <w:sz w:val="24"/>
          <w:szCs w:val="24"/>
        </w:rPr>
        <w:tab/>
        <w:t>Summary</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5.2</w:t>
      </w:r>
      <w:r w:rsidRPr="00936116">
        <w:rPr>
          <w:rFonts w:ascii="Times New Roman" w:hAnsi="Times New Roman" w:cs="Times New Roman"/>
          <w:sz w:val="24"/>
          <w:szCs w:val="24"/>
        </w:rPr>
        <w:tab/>
        <w:t>Conclusion</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5.3</w:t>
      </w:r>
      <w:r w:rsidRPr="00936116">
        <w:rPr>
          <w:rFonts w:ascii="Times New Roman" w:hAnsi="Times New Roman" w:cs="Times New Roman"/>
          <w:sz w:val="24"/>
          <w:szCs w:val="24"/>
        </w:rPr>
        <w:tab/>
        <w:t>Recommendations</w:t>
      </w: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tab/>
        <w:t xml:space="preserve">References </w:t>
      </w:r>
    </w:p>
    <w:p w:rsidR="00CA63CB" w:rsidRPr="00936116" w:rsidRDefault="00CA63CB" w:rsidP="00936116">
      <w:pPr>
        <w:spacing w:after="0" w:line="360" w:lineRule="auto"/>
        <w:jc w:val="both"/>
        <w:rPr>
          <w:rFonts w:ascii="Times New Roman" w:hAnsi="Times New Roman" w:cs="Times New Roman"/>
          <w:sz w:val="24"/>
          <w:szCs w:val="24"/>
        </w:rPr>
      </w:pPr>
    </w:p>
    <w:p w:rsidR="00CA63CB" w:rsidRPr="00936116" w:rsidRDefault="00CA63CB" w:rsidP="00936116">
      <w:pPr>
        <w:spacing w:after="0" w:line="360" w:lineRule="auto"/>
        <w:jc w:val="both"/>
        <w:rPr>
          <w:rFonts w:ascii="Times New Roman" w:hAnsi="Times New Roman" w:cs="Times New Roman"/>
          <w:sz w:val="24"/>
          <w:szCs w:val="24"/>
        </w:rPr>
      </w:pPr>
      <w:r w:rsidRPr="00936116">
        <w:rPr>
          <w:rFonts w:ascii="Times New Roman" w:hAnsi="Times New Roman" w:cs="Times New Roman"/>
          <w:sz w:val="24"/>
          <w:szCs w:val="24"/>
        </w:rPr>
        <w:br w:type="page"/>
      </w:r>
    </w:p>
    <w:p w:rsidR="00431197" w:rsidRDefault="00431197" w:rsidP="00936116">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CA63CB" w:rsidRPr="00936116" w:rsidRDefault="0072018C" w:rsidP="00936116">
      <w:pPr>
        <w:spacing w:after="0" w:line="360" w:lineRule="auto"/>
        <w:jc w:val="center"/>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INTRODUCTION</w:t>
      </w:r>
    </w:p>
    <w:p w:rsidR="00CA63CB" w:rsidRPr="00936116" w:rsidRDefault="00CA63CB" w:rsidP="00936116">
      <w:pPr>
        <w:pStyle w:val="Heading2"/>
        <w:spacing w:before="0" w:beforeAutospacing="0" w:after="0" w:afterAutospacing="0" w:line="360" w:lineRule="auto"/>
        <w:jc w:val="both"/>
        <w:rPr>
          <w:sz w:val="24"/>
          <w:szCs w:val="24"/>
        </w:rPr>
      </w:pPr>
      <w:r w:rsidRPr="00936116">
        <w:rPr>
          <w:sz w:val="24"/>
          <w:szCs w:val="24"/>
        </w:rPr>
        <w:t>1.1 Background to the Study</w:t>
      </w:r>
    </w:p>
    <w:p w:rsidR="00CA63CB" w:rsidRPr="00936116" w:rsidRDefault="00CA63CB" w:rsidP="00936116">
      <w:pPr>
        <w:pStyle w:val="NormalWeb"/>
        <w:spacing w:before="0" w:beforeAutospacing="0" w:after="0" w:afterAutospacing="0" w:line="360" w:lineRule="auto"/>
        <w:jc w:val="both"/>
      </w:pPr>
      <w:r w:rsidRPr="00936116">
        <w:t>Food markets in Nigeria are pivotal to the country’s economic and social fabric, serving as essential hubs for the distribution of agricultural produce and fostering economic activity across urban and rural landscapes. Traditional markets, such as Ipata Market in Ilorin, Kwara State, exemplify the intricate interplay of economic, social, and cultural dynamics that characterize Nigeria’s food systems. These markets are not merely transactional spaces but vibrant ecosystems where vendors, consumers, and intermediaries engage in complex interactions that shape price formation, consumer access, and market stability (Nordhagen, 2022). Ipata Market, strategically located in the heart of Ilorin, is a prominent food trade center that caters to a diverse population, including low-, middle-, and high-income households. Its role in supplying staple foods such as rice, beans, yam, and vegetables positions it as a critical case study for examining the dynamics of food prices in a local context.</w:t>
      </w:r>
    </w:p>
    <w:p w:rsidR="00CA63CB" w:rsidRPr="00936116" w:rsidRDefault="00CA63CB" w:rsidP="00936116">
      <w:pPr>
        <w:pStyle w:val="NormalWeb"/>
        <w:spacing w:before="0" w:beforeAutospacing="0" w:after="0" w:afterAutospacing="0" w:line="360" w:lineRule="auto"/>
        <w:jc w:val="both"/>
      </w:pPr>
      <w:r w:rsidRPr="00936116">
        <w:t>Nigeria’s food markets operate within a challenging agricultural and economic environment. The country’s agriculture is predominantly rainfed, making it highly susceptible to seasonal variations that lead to significant price fluctuations (Adeosun et al., 2022). These fluctuations are exacerbated by structural inefficiencies, including inadequate storage facilities, poor transportation infrastructure, and heavy reliance on market intermediaries, which inflate transaction costs and contribute to price volatility (Kabbiri et al., 2016). The volatility of food prices has far-reaching implications, particularly for low-income households, which spend a substantial portion of their income on food. Rising prices erode purchasing power, undermine household food security, and exacerbate poverty and malnutrition, especially among vulnerable populations (Kimenju et al., 2015). In this context, understanding the factors driving food prices in local markets like Ipata is essential for crafting targeted policy interventions that promote economic stability and equitable access to food.</w:t>
      </w:r>
    </w:p>
    <w:p w:rsidR="00CA63CB" w:rsidRPr="00936116" w:rsidRDefault="00CA63CB" w:rsidP="00936116">
      <w:pPr>
        <w:pStyle w:val="NormalWeb"/>
        <w:spacing w:before="0" w:beforeAutospacing="0" w:after="0" w:afterAutospacing="0" w:line="360" w:lineRule="auto"/>
        <w:jc w:val="both"/>
      </w:pPr>
      <w:r w:rsidRPr="00936116">
        <w:t xml:space="preserve">Ipata Market reflects the broader trends and challenges of Nigeria’s food economy while offering unique insights into localized market dynamics. As one of Ilorin’s largest traditional markets, it serves as a microcosm of the national food system, where supply chain inefficiencies, cultural practices, and socio-economic factors converge to influence price determination. The market’s diverse vendor base, ranging from small-scale traders to wholesalers, and its consumer demographic, which spans various income levels, create a rich environment for studying price trends and their implications. For instance, the reliance on </w:t>
      </w:r>
      <w:r w:rsidRPr="00936116">
        <w:lastRenderedPageBreak/>
        <w:t>interpersonal relationships and trust-based transactions, as highlighted by Nordhagen (2022), underscores the role of social capital in shaping market behavior. Similarly, cultural norms, such as bargaining and credit arrangements, play a significant role in mediating price negotiations and consumer access to food (Ahmed et al., 2021).</w:t>
      </w:r>
    </w:p>
    <w:p w:rsidR="00CA63CB" w:rsidRPr="00936116" w:rsidRDefault="00CA63CB" w:rsidP="00936116">
      <w:pPr>
        <w:pStyle w:val="NormalWeb"/>
        <w:spacing w:before="0" w:beforeAutospacing="0" w:after="0" w:afterAutospacing="0" w:line="360" w:lineRule="auto"/>
        <w:jc w:val="both"/>
      </w:pPr>
      <w:r w:rsidRPr="00936116">
        <w:t>The Nigerian food market is poised for significant growth, with projections estimating a market volume of US$349.70 billion by 2029 (Statista, 2025). This growth is driven by population increases, urbanization, and rising demand for diverse food products. However, the sector faces persistent challenges that threaten its sustainability and inclusivity. Unpredictable food prices, driven by climatic variability, supply chain disruptions, and inflationary pressures, pose a significant barrier to food affordability (Adeosun et al., 2022). Moreover, the lack of modern market infrastructure, such as cold storage and efficient transport networks, limits the ability to mitigate seasonal shortages and stabilize prices (Kabbiri et al., 2016). The reliance on intermediaries, who often control supply chains and add significant markups, further compounds these issues, reducing vendor profitability and increasing consumer costs.</w:t>
      </w:r>
    </w:p>
    <w:p w:rsidR="00CA63CB" w:rsidRPr="00936116" w:rsidRDefault="00CA63CB" w:rsidP="00936116">
      <w:pPr>
        <w:pStyle w:val="NormalWeb"/>
        <w:spacing w:before="0" w:beforeAutospacing="0" w:after="0" w:afterAutospacing="0" w:line="360" w:lineRule="auto"/>
        <w:jc w:val="both"/>
      </w:pPr>
      <w:r w:rsidRPr="00936116">
        <w:t>In Ipata Market, these challenges are evident in the day-to-day operations of vendors and the purchasing decisions of consumers. For example, during the dry season, when agricultural production declines, prices of staple foods like yam and vegetables often surge, straining household budgets and forcing consumers to adopt coping strategies such as reducing meal frequency or relying on credit from vendors (Nordhagen, 2022). Vendors, on the other hand, face pressures from fluctuating wholesale prices and transportation costs, which erode their profit margins and limit their ability to offer competitive prices. These dynamics highlight the need for a nuanced analysis of price determinants in Ipata Market, with a focus on both economic and non-economic factors.</w:t>
      </w:r>
    </w:p>
    <w:p w:rsidR="00CA63CB" w:rsidRPr="00936116" w:rsidRDefault="00CA63CB" w:rsidP="00936116">
      <w:pPr>
        <w:pStyle w:val="NormalWeb"/>
        <w:spacing w:before="0" w:beforeAutospacing="0" w:after="0" w:afterAutospacing="0" w:line="360" w:lineRule="auto"/>
        <w:jc w:val="both"/>
      </w:pPr>
      <w:r w:rsidRPr="00936116">
        <w:t>The significance of studying food prices in Ipata Market extends beyond its local context. As a major urban market in Kwara State, Ipata serves as a critical link in the regional food supply chain, connecting rural producers to urban consumers. Its operations reflect broader trends in Nigeria’s food economy, including the tension between traditional market systems and emerging modern retail structures, such as supermarkets (Kimenju et al., 2015). While supermarkets are gaining traction in urban centers, traditional markets like Ipata remain dominant due to their accessibility, cultural relevance, and ability to cater to low-income consumers. This resilience underscores the importance of understanding traditional markets’ role in ensuring food security and economic stability.</w:t>
      </w:r>
    </w:p>
    <w:p w:rsidR="00CA63CB" w:rsidRPr="00936116" w:rsidRDefault="00CA63CB" w:rsidP="00936116">
      <w:pPr>
        <w:pStyle w:val="NormalWeb"/>
        <w:spacing w:before="0" w:beforeAutospacing="0" w:after="0" w:afterAutospacing="0" w:line="360" w:lineRule="auto"/>
        <w:jc w:val="both"/>
      </w:pPr>
      <w:r w:rsidRPr="00936116">
        <w:lastRenderedPageBreak/>
        <w:t>Furthermore, the study of food prices in Ipata Market aligns with global and regional priorities for sustainable development. The United Nations’ Sustainable Development Goal (SDG) 2, which aims to achieve zero hunger and promote sustainable agriculture, emphasizes the need to address food price volatility and improve market access for vulnerable populations (United Nations, 2015). In Nigeria, where food insecurity affects millions of households, localized studies like this one provide valuable insights for policymakers, development practitioners, and market stakeholders seeking to design evidence-based interventions. By focusing on staple foods that form</w:t>
      </w:r>
      <w:r w:rsidR="0072018C" w:rsidRPr="00936116">
        <w:t xml:space="preserve"> the backbone of Nigerian diets: </w:t>
      </w:r>
      <w:r w:rsidRPr="00936116">
        <w:t>r</w:t>
      </w:r>
      <w:r w:rsidR="0072018C" w:rsidRPr="00936116">
        <w:t xml:space="preserve">ice, beans, yam, and vegetables, </w:t>
      </w:r>
      <w:r w:rsidRPr="00936116">
        <w:t>this study addresses a critical aspect of food security and economic well-being in Ilorin.</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1.2 Statement of the Problem</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Rising food prices in Nigeria pose a threat to food security and economic stability, particularly in urban markets like Ipata Market. The volatility of prices for staple foods such as rice, beans, and yam affects consumer purchasing power and vendor profitability. Previous studies indicate that food price fluctuations are driven by factors such as seasonal production, transportation costs, and market intermediaries (Adeosun et al., 2022; Nordhagen, 2022). However, there is a lack of localized studies focusing on Ipata Market, which serves a diverse population in Ilorin. The absence of comprehensive data on price determinants and their impact on market actors necessitates this research. Additionally, the interplay of cultural norms, credit access, and bargaining practices in shaping prices remains underexplored in this context (Ahmed et al., 2021).</w:t>
      </w:r>
    </w:p>
    <w:p w:rsidR="0072018C" w:rsidRPr="00936116" w:rsidRDefault="0072018C" w:rsidP="00936116">
      <w:pPr>
        <w:spacing w:after="0" w:line="360" w:lineRule="auto"/>
        <w:jc w:val="both"/>
        <w:outlineLvl w:val="2"/>
        <w:rPr>
          <w:rFonts w:ascii="Times New Roman" w:eastAsia="Times New Roman" w:hAnsi="Times New Roman" w:cs="Times New Roman"/>
          <w:b/>
          <w:bCs/>
          <w:sz w:val="24"/>
          <w:szCs w:val="24"/>
        </w:rPr>
      </w:pP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1.3</w:t>
      </w:r>
      <w:r w:rsidR="0072018C" w:rsidRPr="00936116">
        <w:rPr>
          <w:rFonts w:ascii="Times New Roman" w:eastAsia="Times New Roman" w:hAnsi="Times New Roman" w:cs="Times New Roman"/>
          <w:b/>
          <w:bCs/>
          <w:sz w:val="24"/>
          <w:szCs w:val="24"/>
        </w:rPr>
        <w:tab/>
        <w:t>Aim and</w:t>
      </w:r>
      <w:r w:rsidRPr="00936116">
        <w:rPr>
          <w:rFonts w:ascii="Times New Roman" w:eastAsia="Times New Roman" w:hAnsi="Times New Roman" w:cs="Times New Roman"/>
          <w:b/>
          <w:bCs/>
          <w:sz w:val="24"/>
          <w:szCs w:val="24"/>
        </w:rPr>
        <w:t xml:space="preserve"> </w:t>
      </w:r>
      <w:r w:rsidR="0072018C" w:rsidRPr="00936116">
        <w:rPr>
          <w:rFonts w:ascii="Times New Roman" w:eastAsia="Times New Roman" w:hAnsi="Times New Roman" w:cs="Times New Roman"/>
          <w:b/>
          <w:bCs/>
          <w:sz w:val="24"/>
          <w:szCs w:val="24"/>
        </w:rPr>
        <w:t xml:space="preserve">objectives </w:t>
      </w:r>
      <w:r w:rsidRPr="00936116">
        <w:rPr>
          <w:rFonts w:ascii="Times New Roman" w:eastAsia="Times New Roman" w:hAnsi="Times New Roman" w:cs="Times New Roman"/>
          <w:b/>
          <w:bCs/>
          <w:sz w:val="24"/>
          <w:szCs w:val="24"/>
        </w:rPr>
        <w:t>of the Study</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The </w:t>
      </w:r>
      <w:r w:rsidR="0072018C" w:rsidRPr="00936116">
        <w:rPr>
          <w:rFonts w:ascii="Times New Roman" w:eastAsia="Times New Roman" w:hAnsi="Times New Roman" w:cs="Times New Roman"/>
          <w:sz w:val="24"/>
          <w:szCs w:val="24"/>
        </w:rPr>
        <w:t>Aim</w:t>
      </w:r>
      <w:r w:rsidRPr="00936116">
        <w:rPr>
          <w:rFonts w:ascii="Times New Roman" w:eastAsia="Times New Roman" w:hAnsi="Times New Roman" w:cs="Times New Roman"/>
          <w:sz w:val="24"/>
          <w:szCs w:val="24"/>
        </w:rPr>
        <w:t xml:space="preserve"> of this study is to analyze the price dynamics of selected food items in Ipata Market, Ilorin. The specific objectives are:</w:t>
      </w:r>
    </w:p>
    <w:p w:rsidR="000200C0" w:rsidRPr="00936116" w:rsidRDefault="000200C0" w:rsidP="00936116">
      <w:pPr>
        <w:numPr>
          <w:ilvl w:val="0"/>
          <w:numId w:val="2"/>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To show the descriptive statistics of the data</w:t>
      </w:r>
    </w:p>
    <w:p w:rsidR="000200C0" w:rsidRPr="00936116" w:rsidRDefault="000200C0" w:rsidP="00936116">
      <w:pPr>
        <w:numPr>
          <w:ilvl w:val="0"/>
          <w:numId w:val="2"/>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To analyse the changes in prices using </w:t>
      </w:r>
      <w:r w:rsidRPr="00936116">
        <w:rPr>
          <w:rFonts w:ascii="Times New Roman" w:hAnsi="Times New Roman" w:cs="Times New Roman"/>
          <w:sz w:val="24"/>
          <w:szCs w:val="24"/>
        </w:rPr>
        <w:t xml:space="preserve">Laspeyres Price </w:t>
      </w:r>
      <w:r w:rsidRPr="00936116">
        <w:rPr>
          <w:rFonts w:ascii="Times New Roman" w:hAnsi="Times New Roman" w:cs="Times New Roman"/>
          <w:spacing w:val="-2"/>
          <w:sz w:val="24"/>
          <w:szCs w:val="24"/>
        </w:rPr>
        <w:t>Index</w:t>
      </w:r>
      <w:r w:rsidRPr="00936116">
        <w:rPr>
          <w:rFonts w:ascii="Times New Roman" w:hAnsi="Times New Roman" w:cs="Times New Roman"/>
          <w:sz w:val="24"/>
          <w:szCs w:val="24"/>
        </w:rPr>
        <w:t xml:space="preserve">, Paasche’s Price </w:t>
      </w:r>
      <w:r w:rsidRPr="00936116">
        <w:rPr>
          <w:rFonts w:ascii="Times New Roman" w:hAnsi="Times New Roman" w:cs="Times New Roman"/>
          <w:spacing w:val="-2"/>
          <w:sz w:val="24"/>
          <w:szCs w:val="24"/>
        </w:rPr>
        <w:t xml:space="preserve">Index and </w:t>
      </w:r>
      <w:r w:rsidRPr="00936116">
        <w:rPr>
          <w:rFonts w:ascii="Times New Roman" w:hAnsi="Times New Roman" w:cs="Times New Roman"/>
          <w:sz w:val="24"/>
          <w:szCs w:val="24"/>
        </w:rPr>
        <w:t>Fisher’s Ideal</w:t>
      </w:r>
      <w:r w:rsidRPr="00936116">
        <w:rPr>
          <w:rFonts w:ascii="Times New Roman" w:hAnsi="Times New Roman" w:cs="Times New Roman"/>
          <w:spacing w:val="-2"/>
          <w:sz w:val="24"/>
          <w:szCs w:val="24"/>
        </w:rPr>
        <w:t xml:space="preserve"> Index</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1.4 Research Questions</w:t>
      </w:r>
    </w:p>
    <w:p w:rsidR="00CA63CB" w:rsidRPr="00936116" w:rsidRDefault="00CA63CB" w:rsidP="00936116">
      <w:pPr>
        <w:numPr>
          <w:ilvl w:val="0"/>
          <w:numId w:val="3"/>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What are the key factors influencing the prices of rice, beans, yam, and vegetables in Ipata Market?</w:t>
      </w:r>
    </w:p>
    <w:p w:rsidR="00CA63CB" w:rsidRPr="00936116" w:rsidRDefault="00CA63CB" w:rsidP="00936116">
      <w:pPr>
        <w:numPr>
          <w:ilvl w:val="0"/>
          <w:numId w:val="3"/>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How does price volatility affect consumer purchasing behavior and vendor profitability?</w:t>
      </w:r>
    </w:p>
    <w:p w:rsidR="00CA63CB" w:rsidRPr="00936116" w:rsidRDefault="00CA63CB" w:rsidP="00936116">
      <w:pPr>
        <w:numPr>
          <w:ilvl w:val="0"/>
          <w:numId w:val="3"/>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lastRenderedPageBreak/>
        <w:t>What role do social and cultural factors play in shaping price determination in Ipata Market?</w:t>
      </w:r>
    </w:p>
    <w:p w:rsidR="00CA63CB" w:rsidRPr="00936116" w:rsidRDefault="00CA63CB" w:rsidP="00936116">
      <w:pPr>
        <w:numPr>
          <w:ilvl w:val="0"/>
          <w:numId w:val="3"/>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What strategies can be implemented to stabilize food prices in Ipata Market?</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1.5 Research Hypotheses</w:t>
      </w:r>
    </w:p>
    <w:p w:rsidR="00E361A2" w:rsidRPr="00936116" w:rsidRDefault="00CA63CB" w:rsidP="00936116">
      <w:pPr>
        <w:numPr>
          <w:ilvl w:val="0"/>
          <w:numId w:val="4"/>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H0</w:t>
      </w:r>
      <w:r w:rsidRPr="00936116">
        <w:rPr>
          <w:rFonts w:ascii="Times New Roman" w:eastAsia="Times New Roman" w:hAnsi="Times New Roman" w:cs="Times New Roman"/>
          <w:sz w:val="24"/>
          <w:szCs w:val="24"/>
        </w:rPr>
        <w:t xml:space="preserve">: Seasonal variations do not significantly influence the prices of selected food items in Ipata Market. </w:t>
      </w:r>
    </w:p>
    <w:p w:rsidR="00CA63CB" w:rsidRPr="00936116" w:rsidRDefault="00CA63CB" w:rsidP="00936116">
      <w:pPr>
        <w:spacing w:after="0" w:line="360" w:lineRule="auto"/>
        <w:ind w:left="720"/>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H1</w:t>
      </w:r>
      <w:r w:rsidRPr="00936116">
        <w:rPr>
          <w:rFonts w:ascii="Times New Roman" w:eastAsia="Times New Roman" w:hAnsi="Times New Roman" w:cs="Times New Roman"/>
          <w:sz w:val="24"/>
          <w:szCs w:val="24"/>
        </w:rPr>
        <w:t>: Seasonal variations significantly influence the prices of selected food items in Ipata Market.</w:t>
      </w:r>
    </w:p>
    <w:p w:rsidR="00E361A2" w:rsidRPr="00936116" w:rsidRDefault="00CA63CB" w:rsidP="00936116">
      <w:pPr>
        <w:numPr>
          <w:ilvl w:val="0"/>
          <w:numId w:val="4"/>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H0</w:t>
      </w:r>
      <w:r w:rsidRPr="00936116">
        <w:rPr>
          <w:rFonts w:ascii="Times New Roman" w:eastAsia="Times New Roman" w:hAnsi="Times New Roman" w:cs="Times New Roman"/>
          <w:sz w:val="24"/>
          <w:szCs w:val="24"/>
        </w:rPr>
        <w:t xml:space="preserve">: Transportation costs have no significant impact on the prices of selected food items in Ipata Market. </w:t>
      </w:r>
    </w:p>
    <w:p w:rsidR="00CA63CB" w:rsidRPr="00936116" w:rsidRDefault="00CA63CB" w:rsidP="00936116">
      <w:pPr>
        <w:spacing w:after="0" w:line="360" w:lineRule="auto"/>
        <w:ind w:left="720"/>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H1</w:t>
      </w:r>
      <w:r w:rsidRPr="00936116">
        <w:rPr>
          <w:rFonts w:ascii="Times New Roman" w:eastAsia="Times New Roman" w:hAnsi="Times New Roman" w:cs="Times New Roman"/>
          <w:sz w:val="24"/>
          <w:szCs w:val="24"/>
        </w:rPr>
        <w:t>: Transportation costs significantly impact the prices of selected food items in Ipata Market.</w:t>
      </w:r>
    </w:p>
    <w:p w:rsidR="00E361A2" w:rsidRPr="00936116" w:rsidRDefault="00CA63CB" w:rsidP="00936116">
      <w:pPr>
        <w:numPr>
          <w:ilvl w:val="0"/>
          <w:numId w:val="4"/>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H0</w:t>
      </w:r>
      <w:r w:rsidRPr="00936116">
        <w:rPr>
          <w:rFonts w:ascii="Times New Roman" w:eastAsia="Times New Roman" w:hAnsi="Times New Roman" w:cs="Times New Roman"/>
          <w:sz w:val="24"/>
          <w:szCs w:val="24"/>
        </w:rPr>
        <w:t xml:space="preserve">: Social and cultural factors do not significantly affect price determination in Ipata Market. </w:t>
      </w:r>
    </w:p>
    <w:p w:rsidR="00CA63CB" w:rsidRPr="00936116" w:rsidRDefault="00CA63CB" w:rsidP="00936116">
      <w:pPr>
        <w:spacing w:after="0" w:line="360" w:lineRule="auto"/>
        <w:ind w:left="720"/>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H1</w:t>
      </w:r>
      <w:r w:rsidRPr="00936116">
        <w:rPr>
          <w:rFonts w:ascii="Times New Roman" w:eastAsia="Times New Roman" w:hAnsi="Times New Roman" w:cs="Times New Roman"/>
          <w:sz w:val="24"/>
          <w:szCs w:val="24"/>
        </w:rPr>
        <w:t>: Social and cultural factors significantly affect price determination in Ipata Market.</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1.6 Significance of the Study</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This study contributes to the understanding of food price dynamics in local Nigerian markets, with a focus on Ipata Market. It provides insights for policymakers, market administrators, and stakeholders in the food supply chain to develop strategies for price stabilization and improved food accessibility. The findings will also benefit consumers by highlighting factors affecting affordability and vendors by identifying opportunities to enhance profitability. Academically, the study adds to the body of knowledge on market dynamics in low-income settings, aligning with prior research on moral economies and market interactions (Jackson et al., 2009).</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1.7 Scope and Limitation of the Study</w:t>
      </w:r>
    </w:p>
    <w:p w:rsidR="00CA63CB"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study focuses on Ipata Market, Ilorin, and examines the prices of four staple food items: rice, beans, yam, and vegetables. Data collection was conducted over a six-month period (January to June 2025) to capture seasonal variations. Limitations include the potential for incomplete vendor responses due to mistrust and the challenge of generalizing findings to other markets due to Ipata’s unique socio-economic context. Despite these constraints, the study employs rigorous methods to ensure reliable results.</w:t>
      </w:r>
    </w:p>
    <w:p w:rsidR="00600EFD" w:rsidRDefault="00600EFD" w:rsidP="00936116">
      <w:pPr>
        <w:spacing w:after="0" w:line="360" w:lineRule="auto"/>
        <w:jc w:val="both"/>
        <w:rPr>
          <w:rFonts w:ascii="Times New Roman" w:eastAsia="Times New Roman" w:hAnsi="Times New Roman" w:cs="Times New Roman"/>
          <w:sz w:val="24"/>
          <w:szCs w:val="24"/>
        </w:rPr>
      </w:pPr>
    </w:p>
    <w:p w:rsidR="00600EFD" w:rsidRPr="00936116" w:rsidRDefault="00600EFD" w:rsidP="00936116">
      <w:pPr>
        <w:spacing w:after="0" w:line="360" w:lineRule="auto"/>
        <w:jc w:val="both"/>
        <w:rPr>
          <w:rFonts w:ascii="Times New Roman" w:eastAsia="Times New Roman" w:hAnsi="Times New Roman" w:cs="Times New Roman"/>
          <w:sz w:val="24"/>
          <w:szCs w:val="24"/>
        </w:rPr>
      </w:pP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lastRenderedPageBreak/>
        <w:t>1.8 Definition of Terms</w:t>
      </w:r>
    </w:p>
    <w:p w:rsidR="00CA63CB" w:rsidRPr="00936116" w:rsidRDefault="00CA63CB" w:rsidP="00936116">
      <w:pPr>
        <w:numPr>
          <w:ilvl w:val="0"/>
          <w:numId w:val="5"/>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Price Volatility</w:t>
      </w:r>
      <w:r w:rsidRPr="00936116">
        <w:rPr>
          <w:rFonts w:ascii="Times New Roman" w:eastAsia="Times New Roman" w:hAnsi="Times New Roman" w:cs="Times New Roman"/>
          <w:sz w:val="24"/>
          <w:szCs w:val="24"/>
        </w:rPr>
        <w:t>: The degree of variation in the price of food items over time (Adeosun et al., 2022).</w:t>
      </w:r>
    </w:p>
    <w:p w:rsidR="00CA63CB" w:rsidRPr="00936116" w:rsidRDefault="00CA63CB" w:rsidP="00936116">
      <w:pPr>
        <w:numPr>
          <w:ilvl w:val="0"/>
          <w:numId w:val="5"/>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Staple Foods</w:t>
      </w:r>
      <w:r w:rsidRPr="00936116">
        <w:rPr>
          <w:rFonts w:ascii="Times New Roman" w:eastAsia="Times New Roman" w:hAnsi="Times New Roman" w:cs="Times New Roman"/>
          <w:sz w:val="24"/>
          <w:szCs w:val="24"/>
        </w:rPr>
        <w:t>: Basic food items consumed regularly, such as rice, beans, yam, and vegetables (Kimenju et al., 2015).</w:t>
      </w:r>
    </w:p>
    <w:p w:rsidR="00CA63CB" w:rsidRPr="00936116" w:rsidRDefault="00CA63CB" w:rsidP="00936116">
      <w:pPr>
        <w:numPr>
          <w:ilvl w:val="0"/>
          <w:numId w:val="5"/>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Moral Economy</w:t>
      </w:r>
      <w:r w:rsidRPr="00936116">
        <w:rPr>
          <w:rFonts w:ascii="Times New Roman" w:eastAsia="Times New Roman" w:hAnsi="Times New Roman" w:cs="Times New Roman"/>
          <w:sz w:val="24"/>
          <w:szCs w:val="24"/>
        </w:rPr>
        <w:t>: A system of market interactions guided by ethical norms and social relationships (Jackson et al., 2009).</w:t>
      </w:r>
    </w:p>
    <w:p w:rsidR="00CA63CB" w:rsidRPr="00936116" w:rsidRDefault="00CA63CB" w:rsidP="00936116">
      <w:pPr>
        <w:numPr>
          <w:ilvl w:val="0"/>
          <w:numId w:val="5"/>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Market Intermediaries</w:t>
      </w:r>
      <w:r w:rsidRPr="00936116">
        <w:rPr>
          <w:rFonts w:ascii="Times New Roman" w:eastAsia="Times New Roman" w:hAnsi="Times New Roman" w:cs="Times New Roman"/>
          <w:sz w:val="24"/>
          <w:szCs w:val="24"/>
        </w:rPr>
        <w:t>: Agents involved in the food supply chain, such as wholesalers and transporters (Kabbiri et al., 2016).</w:t>
      </w:r>
    </w:p>
    <w:p w:rsidR="00E5443F" w:rsidRPr="00936116" w:rsidRDefault="00E5443F" w:rsidP="00936116">
      <w:pPr>
        <w:spacing w:after="0" w:line="360" w:lineRule="auto"/>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br w:type="page"/>
      </w:r>
    </w:p>
    <w:p w:rsidR="00600EFD" w:rsidRDefault="00E5443F" w:rsidP="00936116">
      <w:pPr>
        <w:spacing w:after="0" w:line="360" w:lineRule="auto"/>
        <w:jc w:val="center"/>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lastRenderedPageBreak/>
        <w:t>CHAPTER TWO</w:t>
      </w:r>
    </w:p>
    <w:p w:rsidR="00CA63CB" w:rsidRPr="00936116" w:rsidRDefault="00E5443F" w:rsidP="00936116">
      <w:pPr>
        <w:spacing w:after="0" w:line="360" w:lineRule="auto"/>
        <w:jc w:val="center"/>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LITERATURE REVIEW</w:t>
      </w:r>
    </w:p>
    <w:p w:rsidR="00F325CB" w:rsidRPr="00936116" w:rsidRDefault="00F325CB" w:rsidP="00936116">
      <w:pPr>
        <w:spacing w:after="0" w:line="360" w:lineRule="auto"/>
        <w:jc w:val="both"/>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2.1 Introduction</w:t>
      </w:r>
    </w:p>
    <w:p w:rsidR="00F325CB" w:rsidRPr="00936116" w:rsidRDefault="00F325CB" w:rsidP="00936116">
      <w:pPr>
        <w:spacing w:after="0" w:line="360" w:lineRule="auto"/>
        <w:jc w:val="both"/>
        <w:outlineLvl w:val="1"/>
        <w:rPr>
          <w:rFonts w:ascii="Times New Roman" w:eastAsia="Times New Roman" w:hAnsi="Times New Roman" w:cs="Times New Roman"/>
          <w:bCs/>
          <w:sz w:val="24"/>
          <w:szCs w:val="24"/>
        </w:rPr>
      </w:pPr>
      <w:r w:rsidRPr="00936116">
        <w:rPr>
          <w:rFonts w:ascii="Times New Roman" w:eastAsia="Times New Roman" w:hAnsi="Times New Roman" w:cs="Times New Roman"/>
          <w:bCs/>
          <w:sz w:val="24"/>
          <w:szCs w:val="24"/>
        </w:rPr>
        <w:t>This chapter reviews existing literature relevant to the pricing of food items in local markets, with particular attention to Nigerian markets such as Ipata Market in Ilorin. It explores the concepts of food pricing, market structure, and the factors influencing price fluctuations. This review helps to establish the foundation upon which the present study is built and highlights the gaps this study seeks to fill.</w:t>
      </w:r>
    </w:p>
    <w:p w:rsidR="00E361A2" w:rsidRPr="00936116" w:rsidRDefault="00F325CB" w:rsidP="00936116">
      <w:pPr>
        <w:spacing w:after="0" w:line="360" w:lineRule="auto"/>
        <w:jc w:val="both"/>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w:t>
      </w:r>
      <w:r w:rsidR="00E361A2" w:rsidRPr="00936116">
        <w:rPr>
          <w:rFonts w:ascii="Times New Roman" w:eastAsia="Times New Roman" w:hAnsi="Times New Roman" w:cs="Times New Roman"/>
          <w:b/>
          <w:bCs/>
          <w:sz w:val="24"/>
          <w:szCs w:val="24"/>
        </w:rPr>
        <w:t xml:space="preserve"> Conceptual Framework</w:t>
      </w:r>
    </w:p>
    <w:p w:rsidR="00F325CB"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2.2.1 Concept of Food Pricing</w:t>
      </w:r>
    </w:p>
    <w:p w:rsidR="00F325CB" w:rsidRPr="00936116" w:rsidRDefault="00F325CB" w:rsidP="00936116">
      <w:pPr>
        <w:spacing w:after="0" w:line="360" w:lineRule="auto"/>
        <w:jc w:val="both"/>
        <w:outlineLvl w:val="2"/>
        <w:rPr>
          <w:rFonts w:ascii="Times New Roman" w:eastAsia="Times New Roman" w:hAnsi="Times New Roman" w:cs="Times New Roman"/>
          <w:bCs/>
          <w:sz w:val="24"/>
          <w:szCs w:val="24"/>
        </w:rPr>
      </w:pPr>
      <w:r w:rsidRPr="00936116">
        <w:rPr>
          <w:rFonts w:ascii="Times New Roman" w:eastAsia="Times New Roman" w:hAnsi="Times New Roman" w:cs="Times New Roman"/>
          <w:bCs/>
          <w:sz w:val="24"/>
          <w:szCs w:val="24"/>
        </w:rPr>
        <w:t>Food pricing refers to the monetary value assigned to food items within a given market. Prices are determined by a range of factors including production cost, transportation, market demand, seasonal availability, and inflation. According to Akinyele (2018), food pricing in Nigeria is often unstable, largely due to poor infrastructure, middlemen interference, and seasonal production.</w:t>
      </w:r>
    </w:p>
    <w:p w:rsidR="00F325CB" w:rsidRPr="00936116" w:rsidRDefault="00F325CB" w:rsidP="00936116">
      <w:pPr>
        <w:spacing w:after="0" w:line="360" w:lineRule="auto"/>
        <w:jc w:val="both"/>
        <w:outlineLvl w:val="2"/>
        <w:rPr>
          <w:rFonts w:ascii="Times New Roman" w:eastAsia="Times New Roman" w:hAnsi="Times New Roman" w:cs="Times New Roman"/>
          <w:bCs/>
          <w:sz w:val="24"/>
          <w:szCs w:val="24"/>
        </w:rPr>
      </w:pPr>
      <w:r w:rsidRPr="00936116">
        <w:rPr>
          <w:rFonts w:ascii="Times New Roman" w:eastAsia="Times New Roman" w:hAnsi="Times New Roman" w:cs="Times New Roman"/>
          <w:bCs/>
          <w:sz w:val="24"/>
          <w:szCs w:val="24"/>
        </w:rPr>
        <w:t>In traditional markets such as Ipata, prices are typically determined through bargaining and influenced by market forces. Unlike in formal retail outlets, there is minimal regulation, and price variation is common from one seller to another.</w:t>
      </w:r>
    </w:p>
    <w:p w:rsidR="00F325CB"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2.2.2 Overview of the Nigerian Agricultural Market System</w:t>
      </w:r>
    </w:p>
    <w:p w:rsidR="00F325CB" w:rsidRPr="00936116" w:rsidRDefault="00F325CB" w:rsidP="00936116">
      <w:pPr>
        <w:spacing w:after="0" w:line="360" w:lineRule="auto"/>
        <w:jc w:val="both"/>
        <w:outlineLvl w:val="2"/>
        <w:rPr>
          <w:rFonts w:ascii="Times New Roman" w:eastAsia="Times New Roman" w:hAnsi="Times New Roman" w:cs="Times New Roman"/>
          <w:bCs/>
          <w:sz w:val="24"/>
          <w:szCs w:val="24"/>
        </w:rPr>
      </w:pPr>
      <w:r w:rsidRPr="00936116">
        <w:rPr>
          <w:rFonts w:ascii="Times New Roman" w:eastAsia="Times New Roman" w:hAnsi="Times New Roman" w:cs="Times New Roman"/>
          <w:bCs/>
          <w:sz w:val="24"/>
          <w:szCs w:val="24"/>
        </w:rPr>
        <w:t>The Nigerian market system is largely informal, with open-air markets such as Ipata Market serving as the primary distribution centers for agricultural produce. According to Adepoju and Yusuf (2020), these markets are essential in the food supply chain but often face challenges such as poor storage facilities, transportation issues, and price volatility.</w:t>
      </w:r>
    </w:p>
    <w:p w:rsidR="00F325CB" w:rsidRPr="00936116" w:rsidRDefault="00F325CB" w:rsidP="00936116">
      <w:pPr>
        <w:spacing w:after="0" w:line="360" w:lineRule="auto"/>
        <w:jc w:val="both"/>
        <w:outlineLvl w:val="2"/>
        <w:rPr>
          <w:rFonts w:ascii="Times New Roman" w:eastAsia="Times New Roman" w:hAnsi="Times New Roman" w:cs="Times New Roman"/>
          <w:bCs/>
          <w:sz w:val="24"/>
          <w:szCs w:val="24"/>
        </w:rPr>
      </w:pPr>
      <w:r w:rsidRPr="00936116">
        <w:rPr>
          <w:rFonts w:ascii="Times New Roman" w:eastAsia="Times New Roman" w:hAnsi="Times New Roman" w:cs="Times New Roman"/>
          <w:bCs/>
          <w:sz w:val="24"/>
          <w:szCs w:val="24"/>
        </w:rPr>
        <w:t>Food items sold in these markets include staples such as rice, maize, tomatoes, onions, pepper, and yam — all of which are subject to price fluctuations based on factors like rainfall patterns, fuel prices, and government policies on agriculture.</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2.2.3</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Supply and Demand Dynamics in Traditional Markets</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At its core, the framework is anchored in the classical economic theory of supply and demand, which posits that prices are determined by the balance between the availability of goods (supply) and consumer demand for those goods. In traditional food markets like Ipata, supply is influenced by factors such as agricultural production, transportation logistics, and the role of market intermediaries (Kabbiri et al., 2016). For instance, the supply of staple foods such as rice, beans, yam, and vegetables is heavily dependent on Nigeria’s predominantly rainfed agriculture, which is subject to seasonal variations (Adeosun et al., </w:t>
      </w:r>
      <w:r w:rsidRPr="00936116">
        <w:rPr>
          <w:rFonts w:ascii="Times New Roman" w:eastAsia="Times New Roman" w:hAnsi="Times New Roman" w:cs="Times New Roman"/>
          <w:sz w:val="24"/>
          <w:szCs w:val="24"/>
        </w:rPr>
        <w:lastRenderedPageBreak/>
        <w:t>2022). During the rainy season, when agricultural output is high, supply increases, potentially lowering prices. Conversely, in the dry season, reduced production leads to supply shortages, driving prices upward.</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Demand, on the other hand, is shaped by consumer purchasing power, preferences, and socio-economic conditions. In Ilorin, a city with a diverse population, demand for staple foods varies across income groups, with low-income households prioritizing affordability and accessibility (Kimenju et al., 2015). The interaction of supply and demand in Ipata Market is not purely mechanistic, however, as it is mediated by market-specific factors such as transportation costs, storage limitations, and the influence of intermediaries who control the flow of goods from rural producers to urban markets (Nordhagen, 2022). These intermediaries often add significant markups, which contribute to price volatility and affect both vendors and consumers.</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2.2.4</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Economic Factors</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Economic factors are central to the conceptual framework, as they directly influence the cost structure of food items in Ipata Market. Key economic determinants include:</w:t>
      </w:r>
    </w:p>
    <w:p w:rsidR="00E361A2" w:rsidRPr="00936116" w:rsidRDefault="00E361A2" w:rsidP="00936116">
      <w:pPr>
        <w:numPr>
          <w:ilvl w:val="0"/>
          <w:numId w:val="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Production Costs</w:t>
      </w:r>
      <w:r w:rsidRPr="00936116">
        <w:rPr>
          <w:rFonts w:ascii="Times New Roman" w:eastAsia="Times New Roman" w:hAnsi="Times New Roman" w:cs="Times New Roman"/>
          <w:sz w:val="24"/>
          <w:szCs w:val="24"/>
        </w:rPr>
        <w:t>: The costs associated with farming inputs (e.g., seeds, fertilizers, labor) directly affect the wholesale prices paid by vendors. Rising input costs, driven by inflation or global supply chain disruptions, lead to higher retail prices (Adeosun et al., 2022).</w:t>
      </w:r>
    </w:p>
    <w:p w:rsidR="00E361A2" w:rsidRPr="00936116" w:rsidRDefault="00E361A2" w:rsidP="00936116">
      <w:pPr>
        <w:numPr>
          <w:ilvl w:val="0"/>
          <w:numId w:val="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Transportation Costs</w:t>
      </w:r>
      <w:r w:rsidRPr="00936116">
        <w:rPr>
          <w:rFonts w:ascii="Times New Roman" w:eastAsia="Times New Roman" w:hAnsi="Times New Roman" w:cs="Times New Roman"/>
          <w:sz w:val="24"/>
          <w:szCs w:val="24"/>
        </w:rPr>
        <w:t>: The movement of goods from rural farms to urban markets like Ipata incurs significant costs, particularly given Nigeria’s poor road infrastructure and high fuel prices. These costs are often passed on to consumers, contributing to price increases (Kabbiri et al., 2016).</w:t>
      </w:r>
    </w:p>
    <w:p w:rsidR="00E361A2" w:rsidRPr="00936116" w:rsidRDefault="00E361A2" w:rsidP="00936116">
      <w:pPr>
        <w:numPr>
          <w:ilvl w:val="0"/>
          <w:numId w:val="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Market Intermediary Margins</w:t>
      </w:r>
      <w:r w:rsidRPr="00936116">
        <w:rPr>
          <w:rFonts w:ascii="Times New Roman" w:eastAsia="Times New Roman" w:hAnsi="Times New Roman" w:cs="Times New Roman"/>
          <w:sz w:val="24"/>
          <w:szCs w:val="24"/>
        </w:rPr>
        <w:t>: Wholesalers and middlemen play a critical role in the supply chain, but their profit margins can inflate prices, reducing affordability for consumers and squeezing vendor profitability (Nordhagen, 2022).</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2.2.5</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Environmental Factors</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Environmental factors, particularly seasonality, are a critical component of the framework. Nigeria’s reliance on rainfed agriculture means that food production is highly sensitive to climatic conditions. During the rainy season (typically April to October), abundant harvests lead to increased supply and lower prices. In contrast, the dry season (November to March) is characterized by reduced agricultural output, resulting in supply shortages and higher prices (Adeosun et al., 2022). Seasonal variations also affect the quality and availability of perishable goods like vegetables, further contributing to price fluctuations. Climate change, </w:t>
      </w:r>
      <w:r w:rsidRPr="00936116">
        <w:rPr>
          <w:rFonts w:ascii="Times New Roman" w:eastAsia="Times New Roman" w:hAnsi="Times New Roman" w:cs="Times New Roman"/>
          <w:sz w:val="24"/>
          <w:szCs w:val="24"/>
        </w:rPr>
        <w:lastRenderedPageBreak/>
        <w:t>with its increasing frequency of extreme weather events, exacerbates these seasonal effects, posing additional challenges to market stability (Nordhagen, 2022).</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2.2.6</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Social and Cultural Factors</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framework also emphasizes the role of social and cultural factors in shaping price dynamics, drawing on the concept of the moral economy as articulated by Jackson et al. (2009). In traditional markets like Ipata, price-setting is not solely a function of economic rationality but is deeply embedded in social relationships and cultural norms. Key social and cultural factors include:</w:t>
      </w:r>
    </w:p>
    <w:p w:rsidR="00E361A2" w:rsidRPr="00936116" w:rsidRDefault="00E361A2" w:rsidP="00936116">
      <w:pPr>
        <w:numPr>
          <w:ilvl w:val="0"/>
          <w:numId w:val="10"/>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Bargaining Practices</w:t>
      </w:r>
      <w:r w:rsidRPr="00936116">
        <w:rPr>
          <w:rFonts w:ascii="Times New Roman" w:eastAsia="Times New Roman" w:hAnsi="Times New Roman" w:cs="Times New Roman"/>
          <w:sz w:val="24"/>
          <w:szCs w:val="24"/>
        </w:rPr>
        <w:t>: Bargaining is a cornerstone of transactions in Ipata Market, where prices are often negotiated based on trust, familiarity, and long-term relationships between vendors and consumers (Nordhagen, 2022). This practice allows for price flexibility but can also lead to disparities, as more skilled or connected consumers may secure better deals.</w:t>
      </w:r>
    </w:p>
    <w:p w:rsidR="00E361A2" w:rsidRPr="00936116" w:rsidRDefault="00E361A2" w:rsidP="00936116">
      <w:pPr>
        <w:numPr>
          <w:ilvl w:val="0"/>
          <w:numId w:val="10"/>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Credit Access</w:t>
      </w:r>
      <w:r w:rsidRPr="00936116">
        <w:rPr>
          <w:rFonts w:ascii="Times New Roman" w:eastAsia="Times New Roman" w:hAnsi="Times New Roman" w:cs="Times New Roman"/>
          <w:sz w:val="24"/>
          <w:szCs w:val="24"/>
        </w:rPr>
        <w:t>: Low-income consumers often rely on informal credit arrangements with vendors to purchase food, particularly during periods of price spikes. These arrangements are governed by trust and mutual understanding, reflecting the moral economy of the market (Ahmed et al., 2021).</w:t>
      </w:r>
    </w:p>
    <w:p w:rsidR="00E361A2" w:rsidRPr="00936116" w:rsidRDefault="00E361A2" w:rsidP="00936116">
      <w:pPr>
        <w:numPr>
          <w:ilvl w:val="0"/>
          <w:numId w:val="10"/>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Cultural Norms and Ethical Considerations</w:t>
      </w:r>
      <w:r w:rsidRPr="00936116">
        <w:rPr>
          <w:rFonts w:ascii="Times New Roman" w:eastAsia="Times New Roman" w:hAnsi="Times New Roman" w:cs="Times New Roman"/>
          <w:sz w:val="24"/>
          <w:szCs w:val="24"/>
        </w:rPr>
        <w:t>: Vendors in Ipata Market may adjust prices based on ethical considerations, such as offering discounts to loyal customers or those in financial distress. This aligns with the moral economy model, which emphasizes fairness and reciprocity in market interactions (Jackson et al., 2009). For example, vendors may lower prices during festive periods or for community members in need, reflecting cultural values of solidarity and communal support.</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2.2.7</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The Moral Economy Model</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moral economy model, as proposed by Jackson et al. (2009), is a critical component of the conceptual framework. This model posits that market transactions are not purely profit-driven but are shaped by ethical norms, social obligations, and interpersonal relationships. In Ipata Market, the moral economy manifests in several ways:</w:t>
      </w:r>
    </w:p>
    <w:p w:rsidR="00E361A2" w:rsidRPr="00936116" w:rsidRDefault="00E361A2" w:rsidP="00936116">
      <w:pPr>
        <w:numPr>
          <w:ilvl w:val="0"/>
          <w:numId w:val="11"/>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Trust-Based Transactions</w:t>
      </w:r>
      <w:r w:rsidRPr="00936116">
        <w:rPr>
          <w:rFonts w:ascii="Times New Roman" w:eastAsia="Times New Roman" w:hAnsi="Times New Roman" w:cs="Times New Roman"/>
          <w:sz w:val="24"/>
          <w:szCs w:val="24"/>
        </w:rPr>
        <w:t>: Vendors and consumers often build long-term relationships that influence pricing decisions. For instance, loyal customers may receive preferential prices or credit, which helps maintain market stability and fosters a sense of community (Nordhagen, 2022).</w:t>
      </w:r>
    </w:p>
    <w:p w:rsidR="00E361A2" w:rsidRPr="00936116" w:rsidRDefault="00E361A2" w:rsidP="00936116">
      <w:pPr>
        <w:numPr>
          <w:ilvl w:val="0"/>
          <w:numId w:val="11"/>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Reciprocity and Fairness</w:t>
      </w:r>
      <w:r w:rsidRPr="00936116">
        <w:rPr>
          <w:rFonts w:ascii="Times New Roman" w:eastAsia="Times New Roman" w:hAnsi="Times New Roman" w:cs="Times New Roman"/>
          <w:sz w:val="24"/>
          <w:szCs w:val="24"/>
        </w:rPr>
        <w:t xml:space="preserve">: Vendors may prioritize fairness over profit maximization, particularly when dealing with vulnerable consumers. This is evident in practices such </w:t>
      </w:r>
      <w:r w:rsidRPr="00936116">
        <w:rPr>
          <w:rFonts w:ascii="Times New Roman" w:eastAsia="Times New Roman" w:hAnsi="Times New Roman" w:cs="Times New Roman"/>
          <w:sz w:val="24"/>
          <w:szCs w:val="24"/>
        </w:rPr>
        <w:lastRenderedPageBreak/>
        <w:t>as offering smaller portions at reduced prices to accommodate low-income buyers (Ahmed et al., 2021).</w:t>
      </w:r>
    </w:p>
    <w:p w:rsidR="00E361A2" w:rsidRPr="00936116" w:rsidRDefault="00E361A2" w:rsidP="00936116">
      <w:pPr>
        <w:numPr>
          <w:ilvl w:val="0"/>
          <w:numId w:val="11"/>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Community Norms</w:t>
      </w:r>
      <w:r w:rsidRPr="00936116">
        <w:rPr>
          <w:rFonts w:ascii="Times New Roman" w:eastAsia="Times New Roman" w:hAnsi="Times New Roman" w:cs="Times New Roman"/>
          <w:sz w:val="24"/>
          <w:szCs w:val="24"/>
        </w:rPr>
        <w:t>: Cultural practices, such as communal support during economic hardship, influence price-setting behaviors. Vendors may avoid excessive price hikes during periods of scarcity to maintain social harmony, reflecting the moral economy’s emphasis on collective well-being (Jackson et al., 2009).</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2.2.8</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Integration of Factors</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conceptual framework integrates these economic, environmental, and social factors into a cohesive model that explains price dynamics in Ipata Market. Economic factors (e.g., production and transportation costs) set the baseline for price determination, while environmental factors (e.g., seasonality) introduce volatility. Social and cultural factors, mediated through the moral economy, modulate these economic and environmental influences by introducing flexibility and context-specific practices such as bargaining and credit provision. This interplay creates a dynamic pricing environment where prices are not fixed but negotiated within the constraints of supply, demand, and cultural norms.</w:t>
      </w:r>
    </w:p>
    <w:p w:rsidR="00E361A2" w:rsidRPr="00936116" w:rsidRDefault="00F325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2.2.9</w:t>
      </w:r>
      <w:r w:rsidR="00E5443F" w:rsidRPr="00936116">
        <w:rPr>
          <w:rFonts w:ascii="Times New Roman" w:eastAsia="Times New Roman" w:hAnsi="Times New Roman" w:cs="Times New Roman"/>
          <w:b/>
          <w:bCs/>
          <w:sz w:val="24"/>
          <w:szCs w:val="24"/>
        </w:rPr>
        <w:tab/>
      </w:r>
      <w:r w:rsidR="00E361A2" w:rsidRPr="00936116">
        <w:rPr>
          <w:rFonts w:ascii="Times New Roman" w:eastAsia="Times New Roman" w:hAnsi="Times New Roman" w:cs="Times New Roman"/>
          <w:b/>
          <w:bCs/>
          <w:sz w:val="24"/>
          <w:szCs w:val="24"/>
        </w:rPr>
        <w:t>Application to Ipata Market</w:t>
      </w:r>
    </w:p>
    <w:p w:rsidR="00E361A2" w:rsidRPr="00936116" w:rsidRDefault="00E361A2"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In the context of Ipata Market, the framework provides a structured approach to analyzing the prices of rice, beans, yam, and vegetables. For example, the high seasonality of yam production, coupled with transportation challenges, is expected to drive significant price fluctuations, as observed in similar Nigerian markets (Adeosun et al., 2022). Meanwhile, the social practice of bargaining may mitigate the impact of these fluctuations for some consumers, particularly those with established relationships with vendors. The moral economy model is particularly relevant in explaining why vendors may offer credit or discounts to low-income consumers, thereby enhancing food access despite economic constraints</w:t>
      </w:r>
    </w:p>
    <w:p w:rsidR="00E361A2" w:rsidRPr="00936116" w:rsidRDefault="00F325CB" w:rsidP="00936116">
      <w:pPr>
        <w:pStyle w:val="Heading2"/>
        <w:spacing w:before="0" w:beforeAutospacing="0" w:after="0" w:afterAutospacing="0" w:line="360" w:lineRule="auto"/>
        <w:jc w:val="both"/>
        <w:rPr>
          <w:sz w:val="24"/>
          <w:szCs w:val="24"/>
        </w:rPr>
      </w:pPr>
      <w:r w:rsidRPr="00936116">
        <w:rPr>
          <w:sz w:val="24"/>
          <w:szCs w:val="24"/>
        </w:rPr>
        <w:t>2.3</w:t>
      </w:r>
      <w:r w:rsidR="00E361A2" w:rsidRPr="00936116">
        <w:rPr>
          <w:sz w:val="24"/>
          <w:szCs w:val="24"/>
        </w:rPr>
        <w:t xml:space="preserve"> </w:t>
      </w:r>
      <w:r w:rsidR="00E5443F" w:rsidRPr="00936116">
        <w:rPr>
          <w:sz w:val="24"/>
          <w:szCs w:val="24"/>
        </w:rPr>
        <w:tab/>
      </w:r>
      <w:r w:rsidR="00E361A2" w:rsidRPr="00936116">
        <w:rPr>
          <w:sz w:val="24"/>
          <w:szCs w:val="24"/>
        </w:rPr>
        <w:t>Theoretical Framework</w:t>
      </w:r>
    </w:p>
    <w:p w:rsidR="00E361A2" w:rsidRPr="00936116" w:rsidRDefault="00E5443F" w:rsidP="00936116">
      <w:pPr>
        <w:pStyle w:val="Heading3"/>
        <w:spacing w:before="0" w:beforeAutospacing="0" w:after="0" w:afterAutospacing="0" w:line="360" w:lineRule="auto"/>
        <w:jc w:val="both"/>
        <w:rPr>
          <w:sz w:val="24"/>
          <w:szCs w:val="24"/>
        </w:rPr>
      </w:pPr>
      <w:r w:rsidRPr="00936116">
        <w:rPr>
          <w:sz w:val="24"/>
          <w:szCs w:val="24"/>
        </w:rPr>
        <w:t>2.</w:t>
      </w:r>
      <w:r w:rsidR="00F325CB" w:rsidRPr="00936116">
        <w:rPr>
          <w:sz w:val="24"/>
          <w:szCs w:val="24"/>
        </w:rPr>
        <w:t>3</w:t>
      </w:r>
      <w:r w:rsidRPr="00936116">
        <w:rPr>
          <w:sz w:val="24"/>
          <w:szCs w:val="24"/>
        </w:rPr>
        <w:t>.1</w:t>
      </w:r>
      <w:r w:rsidRPr="00936116">
        <w:rPr>
          <w:sz w:val="24"/>
          <w:szCs w:val="24"/>
        </w:rPr>
        <w:tab/>
      </w:r>
      <w:r w:rsidR="00E361A2" w:rsidRPr="00936116">
        <w:rPr>
          <w:sz w:val="24"/>
          <w:szCs w:val="24"/>
        </w:rPr>
        <w:t>Theory of Market Integration</w:t>
      </w:r>
    </w:p>
    <w:p w:rsidR="00E361A2" w:rsidRPr="00936116" w:rsidRDefault="00E361A2" w:rsidP="00936116">
      <w:pPr>
        <w:pStyle w:val="NormalWeb"/>
        <w:spacing w:before="0" w:beforeAutospacing="0" w:after="0" w:afterAutospacing="0" w:line="360" w:lineRule="auto"/>
        <w:jc w:val="both"/>
      </w:pPr>
      <w:r w:rsidRPr="00936116">
        <w:t xml:space="preserve">The theory of market integration, as articulated by Kabbiri et al. (2016), posits that prices in interconnected markets are determined by the flow of goods, information, and resources across supply chains, as well as by external shocks that disrupt these flows. Market integration refers to the degree to which markets are linked through trade, transportation, and communication, enabling price signals to be transmitted from one market to another. In the context of food markets, this theory emphasizes the role of supply chain dynamics—such as production, distribution, and retail—in shaping price levels and volatility. External shocks, </w:t>
      </w:r>
      <w:r w:rsidRPr="00936116">
        <w:lastRenderedPageBreak/>
        <w:t>such as climatic variability, policy changes, or economic crises, can disrupt these dynamics, leading to price fluctuations that ripple across interconnected markets (Kabbiri et al., 2016).</w:t>
      </w:r>
    </w:p>
    <w:p w:rsidR="00E361A2" w:rsidRPr="00936116" w:rsidRDefault="00E361A2" w:rsidP="00936116">
      <w:pPr>
        <w:pStyle w:val="NormalWeb"/>
        <w:spacing w:before="0" w:beforeAutospacing="0" w:after="0" w:afterAutospacing="0" w:line="360" w:lineRule="auto"/>
        <w:jc w:val="both"/>
      </w:pPr>
      <w:r w:rsidRPr="00936116">
        <w:t>In Ipata Market, the theory of market integration is highly relevant due to its position as a regional hub that connects rural agricultural producers to urban consumers in Ilorin. The market is integrated into broader food supply chains, relying on wholesalers and intermediaries who source goods from rural areas and other regions of Nigeria. For instance, rice and beans may be sourced from northern Nigeria, while yam and vegetables are often supplied by local farmers in Kwara State (Adeosun et al., 2022). The efficiency of these supply chains, including transportation infrastructure and storage facilities, directly influences the availability and cost of food items in Ipata Market. Poor road networks, high fuel costs, and inadequate storage, common challenges in Nigeria, increase transaction costs and contribute to price volatility (Kabbiri et al., 2016).</w:t>
      </w:r>
    </w:p>
    <w:p w:rsidR="00E361A2" w:rsidRPr="00936116" w:rsidRDefault="00E361A2" w:rsidP="00936116">
      <w:pPr>
        <w:pStyle w:val="NormalWeb"/>
        <w:spacing w:before="0" w:beforeAutospacing="0" w:after="0" w:afterAutospacing="0" w:line="360" w:lineRule="auto"/>
        <w:jc w:val="both"/>
      </w:pPr>
      <w:r w:rsidRPr="00936116">
        <w:t>External shocks further exacerbate price instability in integrated markets. In Nigeria, where agriculture is predominantly rainfed, seasonal variations act as a significant environmental shock, reducing supply during the dry season and driving up prices (Nordhagen, 2022). Other shocks, such as inflationary pressures, currency devaluation, or global supply chain disruptions (e.g., rising fertilizer costs), can increase production and transportation costs, which are passed on to consumers in markets like Ipata (Adeosun et al., 2022). The theory of market integration thus provides a framework to analyze how these structural factors—supply chain inefficiencies and external shocks—shape the prices of rice, beans, yam, and vegetables in Ipata Market.</w:t>
      </w:r>
    </w:p>
    <w:p w:rsidR="00E361A2" w:rsidRPr="00936116" w:rsidRDefault="00E361A2" w:rsidP="00936116">
      <w:pPr>
        <w:pStyle w:val="NormalWeb"/>
        <w:spacing w:before="0" w:beforeAutospacing="0" w:after="0" w:afterAutospacing="0" w:line="360" w:lineRule="auto"/>
        <w:jc w:val="both"/>
      </w:pPr>
      <w:r w:rsidRPr="00936116">
        <w:t>The theory also highlights the role of market intermediaries, such as wholesalers and transporters, who act as critical nodes in the supply chain. These intermediaries facilitate the movement of goods but often impose significant markups, which inflate retail prices and reduce vendor profitability (Kabbiri et al., 2016). In Ipata Market, intermediaries play a pivotal role in determining the wholesale prices paid by vendors, which in turn influence retail prices. The theory of market integration enables the study to examine how these intermediary dynamics, combined with supply chain constraints, contribute to price volatility and affect market actors.</w:t>
      </w:r>
    </w:p>
    <w:p w:rsidR="00E361A2" w:rsidRPr="00936116" w:rsidRDefault="00E5443F" w:rsidP="00936116">
      <w:pPr>
        <w:pStyle w:val="Heading3"/>
        <w:spacing w:before="0" w:beforeAutospacing="0" w:after="0" w:afterAutospacing="0" w:line="360" w:lineRule="auto"/>
        <w:jc w:val="both"/>
        <w:rPr>
          <w:sz w:val="24"/>
          <w:szCs w:val="24"/>
        </w:rPr>
      </w:pPr>
      <w:r w:rsidRPr="00936116">
        <w:rPr>
          <w:sz w:val="24"/>
          <w:szCs w:val="24"/>
        </w:rPr>
        <w:t>2.</w:t>
      </w:r>
      <w:r w:rsidR="00F325CB" w:rsidRPr="00936116">
        <w:rPr>
          <w:sz w:val="24"/>
          <w:szCs w:val="24"/>
        </w:rPr>
        <w:t>3</w:t>
      </w:r>
      <w:r w:rsidRPr="00936116">
        <w:rPr>
          <w:sz w:val="24"/>
          <w:szCs w:val="24"/>
        </w:rPr>
        <w:t>.2</w:t>
      </w:r>
      <w:r w:rsidRPr="00936116">
        <w:rPr>
          <w:sz w:val="24"/>
          <w:szCs w:val="24"/>
        </w:rPr>
        <w:tab/>
      </w:r>
      <w:r w:rsidR="00E361A2" w:rsidRPr="00936116">
        <w:rPr>
          <w:sz w:val="24"/>
          <w:szCs w:val="24"/>
        </w:rPr>
        <w:t>Theory of Moral Economy</w:t>
      </w:r>
    </w:p>
    <w:p w:rsidR="00E361A2" w:rsidRPr="00936116" w:rsidRDefault="00E361A2" w:rsidP="00936116">
      <w:pPr>
        <w:pStyle w:val="NormalWeb"/>
        <w:spacing w:before="0" w:beforeAutospacing="0" w:after="0" w:afterAutospacing="0" w:line="360" w:lineRule="auto"/>
        <w:jc w:val="both"/>
      </w:pPr>
      <w:r w:rsidRPr="00936116">
        <w:t xml:space="preserve">Complementing the market integration theory, the theory of moral economy, as proposed by Jackson et al. (2009), emphasizes the role of ethical considerations, social norms, and interpersonal relationships in shaping market transactions. The moral economy framework challenges the assumption that markets operate solely on principles of profit maximization </w:t>
      </w:r>
      <w:r w:rsidRPr="00936116">
        <w:lastRenderedPageBreak/>
        <w:t>and rational choice, arguing instead that economic behavior is embedded in social and cultural contexts. In traditional markets, transactions are governed not only by supply and demand but also by shared values, trust, and reciprocal obligations that prioritize fairness and community well-being (Jackson et al., 2009).</w:t>
      </w:r>
    </w:p>
    <w:p w:rsidR="00E361A2" w:rsidRPr="00936116" w:rsidRDefault="00E361A2" w:rsidP="00936116">
      <w:pPr>
        <w:pStyle w:val="NormalWeb"/>
        <w:spacing w:before="0" w:beforeAutospacing="0" w:after="0" w:afterAutospacing="0" w:line="360" w:lineRule="auto"/>
        <w:jc w:val="both"/>
      </w:pPr>
      <w:r w:rsidRPr="00936116">
        <w:t>In Ipata Market, the moral economy is evident in the social practices that mediate price-setting and market interactions. For example, vendors often engage in bargaining with consumers, a practice rooted in cultural norms that allow for price flexibility based on trust and familiarity (Nordhagen, 2022). Long-term relationships between vendors and consumers foster a sense of loyalty, enabling consumers to negotiate better prices or access informal credit during periods of financial hardship (Ahmed et al., 2021). These credit arrangements, where vendors allow consumers to purchase food on deferred payment terms, reflect the moral economy’s emphasis on reciprocity and mutual support.</w:t>
      </w:r>
    </w:p>
    <w:p w:rsidR="00E361A2" w:rsidRPr="00936116" w:rsidRDefault="00E361A2" w:rsidP="00936116">
      <w:pPr>
        <w:pStyle w:val="NormalWeb"/>
        <w:spacing w:before="0" w:beforeAutospacing="0" w:after="0" w:afterAutospacing="0" w:line="360" w:lineRule="auto"/>
        <w:jc w:val="both"/>
      </w:pPr>
      <w:r w:rsidRPr="00936116">
        <w:t>The moral economy also manifests in vendors’ ethical pricing decisions. Rather than maximizing profits during periods of scarcity, vendors may limit price increases to maintain affordability for low-income consumers, particularly those with whom they have established relationships (Jackson et al., 2009). This practice aligns with cultural values of solidarity and communal responsibility, which are prevalent in Nigerian markets (Nordhagen, 2022). For instance, vendors may offer discounts to loyal customers, provide smaller portions at reduced prices, or adjust prices during festive periods to accommodate community needs. These behaviors reflect a moral economy where economic transactions are guided by social obligations and ethical norms, rather than purely competitive market forces.</w:t>
      </w:r>
    </w:p>
    <w:p w:rsidR="00E361A2" w:rsidRPr="00936116" w:rsidRDefault="00E361A2" w:rsidP="00936116">
      <w:pPr>
        <w:pStyle w:val="NormalWeb"/>
        <w:spacing w:before="0" w:beforeAutospacing="0" w:after="0" w:afterAutospacing="0" w:line="360" w:lineRule="auto"/>
        <w:jc w:val="both"/>
      </w:pPr>
      <w:r w:rsidRPr="00936116">
        <w:t>The moral economy framework is particularly relevant in Ipa</w:t>
      </w:r>
      <w:r w:rsidR="00E5443F" w:rsidRPr="00936116">
        <w:t xml:space="preserve">ta Market, where social capital </w:t>
      </w:r>
      <w:r w:rsidRPr="00936116">
        <w:t>built through trust, reciprocity, and community ties—plays a significant role in market stability. Vendors and consumers operate within a shared cultural context that values fairness and cooperation, which helps mitigate the adverse effects of price volatility (Ahmed et al., 2021). For example, during periods of price spikes, vendors may absorb some cost increases to maintain customer loyalty, while consumers may rely on credit or bargaining to cope with higher prices. The moral economy thus provides a lens to understand how social and cultural factors modulate economic pressures in Ipata Market.</w:t>
      </w:r>
    </w:p>
    <w:p w:rsidR="00E361A2" w:rsidRPr="00936116" w:rsidRDefault="00E5443F" w:rsidP="00936116">
      <w:pPr>
        <w:pStyle w:val="Heading3"/>
        <w:spacing w:before="0" w:beforeAutospacing="0" w:after="0" w:afterAutospacing="0" w:line="360" w:lineRule="auto"/>
        <w:jc w:val="both"/>
        <w:rPr>
          <w:sz w:val="24"/>
          <w:szCs w:val="24"/>
        </w:rPr>
      </w:pPr>
      <w:r w:rsidRPr="00936116">
        <w:rPr>
          <w:sz w:val="24"/>
          <w:szCs w:val="24"/>
        </w:rPr>
        <w:t>2.</w:t>
      </w:r>
      <w:r w:rsidR="00F325CB" w:rsidRPr="00936116">
        <w:rPr>
          <w:sz w:val="24"/>
          <w:szCs w:val="24"/>
        </w:rPr>
        <w:t>3</w:t>
      </w:r>
      <w:r w:rsidRPr="00936116">
        <w:rPr>
          <w:sz w:val="24"/>
          <w:szCs w:val="24"/>
        </w:rPr>
        <w:t>.3</w:t>
      </w:r>
      <w:r w:rsidRPr="00936116">
        <w:rPr>
          <w:sz w:val="24"/>
          <w:szCs w:val="24"/>
        </w:rPr>
        <w:tab/>
      </w:r>
      <w:r w:rsidR="00E361A2" w:rsidRPr="00936116">
        <w:rPr>
          <w:sz w:val="24"/>
          <w:szCs w:val="24"/>
        </w:rPr>
        <w:t>Integration of Theories</w:t>
      </w:r>
    </w:p>
    <w:p w:rsidR="00E361A2" w:rsidRPr="00936116" w:rsidRDefault="00E361A2" w:rsidP="00936116">
      <w:pPr>
        <w:pStyle w:val="NormalWeb"/>
        <w:spacing w:before="0" w:beforeAutospacing="0" w:after="0" w:afterAutospacing="0" w:line="360" w:lineRule="auto"/>
        <w:jc w:val="both"/>
      </w:pPr>
      <w:r w:rsidRPr="00936116">
        <w:t xml:space="preserve">The integration of the market integration and moral economy theories creates a comprehensive framework for analyzing price dynamics in Ipata Market. The market integration theory focuses on the structural and economic factors driving prices, such as supply chain dynamics, external shocks, and intermediary margins. It explains how prices are </w:t>
      </w:r>
      <w:r w:rsidRPr="00936116">
        <w:lastRenderedPageBreak/>
        <w:t>shaped by the broader market system and its vulnerabilities, providing a macro-level perspective on price volatility (Kabbiri et al., 2016). In contrast, the moral economy theory offers a micro-level perspective, highlighting the social and cultural practices that mediate economic transactions within the market. It explains how vendors and consumers navigate economic constraints through trust-based relationships, bargaining, and ethical pricing (Jackson et al., 2009).</w:t>
      </w:r>
    </w:p>
    <w:p w:rsidR="00E361A2" w:rsidRPr="00936116" w:rsidRDefault="00E361A2" w:rsidP="00936116">
      <w:pPr>
        <w:pStyle w:val="NormalWeb"/>
        <w:spacing w:before="0" w:beforeAutospacing="0" w:after="0" w:afterAutospacing="0" w:line="360" w:lineRule="auto"/>
        <w:jc w:val="both"/>
      </w:pPr>
      <w:r w:rsidRPr="00936116">
        <w:t>Together, these theories capture the dual nature of Ipata Market as both an economic institution integrated into regional supply chains and a social institution embedded in cultural norms. For instance, the market integration theory explains why prices of yam may surge during the dry season due to reduced supply and high transportation costs, while the moral economy theory elucidates why vendors may offer credit or discounts to low-income consumers to mitigate the impact of these price increases. By combining these perspectives, the framework provides a holistic understanding of the factors influencing prices and their implications for market actors.</w:t>
      </w:r>
    </w:p>
    <w:p w:rsidR="00E361A2" w:rsidRPr="00936116" w:rsidRDefault="00E361A2" w:rsidP="00936116">
      <w:pPr>
        <w:pStyle w:val="Heading2"/>
        <w:spacing w:before="0" w:beforeAutospacing="0" w:after="0" w:afterAutospacing="0" w:line="360" w:lineRule="auto"/>
        <w:jc w:val="both"/>
        <w:rPr>
          <w:sz w:val="24"/>
          <w:szCs w:val="24"/>
        </w:rPr>
      </w:pPr>
      <w:r w:rsidRPr="00936116">
        <w:rPr>
          <w:sz w:val="24"/>
          <w:szCs w:val="24"/>
        </w:rPr>
        <w:t>2.</w:t>
      </w:r>
      <w:r w:rsidR="00F325CB" w:rsidRPr="00936116">
        <w:rPr>
          <w:sz w:val="24"/>
          <w:szCs w:val="24"/>
        </w:rPr>
        <w:t>4</w:t>
      </w:r>
      <w:r w:rsidRPr="00936116">
        <w:rPr>
          <w:sz w:val="24"/>
          <w:szCs w:val="24"/>
        </w:rPr>
        <w:t xml:space="preserve"> Empirical Review</w:t>
      </w:r>
    </w:p>
    <w:p w:rsidR="00E5443F" w:rsidRPr="00936116" w:rsidRDefault="00E361A2" w:rsidP="00936116">
      <w:pPr>
        <w:pStyle w:val="NormalWeb"/>
        <w:spacing w:before="0" w:beforeAutospacing="0" w:after="0" w:afterAutospacing="0" w:line="360" w:lineRule="auto"/>
        <w:jc w:val="both"/>
      </w:pPr>
      <w:r w:rsidRPr="00936116">
        <w:t xml:space="preserve">Several studies highlight the economic drivers of food price volatility in Nigerian markets, emphasizing supply chain inefficiencies, production costs, and external shocks. </w:t>
      </w:r>
    </w:p>
    <w:p w:rsidR="00E5443F" w:rsidRPr="00936116" w:rsidRDefault="00E361A2" w:rsidP="00936116">
      <w:pPr>
        <w:pStyle w:val="NormalWeb"/>
        <w:spacing w:before="0" w:beforeAutospacing="0" w:after="0" w:afterAutospacing="0" w:line="360" w:lineRule="auto"/>
        <w:jc w:val="both"/>
      </w:pPr>
      <w:r w:rsidRPr="00936116">
        <w:t xml:space="preserve">Adeosun et al. (2022) investigated informal food vending in urban Nigeria, noting that prices are heavily influenced by production costs, including inputs such as seeds, fertilizers, and labor. Rising costs due to inflation and global supply chain disruptions, such as those experienced during the COVID-19 pandemic, have increased wholesale prices, which are passed on to consumers in markets like Ipata. </w:t>
      </w:r>
    </w:p>
    <w:p w:rsidR="00E361A2" w:rsidRPr="00936116" w:rsidRDefault="00E361A2" w:rsidP="00936116">
      <w:pPr>
        <w:pStyle w:val="NormalWeb"/>
        <w:spacing w:before="0" w:beforeAutospacing="0" w:after="0" w:afterAutospacing="0" w:line="360" w:lineRule="auto"/>
        <w:jc w:val="both"/>
      </w:pPr>
      <w:r w:rsidRPr="00936116">
        <w:t>Similarly, Kabbiri et al. (2016) conducted a global review of food market integration,</w:t>
      </w:r>
      <w:r w:rsidR="00E5443F" w:rsidRPr="00936116">
        <w:t xml:space="preserve"> finding that transaction costs </w:t>
      </w:r>
      <w:r w:rsidRPr="00936116">
        <w:t>driven by transportation, st</w:t>
      </w:r>
      <w:r w:rsidR="00E5443F" w:rsidRPr="00936116">
        <w:t xml:space="preserve">orage, and intermediary margins </w:t>
      </w:r>
      <w:r w:rsidRPr="00936116">
        <w:t>are significant contributors to price volatility in developing countries. In Nigeria, poor road infrastructure and high fuel costs exacerbate transportation expenses, inflating retail prices and reducing vendor profitability.</w:t>
      </w:r>
    </w:p>
    <w:p w:rsidR="00E361A2" w:rsidRPr="00936116" w:rsidRDefault="00E361A2" w:rsidP="00936116">
      <w:pPr>
        <w:pStyle w:val="NormalWeb"/>
        <w:spacing w:before="0" w:beforeAutospacing="0" w:after="0" w:afterAutospacing="0" w:line="360" w:lineRule="auto"/>
        <w:jc w:val="both"/>
      </w:pPr>
      <w:r w:rsidRPr="00936116">
        <w:t>Nordhagen (2022) examined food safety and market practices in Nigeria, highlighting how seasonal variations in agricultural output lead to supply shortages during the dry season, driving up prices of staple foods like yam and vegetables. Adeosun et al. (2022) corroborated this, noting that price spikes during the dry season disproportionately affect low-income consumers, who spend a large share of their income on food. These findings are directly applicable to Ipata Market, where seasonal fluctuations in the supply of rice, beans, yam, and vegetables are expected to influence price trends.</w:t>
      </w:r>
    </w:p>
    <w:p w:rsidR="00E361A2" w:rsidRPr="00936116" w:rsidRDefault="00E361A2" w:rsidP="00936116">
      <w:pPr>
        <w:pStyle w:val="NormalWeb"/>
        <w:spacing w:before="0" w:beforeAutospacing="0" w:after="0" w:afterAutospacing="0" w:line="360" w:lineRule="auto"/>
        <w:jc w:val="both"/>
      </w:pPr>
      <w:r w:rsidRPr="00936116">
        <w:lastRenderedPageBreak/>
        <w:t>External economic shocks, such as currency devaluation and global commodity price fluctuations, further contribute to price instability. For instance, Kabbiri et al. (2016) noted that Nigeria’s dependence on imported agricultural inputs, such as fertilizers, exposes local markets to global price shocks, which ripple through the supply chain to affect retail prices. These economic factors underscore the structural challenges facing traditional markets like Ipata, where vendors and consumers navigate a volatile pricing environment shaped by both local and global forces.</w:t>
      </w:r>
    </w:p>
    <w:p w:rsidR="00E361A2" w:rsidRPr="00936116" w:rsidRDefault="00E361A2" w:rsidP="00936116">
      <w:pPr>
        <w:pStyle w:val="NormalWeb"/>
        <w:spacing w:before="0" w:beforeAutospacing="0" w:after="0" w:afterAutospacing="0" w:line="360" w:lineRule="auto"/>
        <w:jc w:val="both"/>
      </w:pPr>
      <w:r w:rsidRPr="00936116">
        <w:t>Nordhagen (2022) conducted a case study in Birnin Kebbi, Nigeria, finding that vendors rely on trust-based relationships to maintain customer loyalty, which influences pricing decisions. Consumers frequently negotiate prices based on personal connections with vendors, a practice rooted in cultural norms of bargaining. This aligns with Adeosun et al. (2022), who highlighted the social practices of informal food vending, noting that vendors often offer discounts or flexible payment terms to loyal customers to sustain long-term relationships. These trust-based interactions create a moral economy, as described by Jackson et al. (2009), where fairness and reciprocity guide market transactions.</w:t>
      </w:r>
    </w:p>
    <w:p w:rsidR="00E361A2" w:rsidRPr="00936116" w:rsidRDefault="00E361A2" w:rsidP="00936116">
      <w:pPr>
        <w:pStyle w:val="NormalWeb"/>
        <w:spacing w:before="0" w:beforeAutospacing="0" w:after="0" w:afterAutospacing="0" w:line="360" w:lineRule="auto"/>
        <w:jc w:val="both"/>
      </w:pPr>
      <w:r w:rsidRPr="00936116">
        <w:t>Credit access is another critical social factor in traditional markets. Nordhagen (2022) emphasized that low-income consumers often rely on informal credit arrangements with vendors to purchase food during periods of price spikes or financial hardship. These arrangements, based on mutual trust, enable consumers to maintain food access despite economic constraints. Ahmed et al. (2021) similarly noted the prevalence of credit in low- and middle-income country markets, highlighting its role in enhancing food security for vulnerable populations. In Ipata Market, such practices are expected to be prominent, given the diverse consumer base and the socio-economic challenges faced by low-income households.</w:t>
      </w:r>
    </w:p>
    <w:p w:rsidR="00E361A2" w:rsidRPr="00936116" w:rsidRDefault="00E361A2" w:rsidP="00936116">
      <w:pPr>
        <w:pStyle w:val="NormalWeb"/>
        <w:spacing w:before="0" w:beforeAutospacing="0" w:after="0" w:afterAutospacing="0" w:line="360" w:lineRule="auto"/>
        <w:jc w:val="both"/>
      </w:pPr>
      <w:r w:rsidRPr="00936116">
        <w:t>Cultural norms also shape pricing behaviors. Jackson et al. (2009) introduced the concept of moral economy, arguing that market transactions are embedded in ethical considerations and community values. In Nigerian markets, vendors may limit price increases during periods of scarcity to maintain affordability for consumers, reflecting cultural values of solidarity (Nordhagen, 2022). For example, vendors may offer smaller portions at reduced prices or provide discounts during festive periods to accommodate community needs. These findings suggest that social and cultural factors in Ipata Market will significantly influence price-setting, particularly through bargaining, credit provision, and ethical pricing practices.</w:t>
      </w:r>
    </w:p>
    <w:p w:rsidR="00CA63CB" w:rsidRPr="00936116" w:rsidRDefault="00CA63CB" w:rsidP="00936116">
      <w:pPr>
        <w:spacing w:after="0" w:line="360" w:lineRule="auto"/>
        <w:jc w:val="both"/>
        <w:rPr>
          <w:rFonts w:ascii="Times New Roman" w:eastAsia="Times New Roman" w:hAnsi="Times New Roman" w:cs="Times New Roman"/>
          <w:sz w:val="24"/>
          <w:szCs w:val="24"/>
        </w:rPr>
      </w:pPr>
    </w:p>
    <w:p w:rsidR="00E361A2" w:rsidRPr="00936116" w:rsidRDefault="00E361A2" w:rsidP="00936116">
      <w:pPr>
        <w:spacing w:after="0" w:line="360" w:lineRule="auto"/>
        <w:jc w:val="both"/>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br w:type="page"/>
      </w:r>
    </w:p>
    <w:p w:rsidR="00120FC6" w:rsidRDefault="00E5443F" w:rsidP="00936116">
      <w:pPr>
        <w:spacing w:after="0" w:line="360" w:lineRule="auto"/>
        <w:jc w:val="center"/>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lastRenderedPageBreak/>
        <w:t>CHAPTER THREE</w:t>
      </w:r>
    </w:p>
    <w:p w:rsidR="00CA63CB" w:rsidRPr="00936116" w:rsidRDefault="00E5443F" w:rsidP="00936116">
      <w:pPr>
        <w:spacing w:after="0" w:line="360" w:lineRule="auto"/>
        <w:jc w:val="center"/>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METHODOLOGY</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3.1 Research Design</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study employs a mixed-methods research design, combining quantitative and qualitative approaches. Quantitative data on food prices were collected to analyze trends and test hypotheses, while qualitative data from interviews provided insights into social and cultural factors influencing prices. This approach aligns with Nordhagen’s (2022) use of focused ethnography in market studies.</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3.2 Sample Size and Sampling Technique</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study targeted 100 respondents, including 50 vendors and 50 consumers in Ipata Market. A purposive sampling technique was used to select participants based on their involvement in trading or purchasing the selected food items (rice, beans, yam, and vegetables). This sample size ensures adequate representation while accounting for resource constraints.</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3.3 Population of the Study</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The population comprises all vendors and consumers in Ipata Market, estimated at over 5,000 individuals based on market surveys. The focus on staple food vendors and regular consumers ensures relevance to the study’s objectives.</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3.4 Methods of Data Collection</w:t>
      </w:r>
    </w:p>
    <w:p w:rsidR="00CA63CB" w:rsidRPr="00936116" w:rsidRDefault="00CA63CB"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Data were collected through:</w:t>
      </w:r>
    </w:p>
    <w:p w:rsidR="00CA63CB" w:rsidRPr="00936116" w:rsidRDefault="00CA63CB" w:rsidP="00936116">
      <w:pPr>
        <w:numPr>
          <w:ilvl w:val="0"/>
          <w:numId w:val="6"/>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Surveys</w:t>
      </w:r>
      <w:r w:rsidRPr="00936116">
        <w:rPr>
          <w:rFonts w:ascii="Times New Roman" w:eastAsia="Times New Roman" w:hAnsi="Times New Roman" w:cs="Times New Roman"/>
          <w:sz w:val="24"/>
          <w:szCs w:val="24"/>
        </w:rPr>
        <w:t>: Structured questionnaires administered to 50 vendors and 50 consumers to gather data on prices, purchasing behavior, and vendor strategies.</w:t>
      </w:r>
    </w:p>
    <w:p w:rsidR="00CA63CB" w:rsidRPr="00936116" w:rsidRDefault="00CA63CB" w:rsidP="00936116">
      <w:pPr>
        <w:numPr>
          <w:ilvl w:val="0"/>
          <w:numId w:val="6"/>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Interviews</w:t>
      </w:r>
      <w:r w:rsidRPr="00936116">
        <w:rPr>
          <w:rFonts w:ascii="Times New Roman" w:eastAsia="Times New Roman" w:hAnsi="Times New Roman" w:cs="Times New Roman"/>
          <w:sz w:val="24"/>
          <w:szCs w:val="24"/>
        </w:rPr>
        <w:t>: In-depth interviews with 20 vendors and 20 consumers to explore social and cultural influences on pricing.</w:t>
      </w:r>
    </w:p>
    <w:p w:rsidR="00CA63CB" w:rsidRPr="00936116" w:rsidRDefault="00CA63CB" w:rsidP="00936116">
      <w:pPr>
        <w:numPr>
          <w:ilvl w:val="0"/>
          <w:numId w:val="6"/>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Market Observations</w:t>
      </w:r>
      <w:r w:rsidRPr="00936116">
        <w:rPr>
          <w:rFonts w:ascii="Times New Roman" w:eastAsia="Times New Roman" w:hAnsi="Times New Roman" w:cs="Times New Roman"/>
          <w:sz w:val="24"/>
          <w:szCs w:val="24"/>
        </w:rPr>
        <w:t>: Weekly visits to Ipata Market from January to June 2025 to record price changes and market dynamics.</w:t>
      </w:r>
    </w:p>
    <w:p w:rsidR="00CA63CB" w:rsidRPr="00936116" w:rsidRDefault="00CA63CB" w:rsidP="00936116">
      <w:pPr>
        <w:spacing w:after="0" w:line="360" w:lineRule="auto"/>
        <w:jc w:val="both"/>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3.5 Methods of Data Analysis</w:t>
      </w:r>
    </w:p>
    <w:p w:rsidR="00E361A2" w:rsidRPr="00936116" w:rsidRDefault="00320AD4" w:rsidP="00936116">
      <w:pPr>
        <w:spacing w:after="0" w:line="360" w:lineRule="auto"/>
        <w:jc w:val="both"/>
        <w:rPr>
          <w:rFonts w:ascii="Times New Roman" w:eastAsia="Times New Roman" w:hAnsi="Times New Roman" w:cs="Times New Roman"/>
          <w:b/>
          <w:bCs/>
          <w:sz w:val="24"/>
          <w:szCs w:val="24"/>
        </w:rPr>
      </w:pPr>
      <w:r w:rsidRPr="00936116">
        <w:rPr>
          <w:rFonts w:ascii="Times New Roman" w:hAnsi="Times New Roman" w:cs="Times New Roman"/>
          <w:sz w:val="24"/>
          <w:szCs w:val="24"/>
        </w:rPr>
        <w:t>The analysis employs three price indices: Laspeyres Price Index, Paasche’s Price Index, and Fisher’s Ideal Index, to measure the aggregate price changes while considering the quantities consumed. The results provide insights into the cost of living and purchasing power for the food basket over the two years. The data, calculations, and interpretations are presented to assess the economic implications of the observed changes</w:t>
      </w:r>
      <w:r w:rsidR="00E361A2" w:rsidRPr="00936116">
        <w:rPr>
          <w:rFonts w:ascii="Times New Roman" w:eastAsia="Times New Roman" w:hAnsi="Times New Roman" w:cs="Times New Roman"/>
          <w:b/>
          <w:bCs/>
          <w:sz w:val="24"/>
          <w:szCs w:val="24"/>
        </w:rPr>
        <w:br w:type="page"/>
      </w:r>
    </w:p>
    <w:p w:rsidR="001349CE" w:rsidRPr="00936116" w:rsidRDefault="001349CE" w:rsidP="00936116">
      <w:pPr>
        <w:pStyle w:val="BodyText"/>
        <w:spacing w:line="360" w:lineRule="auto"/>
        <w:ind w:left="23" w:right="29"/>
        <w:jc w:val="center"/>
        <w:rPr>
          <w:b/>
        </w:rPr>
      </w:pPr>
      <w:r w:rsidRPr="00936116">
        <w:rPr>
          <w:b/>
        </w:rPr>
        <w:lastRenderedPageBreak/>
        <w:t>CHAPTER FOUR</w:t>
      </w:r>
    </w:p>
    <w:p w:rsidR="001349CE" w:rsidRPr="00936116" w:rsidRDefault="001349CE" w:rsidP="00936116">
      <w:pPr>
        <w:pStyle w:val="BodyText"/>
        <w:spacing w:line="360" w:lineRule="auto"/>
        <w:ind w:left="23" w:right="29"/>
        <w:jc w:val="center"/>
      </w:pPr>
      <w:r w:rsidRPr="00936116">
        <w:rPr>
          <w:b/>
        </w:rPr>
        <w:t>ANALYSIS AND INTERPRETATION</w:t>
      </w:r>
    </w:p>
    <w:p w:rsidR="001349CE" w:rsidRPr="00936116" w:rsidRDefault="001349CE" w:rsidP="00936116">
      <w:pPr>
        <w:pStyle w:val="BodyText"/>
        <w:spacing w:line="360" w:lineRule="auto"/>
        <w:ind w:left="23" w:right="29"/>
        <w:jc w:val="both"/>
      </w:pPr>
    </w:p>
    <w:p w:rsidR="001349CE" w:rsidRPr="00936116" w:rsidRDefault="001349CE" w:rsidP="00936116">
      <w:pPr>
        <w:pStyle w:val="BodyText"/>
        <w:spacing w:line="360" w:lineRule="auto"/>
        <w:ind w:left="23" w:right="29"/>
        <w:jc w:val="both"/>
        <w:rPr>
          <w:b/>
        </w:rPr>
      </w:pPr>
      <w:r w:rsidRPr="00936116">
        <w:rPr>
          <w:b/>
        </w:rPr>
        <w:t>4.1 Introduction</w:t>
      </w:r>
    </w:p>
    <w:p w:rsidR="001349CE" w:rsidRPr="00936116" w:rsidRDefault="001349CE" w:rsidP="00936116">
      <w:pPr>
        <w:pStyle w:val="BodyText"/>
        <w:spacing w:line="360" w:lineRule="auto"/>
        <w:ind w:left="23" w:right="29"/>
        <w:jc w:val="both"/>
      </w:pPr>
      <w:r w:rsidRPr="00936116">
        <w:t>This chapter presents the analysis and interpretation of the price and quantity changes for selected food items between 2024 (base year) and 2025 (current year). The analysis employs three price indices: Laspeyres Price Index, Paasche’s Price Index, and Fisher’s Ideal Index, to measure the aggregate price changes while considering the quantities consumed. The results provide insights into the cost of living and purchasing power for the food basket over the two years. The data, calculations, and interpretations are presented to assess the economic implications of the observed changes.</w:t>
      </w:r>
    </w:p>
    <w:p w:rsidR="001349CE" w:rsidRPr="00936116" w:rsidRDefault="001349CE" w:rsidP="00936116">
      <w:pPr>
        <w:pStyle w:val="Heading1"/>
        <w:spacing w:before="0" w:beforeAutospacing="0" w:after="0" w:afterAutospacing="0" w:line="360" w:lineRule="auto"/>
        <w:ind w:right="29"/>
        <w:jc w:val="both"/>
        <w:rPr>
          <w:sz w:val="24"/>
          <w:szCs w:val="24"/>
        </w:rPr>
      </w:pPr>
      <w:r w:rsidRPr="00936116">
        <w:rPr>
          <w:spacing w:val="-4"/>
          <w:w w:val="105"/>
          <w:sz w:val="24"/>
          <w:szCs w:val="24"/>
        </w:rPr>
        <w:t>4.2</w:t>
      </w:r>
      <w:r w:rsidRPr="00936116">
        <w:rPr>
          <w:spacing w:val="-4"/>
          <w:w w:val="105"/>
          <w:sz w:val="24"/>
          <w:szCs w:val="24"/>
        </w:rPr>
        <w:tab/>
        <w:t>Data Presentation and Analysis</w:t>
      </w:r>
    </w:p>
    <w:p w:rsidR="00C21C86" w:rsidRPr="00936116" w:rsidRDefault="00C21C86" w:rsidP="00936116">
      <w:pPr>
        <w:pStyle w:val="NormalWeb"/>
        <w:spacing w:before="0" w:beforeAutospacing="0" w:after="0" w:afterAutospacing="0" w:line="360" w:lineRule="auto"/>
        <w:jc w:val="both"/>
      </w:pPr>
      <w:r w:rsidRPr="00936116">
        <w:t>This chart displays the prices of each food item for 2024 and 2025 side by side, with distinct colors for each year to clearly show the price changes. The y-axis represents the price in Nigerian Naira (₦), and the x-axis lists the food items.</w:t>
      </w:r>
    </w:p>
    <w:p w:rsidR="00C21C86" w:rsidRPr="00936116" w:rsidRDefault="00C21C86" w:rsidP="00936116">
      <w:pPr>
        <w:pStyle w:val="BodyText"/>
        <w:spacing w:line="360" w:lineRule="auto"/>
        <w:ind w:left="23" w:right="29"/>
        <w:jc w:val="both"/>
        <w:rPr>
          <w:w w:val="105"/>
        </w:rPr>
      </w:pPr>
    </w:p>
    <w:p w:rsidR="00C21C86" w:rsidRPr="00936116" w:rsidRDefault="00C21C86" w:rsidP="00936116">
      <w:pPr>
        <w:pStyle w:val="BodyText"/>
        <w:spacing w:line="360" w:lineRule="auto"/>
        <w:ind w:left="23" w:right="29"/>
        <w:jc w:val="both"/>
        <w:rPr>
          <w:w w:val="105"/>
        </w:rPr>
      </w:pPr>
      <w:r w:rsidRPr="00936116">
        <w:rPr>
          <w:noProof/>
          <w:w w:val="105"/>
        </w:rPr>
        <w:drawing>
          <wp:inline distT="0" distB="0" distL="0" distR="0">
            <wp:extent cx="5733415" cy="3305814"/>
            <wp:effectExtent l="19050" t="0" r="635" b="0"/>
            <wp:docPr id="1" name="Picture 1" descr="C:\Users\USER\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rt.png"/>
                    <pic:cNvPicPr>
                      <a:picLocks noChangeAspect="1" noChangeArrowheads="1"/>
                    </pic:cNvPicPr>
                  </pic:nvPicPr>
                  <pic:blipFill>
                    <a:blip r:embed="rId7"/>
                    <a:srcRect/>
                    <a:stretch>
                      <a:fillRect/>
                    </a:stretch>
                  </pic:blipFill>
                  <pic:spPr bwMode="auto">
                    <a:xfrm>
                      <a:off x="0" y="0"/>
                      <a:ext cx="5733415" cy="3305814"/>
                    </a:xfrm>
                    <a:prstGeom prst="rect">
                      <a:avLst/>
                    </a:prstGeom>
                    <a:noFill/>
                    <a:ln w="9525">
                      <a:noFill/>
                      <a:miter lim="800000"/>
                      <a:headEnd/>
                      <a:tailEnd/>
                    </a:ln>
                  </pic:spPr>
                </pic:pic>
              </a:graphicData>
            </a:graphic>
          </wp:inline>
        </w:drawing>
      </w:r>
    </w:p>
    <w:p w:rsidR="00A94C41" w:rsidRPr="00936116" w:rsidRDefault="00A94C41" w:rsidP="00936116">
      <w:pPr>
        <w:spacing w:after="0" w:line="360" w:lineRule="auto"/>
        <w:rPr>
          <w:rFonts w:ascii="Times New Roman" w:eastAsia="Times New Roman" w:hAnsi="Times New Roman" w:cs="Times New Roman"/>
          <w:w w:val="105"/>
          <w:sz w:val="24"/>
          <w:szCs w:val="24"/>
        </w:rPr>
      </w:pPr>
      <w:r w:rsidRPr="00936116">
        <w:rPr>
          <w:w w:val="105"/>
          <w:sz w:val="24"/>
          <w:szCs w:val="24"/>
        </w:rPr>
        <w:br w:type="page"/>
      </w:r>
    </w:p>
    <w:p w:rsidR="001349CE" w:rsidRPr="00936116" w:rsidRDefault="001349CE" w:rsidP="00936116">
      <w:pPr>
        <w:pStyle w:val="BodyText"/>
        <w:spacing w:line="360" w:lineRule="auto"/>
        <w:ind w:left="23" w:right="29"/>
        <w:jc w:val="both"/>
        <w:rPr>
          <w:w w:val="105"/>
        </w:rPr>
      </w:pPr>
      <w:r w:rsidRPr="00936116">
        <w:rPr>
          <w:w w:val="105"/>
        </w:rPr>
        <w:lastRenderedPageBreak/>
        <w:t>The following table presents the prices and quantities of food items for 2024 (base year) and 2025 (current year).</w:t>
      </w:r>
    </w:p>
    <w:p w:rsidR="001349CE" w:rsidRPr="00936116" w:rsidRDefault="001349CE" w:rsidP="00936116">
      <w:pPr>
        <w:pStyle w:val="BodyText"/>
        <w:spacing w:line="360" w:lineRule="auto"/>
        <w:ind w:left="23" w:right="29"/>
        <w:jc w:val="both"/>
      </w:pPr>
      <w:r w:rsidRPr="00936116">
        <w:rPr>
          <w:w w:val="105"/>
        </w:rPr>
        <w:t xml:space="preserve">Table1: Food Item Prices and </w:t>
      </w:r>
      <w:r w:rsidRPr="00936116">
        <w:rPr>
          <w:spacing w:val="-2"/>
          <w:w w:val="105"/>
        </w:rPr>
        <w:t>Quantities</w:t>
      </w:r>
    </w:p>
    <w:p w:rsidR="001349CE" w:rsidRPr="00936116" w:rsidRDefault="001349CE" w:rsidP="00936116">
      <w:pPr>
        <w:pStyle w:val="BodyText"/>
        <w:spacing w:line="360" w:lineRule="auto"/>
        <w:ind w:right="29"/>
        <w:jc w:val="both"/>
      </w:pPr>
    </w:p>
    <w:tbl>
      <w:tblPr>
        <w:tblStyle w:val="TableGrid"/>
        <w:tblW w:w="0" w:type="auto"/>
        <w:tblLayout w:type="fixed"/>
        <w:tblLook w:val="01E0"/>
      </w:tblPr>
      <w:tblGrid>
        <w:gridCol w:w="2328"/>
        <w:gridCol w:w="1683"/>
        <w:gridCol w:w="2136"/>
        <w:gridCol w:w="1742"/>
        <w:gridCol w:w="2038"/>
      </w:tblGrid>
      <w:tr w:rsidR="001349CE" w:rsidRPr="00936116" w:rsidTr="00CA2882">
        <w:trPr>
          <w:trHeight w:val="395"/>
        </w:trPr>
        <w:tc>
          <w:tcPr>
            <w:tcW w:w="2328" w:type="dxa"/>
          </w:tcPr>
          <w:p w:rsidR="001349CE" w:rsidRPr="00936116" w:rsidRDefault="001349CE" w:rsidP="00936116">
            <w:pPr>
              <w:pStyle w:val="TableParagraph"/>
              <w:spacing w:before="0" w:line="360" w:lineRule="auto"/>
              <w:ind w:left="119" w:right="29"/>
              <w:jc w:val="both"/>
              <w:rPr>
                <w:sz w:val="24"/>
                <w:szCs w:val="24"/>
              </w:rPr>
            </w:pPr>
            <w:r w:rsidRPr="00936116">
              <w:rPr>
                <w:w w:val="105"/>
                <w:sz w:val="24"/>
                <w:szCs w:val="24"/>
              </w:rPr>
              <w:t xml:space="preserve">Food </w:t>
            </w:r>
            <w:r w:rsidRPr="00936116">
              <w:rPr>
                <w:spacing w:val="-4"/>
                <w:w w:val="105"/>
                <w:sz w:val="24"/>
                <w:szCs w:val="24"/>
              </w:rPr>
              <w:t>Item</w:t>
            </w:r>
          </w:p>
        </w:tc>
        <w:tc>
          <w:tcPr>
            <w:tcW w:w="1683" w:type="dxa"/>
          </w:tcPr>
          <w:p w:rsidR="001349CE" w:rsidRPr="00936116" w:rsidRDefault="001349CE" w:rsidP="00936116">
            <w:pPr>
              <w:pStyle w:val="TableParagraph"/>
              <w:spacing w:before="0" w:line="360" w:lineRule="auto"/>
              <w:ind w:right="29"/>
              <w:jc w:val="both"/>
              <w:rPr>
                <w:sz w:val="24"/>
                <w:szCs w:val="24"/>
              </w:rPr>
            </w:pPr>
            <w:r w:rsidRPr="00936116">
              <w:rPr>
                <w:sz w:val="24"/>
                <w:szCs w:val="24"/>
              </w:rPr>
              <w:t xml:space="preserve">2024 </w:t>
            </w:r>
            <w:r w:rsidRPr="00936116">
              <w:rPr>
                <w:spacing w:val="-2"/>
                <w:sz w:val="24"/>
                <w:szCs w:val="24"/>
              </w:rPr>
              <w:t>Price</w:t>
            </w:r>
          </w:p>
        </w:tc>
        <w:tc>
          <w:tcPr>
            <w:tcW w:w="2136" w:type="dxa"/>
          </w:tcPr>
          <w:p w:rsidR="001349CE" w:rsidRPr="00936116" w:rsidRDefault="001349CE" w:rsidP="00936116">
            <w:pPr>
              <w:pStyle w:val="TableParagraph"/>
              <w:spacing w:before="0" w:line="360" w:lineRule="auto"/>
              <w:ind w:left="3" w:right="29"/>
              <w:jc w:val="both"/>
              <w:rPr>
                <w:sz w:val="24"/>
                <w:szCs w:val="24"/>
              </w:rPr>
            </w:pPr>
            <w:r w:rsidRPr="00936116">
              <w:rPr>
                <w:sz w:val="24"/>
                <w:szCs w:val="24"/>
              </w:rPr>
              <w:t xml:space="preserve">2024 </w:t>
            </w:r>
            <w:r w:rsidRPr="00936116">
              <w:rPr>
                <w:spacing w:val="-2"/>
                <w:w w:val="110"/>
                <w:sz w:val="24"/>
                <w:szCs w:val="24"/>
              </w:rPr>
              <w:t>Quantity</w:t>
            </w:r>
          </w:p>
        </w:tc>
        <w:tc>
          <w:tcPr>
            <w:tcW w:w="1742" w:type="dxa"/>
          </w:tcPr>
          <w:p w:rsidR="001349CE" w:rsidRPr="00936116" w:rsidRDefault="001349CE" w:rsidP="00936116">
            <w:pPr>
              <w:pStyle w:val="TableParagraph"/>
              <w:spacing w:before="0" w:line="360" w:lineRule="auto"/>
              <w:ind w:left="5" w:right="29"/>
              <w:jc w:val="both"/>
              <w:rPr>
                <w:sz w:val="24"/>
                <w:szCs w:val="24"/>
              </w:rPr>
            </w:pPr>
            <w:r w:rsidRPr="00936116">
              <w:rPr>
                <w:sz w:val="24"/>
                <w:szCs w:val="24"/>
              </w:rPr>
              <w:t xml:space="preserve">2025 </w:t>
            </w:r>
            <w:r w:rsidRPr="00936116">
              <w:rPr>
                <w:spacing w:val="-2"/>
                <w:sz w:val="24"/>
                <w:szCs w:val="24"/>
              </w:rPr>
              <w:t>Price</w:t>
            </w:r>
          </w:p>
        </w:tc>
        <w:tc>
          <w:tcPr>
            <w:tcW w:w="2038" w:type="dxa"/>
          </w:tcPr>
          <w:p w:rsidR="001349CE" w:rsidRPr="00936116" w:rsidRDefault="001349CE" w:rsidP="00936116">
            <w:pPr>
              <w:pStyle w:val="TableParagraph"/>
              <w:spacing w:before="0" w:line="360" w:lineRule="auto"/>
              <w:ind w:left="104" w:right="29"/>
              <w:jc w:val="both"/>
              <w:rPr>
                <w:sz w:val="24"/>
                <w:szCs w:val="24"/>
              </w:rPr>
            </w:pPr>
            <w:r w:rsidRPr="00936116">
              <w:rPr>
                <w:sz w:val="24"/>
                <w:szCs w:val="24"/>
              </w:rPr>
              <w:t xml:space="preserve">2025 </w:t>
            </w:r>
            <w:r w:rsidRPr="00936116">
              <w:rPr>
                <w:spacing w:val="-2"/>
                <w:w w:val="110"/>
                <w:sz w:val="24"/>
                <w:szCs w:val="24"/>
              </w:rPr>
              <w:t>Quantity</w:t>
            </w:r>
          </w:p>
        </w:tc>
      </w:tr>
      <w:tr w:rsidR="001349CE" w:rsidRPr="00936116" w:rsidTr="00CA2882">
        <w:trPr>
          <w:trHeight w:val="310"/>
        </w:trPr>
        <w:tc>
          <w:tcPr>
            <w:tcW w:w="2328" w:type="dxa"/>
          </w:tcPr>
          <w:p w:rsidR="001349CE" w:rsidRPr="00936116" w:rsidRDefault="001349CE" w:rsidP="00936116">
            <w:pPr>
              <w:pStyle w:val="TableParagraph"/>
              <w:spacing w:before="0" w:line="360" w:lineRule="auto"/>
              <w:ind w:left="119" w:right="29"/>
              <w:jc w:val="both"/>
              <w:rPr>
                <w:sz w:val="24"/>
                <w:szCs w:val="24"/>
              </w:rPr>
            </w:pPr>
            <w:r w:rsidRPr="00936116">
              <w:rPr>
                <w:sz w:val="24"/>
                <w:szCs w:val="24"/>
              </w:rPr>
              <w:t>25kgVegetable</w:t>
            </w:r>
            <w:r w:rsidRPr="00936116">
              <w:rPr>
                <w:spacing w:val="-5"/>
                <w:sz w:val="24"/>
                <w:szCs w:val="24"/>
              </w:rPr>
              <w:t>Oil</w:t>
            </w:r>
          </w:p>
        </w:tc>
        <w:tc>
          <w:tcPr>
            <w:tcW w:w="1683" w:type="dxa"/>
          </w:tcPr>
          <w:p w:rsidR="001349CE" w:rsidRPr="00936116" w:rsidRDefault="001349CE" w:rsidP="00936116">
            <w:pPr>
              <w:pStyle w:val="TableParagraph"/>
              <w:spacing w:before="0" w:line="360" w:lineRule="auto"/>
              <w:ind w:right="29"/>
              <w:jc w:val="both"/>
              <w:rPr>
                <w:sz w:val="24"/>
                <w:szCs w:val="24"/>
              </w:rPr>
            </w:pPr>
            <w:r w:rsidRPr="00936116">
              <w:rPr>
                <w:spacing w:val="-2"/>
                <w:sz w:val="24"/>
                <w:szCs w:val="24"/>
              </w:rPr>
              <w:t>90,000</w:t>
            </w:r>
          </w:p>
        </w:tc>
        <w:tc>
          <w:tcPr>
            <w:tcW w:w="2136" w:type="dxa"/>
          </w:tcPr>
          <w:p w:rsidR="001349CE" w:rsidRPr="00936116" w:rsidRDefault="001349CE" w:rsidP="00936116">
            <w:pPr>
              <w:pStyle w:val="TableParagraph"/>
              <w:spacing w:before="0" w:line="360" w:lineRule="auto"/>
              <w:ind w:left="3" w:right="29"/>
              <w:jc w:val="both"/>
              <w:rPr>
                <w:sz w:val="24"/>
                <w:szCs w:val="24"/>
              </w:rPr>
            </w:pPr>
            <w:r w:rsidRPr="00936116">
              <w:rPr>
                <w:spacing w:val="-10"/>
                <w:sz w:val="24"/>
                <w:szCs w:val="24"/>
              </w:rPr>
              <w:t>2</w:t>
            </w:r>
          </w:p>
        </w:tc>
        <w:tc>
          <w:tcPr>
            <w:tcW w:w="1742" w:type="dxa"/>
          </w:tcPr>
          <w:p w:rsidR="001349CE" w:rsidRPr="00936116" w:rsidRDefault="001349CE" w:rsidP="00936116">
            <w:pPr>
              <w:pStyle w:val="TableParagraph"/>
              <w:spacing w:before="0" w:line="360" w:lineRule="auto"/>
              <w:ind w:left="5" w:right="29"/>
              <w:jc w:val="both"/>
              <w:rPr>
                <w:sz w:val="24"/>
                <w:szCs w:val="24"/>
              </w:rPr>
            </w:pPr>
            <w:r w:rsidRPr="00936116">
              <w:rPr>
                <w:spacing w:val="-2"/>
                <w:sz w:val="24"/>
                <w:szCs w:val="24"/>
              </w:rPr>
              <w:t>75,000</w:t>
            </w:r>
          </w:p>
        </w:tc>
        <w:tc>
          <w:tcPr>
            <w:tcW w:w="2038" w:type="dxa"/>
          </w:tcPr>
          <w:p w:rsidR="001349CE" w:rsidRPr="00936116" w:rsidRDefault="001349CE" w:rsidP="00936116">
            <w:pPr>
              <w:pStyle w:val="TableParagraph"/>
              <w:spacing w:before="0" w:line="360" w:lineRule="auto"/>
              <w:ind w:left="104" w:right="29"/>
              <w:jc w:val="both"/>
              <w:rPr>
                <w:sz w:val="24"/>
                <w:szCs w:val="24"/>
              </w:rPr>
            </w:pPr>
            <w:r w:rsidRPr="00936116">
              <w:rPr>
                <w:spacing w:val="-10"/>
                <w:sz w:val="24"/>
                <w:szCs w:val="24"/>
              </w:rPr>
              <w:t>2</w:t>
            </w:r>
          </w:p>
        </w:tc>
      </w:tr>
      <w:tr w:rsidR="001349CE" w:rsidRPr="00936116" w:rsidTr="00CA2882">
        <w:trPr>
          <w:trHeight w:val="288"/>
        </w:trPr>
        <w:tc>
          <w:tcPr>
            <w:tcW w:w="2328" w:type="dxa"/>
          </w:tcPr>
          <w:p w:rsidR="001349CE" w:rsidRPr="00936116" w:rsidRDefault="001349CE" w:rsidP="00936116">
            <w:pPr>
              <w:pStyle w:val="TableParagraph"/>
              <w:spacing w:before="0" w:line="360" w:lineRule="auto"/>
              <w:ind w:left="119" w:right="29"/>
              <w:jc w:val="both"/>
              <w:rPr>
                <w:sz w:val="24"/>
                <w:szCs w:val="24"/>
              </w:rPr>
            </w:pPr>
            <w:r w:rsidRPr="00936116">
              <w:rPr>
                <w:sz w:val="24"/>
                <w:szCs w:val="24"/>
              </w:rPr>
              <w:t>50kg</w:t>
            </w:r>
            <w:r w:rsidRPr="00936116">
              <w:rPr>
                <w:spacing w:val="-4"/>
                <w:sz w:val="24"/>
                <w:szCs w:val="24"/>
              </w:rPr>
              <w:t>Rice</w:t>
            </w:r>
          </w:p>
        </w:tc>
        <w:tc>
          <w:tcPr>
            <w:tcW w:w="1683" w:type="dxa"/>
          </w:tcPr>
          <w:p w:rsidR="001349CE" w:rsidRPr="00936116" w:rsidRDefault="001349CE" w:rsidP="00936116">
            <w:pPr>
              <w:pStyle w:val="TableParagraph"/>
              <w:spacing w:before="0" w:line="360" w:lineRule="auto"/>
              <w:ind w:right="29"/>
              <w:jc w:val="both"/>
              <w:rPr>
                <w:sz w:val="24"/>
                <w:szCs w:val="24"/>
              </w:rPr>
            </w:pPr>
            <w:r w:rsidRPr="00936116">
              <w:rPr>
                <w:spacing w:val="-2"/>
                <w:sz w:val="24"/>
                <w:szCs w:val="24"/>
              </w:rPr>
              <w:t>80,000</w:t>
            </w:r>
          </w:p>
        </w:tc>
        <w:tc>
          <w:tcPr>
            <w:tcW w:w="2136" w:type="dxa"/>
          </w:tcPr>
          <w:p w:rsidR="001349CE" w:rsidRPr="00936116" w:rsidRDefault="001349CE" w:rsidP="00936116">
            <w:pPr>
              <w:pStyle w:val="TableParagraph"/>
              <w:spacing w:before="0" w:line="360" w:lineRule="auto"/>
              <w:ind w:left="3" w:right="29"/>
              <w:jc w:val="both"/>
              <w:rPr>
                <w:sz w:val="24"/>
                <w:szCs w:val="24"/>
              </w:rPr>
            </w:pPr>
            <w:r w:rsidRPr="00936116">
              <w:rPr>
                <w:spacing w:val="-5"/>
                <w:sz w:val="24"/>
                <w:szCs w:val="24"/>
              </w:rPr>
              <w:t>50</w:t>
            </w:r>
          </w:p>
        </w:tc>
        <w:tc>
          <w:tcPr>
            <w:tcW w:w="1742" w:type="dxa"/>
          </w:tcPr>
          <w:p w:rsidR="001349CE" w:rsidRPr="00936116" w:rsidRDefault="001349CE" w:rsidP="00936116">
            <w:pPr>
              <w:pStyle w:val="TableParagraph"/>
              <w:spacing w:before="0" w:line="360" w:lineRule="auto"/>
              <w:ind w:left="5" w:right="29"/>
              <w:jc w:val="both"/>
              <w:rPr>
                <w:sz w:val="24"/>
                <w:szCs w:val="24"/>
              </w:rPr>
            </w:pPr>
            <w:r w:rsidRPr="00936116">
              <w:rPr>
                <w:spacing w:val="-2"/>
                <w:sz w:val="24"/>
                <w:szCs w:val="24"/>
              </w:rPr>
              <w:t>62,000</w:t>
            </w:r>
          </w:p>
        </w:tc>
        <w:tc>
          <w:tcPr>
            <w:tcW w:w="2038" w:type="dxa"/>
          </w:tcPr>
          <w:p w:rsidR="001349CE" w:rsidRPr="00936116" w:rsidRDefault="001349CE" w:rsidP="00936116">
            <w:pPr>
              <w:pStyle w:val="TableParagraph"/>
              <w:spacing w:before="0" w:line="360" w:lineRule="auto"/>
              <w:ind w:left="104" w:right="29"/>
              <w:jc w:val="both"/>
              <w:rPr>
                <w:sz w:val="24"/>
                <w:szCs w:val="24"/>
              </w:rPr>
            </w:pPr>
            <w:r w:rsidRPr="00936116">
              <w:rPr>
                <w:spacing w:val="-5"/>
                <w:sz w:val="24"/>
                <w:szCs w:val="24"/>
              </w:rPr>
              <w:t>50</w:t>
            </w:r>
          </w:p>
        </w:tc>
      </w:tr>
      <w:tr w:rsidR="001349CE" w:rsidRPr="00936116" w:rsidTr="00CA2882">
        <w:trPr>
          <w:trHeight w:val="288"/>
        </w:trPr>
        <w:tc>
          <w:tcPr>
            <w:tcW w:w="2328" w:type="dxa"/>
          </w:tcPr>
          <w:p w:rsidR="001349CE" w:rsidRPr="00936116" w:rsidRDefault="001349CE" w:rsidP="00936116">
            <w:pPr>
              <w:pStyle w:val="TableParagraph"/>
              <w:spacing w:before="0" w:line="360" w:lineRule="auto"/>
              <w:ind w:left="119" w:right="29"/>
              <w:jc w:val="both"/>
              <w:rPr>
                <w:sz w:val="24"/>
                <w:szCs w:val="24"/>
              </w:rPr>
            </w:pPr>
            <w:r w:rsidRPr="00936116">
              <w:rPr>
                <w:sz w:val="24"/>
                <w:szCs w:val="24"/>
              </w:rPr>
              <w:t>10kg</w:t>
            </w:r>
            <w:r w:rsidRPr="00936116">
              <w:rPr>
                <w:spacing w:val="-4"/>
                <w:sz w:val="24"/>
                <w:szCs w:val="24"/>
              </w:rPr>
              <w:t>Semo</w:t>
            </w:r>
          </w:p>
        </w:tc>
        <w:tc>
          <w:tcPr>
            <w:tcW w:w="1683" w:type="dxa"/>
          </w:tcPr>
          <w:p w:rsidR="001349CE" w:rsidRPr="00936116" w:rsidRDefault="001349CE" w:rsidP="00936116">
            <w:pPr>
              <w:pStyle w:val="TableParagraph"/>
              <w:spacing w:before="0" w:line="360" w:lineRule="auto"/>
              <w:ind w:right="29"/>
              <w:jc w:val="both"/>
              <w:rPr>
                <w:sz w:val="24"/>
                <w:szCs w:val="24"/>
              </w:rPr>
            </w:pPr>
            <w:r w:rsidRPr="00936116">
              <w:rPr>
                <w:spacing w:val="-2"/>
                <w:sz w:val="24"/>
                <w:szCs w:val="24"/>
              </w:rPr>
              <w:t>17,000</w:t>
            </w:r>
          </w:p>
        </w:tc>
        <w:tc>
          <w:tcPr>
            <w:tcW w:w="2136" w:type="dxa"/>
          </w:tcPr>
          <w:p w:rsidR="001349CE" w:rsidRPr="00936116" w:rsidRDefault="001349CE" w:rsidP="00936116">
            <w:pPr>
              <w:pStyle w:val="TableParagraph"/>
              <w:spacing w:before="0" w:line="360" w:lineRule="auto"/>
              <w:ind w:left="3" w:right="29"/>
              <w:jc w:val="both"/>
              <w:rPr>
                <w:sz w:val="24"/>
                <w:szCs w:val="24"/>
              </w:rPr>
            </w:pPr>
            <w:r w:rsidRPr="00936116">
              <w:rPr>
                <w:spacing w:val="-5"/>
                <w:sz w:val="24"/>
                <w:szCs w:val="24"/>
              </w:rPr>
              <w:t>10</w:t>
            </w:r>
          </w:p>
        </w:tc>
        <w:tc>
          <w:tcPr>
            <w:tcW w:w="1742" w:type="dxa"/>
          </w:tcPr>
          <w:p w:rsidR="001349CE" w:rsidRPr="00936116" w:rsidRDefault="001349CE" w:rsidP="00936116">
            <w:pPr>
              <w:pStyle w:val="TableParagraph"/>
              <w:spacing w:before="0" w:line="360" w:lineRule="auto"/>
              <w:ind w:left="5" w:right="29"/>
              <w:jc w:val="both"/>
              <w:rPr>
                <w:sz w:val="24"/>
                <w:szCs w:val="24"/>
              </w:rPr>
            </w:pPr>
            <w:r w:rsidRPr="00936116">
              <w:rPr>
                <w:spacing w:val="-2"/>
                <w:sz w:val="24"/>
                <w:szCs w:val="24"/>
              </w:rPr>
              <w:t>15,000</w:t>
            </w:r>
          </w:p>
        </w:tc>
        <w:tc>
          <w:tcPr>
            <w:tcW w:w="2038" w:type="dxa"/>
          </w:tcPr>
          <w:p w:rsidR="001349CE" w:rsidRPr="00936116" w:rsidRDefault="001349CE" w:rsidP="00936116">
            <w:pPr>
              <w:pStyle w:val="TableParagraph"/>
              <w:spacing w:before="0" w:line="360" w:lineRule="auto"/>
              <w:ind w:left="104" w:right="29"/>
              <w:jc w:val="both"/>
              <w:rPr>
                <w:sz w:val="24"/>
                <w:szCs w:val="24"/>
              </w:rPr>
            </w:pPr>
            <w:r w:rsidRPr="00936116">
              <w:rPr>
                <w:spacing w:val="-5"/>
                <w:sz w:val="24"/>
                <w:szCs w:val="24"/>
              </w:rPr>
              <w:t>10</w:t>
            </w:r>
          </w:p>
        </w:tc>
      </w:tr>
      <w:tr w:rsidR="001349CE" w:rsidRPr="00936116" w:rsidTr="00CA2882">
        <w:trPr>
          <w:trHeight w:val="288"/>
        </w:trPr>
        <w:tc>
          <w:tcPr>
            <w:tcW w:w="2328" w:type="dxa"/>
          </w:tcPr>
          <w:p w:rsidR="001349CE" w:rsidRPr="00936116" w:rsidRDefault="001349CE" w:rsidP="00936116">
            <w:pPr>
              <w:pStyle w:val="TableParagraph"/>
              <w:spacing w:before="0" w:line="360" w:lineRule="auto"/>
              <w:ind w:left="119" w:right="29"/>
              <w:jc w:val="both"/>
              <w:rPr>
                <w:sz w:val="24"/>
                <w:szCs w:val="24"/>
              </w:rPr>
            </w:pPr>
            <w:r w:rsidRPr="00936116">
              <w:rPr>
                <w:w w:val="105"/>
                <w:sz w:val="24"/>
                <w:szCs w:val="24"/>
              </w:rPr>
              <w:t>1carton</w:t>
            </w:r>
            <w:r w:rsidRPr="00936116">
              <w:rPr>
                <w:spacing w:val="-2"/>
                <w:w w:val="105"/>
                <w:sz w:val="24"/>
                <w:szCs w:val="24"/>
              </w:rPr>
              <w:t>Indomie</w:t>
            </w:r>
          </w:p>
        </w:tc>
        <w:tc>
          <w:tcPr>
            <w:tcW w:w="1683" w:type="dxa"/>
          </w:tcPr>
          <w:p w:rsidR="001349CE" w:rsidRPr="00936116" w:rsidRDefault="001349CE" w:rsidP="00936116">
            <w:pPr>
              <w:pStyle w:val="TableParagraph"/>
              <w:spacing w:before="0" w:line="360" w:lineRule="auto"/>
              <w:ind w:right="29"/>
              <w:jc w:val="both"/>
              <w:rPr>
                <w:sz w:val="24"/>
                <w:szCs w:val="24"/>
              </w:rPr>
            </w:pPr>
            <w:r w:rsidRPr="00936116">
              <w:rPr>
                <w:spacing w:val="-2"/>
                <w:sz w:val="24"/>
                <w:szCs w:val="24"/>
              </w:rPr>
              <w:t>10,000</w:t>
            </w:r>
          </w:p>
        </w:tc>
        <w:tc>
          <w:tcPr>
            <w:tcW w:w="2136" w:type="dxa"/>
          </w:tcPr>
          <w:p w:rsidR="001349CE" w:rsidRPr="00936116" w:rsidRDefault="001349CE" w:rsidP="00936116">
            <w:pPr>
              <w:pStyle w:val="TableParagraph"/>
              <w:spacing w:before="0" w:line="360" w:lineRule="auto"/>
              <w:ind w:left="3" w:right="29"/>
              <w:jc w:val="both"/>
              <w:rPr>
                <w:sz w:val="24"/>
                <w:szCs w:val="24"/>
              </w:rPr>
            </w:pPr>
            <w:r w:rsidRPr="00936116">
              <w:rPr>
                <w:spacing w:val="-10"/>
                <w:sz w:val="24"/>
                <w:szCs w:val="24"/>
              </w:rPr>
              <w:t>3</w:t>
            </w:r>
          </w:p>
        </w:tc>
        <w:tc>
          <w:tcPr>
            <w:tcW w:w="1742" w:type="dxa"/>
          </w:tcPr>
          <w:p w:rsidR="001349CE" w:rsidRPr="00936116" w:rsidRDefault="001349CE" w:rsidP="00936116">
            <w:pPr>
              <w:pStyle w:val="TableParagraph"/>
              <w:spacing w:before="0" w:line="360" w:lineRule="auto"/>
              <w:ind w:left="5" w:right="29"/>
              <w:jc w:val="both"/>
              <w:rPr>
                <w:sz w:val="24"/>
                <w:szCs w:val="24"/>
              </w:rPr>
            </w:pPr>
            <w:r w:rsidRPr="00936116">
              <w:rPr>
                <w:spacing w:val="-2"/>
                <w:sz w:val="24"/>
                <w:szCs w:val="24"/>
              </w:rPr>
              <w:t>10,500</w:t>
            </w:r>
          </w:p>
        </w:tc>
        <w:tc>
          <w:tcPr>
            <w:tcW w:w="2038" w:type="dxa"/>
          </w:tcPr>
          <w:p w:rsidR="001349CE" w:rsidRPr="00936116" w:rsidRDefault="001349CE" w:rsidP="00936116">
            <w:pPr>
              <w:pStyle w:val="TableParagraph"/>
              <w:spacing w:before="0" w:line="360" w:lineRule="auto"/>
              <w:ind w:left="104" w:right="29"/>
              <w:jc w:val="both"/>
              <w:rPr>
                <w:sz w:val="24"/>
                <w:szCs w:val="24"/>
              </w:rPr>
            </w:pPr>
            <w:r w:rsidRPr="00936116">
              <w:rPr>
                <w:spacing w:val="-10"/>
                <w:sz w:val="24"/>
                <w:szCs w:val="24"/>
              </w:rPr>
              <w:t>3</w:t>
            </w:r>
          </w:p>
        </w:tc>
      </w:tr>
      <w:tr w:rsidR="001349CE" w:rsidRPr="00936116" w:rsidTr="00CA2882">
        <w:trPr>
          <w:trHeight w:val="373"/>
        </w:trPr>
        <w:tc>
          <w:tcPr>
            <w:tcW w:w="2328" w:type="dxa"/>
          </w:tcPr>
          <w:p w:rsidR="001349CE" w:rsidRPr="00936116" w:rsidRDefault="001349CE" w:rsidP="00936116">
            <w:pPr>
              <w:pStyle w:val="TableParagraph"/>
              <w:spacing w:before="0" w:line="360" w:lineRule="auto"/>
              <w:ind w:left="119" w:right="29"/>
              <w:jc w:val="both"/>
              <w:rPr>
                <w:sz w:val="24"/>
                <w:szCs w:val="24"/>
              </w:rPr>
            </w:pPr>
            <w:r w:rsidRPr="00936116">
              <w:rPr>
                <w:w w:val="105"/>
                <w:sz w:val="24"/>
                <w:szCs w:val="24"/>
              </w:rPr>
              <w:t>1carton</w:t>
            </w:r>
            <w:r w:rsidRPr="00936116">
              <w:rPr>
                <w:spacing w:val="-2"/>
                <w:w w:val="105"/>
                <w:sz w:val="24"/>
                <w:szCs w:val="24"/>
              </w:rPr>
              <w:t>Spaghetti</w:t>
            </w:r>
          </w:p>
        </w:tc>
        <w:tc>
          <w:tcPr>
            <w:tcW w:w="1683" w:type="dxa"/>
          </w:tcPr>
          <w:p w:rsidR="001349CE" w:rsidRPr="00936116" w:rsidRDefault="001349CE" w:rsidP="00936116">
            <w:pPr>
              <w:pStyle w:val="TableParagraph"/>
              <w:spacing w:before="0" w:line="360" w:lineRule="auto"/>
              <w:ind w:right="29"/>
              <w:jc w:val="both"/>
              <w:rPr>
                <w:sz w:val="24"/>
                <w:szCs w:val="24"/>
              </w:rPr>
            </w:pPr>
            <w:r w:rsidRPr="00936116">
              <w:rPr>
                <w:spacing w:val="-2"/>
                <w:sz w:val="24"/>
                <w:szCs w:val="24"/>
              </w:rPr>
              <w:t>25,000</w:t>
            </w:r>
          </w:p>
        </w:tc>
        <w:tc>
          <w:tcPr>
            <w:tcW w:w="2136" w:type="dxa"/>
          </w:tcPr>
          <w:p w:rsidR="001349CE" w:rsidRPr="00936116" w:rsidRDefault="001349CE" w:rsidP="00936116">
            <w:pPr>
              <w:pStyle w:val="TableParagraph"/>
              <w:spacing w:before="0" w:line="360" w:lineRule="auto"/>
              <w:ind w:left="3" w:right="29"/>
              <w:jc w:val="both"/>
              <w:rPr>
                <w:sz w:val="24"/>
                <w:szCs w:val="24"/>
              </w:rPr>
            </w:pPr>
            <w:r w:rsidRPr="00936116">
              <w:rPr>
                <w:spacing w:val="-5"/>
                <w:sz w:val="24"/>
                <w:szCs w:val="24"/>
              </w:rPr>
              <w:t>10</w:t>
            </w:r>
          </w:p>
        </w:tc>
        <w:tc>
          <w:tcPr>
            <w:tcW w:w="1742" w:type="dxa"/>
          </w:tcPr>
          <w:p w:rsidR="001349CE" w:rsidRPr="00936116" w:rsidRDefault="001349CE" w:rsidP="00936116">
            <w:pPr>
              <w:pStyle w:val="TableParagraph"/>
              <w:spacing w:before="0" w:line="360" w:lineRule="auto"/>
              <w:ind w:left="5" w:right="29"/>
              <w:jc w:val="both"/>
              <w:rPr>
                <w:sz w:val="24"/>
                <w:szCs w:val="24"/>
              </w:rPr>
            </w:pPr>
            <w:r w:rsidRPr="00936116">
              <w:rPr>
                <w:spacing w:val="-2"/>
                <w:sz w:val="24"/>
                <w:szCs w:val="24"/>
              </w:rPr>
              <w:t>20,000</w:t>
            </w:r>
          </w:p>
        </w:tc>
        <w:tc>
          <w:tcPr>
            <w:tcW w:w="2038" w:type="dxa"/>
          </w:tcPr>
          <w:p w:rsidR="001349CE" w:rsidRPr="00936116" w:rsidRDefault="001349CE" w:rsidP="00936116">
            <w:pPr>
              <w:pStyle w:val="TableParagraph"/>
              <w:spacing w:before="0" w:line="360" w:lineRule="auto"/>
              <w:ind w:left="104" w:right="29"/>
              <w:jc w:val="both"/>
              <w:rPr>
                <w:sz w:val="24"/>
                <w:szCs w:val="24"/>
              </w:rPr>
            </w:pPr>
            <w:r w:rsidRPr="00936116">
              <w:rPr>
                <w:spacing w:val="-5"/>
                <w:sz w:val="24"/>
                <w:szCs w:val="24"/>
              </w:rPr>
              <w:t>10</w:t>
            </w:r>
          </w:p>
        </w:tc>
      </w:tr>
    </w:tbl>
    <w:p w:rsidR="001349CE" w:rsidRPr="00936116" w:rsidRDefault="001349CE" w:rsidP="00936116">
      <w:pPr>
        <w:pStyle w:val="BodyText"/>
        <w:spacing w:line="360" w:lineRule="auto"/>
        <w:ind w:left="32" w:right="29"/>
        <w:jc w:val="both"/>
      </w:pPr>
      <w:r w:rsidRPr="00936116">
        <w:t>Source: Field Survey, 2025</w:t>
      </w:r>
    </w:p>
    <w:p w:rsidR="001349CE" w:rsidRPr="00936116" w:rsidRDefault="001349CE" w:rsidP="00936116">
      <w:pPr>
        <w:pStyle w:val="BodyText"/>
        <w:spacing w:line="360" w:lineRule="auto"/>
        <w:ind w:right="29"/>
        <w:jc w:val="both"/>
      </w:pPr>
    </w:p>
    <w:p w:rsidR="001349CE" w:rsidRPr="00936116" w:rsidRDefault="001349CE" w:rsidP="00936116">
      <w:pPr>
        <w:pStyle w:val="Heading1"/>
        <w:spacing w:before="0" w:beforeAutospacing="0" w:after="0" w:afterAutospacing="0" w:line="360" w:lineRule="auto"/>
        <w:ind w:right="29"/>
        <w:jc w:val="both"/>
        <w:rPr>
          <w:sz w:val="24"/>
          <w:szCs w:val="24"/>
        </w:rPr>
      </w:pPr>
      <w:r w:rsidRPr="00936116">
        <w:rPr>
          <w:sz w:val="24"/>
          <w:szCs w:val="24"/>
        </w:rPr>
        <w:t xml:space="preserve">Laspeyres Price </w:t>
      </w:r>
      <w:r w:rsidRPr="00936116">
        <w:rPr>
          <w:spacing w:val="-2"/>
          <w:sz w:val="24"/>
          <w:szCs w:val="24"/>
        </w:rPr>
        <w:t>Index</w:t>
      </w:r>
    </w:p>
    <w:p w:rsidR="001349CE" w:rsidRPr="00936116" w:rsidRDefault="00AA02E7" w:rsidP="00936116">
      <w:pPr>
        <w:pStyle w:val="BodyText"/>
        <w:spacing w:line="360" w:lineRule="auto"/>
        <w:ind w:left="23" w:right="29"/>
        <w:jc w:val="both"/>
      </w:pPr>
      <w:r w:rsidRPr="00936116">
        <w:pict>
          <v:shapetype id="_x0000_t202" coordsize="21600,21600" o:spt="202" path="m,l,21600r21600,l21600,xe">
            <v:stroke joinstyle="miter"/>
            <v:path gradientshapeok="t" o:connecttype="rect"/>
          </v:shapetype>
          <v:shape id="docshape2" o:spid="_x0000_s1028" type="#_x0000_t202" style="position:absolute;left:0;text-align:left;margin-left:258.1pt;margin-top:26.6pt;width:82.6pt;height:53.3pt;z-index:-251654144;mso-position-horizontal-relative:page" filled="f" stroked="f">
            <v:textbox inset="0,0,0,0">
              <w:txbxContent>
                <w:p w:rsidR="001349CE" w:rsidRDefault="001349CE" w:rsidP="001349CE">
                  <w:pPr>
                    <w:tabs>
                      <w:tab w:val="left" w:pos="1356"/>
                    </w:tabs>
                    <w:spacing w:line="194" w:lineRule="auto"/>
                    <w:rPr>
                      <w:rFonts w:ascii="Georgia" w:hAnsi="Georgia"/>
                      <w:i/>
                      <w:position w:val="-33"/>
                      <w:sz w:val="24"/>
                    </w:rPr>
                  </w:pPr>
                  <w:r>
                    <w:rPr>
                      <w:rFonts w:ascii="Courier New" w:hAnsi="Courier New"/>
                      <w:spacing w:val="6"/>
                      <w:w w:val="130"/>
                      <w:sz w:val="24"/>
                    </w:rPr>
                    <w:t>(</w:t>
                  </w:r>
                  <w:r>
                    <w:rPr>
                      <w:rFonts w:ascii="Courier New" w:hAnsi="Courier New"/>
                      <w:spacing w:val="6"/>
                      <w:w w:val="130"/>
                      <w:position w:val="-31"/>
                      <w:sz w:val="24"/>
                    </w:rPr>
                    <w:t>∑</w:t>
                  </w:r>
                  <w:r>
                    <w:rPr>
                      <w:rFonts w:ascii="Courier New" w:hAnsi="Courier New"/>
                      <w:position w:val="-31"/>
                      <w:sz w:val="24"/>
                    </w:rPr>
                    <w:tab/>
                  </w:r>
                  <w:r>
                    <w:rPr>
                      <w:rFonts w:ascii="Courier New" w:hAnsi="Courier New"/>
                      <w:w w:val="120"/>
                      <w:sz w:val="24"/>
                    </w:rPr>
                    <w:t>)</w:t>
                  </w:r>
                  <w:r>
                    <w:rPr>
                      <w:rFonts w:ascii="Georgia" w:hAnsi="Georgia"/>
                      <w:i/>
                      <w:spacing w:val="-28"/>
                      <w:w w:val="125"/>
                      <w:position w:val="-33"/>
                      <w:sz w:val="24"/>
                    </w:rPr>
                    <w:t>·</w:t>
                  </w:r>
                </w:p>
              </w:txbxContent>
            </v:textbox>
            <w10:wrap anchorx="page"/>
          </v:shape>
        </w:pict>
      </w:r>
      <w:r w:rsidR="001349CE" w:rsidRPr="00936116">
        <w:rPr>
          <w:w w:val="105"/>
        </w:rPr>
        <w:t xml:space="preserve">The Laspeyres Price Index is calculated </w:t>
      </w:r>
      <w:r w:rsidR="001349CE" w:rsidRPr="00936116">
        <w:rPr>
          <w:spacing w:val="-5"/>
          <w:w w:val="105"/>
        </w:rPr>
        <w:t>as:</w:t>
      </w:r>
    </w:p>
    <w:p w:rsidR="001349CE" w:rsidRPr="00936116" w:rsidRDefault="00AA02E7" w:rsidP="00936116">
      <w:pPr>
        <w:tabs>
          <w:tab w:val="left" w:pos="4196"/>
          <w:tab w:val="left" w:pos="5449"/>
        </w:tabs>
        <w:spacing w:after="0" w:line="360" w:lineRule="auto"/>
        <w:ind w:left="4196" w:right="29" w:hanging="927"/>
        <w:jc w:val="both"/>
        <w:rPr>
          <w:rFonts w:ascii="Times New Roman" w:hAnsi="Times New Roman" w:cs="Times New Roman"/>
          <w:sz w:val="24"/>
          <w:szCs w:val="24"/>
        </w:rPr>
      </w:pPr>
      <w:r w:rsidRPr="00936116">
        <w:rPr>
          <w:rFonts w:ascii="Times New Roman" w:hAnsi="Times New Roman" w:cs="Times New Roman"/>
          <w:sz w:val="24"/>
          <w:szCs w:val="24"/>
        </w:rPr>
        <w:pict>
          <v:line id="_x0000_s1026" style="position:absolute;left:0;text-align:left;z-index:-251656192;mso-position-horizontal-relative:page" from="268.1pt,24.2pt" to="324.7pt,24.2pt" strokeweight=".16869mm">
            <w10:wrap anchorx="page"/>
          </v:line>
        </w:pict>
      </w:r>
      <w:r w:rsidR="001349CE" w:rsidRPr="00936116">
        <w:rPr>
          <w:rFonts w:ascii="Times New Roman" w:hAnsi="Times New Roman" w:cs="Times New Roman"/>
          <w:i/>
          <w:w w:val="135"/>
          <w:position w:val="-15"/>
          <w:sz w:val="24"/>
          <w:szCs w:val="24"/>
        </w:rPr>
        <w:t xml:space="preserve">L </w:t>
      </w:r>
      <w:r w:rsidR="001349CE" w:rsidRPr="00936116">
        <w:rPr>
          <w:rFonts w:ascii="Times New Roman" w:hAnsi="Times New Roman" w:cs="Times New Roman"/>
          <w:w w:val="135"/>
          <w:position w:val="-15"/>
          <w:sz w:val="24"/>
          <w:szCs w:val="24"/>
        </w:rPr>
        <w:t>=</w:t>
      </w:r>
      <w:r w:rsidR="001349CE" w:rsidRPr="00936116">
        <w:rPr>
          <w:rFonts w:ascii="Times New Roman" w:hAnsi="Times New Roman" w:cs="Times New Roman"/>
          <w:position w:val="-15"/>
          <w:sz w:val="24"/>
          <w:szCs w:val="24"/>
        </w:rPr>
        <w:tab/>
      </w:r>
      <w:r w:rsidR="001349CE" w:rsidRPr="00936116">
        <w:rPr>
          <w:rFonts w:ascii="Times New Roman" w:hAnsi="Times New Roman" w:cs="Times New Roman"/>
          <w:w w:val="110"/>
          <w:sz w:val="24"/>
          <w:szCs w:val="24"/>
        </w:rPr>
        <w:t>(</w:t>
      </w:r>
      <w:r w:rsidR="001349CE" w:rsidRPr="00936116">
        <w:rPr>
          <w:rFonts w:ascii="Times New Roman" w:hAnsi="Times New Roman" w:cs="Times New Roman"/>
          <w:i/>
          <w:w w:val="110"/>
          <w:sz w:val="24"/>
          <w:szCs w:val="24"/>
        </w:rPr>
        <w:t>P</w:t>
      </w:r>
      <w:r w:rsidR="001349CE" w:rsidRPr="00936116">
        <w:rPr>
          <w:rFonts w:ascii="Times New Roman" w:hAnsi="Times New Roman" w:cs="Times New Roman"/>
          <w:w w:val="110"/>
          <w:sz w:val="24"/>
          <w:szCs w:val="24"/>
          <w:vertAlign w:val="subscript"/>
        </w:rPr>
        <w:t>1</w:t>
      </w:r>
      <w:r w:rsidR="001349CE" w:rsidRPr="00936116">
        <w:rPr>
          <w:rFonts w:ascii="Times New Roman" w:hAnsi="Times New Roman" w:cs="Times New Roman"/>
          <w:i/>
          <w:w w:val="110"/>
          <w:sz w:val="24"/>
          <w:szCs w:val="24"/>
        </w:rPr>
        <w:t>· Q</w:t>
      </w:r>
      <w:r w:rsidR="001349CE" w:rsidRPr="00936116">
        <w:rPr>
          <w:rFonts w:ascii="Times New Roman" w:hAnsi="Times New Roman" w:cs="Times New Roman"/>
          <w:w w:val="110"/>
          <w:sz w:val="24"/>
          <w:szCs w:val="24"/>
          <w:vertAlign w:val="subscript"/>
        </w:rPr>
        <w:t>0</w:t>
      </w:r>
      <w:r w:rsidR="001349CE" w:rsidRPr="00936116">
        <w:rPr>
          <w:rFonts w:ascii="Times New Roman" w:hAnsi="Times New Roman" w:cs="Times New Roman"/>
          <w:w w:val="110"/>
          <w:sz w:val="24"/>
          <w:szCs w:val="24"/>
        </w:rPr>
        <w:t>)</w:t>
      </w:r>
      <w:r w:rsidR="001349CE" w:rsidRPr="00936116">
        <w:rPr>
          <w:rFonts w:ascii="Times New Roman" w:hAnsi="Times New Roman" w:cs="Times New Roman"/>
          <w:sz w:val="24"/>
          <w:szCs w:val="24"/>
        </w:rPr>
        <w:tab/>
      </w:r>
      <w:r w:rsidR="001349CE" w:rsidRPr="00936116">
        <w:rPr>
          <w:rFonts w:ascii="Times New Roman" w:hAnsi="Times New Roman" w:cs="Times New Roman"/>
          <w:spacing w:val="-6"/>
          <w:position w:val="-15"/>
          <w:sz w:val="24"/>
          <w:szCs w:val="24"/>
        </w:rPr>
        <w:t xml:space="preserve">100 </w:t>
      </w:r>
      <w:r w:rsidR="001349CE" w:rsidRPr="00936116">
        <w:rPr>
          <w:rFonts w:ascii="Times New Roman" w:hAnsi="Times New Roman" w:cs="Times New Roman"/>
          <w:w w:val="110"/>
          <w:sz w:val="24"/>
          <w:szCs w:val="24"/>
        </w:rPr>
        <w:t>(</w:t>
      </w:r>
      <w:r w:rsidR="001349CE" w:rsidRPr="00936116">
        <w:rPr>
          <w:rFonts w:ascii="Times New Roman" w:hAnsi="Times New Roman" w:cs="Times New Roman"/>
          <w:i/>
          <w:w w:val="110"/>
          <w:sz w:val="24"/>
          <w:szCs w:val="24"/>
        </w:rPr>
        <w:t>P</w:t>
      </w:r>
      <w:r w:rsidR="001349CE" w:rsidRPr="00936116">
        <w:rPr>
          <w:rFonts w:ascii="Times New Roman" w:hAnsi="Times New Roman" w:cs="Times New Roman"/>
          <w:w w:val="110"/>
          <w:sz w:val="24"/>
          <w:szCs w:val="24"/>
          <w:vertAlign w:val="subscript"/>
        </w:rPr>
        <w:t>0</w:t>
      </w:r>
      <w:r w:rsidR="001349CE" w:rsidRPr="00936116">
        <w:rPr>
          <w:rFonts w:ascii="Times New Roman" w:hAnsi="Times New Roman" w:cs="Times New Roman"/>
          <w:i/>
          <w:w w:val="110"/>
          <w:sz w:val="24"/>
          <w:szCs w:val="24"/>
        </w:rPr>
        <w:t>· Q</w:t>
      </w:r>
      <w:r w:rsidR="001349CE" w:rsidRPr="00936116">
        <w:rPr>
          <w:rFonts w:ascii="Times New Roman" w:hAnsi="Times New Roman" w:cs="Times New Roman"/>
          <w:w w:val="110"/>
          <w:sz w:val="24"/>
          <w:szCs w:val="24"/>
          <w:vertAlign w:val="subscript"/>
        </w:rPr>
        <w:t>0</w:t>
      </w:r>
      <w:r w:rsidR="001349CE" w:rsidRPr="00936116">
        <w:rPr>
          <w:rFonts w:ascii="Times New Roman" w:hAnsi="Times New Roman" w:cs="Times New Roman"/>
          <w:w w:val="110"/>
          <w:sz w:val="24"/>
          <w:szCs w:val="24"/>
        </w:rPr>
        <w:t>)</w:t>
      </w:r>
    </w:p>
    <w:p w:rsidR="001349CE" w:rsidRPr="00936116" w:rsidRDefault="001349CE" w:rsidP="00936116">
      <w:pPr>
        <w:pStyle w:val="BodyText"/>
        <w:spacing w:line="360" w:lineRule="auto"/>
        <w:ind w:left="22" w:right="29"/>
        <w:jc w:val="both"/>
      </w:pPr>
      <w:r w:rsidRPr="00936116">
        <w:rPr>
          <w:w w:val="105"/>
        </w:rPr>
        <w:t xml:space="preserve">where </w:t>
      </w:r>
      <w:r w:rsidRPr="00936116">
        <w:rPr>
          <w:i/>
          <w:w w:val="105"/>
        </w:rPr>
        <w:t>P</w:t>
      </w:r>
      <w:r w:rsidRPr="00936116">
        <w:rPr>
          <w:w w:val="105"/>
          <w:vertAlign w:val="subscript"/>
        </w:rPr>
        <w:t>0</w:t>
      </w:r>
      <w:r w:rsidRPr="00936116">
        <w:rPr>
          <w:w w:val="105"/>
        </w:rPr>
        <w:t xml:space="preserve">is the base year price (2024), </w:t>
      </w:r>
      <w:r w:rsidRPr="00936116">
        <w:rPr>
          <w:i/>
          <w:w w:val="105"/>
        </w:rPr>
        <w:t>P</w:t>
      </w:r>
      <w:r w:rsidRPr="00936116">
        <w:rPr>
          <w:w w:val="105"/>
          <w:vertAlign w:val="subscript"/>
        </w:rPr>
        <w:t>1</w:t>
      </w:r>
      <w:r w:rsidRPr="00936116">
        <w:rPr>
          <w:w w:val="105"/>
        </w:rPr>
        <w:t xml:space="preserve">is the current year price (2025), and </w:t>
      </w:r>
      <w:r w:rsidRPr="00936116">
        <w:rPr>
          <w:i/>
          <w:w w:val="105"/>
        </w:rPr>
        <w:t>Q</w:t>
      </w:r>
      <w:r w:rsidRPr="00936116">
        <w:rPr>
          <w:w w:val="105"/>
          <w:vertAlign w:val="subscript"/>
        </w:rPr>
        <w:t>0</w:t>
      </w:r>
      <w:r w:rsidRPr="00936116">
        <w:rPr>
          <w:w w:val="105"/>
        </w:rPr>
        <w:t>is the base year quantity (2024).</w:t>
      </w:r>
    </w:p>
    <w:p w:rsidR="001349CE" w:rsidRPr="00936116" w:rsidRDefault="001349CE" w:rsidP="00936116">
      <w:pPr>
        <w:pStyle w:val="BodyText"/>
        <w:spacing w:line="360" w:lineRule="auto"/>
        <w:ind w:left="381" w:right="29"/>
        <w:jc w:val="both"/>
      </w:pPr>
      <w:r w:rsidRPr="00936116">
        <w:rPr>
          <w:spacing w:val="-2"/>
          <w:w w:val="105"/>
        </w:rPr>
        <w:t>Calculations:</w:t>
      </w:r>
    </w:p>
    <w:p w:rsidR="001349CE" w:rsidRPr="00936116" w:rsidRDefault="001349CE" w:rsidP="00936116">
      <w:pPr>
        <w:pStyle w:val="ListParagraph"/>
        <w:widowControl w:val="0"/>
        <w:numPr>
          <w:ilvl w:val="0"/>
          <w:numId w:val="28"/>
        </w:numPr>
        <w:tabs>
          <w:tab w:val="left" w:pos="620"/>
        </w:tabs>
        <w:autoSpaceDE w:val="0"/>
        <w:autoSpaceDN w:val="0"/>
        <w:spacing w:after="0" w:line="360" w:lineRule="auto"/>
        <w:ind w:right="29" w:hanging="301"/>
        <w:contextualSpacing w:val="0"/>
        <w:jc w:val="both"/>
        <w:rPr>
          <w:rFonts w:ascii="Times New Roman" w:hAnsi="Times New Roman" w:cs="Times New Roman"/>
          <w:sz w:val="24"/>
          <w:szCs w:val="24"/>
        </w:rPr>
      </w:pPr>
      <w:r w:rsidRPr="00936116">
        <w:rPr>
          <w:rFonts w:ascii="Times New Roman" w:hAnsi="Times New Roman" w:cs="Times New Roman"/>
          <w:spacing w:val="4"/>
          <w:position w:val="18"/>
          <w:sz w:val="24"/>
          <w:szCs w:val="24"/>
        </w:rPr>
        <w:t>∑</w:t>
      </w:r>
      <w:r w:rsidRPr="00936116">
        <w:rPr>
          <w:rFonts w:ascii="Times New Roman" w:hAnsi="Times New Roman" w:cs="Times New Roman"/>
          <w:spacing w:val="4"/>
          <w:sz w:val="24"/>
          <w:szCs w:val="24"/>
        </w:rPr>
        <w:t>(</w:t>
      </w:r>
      <w:r w:rsidRPr="00936116">
        <w:rPr>
          <w:rFonts w:ascii="Times New Roman" w:hAnsi="Times New Roman" w:cs="Times New Roman"/>
          <w:i/>
          <w:spacing w:val="4"/>
          <w:sz w:val="24"/>
          <w:szCs w:val="24"/>
        </w:rPr>
        <w:t>P</w:t>
      </w:r>
      <w:r w:rsidRPr="00936116">
        <w:rPr>
          <w:rFonts w:ascii="Times New Roman" w:hAnsi="Times New Roman" w:cs="Times New Roman"/>
          <w:spacing w:val="4"/>
          <w:sz w:val="24"/>
          <w:szCs w:val="24"/>
          <w:vertAlign w:val="subscript"/>
        </w:rPr>
        <w:t>1</w:t>
      </w:r>
      <w:r w:rsidRPr="00936116">
        <w:rPr>
          <w:rFonts w:ascii="Times New Roman" w:hAnsi="Times New Roman" w:cs="Times New Roman"/>
          <w:i/>
          <w:spacing w:val="4"/>
          <w:sz w:val="24"/>
          <w:szCs w:val="24"/>
        </w:rPr>
        <w:t>·Q</w:t>
      </w:r>
      <w:r w:rsidRPr="00936116">
        <w:rPr>
          <w:rFonts w:ascii="Times New Roman" w:hAnsi="Times New Roman" w:cs="Times New Roman"/>
          <w:spacing w:val="4"/>
          <w:sz w:val="24"/>
          <w:szCs w:val="24"/>
          <w:vertAlign w:val="subscript"/>
        </w:rPr>
        <w:t>0</w:t>
      </w:r>
      <w:r w:rsidRPr="00936116">
        <w:rPr>
          <w:rFonts w:ascii="Times New Roman" w:hAnsi="Times New Roman" w:cs="Times New Roman"/>
          <w:spacing w:val="4"/>
          <w:sz w:val="24"/>
          <w:szCs w:val="24"/>
        </w:rPr>
        <w:t>)=75</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2+62</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50+15</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10+10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500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3+20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10=3</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631</w:t>
      </w:r>
      <w:r w:rsidRPr="00936116">
        <w:rPr>
          <w:rFonts w:ascii="Times New Roman" w:hAnsi="Times New Roman" w:cs="Times New Roman"/>
          <w:i/>
          <w:spacing w:val="4"/>
          <w:sz w:val="24"/>
          <w:szCs w:val="24"/>
        </w:rPr>
        <w:t>,</w:t>
      </w:r>
      <w:r w:rsidRPr="00936116">
        <w:rPr>
          <w:rFonts w:ascii="Times New Roman" w:hAnsi="Times New Roman" w:cs="Times New Roman"/>
          <w:spacing w:val="-5"/>
          <w:sz w:val="24"/>
          <w:szCs w:val="24"/>
        </w:rPr>
        <w:t>500</w:t>
      </w:r>
    </w:p>
    <w:p w:rsidR="001349CE" w:rsidRPr="00936116" w:rsidRDefault="001349CE" w:rsidP="00936116">
      <w:pPr>
        <w:pStyle w:val="ListParagraph"/>
        <w:widowControl w:val="0"/>
        <w:numPr>
          <w:ilvl w:val="0"/>
          <w:numId w:val="28"/>
        </w:numPr>
        <w:tabs>
          <w:tab w:val="left" w:pos="620"/>
        </w:tabs>
        <w:autoSpaceDE w:val="0"/>
        <w:autoSpaceDN w:val="0"/>
        <w:spacing w:after="0" w:line="360" w:lineRule="auto"/>
        <w:ind w:right="29" w:hanging="301"/>
        <w:contextualSpacing w:val="0"/>
        <w:jc w:val="both"/>
        <w:rPr>
          <w:rFonts w:ascii="Times New Roman" w:hAnsi="Times New Roman" w:cs="Times New Roman"/>
          <w:sz w:val="24"/>
          <w:szCs w:val="24"/>
        </w:rPr>
      </w:pPr>
      <w:r w:rsidRPr="00936116">
        <w:rPr>
          <w:rFonts w:ascii="Times New Roman" w:hAnsi="Times New Roman" w:cs="Times New Roman"/>
          <w:spacing w:val="4"/>
          <w:position w:val="18"/>
          <w:sz w:val="24"/>
          <w:szCs w:val="24"/>
        </w:rPr>
        <w:t>∑</w:t>
      </w:r>
      <w:r w:rsidRPr="00936116">
        <w:rPr>
          <w:rFonts w:ascii="Times New Roman" w:hAnsi="Times New Roman" w:cs="Times New Roman"/>
          <w:spacing w:val="4"/>
          <w:sz w:val="24"/>
          <w:szCs w:val="24"/>
        </w:rPr>
        <w:t>(</w:t>
      </w:r>
      <w:r w:rsidRPr="00936116">
        <w:rPr>
          <w:rFonts w:ascii="Times New Roman" w:hAnsi="Times New Roman" w:cs="Times New Roman"/>
          <w:i/>
          <w:spacing w:val="4"/>
          <w:sz w:val="24"/>
          <w:szCs w:val="24"/>
        </w:rPr>
        <w:t>P</w:t>
      </w:r>
      <w:r w:rsidRPr="00936116">
        <w:rPr>
          <w:rFonts w:ascii="Times New Roman" w:hAnsi="Times New Roman" w:cs="Times New Roman"/>
          <w:spacing w:val="4"/>
          <w:sz w:val="24"/>
          <w:szCs w:val="24"/>
          <w:vertAlign w:val="subscript"/>
        </w:rPr>
        <w:t>0</w:t>
      </w:r>
      <w:r w:rsidRPr="00936116">
        <w:rPr>
          <w:rFonts w:ascii="Times New Roman" w:hAnsi="Times New Roman" w:cs="Times New Roman"/>
          <w:i/>
          <w:spacing w:val="4"/>
          <w:sz w:val="24"/>
          <w:szCs w:val="24"/>
        </w:rPr>
        <w:t>·Q</w:t>
      </w:r>
      <w:r w:rsidRPr="00936116">
        <w:rPr>
          <w:rFonts w:ascii="Times New Roman" w:hAnsi="Times New Roman" w:cs="Times New Roman"/>
          <w:spacing w:val="4"/>
          <w:sz w:val="24"/>
          <w:szCs w:val="24"/>
          <w:vertAlign w:val="subscript"/>
        </w:rPr>
        <w:t>0</w:t>
      </w:r>
      <w:r w:rsidRPr="00936116">
        <w:rPr>
          <w:rFonts w:ascii="Times New Roman" w:hAnsi="Times New Roman" w:cs="Times New Roman"/>
          <w:spacing w:val="4"/>
          <w:sz w:val="24"/>
          <w:szCs w:val="24"/>
        </w:rPr>
        <w:t>)=90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2+80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50+17</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10+10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3+25</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10=4</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630</w:t>
      </w:r>
      <w:r w:rsidRPr="00936116">
        <w:rPr>
          <w:rFonts w:ascii="Times New Roman" w:hAnsi="Times New Roman" w:cs="Times New Roman"/>
          <w:i/>
          <w:spacing w:val="4"/>
          <w:sz w:val="24"/>
          <w:szCs w:val="24"/>
        </w:rPr>
        <w:t>,</w:t>
      </w:r>
      <w:r w:rsidRPr="00936116">
        <w:rPr>
          <w:rFonts w:ascii="Times New Roman" w:hAnsi="Times New Roman" w:cs="Times New Roman"/>
          <w:spacing w:val="-5"/>
          <w:sz w:val="24"/>
          <w:szCs w:val="24"/>
        </w:rPr>
        <w:t>000</w:t>
      </w:r>
    </w:p>
    <w:p w:rsidR="001349CE" w:rsidRPr="00936116" w:rsidRDefault="00AA02E7" w:rsidP="00936116">
      <w:pPr>
        <w:pStyle w:val="ListParagraph"/>
        <w:widowControl w:val="0"/>
        <w:numPr>
          <w:ilvl w:val="0"/>
          <w:numId w:val="28"/>
        </w:numPr>
        <w:tabs>
          <w:tab w:val="left" w:pos="620"/>
        </w:tabs>
        <w:autoSpaceDE w:val="0"/>
        <w:autoSpaceDN w:val="0"/>
        <w:spacing w:after="0" w:line="360" w:lineRule="auto"/>
        <w:ind w:right="29" w:hanging="301"/>
        <w:contextualSpacing w:val="0"/>
        <w:jc w:val="both"/>
        <w:rPr>
          <w:rFonts w:ascii="Times New Roman" w:hAnsi="Times New Roman" w:cs="Times New Roman"/>
          <w:sz w:val="24"/>
          <w:szCs w:val="24"/>
        </w:rPr>
      </w:pPr>
      <w:r w:rsidRPr="00936116">
        <w:rPr>
          <w:rFonts w:ascii="Times New Roman" w:hAnsi="Times New Roman" w:cs="Times New Roman"/>
          <w:sz w:val="24"/>
          <w:szCs w:val="24"/>
        </w:rPr>
        <w:pict>
          <v:shape id="docshape3" o:spid="_x0000_s1030" type="#_x0000_t202" style="position:absolute;left:0;text-align:left;margin-left:133.95pt;margin-top:21.8pt;width:34.35pt;height:8pt;z-index:-251652096;mso-position-horizontal-relative:page" filled="f" stroked="f">
            <v:textbox inset="0,0,0,0">
              <w:txbxContent>
                <w:p w:rsidR="001349CE" w:rsidRDefault="001349CE" w:rsidP="001349CE">
                  <w:pPr>
                    <w:spacing w:line="158" w:lineRule="exact"/>
                    <w:rPr>
                      <w:rFonts w:ascii="Trebuchet MS"/>
                      <w:sz w:val="16"/>
                    </w:rPr>
                  </w:pPr>
                  <w:r>
                    <w:rPr>
                      <w:rFonts w:ascii="Trebuchet MS"/>
                      <w:spacing w:val="-2"/>
                      <w:sz w:val="16"/>
                    </w:rPr>
                    <w:t>4</w:t>
                  </w:r>
                  <w:r>
                    <w:rPr>
                      <w:rFonts w:ascii="Sitka Text"/>
                      <w:i/>
                      <w:spacing w:val="-2"/>
                      <w:sz w:val="16"/>
                    </w:rPr>
                    <w:t>,</w:t>
                  </w:r>
                  <w:r>
                    <w:rPr>
                      <w:rFonts w:ascii="Trebuchet MS"/>
                      <w:spacing w:val="-2"/>
                      <w:sz w:val="16"/>
                    </w:rPr>
                    <w:t>630</w:t>
                  </w:r>
                  <w:r>
                    <w:rPr>
                      <w:rFonts w:ascii="Sitka Text"/>
                      <w:i/>
                      <w:spacing w:val="-2"/>
                      <w:sz w:val="16"/>
                    </w:rPr>
                    <w:t>,</w:t>
                  </w:r>
                  <w:r>
                    <w:rPr>
                      <w:rFonts w:ascii="Trebuchet MS"/>
                      <w:spacing w:val="-2"/>
                      <w:sz w:val="16"/>
                    </w:rPr>
                    <w:t>000</w:t>
                  </w:r>
                </w:p>
              </w:txbxContent>
            </v:textbox>
            <w10:wrap anchorx="page"/>
          </v:shape>
        </w:pict>
      </w:r>
      <w:r w:rsidR="001349CE" w:rsidRPr="00936116">
        <w:rPr>
          <w:rFonts w:ascii="Times New Roman" w:hAnsi="Times New Roman" w:cs="Times New Roman"/>
          <w:i/>
          <w:w w:val="125"/>
          <w:sz w:val="24"/>
          <w:szCs w:val="24"/>
        </w:rPr>
        <w:t>L</w:t>
      </w:r>
      <w:r w:rsidR="001349CE" w:rsidRPr="00936116">
        <w:rPr>
          <w:rFonts w:ascii="Times New Roman" w:hAnsi="Times New Roman" w:cs="Times New Roman"/>
          <w:w w:val="125"/>
          <w:sz w:val="24"/>
          <w:szCs w:val="24"/>
        </w:rPr>
        <w:t>=</w:t>
      </w:r>
      <w:r w:rsidR="001349CE" w:rsidRPr="00936116">
        <w:rPr>
          <w:rFonts w:ascii="Times New Roman" w:hAnsi="Times New Roman" w:cs="Times New Roman"/>
          <w:w w:val="110"/>
          <w:position w:val="27"/>
          <w:sz w:val="24"/>
          <w:szCs w:val="24"/>
        </w:rPr>
        <w:t>(</w:t>
      </w:r>
      <w:r w:rsidR="001349CE" w:rsidRPr="00936116">
        <w:rPr>
          <w:rFonts w:ascii="Times New Roman" w:hAnsi="Times New Roman" w:cs="Times New Roman"/>
          <w:w w:val="110"/>
          <w:position w:val="11"/>
          <w:sz w:val="24"/>
          <w:szCs w:val="24"/>
          <w:u w:val="single"/>
        </w:rPr>
        <w:t>3</w:t>
      </w:r>
      <w:r w:rsidR="001349CE" w:rsidRPr="00936116">
        <w:rPr>
          <w:rFonts w:ascii="Times New Roman" w:hAnsi="Times New Roman" w:cs="Times New Roman"/>
          <w:i/>
          <w:w w:val="110"/>
          <w:position w:val="11"/>
          <w:sz w:val="24"/>
          <w:szCs w:val="24"/>
          <w:u w:val="single"/>
        </w:rPr>
        <w:t>,</w:t>
      </w:r>
      <w:r w:rsidR="001349CE" w:rsidRPr="00936116">
        <w:rPr>
          <w:rFonts w:ascii="Times New Roman" w:hAnsi="Times New Roman" w:cs="Times New Roman"/>
          <w:w w:val="110"/>
          <w:position w:val="11"/>
          <w:sz w:val="24"/>
          <w:szCs w:val="24"/>
          <w:u w:val="single"/>
        </w:rPr>
        <w:t>631</w:t>
      </w:r>
      <w:r w:rsidR="001349CE" w:rsidRPr="00936116">
        <w:rPr>
          <w:rFonts w:ascii="Times New Roman" w:hAnsi="Times New Roman" w:cs="Times New Roman"/>
          <w:i/>
          <w:w w:val="110"/>
          <w:position w:val="11"/>
          <w:sz w:val="24"/>
          <w:szCs w:val="24"/>
          <w:u w:val="single"/>
        </w:rPr>
        <w:t>,</w:t>
      </w:r>
      <w:r w:rsidR="001349CE" w:rsidRPr="00936116">
        <w:rPr>
          <w:rFonts w:ascii="Times New Roman" w:hAnsi="Times New Roman" w:cs="Times New Roman"/>
          <w:w w:val="110"/>
          <w:position w:val="11"/>
          <w:sz w:val="24"/>
          <w:szCs w:val="24"/>
          <w:u w:val="single"/>
        </w:rPr>
        <w:t>500</w:t>
      </w:r>
      <w:r w:rsidR="001349CE" w:rsidRPr="00936116">
        <w:rPr>
          <w:rFonts w:ascii="Times New Roman" w:hAnsi="Times New Roman" w:cs="Times New Roman"/>
          <w:w w:val="110"/>
          <w:position w:val="27"/>
          <w:sz w:val="24"/>
          <w:szCs w:val="24"/>
        </w:rPr>
        <w:t>)</w:t>
      </w:r>
      <w:r w:rsidR="001349CE" w:rsidRPr="00936116">
        <w:rPr>
          <w:rFonts w:ascii="Times New Roman" w:hAnsi="Times New Roman" w:cs="Times New Roman"/>
          <w:i/>
          <w:w w:val="110"/>
          <w:sz w:val="24"/>
          <w:szCs w:val="24"/>
        </w:rPr>
        <w:t>·</w:t>
      </w:r>
      <w:r w:rsidR="001349CE" w:rsidRPr="00936116">
        <w:rPr>
          <w:rFonts w:ascii="Times New Roman" w:hAnsi="Times New Roman" w:cs="Times New Roman"/>
          <w:w w:val="110"/>
          <w:sz w:val="24"/>
          <w:szCs w:val="24"/>
        </w:rPr>
        <w:t>100</w:t>
      </w:r>
      <w:r w:rsidR="001349CE" w:rsidRPr="00936116">
        <w:rPr>
          <w:rFonts w:ascii="Times New Roman" w:hAnsi="Times New Roman" w:cs="Times New Roman"/>
          <w:w w:val="125"/>
          <w:sz w:val="24"/>
          <w:szCs w:val="24"/>
        </w:rPr>
        <w:t>=</w:t>
      </w:r>
      <w:r w:rsidR="001349CE" w:rsidRPr="00936116">
        <w:rPr>
          <w:rFonts w:ascii="Times New Roman" w:hAnsi="Times New Roman" w:cs="Times New Roman"/>
          <w:spacing w:val="-2"/>
          <w:w w:val="110"/>
          <w:sz w:val="24"/>
          <w:szCs w:val="24"/>
        </w:rPr>
        <w:t>78</w:t>
      </w:r>
      <w:r w:rsidR="001349CE" w:rsidRPr="00936116">
        <w:rPr>
          <w:rFonts w:ascii="Times New Roman" w:hAnsi="Times New Roman" w:cs="Times New Roman"/>
          <w:i/>
          <w:spacing w:val="-2"/>
          <w:w w:val="110"/>
          <w:sz w:val="24"/>
          <w:szCs w:val="24"/>
        </w:rPr>
        <w:t>.</w:t>
      </w:r>
      <w:r w:rsidR="001349CE" w:rsidRPr="00936116">
        <w:rPr>
          <w:rFonts w:ascii="Times New Roman" w:hAnsi="Times New Roman" w:cs="Times New Roman"/>
          <w:spacing w:val="-2"/>
          <w:w w:val="110"/>
          <w:sz w:val="24"/>
          <w:szCs w:val="24"/>
        </w:rPr>
        <w:t>43</w:t>
      </w:r>
    </w:p>
    <w:p w:rsidR="001349CE" w:rsidRPr="00936116" w:rsidRDefault="001349CE" w:rsidP="00936116">
      <w:pPr>
        <w:pStyle w:val="BodyText"/>
        <w:spacing w:line="360" w:lineRule="auto"/>
        <w:ind w:right="29"/>
        <w:jc w:val="both"/>
      </w:pPr>
    </w:p>
    <w:p w:rsidR="00FF01E7" w:rsidRPr="00936116" w:rsidRDefault="00FF01E7" w:rsidP="00936116">
      <w:pPr>
        <w:pStyle w:val="BodyText"/>
        <w:spacing w:line="360" w:lineRule="auto"/>
        <w:ind w:left="23" w:right="29"/>
        <w:jc w:val="both"/>
        <w:rPr>
          <w:w w:val="105"/>
        </w:rPr>
      </w:pPr>
      <w:r w:rsidRPr="00936116">
        <w:rPr>
          <w:w w:val="105"/>
        </w:rPr>
        <w:t>This shows that the price of items decrease by 78.43%</w:t>
      </w:r>
      <w:r w:rsidR="00703814" w:rsidRPr="00936116">
        <w:rPr>
          <w:w w:val="105"/>
        </w:rPr>
        <w:t xml:space="preserve"> between 2024 and 2025</w:t>
      </w:r>
      <w:r w:rsidR="000202BC" w:rsidRPr="00936116">
        <w:rPr>
          <w:w w:val="105"/>
        </w:rPr>
        <w:t>.</w:t>
      </w:r>
    </w:p>
    <w:p w:rsidR="001349CE" w:rsidRPr="00936116" w:rsidRDefault="001349CE" w:rsidP="00936116">
      <w:pPr>
        <w:pStyle w:val="Heading1"/>
        <w:spacing w:before="0" w:beforeAutospacing="0" w:after="0" w:afterAutospacing="0" w:line="360" w:lineRule="auto"/>
        <w:ind w:right="29"/>
        <w:jc w:val="both"/>
        <w:rPr>
          <w:sz w:val="24"/>
          <w:szCs w:val="24"/>
        </w:rPr>
      </w:pPr>
      <w:r w:rsidRPr="00936116">
        <w:rPr>
          <w:sz w:val="24"/>
          <w:szCs w:val="24"/>
        </w:rPr>
        <w:t xml:space="preserve">Paasche’s Price </w:t>
      </w:r>
      <w:r w:rsidRPr="00936116">
        <w:rPr>
          <w:spacing w:val="-2"/>
          <w:sz w:val="24"/>
          <w:szCs w:val="24"/>
        </w:rPr>
        <w:t>Index</w:t>
      </w:r>
    </w:p>
    <w:p w:rsidR="001349CE" w:rsidRPr="00936116" w:rsidRDefault="00AA02E7" w:rsidP="00936116">
      <w:pPr>
        <w:pStyle w:val="BodyText"/>
        <w:spacing w:line="360" w:lineRule="auto"/>
        <w:ind w:left="23" w:right="29"/>
        <w:jc w:val="both"/>
      </w:pPr>
      <w:r w:rsidRPr="00936116">
        <w:pict>
          <v:shape id="docshape4" o:spid="_x0000_s1029" type="#_x0000_t202" style="position:absolute;left:0;text-align:left;margin-left:258.7pt;margin-top:24.3pt;width:82.6pt;height:53.3pt;z-index:-251653120;mso-position-horizontal-relative:page" filled="f" stroked="f">
            <v:textbox inset="0,0,0,0">
              <w:txbxContent>
                <w:p w:rsidR="001349CE" w:rsidRDefault="001349CE" w:rsidP="001349CE">
                  <w:pPr>
                    <w:tabs>
                      <w:tab w:val="left" w:pos="1356"/>
                    </w:tabs>
                    <w:spacing w:line="194" w:lineRule="auto"/>
                    <w:rPr>
                      <w:rFonts w:ascii="Georgia" w:hAnsi="Georgia"/>
                      <w:i/>
                      <w:position w:val="-33"/>
                      <w:sz w:val="24"/>
                    </w:rPr>
                  </w:pPr>
                  <w:r>
                    <w:rPr>
                      <w:rFonts w:ascii="Courier New" w:hAnsi="Courier New"/>
                      <w:spacing w:val="6"/>
                      <w:w w:val="130"/>
                      <w:sz w:val="24"/>
                    </w:rPr>
                    <w:t>(</w:t>
                  </w:r>
                  <w:r>
                    <w:rPr>
                      <w:rFonts w:ascii="Courier New" w:hAnsi="Courier New"/>
                      <w:spacing w:val="6"/>
                      <w:w w:val="130"/>
                      <w:position w:val="-31"/>
                      <w:sz w:val="24"/>
                    </w:rPr>
                    <w:t>∑</w:t>
                  </w:r>
                  <w:r>
                    <w:rPr>
                      <w:rFonts w:ascii="Courier New" w:hAnsi="Courier New"/>
                      <w:position w:val="-31"/>
                      <w:sz w:val="24"/>
                    </w:rPr>
                    <w:tab/>
                  </w:r>
                  <w:r>
                    <w:rPr>
                      <w:rFonts w:ascii="Courier New" w:hAnsi="Courier New"/>
                      <w:w w:val="120"/>
                      <w:sz w:val="24"/>
                    </w:rPr>
                    <w:t>)</w:t>
                  </w:r>
                  <w:r>
                    <w:rPr>
                      <w:rFonts w:ascii="Georgia" w:hAnsi="Georgia"/>
                      <w:i/>
                      <w:spacing w:val="-28"/>
                      <w:w w:val="125"/>
                      <w:position w:val="-33"/>
                      <w:sz w:val="24"/>
                    </w:rPr>
                    <w:t>·</w:t>
                  </w:r>
                </w:p>
              </w:txbxContent>
            </v:textbox>
            <w10:wrap anchorx="page"/>
          </v:shape>
        </w:pict>
      </w:r>
      <w:r w:rsidR="001349CE" w:rsidRPr="00936116">
        <w:rPr>
          <w:w w:val="105"/>
        </w:rPr>
        <w:t xml:space="preserve">The Paasche’s Price Index is calculated </w:t>
      </w:r>
      <w:r w:rsidR="001349CE" w:rsidRPr="00936116">
        <w:rPr>
          <w:spacing w:val="-5"/>
          <w:w w:val="105"/>
        </w:rPr>
        <w:t>as:</w:t>
      </w:r>
    </w:p>
    <w:p w:rsidR="001349CE" w:rsidRPr="00936116" w:rsidRDefault="00AA02E7" w:rsidP="00936116">
      <w:pPr>
        <w:tabs>
          <w:tab w:val="left" w:pos="4208"/>
          <w:tab w:val="left" w:pos="5461"/>
        </w:tabs>
        <w:spacing w:after="0" w:line="360" w:lineRule="auto"/>
        <w:ind w:left="4209" w:right="29" w:hanging="951"/>
        <w:jc w:val="both"/>
        <w:rPr>
          <w:rFonts w:ascii="Times New Roman" w:hAnsi="Times New Roman" w:cs="Times New Roman"/>
          <w:sz w:val="24"/>
          <w:szCs w:val="24"/>
        </w:rPr>
      </w:pPr>
      <w:r w:rsidRPr="00936116">
        <w:rPr>
          <w:rFonts w:ascii="Times New Roman" w:hAnsi="Times New Roman" w:cs="Times New Roman"/>
          <w:sz w:val="24"/>
          <w:szCs w:val="24"/>
        </w:rPr>
        <w:pict>
          <v:line id="_x0000_s1027" style="position:absolute;left:0;text-align:left;z-index:-251655168;mso-position-horizontal-relative:page" from="268.7pt,21.9pt" to="325.3pt,21.9pt" strokeweight=".16869mm">
            <w10:wrap anchorx="page"/>
          </v:line>
        </w:pict>
      </w:r>
      <w:r w:rsidR="001349CE" w:rsidRPr="00936116">
        <w:rPr>
          <w:rFonts w:ascii="Times New Roman" w:hAnsi="Times New Roman" w:cs="Times New Roman"/>
          <w:i/>
          <w:w w:val="110"/>
          <w:position w:val="-15"/>
          <w:sz w:val="24"/>
          <w:szCs w:val="24"/>
        </w:rPr>
        <w:t>P</w:t>
      </w:r>
      <w:r w:rsidR="001349CE" w:rsidRPr="00936116">
        <w:rPr>
          <w:rFonts w:ascii="Times New Roman" w:hAnsi="Times New Roman" w:cs="Times New Roman"/>
          <w:w w:val="130"/>
          <w:position w:val="-15"/>
          <w:sz w:val="24"/>
          <w:szCs w:val="24"/>
        </w:rPr>
        <w:t>=</w:t>
      </w:r>
      <w:r w:rsidR="001349CE" w:rsidRPr="00936116">
        <w:rPr>
          <w:rFonts w:ascii="Times New Roman" w:hAnsi="Times New Roman" w:cs="Times New Roman"/>
          <w:position w:val="-15"/>
          <w:sz w:val="24"/>
          <w:szCs w:val="24"/>
        </w:rPr>
        <w:tab/>
      </w:r>
      <w:r w:rsidR="001349CE" w:rsidRPr="00936116">
        <w:rPr>
          <w:rFonts w:ascii="Times New Roman" w:hAnsi="Times New Roman" w:cs="Times New Roman"/>
          <w:w w:val="110"/>
          <w:sz w:val="24"/>
          <w:szCs w:val="24"/>
        </w:rPr>
        <w:t>(</w:t>
      </w:r>
      <w:r w:rsidR="001349CE" w:rsidRPr="00936116">
        <w:rPr>
          <w:rFonts w:ascii="Times New Roman" w:hAnsi="Times New Roman" w:cs="Times New Roman"/>
          <w:i/>
          <w:w w:val="110"/>
          <w:sz w:val="24"/>
          <w:szCs w:val="24"/>
        </w:rPr>
        <w:t>P</w:t>
      </w:r>
      <w:r w:rsidR="001349CE" w:rsidRPr="00936116">
        <w:rPr>
          <w:rFonts w:ascii="Times New Roman" w:hAnsi="Times New Roman" w:cs="Times New Roman"/>
          <w:w w:val="110"/>
          <w:sz w:val="24"/>
          <w:szCs w:val="24"/>
          <w:vertAlign w:val="subscript"/>
        </w:rPr>
        <w:t>1</w:t>
      </w:r>
      <w:r w:rsidR="001349CE" w:rsidRPr="00936116">
        <w:rPr>
          <w:rFonts w:ascii="Times New Roman" w:hAnsi="Times New Roman" w:cs="Times New Roman"/>
          <w:i/>
          <w:w w:val="110"/>
          <w:sz w:val="24"/>
          <w:szCs w:val="24"/>
        </w:rPr>
        <w:t>· Q</w:t>
      </w:r>
      <w:r w:rsidR="001349CE" w:rsidRPr="00936116">
        <w:rPr>
          <w:rFonts w:ascii="Times New Roman" w:hAnsi="Times New Roman" w:cs="Times New Roman"/>
          <w:w w:val="110"/>
          <w:sz w:val="24"/>
          <w:szCs w:val="24"/>
          <w:vertAlign w:val="subscript"/>
        </w:rPr>
        <w:t>1</w:t>
      </w:r>
      <w:r w:rsidR="001349CE" w:rsidRPr="00936116">
        <w:rPr>
          <w:rFonts w:ascii="Times New Roman" w:hAnsi="Times New Roman" w:cs="Times New Roman"/>
          <w:w w:val="110"/>
          <w:sz w:val="24"/>
          <w:szCs w:val="24"/>
        </w:rPr>
        <w:t>)</w:t>
      </w:r>
      <w:r w:rsidR="001349CE" w:rsidRPr="00936116">
        <w:rPr>
          <w:rFonts w:ascii="Times New Roman" w:hAnsi="Times New Roman" w:cs="Times New Roman"/>
          <w:sz w:val="24"/>
          <w:szCs w:val="24"/>
        </w:rPr>
        <w:tab/>
      </w:r>
      <w:r w:rsidR="001349CE" w:rsidRPr="00936116">
        <w:rPr>
          <w:rFonts w:ascii="Times New Roman" w:hAnsi="Times New Roman" w:cs="Times New Roman"/>
          <w:spacing w:val="-6"/>
          <w:position w:val="-15"/>
          <w:sz w:val="24"/>
          <w:szCs w:val="24"/>
        </w:rPr>
        <w:t xml:space="preserve">100 </w:t>
      </w:r>
      <w:r w:rsidR="001349CE" w:rsidRPr="00936116">
        <w:rPr>
          <w:rFonts w:ascii="Times New Roman" w:hAnsi="Times New Roman" w:cs="Times New Roman"/>
          <w:w w:val="110"/>
          <w:sz w:val="24"/>
          <w:szCs w:val="24"/>
        </w:rPr>
        <w:t>(</w:t>
      </w:r>
      <w:r w:rsidR="001349CE" w:rsidRPr="00936116">
        <w:rPr>
          <w:rFonts w:ascii="Times New Roman" w:hAnsi="Times New Roman" w:cs="Times New Roman"/>
          <w:i/>
          <w:w w:val="110"/>
          <w:sz w:val="24"/>
          <w:szCs w:val="24"/>
        </w:rPr>
        <w:t>P</w:t>
      </w:r>
      <w:r w:rsidR="001349CE" w:rsidRPr="00936116">
        <w:rPr>
          <w:rFonts w:ascii="Times New Roman" w:hAnsi="Times New Roman" w:cs="Times New Roman"/>
          <w:w w:val="110"/>
          <w:sz w:val="24"/>
          <w:szCs w:val="24"/>
          <w:vertAlign w:val="subscript"/>
        </w:rPr>
        <w:t>0</w:t>
      </w:r>
      <w:r w:rsidR="001349CE" w:rsidRPr="00936116">
        <w:rPr>
          <w:rFonts w:ascii="Times New Roman" w:hAnsi="Times New Roman" w:cs="Times New Roman"/>
          <w:i/>
          <w:w w:val="110"/>
          <w:sz w:val="24"/>
          <w:szCs w:val="24"/>
        </w:rPr>
        <w:t>· Q</w:t>
      </w:r>
      <w:r w:rsidR="001349CE" w:rsidRPr="00936116">
        <w:rPr>
          <w:rFonts w:ascii="Times New Roman" w:hAnsi="Times New Roman" w:cs="Times New Roman"/>
          <w:w w:val="110"/>
          <w:sz w:val="24"/>
          <w:szCs w:val="24"/>
          <w:vertAlign w:val="subscript"/>
        </w:rPr>
        <w:t>1</w:t>
      </w:r>
      <w:r w:rsidR="001349CE" w:rsidRPr="00936116">
        <w:rPr>
          <w:rFonts w:ascii="Times New Roman" w:hAnsi="Times New Roman" w:cs="Times New Roman"/>
          <w:w w:val="110"/>
          <w:sz w:val="24"/>
          <w:szCs w:val="24"/>
        </w:rPr>
        <w:t>)</w:t>
      </w:r>
    </w:p>
    <w:p w:rsidR="001349CE" w:rsidRPr="00936116" w:rsidRDefault="001349CE" w:rsidP="00936116">
      <w:pPr>
        <w:pStyle w:val="BodyText"/>
        <w:spacing w:line="360" w:lineRule="auto"/>
        <w:ind w:left="23" w:right="29"/>
        <w:jc w:val="both"/>
      </w:pPr>
      <w:r w:rsidRPr="00936116">
        <w:rPr>
          <w:w w:val="105"/>
        </w:rPr>
        <w:t xml:space="preserve">Where </w:t>
      </w:r>
      <w:r w:rsidRPr="00936116">
        <w:rPr>
          <w:i/>
          <w:w w:val="105"/>
        </w:rPr>
        <w:t>Q</w:t>
      </w:r>
      <w:r w:rsidRPr="00936116">
        <w:rPr>
          <w:w w:val="105"/>
          <w:vertAlign w:val="subscript"/>
        </w:rPr>
        <w:t>1</w:t>
      </w:r>
      <w:r w:rsidRPr="00936116">
        <w:rPr>
          <w:w w:val="105"/>
        </w:rPr>
        <w:t xml:space="preserve">is the current year quantity </w:t>
      </w:r>
      <w:r w:rsidRPr="00936116">
        <w:rPr>
          <w:spacing w:val="-2"/>
          <w:w w:val="105"/>
        </w:rPr>
        <w:t>(2025).</w:t>
      </w:r>
    </w:p>
    <w:p w:rsidR="001349CE" w:rsidRPr="00936116" w:rsidRDefault="001349CE" w:rsidP="00936116">
      <w:pPr>
        <w:pStyle w:val="BodyText"/>
        <w:spacing w:line="360" w:lineRule="auto"/>
        <w:ind w:left="381" w:right="29"/>
        <w:jc w:val="both"/>
      </w:pPr>
      <w:r w:rsidRPr="00936116">
        <w:rPr>
          <w:spacing w:val="-2"/>
          <w:w w:val="105"/>
        </w:rPr>
        <w:t>Calculations:</w:t>
      </w:r>
    </w:p>
    <w:p w:rsidR="001349CE" w:rsidRPr="00936116" w:rsidRDefault="001349CE" w:rsidP="00936116">
      <w:pPr>
        <w:pStyle w:val="ListParagraph"/>
        <w:widowControl w:val="0"/>
        <w:numPr>
          <w:ilvl w:val="0"/>
          <w:numId w:val="28"/>
        </w:numPr>
        <w:tabs>
          <w:tab w:val="left" w:pos="620"/>
        </w:tabs>
        <w:autoSpaceDE w:val="0"/>
        <w:autoSpaceDN w:val="0"/>
        <w:spacing w:after="0" w:line="360" w:lineRule="auto"/>
        <w:ind w:right="29" w:hanging="301"/>
        <w:contextualSpacing w:val="0"/>
        <w:jc w:val="both"/>
        <w:rPr>
          <w:rFonts w:ascii="Times New Roman" w:hAnsi="Times New Roman" w:cs="Times New Roman"/>
          <w:sz w:val="24"/>
          <w:szCs w:val="24"/>
        </w:rPr>
      </w:pPr>
      <w:r w:rsidRPr="00936116">
        <w:rPr>
          <w:rFonts w:ascii="Times New Roman" w:hAnsi="Times New Roman" w:cs="Times New Roman"/>
          <w:spacing w:val="4"/>
          <w:position w:val="18"/>
          <w:sz w:val="24"/>
          <w:szCs w:val="24"/>
        </w:rPr>
        <w:t>∑</w:t>
      </w:r>
      <w:r w:rsidRPr="00936116">
        <w:rPr>
          <w:rFonts w:ascii="Times New Roman" w:hAnsi="Times New Roman" w:cs="Times New Roman"/>
          <w:spacing w:val="4"/>
          <w:sz w:val="24"/>
          <w:szCs w:val="24"/>
        </w:rPr>
        <w:t>(</w:t>
      </w:r>
      <w:r w:rsidRPr="00936116">
        <w:rPr>
          <w:rFonts w:ascii="Times New Roman" w:hAnsi="Times New Roman" w:cs="Times New Roman"/>
          <w:i/>
          <w:spacing w:val="4"/>
          <w:sz w:val="24"/>
          <w:szCs w:val="24"/>
        </w:rPr>
        <w:t>P</w:t>
      </w:r>
      <w:r w:rsidRPr="00936116">
        <w:rPr>
          <w:rFonts w:ascii="Times New Roman" w:hAnsi="Times New Roman" w:cs="Times New Roman"/>
          <w:spacing w:val="4"/>
          <w:sz w:val="24"/>
          <w:szCs w:val="24"/>
          <w:vertAlign w:val="subscript"/>
        </w:rPr>
        <w:t>1</w:t>
      </w:r>
      <w:r w:rsidRPr="00936116">
        <w:rPr>
          <w:rFonts w:ascii="Times New Roman" w:hAnsi="Times New Roman" w:cs="Times New Roman"/>
          <w:i/>
          <w:spacing w:val="4"/>
          <w:sz w:val="24"/>
          <w:szCs w:val="24"/>
        </w:rPr>
        <w:t>·Q</w:t>
      </w:r>
      <w:r w:rsidRPr="00936116">
        <w:rPr>
          <w:rFonts w:ascii="Times New Roman" w:hAnsi="Times New Roman" w:cs="Times New Roman"/>
          <w:spacing w:val="4"/>
          <w:sz w:val="24"/>
          <w:szCs w:val="24"/>
          <w:vertAlign w:val="subscript"/>
        </w:rPr>
        <w:t>1</w:t>
      </w:r>
      <w:r w:rsidRPr="00936116">
        <w:rPr>
          <w:rFonts w:ascii="Times New Roman" w:hAnsi="Times New Roman" w:cs="Times New Roman"/>
          <w:spacing w:val="4"/>
          <w:sz w:val="24"/>
          <w:szCs w:val="24"/>
        </w:rPr>
        <w:t>)=75</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2+62</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50+15</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10+10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500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3+20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10=3</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631</w:t>
      </w:r>
      <w:r w:rsidRPr="00936116">
        <w:rPr>
          <w:rFonts w:ascii="Times New Roman" w:hAnsi="Times New Roman" w:cs="Times New Roman"/>
          <w:i/>
          <w:spacing w:val="4"/>
          <w:sz w:val="24"/>
          <w:szCs w:val="24"/>
        </w:rPr>
        <w:t>,</w:t>
      </w:r>
      <w:r w:rsidRPr="00936116">
        <w:rPr>
          <w:rFonts w:ascii="Times New Roman" w:hAnsi="Times New Roman" w:cs="Times New Roman"/>
          <w:spacing w:val="-5"/>
          <w:sz w:val="24"/>
          <w:szCs w:val="24"/>
        </w:rPr>
        <w:t>500</w:t>
      </w:r>
    </w:p>
    <w:p w:rsidR="001349CE" w:rsidRPr="00936116" w:rsidRDefault="001349CE" w:rsidP="00936116">
      <w:pPr>
        <w:pStyle w:val="ListParagraph"/>
        <w:widowControl w:val="0"/>
        <w:numPr>
          <w:ilvl w:val="0"/>
          <w:numId w:val="28"/>
        </w:numPr>
        <w:tabs>
          <w:tab w:val="left" w:pos="620"/>
        </w:tabs>
        <w:autoSpaceDE w:val="0"/>
        <w:autoSpaceDN w:val="0"/>
        <w:spacing w:after="0" w:line="360" w:lineRule="auto"/>
        <w:ind w:right="29" w:hanging="301"/>
        <w:contextualSpacing w:val="0"/>
        <w:jc w:val="both"/>
        <w:rPr>
          <w:rFonts w:ascii="Times New Roman" w:hAnsi="Times New Roman" w:cs="Times New Roman"/>
          <w:sz w:val="24"/>
          <w:szCs w:val="24"/>
        </w:rPr>
      </w:pPr>
      <w:r w:rsidRPr="00936116">
        <w:rPr>
          <w:rFonts w:ascii="Times New Roman" w:hAnsi="Times New Roman" w:cs="Times New Roman"/>
          <w:spacing w:val="4"/>
          <w:position w:val="18"/>
          <w:sz w:val="24"/>
          <w:szCs w:val="24"/>
        </w:rPr>
        <w:t>∑</w:t>
      </w:r>
      <w:r w:rsidRPr="00936116">
        <w:rPr>
          <w:rFonts w:ascii="Times New Roman" w:hAnsi="Times New Roman" w:cs="Times New Roman"/>
          <w:spacing w:val="4"/>
          <w:sz w:val="24"/>
          <w:szCs w:val="24"/>
        </w:rPr>
        <w:t>(</w:t>
      </w:r>
      <w:r w:rsidRPr="00936116">
        <w:rPr>
          <w:rFonts w:ascii="Times New Roman" w:hAnsi="Times New Roman" w:cs="Times New Roman"/>
          <w:i/>
          <w:spacing w:val="4"/>
          <w:sz w:val="24"/>
          <w:szCs w:val="24"/>
        </w:rPr>
        <w:t>P</w:t>
      </w:r>
      <w:r w:rsidRPr="00936116">
        <w:rPr>
          <w:rFonts w:ascii="Times New Roman" w:hAnsi="Times New Roman" w:cs="Times New Roman"/>
          <w:spacing w:val="4"/>
          <w:sz w:val="24"/>
          <w:szCs w:val="24"/>
          <w:vertAlign w:val="subscript"/>
        </w:rPr>
        <w:t>0</w:t>
      </w:r>
      <w:r w:rsidRPr="00936116">
        <w:rPr>
          <w:rFonts w:ascii="Times New Roman" w:hAnsi="Times New Roman" w:cs="Times New Roman"/>
          <w:i/>
          <w:spacing w:val="4"/>
          <w:sz w:val="24"/>
          <w:szCs w:val="24"/>
        </w:rPr>
        <w:t>·Q</w:t>
      </w:r>
      <w:r w:rsidRPr="00936116">
        <w:rPr>
          <w:rFonts w:ascii="Times New Roman" w:hAnsi="Times New Roman" w:cs="Times New Roman"/>
          <w:spacing w:val="4"/>
          <w:sz w:val="24"/>
          <w:szCs w:val="24"/>
          <w:vertAlign w:val="subscript"/>
        </w:rPr>
        <w:t>1</w:t>
      </w:r>
      <w:r w:rsidRPr="00936116">
        <w:rPr>
          <w:rFonts w:ascii="Times New Roman" w:hAnsi="Times New Roman" w:cs="Times New Roman"/>
          <w:spacing w:val="4"/>
          <w:sz w:val="24"/>
          <w:szCs w:val="24"/>
        </w:rPr>
        <w:t>)=90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2+80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50+17</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10+10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3+25</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000</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10=4</w:t>
      </w:r>
      <w:r w:rsidRPr="00936116">
        <w:rPr>
          <w:rFonts w:ascii="Times New Roman" w:hAnsi="Times New Roman" w:cs="Times New Roman"/>
          <w:i/>
          <w:spacing w:val="4"/>
          <w:sz w:val="24"/>
          <w:szCs w:val="24"/>
        </w:rPr>
        <w:t>,</w:t>
      </w:r>
      <w:r w:rsidRPr="00936116">
        <w:rPr>
          <w:rFonts w:ascii="Times New Roman" w:hAnsi="Times New Roman" w:cs="Times New Roman"/>
          <w:spacing w:val="4"/>
          <w:sz w:val="24"/>
          <w:szCs w:val="24"/>
        </w:rPr>
        <w:t>630</w:t>
      </w:r>
      <w:r w:rsidRPr="00936116">
        <w:rPr>
          <w:rFonts w:ascii="Times New Roman" w:hAnsi="Times New Roman" w:cs="Times New Roman"/>
          <w:i/>
          <w:spacing w:val="4"/>
          <w:sz w:val="24"/>
          <w:szCs w:val="24"/>
        </w:rPr>
        <w:t>,</w:t>
      </w:r>
      <w:r w:rsidRPr="00936116">
        <w:rPr>
          <w:rFonts w:ascii="Times New Roman" w:hAnsi="Times New Roman" w:cs="Times New Roman"/>
          <w:spacing w:val="-5"/>
          <w:sz w:val="24"/>
          <w:szCs w:val="24"/>
        </w:rPr>
        <w:t>000</w:t>
      </w:r>
    </w:p>
    <w:p w:rsidR="001349CE" w:rsidRPr="00936116" w:rsidRDefault="00AA02E7" w:rsidP="00936116">
      <w:pPr>
        <w:pStyle w:val="ListParagraph"/>
        <w:widowControl w:val="0"/>
        <w:numPr>
          <w:ilvl w:val="0"/>
          <w:numId w:val="28"/>
        </w:numPr>
        <w:tabs>
          <w:tab w:val="left" w:pos="620"/>
        </w:tabs>
        <w:autoSpaceDE w:val="0"/>
        <w:autoSpaceDN w:val="0"/>
        <w:spacing w:after="0" w:line="360" w:lineRule="auto"/>
        <w:ind w:right="29" w:hanging="301"/>
        <w:contextualSpacing w:val="0"/>
        <w:jc w:val="both"/>
        <w:rPr>
          <w:rFonts w:ascii="Times New Roman" w:hAnsi="Times New Roman" w:cs="Times New Roman"/>
          <w:sz w:val="24"/>
          <w:szCs w:val="24"/>
        </w:rPr>
      </w:pPr>
      <w:r w:rsidRPr="00936116">
        <w:rPr>
          <w:rFonts w:ascii="Times New Roman" w:hAnsi="Times New Roman" w:cs="Times New Roman"/>
          <w:sz w:val="24"/>
          <w:szCs w:val="24"/>
        </w:rPr>
        <w:lastRenderedPageBreak/>
        <w:pict>
          <v:shape id="docshape5" o:spid="_x0000_s1033" type="#_x0000_t202" style="position:absolute;left:0;text-align:left;margin-left:135.15pt;margin-top:22.65pt;width:34.35pt;height:8pt;z-index:-251649024;mso-position-horizontal-relative:page" filled="f" stroked="f">
            <v:textbox inset="0,0,0,0">
              <w:txbxContent>
                <w:p w:rsidR="001349CE" w:rsidRDefault="001349CE" w:rsidP="001349CE">
                  <w:pPr>
                    <w:spacing w:line="158" w:lineRule="exact"/>
                    <w:rPr>
                      <w:rFonts w:ascii="Trebuchet MS"/>
                      <w:sz w:val="16"/>
                    </w:rPr>
                  </w:pPr>
                  <w:r>
                    <w:rPr>
                      <w:rFonts w:ascii="Trebuchet MS"/>
                      <w:spacing w:val="-2"/>
                      <w:sz w:val="16"/>
                    </w:rPr>
                    <w:t>4</w:t>
                  </w:r>
                  <w:r>
                    <w:rPr>
                      <w:rFonts w:ascii="Sitka Text"/>
                      <w:i/>
                      <w:spacing w:val="-2"/>
                      <w:sz w:val="16"/>
                    </w:rPr>
                    <w:t>,</w:t>
                  </w:r>
                  <w:r>
                    <w:rPr>
                      <w:rFonts w:ascii="Trebuchet MS"/>
                      <w:spacing w:val="-2"/>
                      <w:sz w:val="16"/>
                    </w:rPr>
                    <w:t>630</w:t>
                  </w:r>
                  <w:r>
                    <w:rPr>
                      <w:rFonts w:ascii="Sitka Text"/>
                      <w:i/>
                      <w:spacing w:val="-2"/>
                      <w:sz w:val="16"/>
                    </w:rPr>
                    <w:t>,</w:t>
                  </w:r>
                  <w:r>
                    <w:rPr>
                      <w:rFonts w:ascii="Trebuchet MS"/>
                      <w:spacing w:val="-2"/>
                      <w:sz w:val="16"/>
                    </w:rPr>
                    <w:t>000</w:t>
                  </w:r>
                </w:p>
              </w:txbxContent>
            </v:textbox>
            <w10:wrap anchorx="page"/>
          </v:shape>
        </w:pict>
      </w:r>
      <w:r w:rsidR="001349CE" w:rsidRPr="00936116">
        <w:rPr>
          <w:rFonts w:ascii="Times New Roman" w:hAnsi="Times New Roman" w:cs="Times New Roman"/>
          <w:i/>
          <w:w w:val="110"/>
          <w:sz w:val="24"/>
          <w:szCs w:val="24"/>
        </w:rPr>
        <w:t>P</w:t>
      </w:r>
      <w:r w:rsidR="001349CE" w:rsidRPr="00936116">
        <w:rPr>
          <w:rFonts w:ascii="Times New Roman" w:hAnsi="Times New Roman" w:cs="Times New Roman"/>
          <w:w w:val="125"/>
          <w:sz w:val="24"/>
          <w:szCs w:val="24"/>
        </w:rPr>
        <w:t>=</w:t>
      </w:r>
      <w:r w:rsidR="001349CE" w:rsidRPr="00936116">
        <w:rPr>
          <w:rFonts w:ascii="Times New Roman" w:hAnsi="Times New Roman" w:cs="Times New Roman"/>
          <w:w w:val="110"/>
          <w:position w:val="27"/>
          <w:sz w:val="24"/>
          <w:szCs w:val="24"/>
        </w:rPr>
        <w:t>(</w:t>
      </w:r>
      <w:r w:rsidR="001349CE" w:rsidRPr="00936116">
        <w:rPr>
          <w:rFonts w:ascii="Times New Roman" w:hAnsi="Times New Roman" w:cs="Times New Roman"/>
          <w:w w:val="110"/>
          <w:position w:val="11"/>
          <w:sz w:val="24"/>
          <w:szCs w:val="24"/>
          <w:u w:val="single"/>
        </w:rPr>
        <w:t>3</w:t>
      </w:r>
      <w:r w:rsidR="001349CE" w:rsidRPr="00936116">
        <w:rPr>
          <w:rFonts w:ascii="Times New Roman" w:hAnsi="Times New Roman" w:cs="Times New Roman"/>
          <w:i/>
          <w:w w:val="110"/>
          <w:position w:val="11"/>
          <w:sz w:val="24"/>
          <w:szCs w:val="24"/>
          <w:u w:val="single"/>
        </w:rPr>
        <w:t>,</w:t>
      </w:r>
      <w:r w:rsidR="001349CE" w:rsidRPr="00936116">
        <w:rPr>
          <w:rFonts w:ascii="Times New Roman" w:hAnsi="Times New Roman" w:cs="Times New Roman"/>
          <w:w w:val="110"/>
          <w:position w:val="11"/>
          <w:sz w:val="24"/>
          <w:szCs w:val="24"/>
          <w:u w:val="single"/>
        </w:rPr>
        <w:t>631</w:t>
      </w:r>
      <w:r w:rsidR="001349CE" w:rsidRPr="00936116">
        <w:rPr>
          <w:rFonts w:ascii="Times New Roman" w:hAnsi="Times New Roman" w:cs="Times New Roman"/>
          <w:i/>
          <w:w w:val="110"/>
          <w:position w:val="11"/>
          <w:sz w:val="24"/>
          <w:szCs w:val="24"/>
          <w:u w:val="single"/>
        </w:rPr>
        <w:t>,</w:t>
      </w:r>
      <w:r w:rsidR="001349CE" w:rsidRPr="00936116">
        <w:rPr>
          <w:rFonts w:ascii="Times New Roman" w:hAnsi="Times New Roman" w:cs="Times New Roman"/>
          <w:w w:val="110"/>
          <w:position w:val="11"/>
          <w:sz w:val="24"/>
          <w:szCs w:val="24"/>
          <w:u w:val="single"/>
        </w:rPr>
        <w:t>500</w:t>
      </w:r>
      <w:r w:rsidR="001349CE" w:rsidRPr="00936116">
        <w:rPr>
          <w:rFonts w:ascii="Times New Roman" w:hAnsi="Times New Roman" w:cs="Times New Roman"/>
          <w:w w:val="110"/>
          <w:position w:val="27"/>
          <w:sz w:val="24"/>
          <w:szCs w:val="24"/>
        </w:rPr>
        <w:t>)</w:t>
      </w:r>
      <w:r w:rsidR="001349CE" w:rsidRPr="00936116">
        <w:rPr>
          <w:rFonts w:ascii="Times New Roman" w:hAnsi="Times New Roman" w:cs="Times New Roman"/>
          <w:i/>
          <w:w w:val="110"/>
          <w:sz w:val="24"/>
          <w:szCs w:val="24"/>
        </w:rPr>
        <w:t>·</w:t>
      </w:r>
      <w:r w:rsidR="001349CE" w:rsidRPr="00936116">
        <w:rPr>
          <w:rFonts w:ascii="Times New Roman" w:hAnsi="Times New Roman" w:cs="Times New Roman"/>
          <w:w w:val="110"/>
          <w:sz w:val="24"/>
          <w:szCs w:val="24"/>
        </w:rPr>
        <w:t>100</w:t>
      </w:r>
      <w:r w:rsidR="001349CE" w:rsidRPr="00936116">
        <w:rPr>
          <w:rFonts w:ascii="Times New Roman" w:hAnsi="Times New Roman" w:cs="Times New Roman"/>
          <w:w w:val="125"/>
          <w:sz w:val="24"/>
          <w:szCs w:val="24"/>
        </w:rPr>
        <w:t>=</w:t>
      </w:r>
      <w:r w:rsidR="001349CE" w:rsidRPr="00936116">
        <w:rPr>
          <w:rFonts w:ascii="Times New Roman" w:hAnsi="Times New Roman" w:cs="Times New Roman"/>
          <w:spacing w:val="-2"/>
          <w:w w:val="110"/>
          <w:sz w:val="24"/>
          <w:szCs w:val="24"/>
        </w:rPr>
        <w:t>78</w:t>
      </w:r>
      <w:r w:rsidR="001349CE" w:rsidRPr="00936116">
        <w:rPr>
          <w:rFonts w:ascii="Times New Roman" w:hAnsi="Times New Roman" w:cs="Times New Roman"/>
          <w:i/>
          <w:spacing w:val="-2"/>
          <w:w w:val="110"/>
          <w:sz w:val="24"/>
          <w:szCs w:val="24"/>
        </w:rPr>
        <w:t>.</w:t>
      </w:r>
      <w:r w:rsidR="001349CE" w:rsidRPr="00936116">
        <w:rPr>
          <w:rFonts w:ascii="Times New Roman" w:hAnsi="Times New Roman" w:cs="Times New Roman"/>
          <w:spacing w:val="-2"/>
          <w:w w:val="110"/>
          <w:sz w:val="24"/>
          <w:szCs w:val="24"/>
        </w:rPr>
        <w:t>43</w:t>
      </w:r>
    </w:p>
    <w:p w:rsidR="001349CE" w:rsidRPr="00936116" w:rsidRDefault="001349CE" w:rsidP="00936116">
      <w:pPr>
        <w:pStyle w:val="BodyText"/>
        <w:spacing w:line="360" w:lineRule="auto"/>
        <w:ind w:right="29"/>
        <w:jc w:val="both"/>
      </w:pPr>
    </w:p>
    <w:p w:rsidR="000202BC" w:rsidRPr="00936116" w:rsidRDefault="000202BC" w:rsidP="00936116">
      <w:pPr>
        <w:pStyle w:val="Heading1"/>
        <w:spacing w:before="0" w:beforeAutospacing="0" w:after="0" w:afterAutospacing="0" w:line="360" w:lineRule="auto"/>
        <w:ind w:right="29"/>
        <w:jc w:val="both"/>
        <w:rPr>
          <w:b w:val="0"/>
          <w:sz w:val="24"/>
          <w:szCs w:val="24"/>
        </w:rPr>
      </w:pPr>
      <w:r w:rsidRPr="00936116">
        <w:rPr>
          <w:b w:val="0"/>
          <w:w w:val="105"/>
          <w:sz w:val="24"/>
          <w:szCs w:val="24"/>
        </w:rPr>
        <w:t>This shows that the price of items decrease by 78.43% between 2024 and 2025.</w:t>
      </w:r>
    </w:p>
    <w:p w:rsidR="001349CE" w:rsidRPr="00936116" w:rsidRDefault="001349CE" w:rsidP="00936116">
      <w:pPr>
        <w:pStyle w:val="Heading1"/>
        <w:spacing w:before="0" w:beforeAutospacing="0" w:after="0" w:afterAutospacing="0" w:line="360" w:lineRule="auto"/>
        <w:ind w:right="29"/>
        <w:jc w:val="both"/>
        <w:rPr>
          <w:sz w:val="24"/>
          <w:szCs w:val="24"/>
        </w:rPr>
      </w:pPr>
      <w:r w:rsidRPr="00936116">
        <w:rPr>
          <w:sz w:val="24"/>
          <w:szCs w:val="24"/>
        </w:rPr>
        <w:t>Fisher’s Ideal</w:t>
      </w:r>
      <w:r w:rsidRPr="00936116">
        <w:rPr>
          <w:spacing w:val="-2"/>
          <w:sz w:val="24"/>
          <w:szCs w:val="24"/>
        </w:rPr>
        <w:t xml:space="preserve"> Index</w:t>
      </w:r>
    </w:p>
    <w:p w:rsidR="001349CE" w:rsidRPr="00936116" w:rsidRDefault="001349CE" w:rsidP="00936116">
      <w:pPr>
        <w:pStyle w:val="BodyText"/>
        <w:spacing w:line="360" w:lineRule="auto"/>
        <w:ind w:left="23" w:right="29"/>
        <w:jc w:val="both"/>
      </w:pPr>
      <w:r w:rsidRPr="00936116">
        <w:rPr>
          <w:w w:val="105"/>
        </w:rPr>
        <w:t>TheFisher’sIdealIndexisthegeometricmeanoftheLaspeyresandPaasche’s</w:t>
      </w:r>
      <w:r w:rsidRPr="00936116">
        <w:rPr>
          <w:spacing w:val="-2"/>
          <w:w w:val="105"/>
        </w:rPr>
        <w:t>indices:</w:t>
      </w:r>
    </w:p>
    <w:p w:rsidR="001349CE" w:rsidRPr="00936116" w:rsidRDefault="00AA02E7" w:rsidP="00936116">
      <w:pPr>
        <w:spacing w:after="0" w:line="360" w:lineRule="auto"/>
        <w:ind w:right="29"/>
        <w:jc w:val="both"/>
        <w:rPr>
          <w:rFonts w:ascii="Times New Roman" w:hAnsi="Times New Roman" w:cs="Times New Roman"/>
          <w:i/>
          <w:sz w:val="24"/>
          <w:szCs w:val="24"/>
        </w:rPr>
      </w:pPr>
      <w:r w:rsidRPr="00936116">
        <w:rPr>
          <w:rFonts w:ascii="Times New Roman" w:hAnsi="Times New Roman" w:cs="Times New Roman"/>
          <w:i/>
          <w:sz w:val="24"/>
          <w:szCs w:val="24"/>
        </w:rPr>
        <w:pict>
          <v:line id="_x0000_s1031" style="position:absolute;left:0;text-align:left;z-index:-251651072;mso-position-horizontal-relative:page" from="302.2pt,12.9pt" to="328pt,12.9pt" strokeweight=".16869mm">
            <w10:wrap anchorx="page"/>
          </v:line>
        </w:pict>
      </w:r>
      <w:r w:rsidR="001349CE" w:rsidRPr="00936116">
        <w:rPr>
          <w:rFonts w:ascii="Times New Roman" w:hAnsi="Times New Roman" w:cs="Times New Roman"/>
          <w:i/>
          <w:w w:val="130"/>
          <w:sz w:val="24"/>
          <w:szCs w:val="24"/>
        </w:rPr>
        <w:t>F</w:t>
      </w:r>
      <w:r w:rsidR="001349CE" w:rsidRPr="00936116">
        <w:rPr>
          <w:rFonts w:ascii="Times New Roman" w:hAnsi="Times New Roman" w:cs="Times New Roman"/>
          <w:w w:val="130"/>
          <w:sz w:val="24"/>
          <w:szCs w:val="24"/>
        </w:rPr>
        <w:t>=</w:t>
      </w:r>
      <w:r w:rsidR="001349CE" w:rsidRPr="00936116">
        <w:rPr>
          <w:rFonts w:ascii="Times New Roman" w:hAnsi="Times New Roman" w:cs="Times New Roman"/>
          <w:i/>
          <w:w w:val="130"/>
          <w:position w:val="21"/>
          <w:sz w:val="24"/>
          <w:szCs w:val="24"/>
        </w:rPr>
        <w:t>√</w:t>
      </w:r>
      <w:r w:rsidR="001349CE" w:rsidRPr="00936116">
        <w:rPr>
          <w:rFonts w:ascii="Times New Roman" w:hAnsi="Times New Roman" w:cs="Times New Roman"/>
          <w:i/>
          <w:w w:val="130"/>
          <w:sz w:val="24"/>
          <w:szCs w:val="24"/>
        </w:rPr>
        <w:t>L</w:t>
      </w:r>
      <w:r w:rsidR="001349CE" w:rsidRPr="00936116">
        <w:rPr>
          <w:rFonts w:ascii="Times New Roman" w:hAnsi="Times New Roman" w:cs="Times New Roman"/>
          <w:i/>
          <w:w w:val="125"/>
          <w:sz w:val="24"/>
          <w:szCs w:val="24"/>
        </w:rPr>
        <w:t>·</w:t>
      </w:r>
      <w:r w:rsidR="001349CE" w:rsidRPr="00936116">
        <w:rPr>
          <w:rFonts w:ascii="Times New Roman" w:hAnsi="Times New Roman" w:cs="Times New Roman"/>
          <w:i/>
          <w:spacing w:val="-12"/>
          <w:w w:val="130"/>
          <w:sz w:val="24"/>
          <w:szCs w:val="24"/>
        </w:rPr>
        <w:t>P</w:t>
      </w:r>
    </w:p>
    <w:p w:rsidR="001349CE" w:rsidRPr="00936116" w:rsidRDefault="00AA02E7" w:rsidP="00936116">
      <w:pPr>
        <w:tabs>
          <w:tab w:val="left" w:pos="3142"/>
        </w:tabs>
        <w:spacing w:after="0" w:line="360" w:lineRule="auto"/>
        <w:ind w:left="23" w:right="29"/>
        <w:jc w:val="both"/>
        <w:rPr>
          <w:rFonts w:ascii="Times New Roman" w:hAnsi="Times New Roman" w:cs="Times New Roman"/>
          <w:sz w:val="24"/>
          <w:szCs w:val="24"/>
        </w:rPr>
      </w:pPr>
      <w:r w:rsidRPr="00936116">
        <w:rPr>
          <w:rFonts w:ascii="Times New Roman" w:hAnsi="Times New Roman" w:cs="Times New Roman"/>
          <w:sz w:val="24"/>
          <w:szCs w:val="24"/>
        </w:rPr>
        <w:pict>
          <v:line id="_x0000_s1032" style="position:absolute;left:0;text-align:left;z-index:-251650048;mso-position-horizontal-relative:page" from="262.9pt,26.95pt" to="324.85pt,26.95pt" strokeweight=".16869mm">
            <w10:wrap anchorx="page"/>
          </v:line>
        </w:pict>
      </w:r>
      <w:r w:rsidR="001349CE" w:rsidRPr="00936116">
        <w:rPr>
          <w:rFonts w:ascii="Times New Roman" w:hAnsi="Times New Roman" w:cs="Times New Roman"/>
          <w:spacing w:val="-2"/>
          <w:w w:val="115"/>
          <w:position w:val="29"/>
          <w:sz w:val="24"/>
          <w:szCs w:val="24"/>
        </w:rPr>
        <w:t>Calculation:</w:t>
      </w:r>
      <w:r w:rsidR="001349CE" w:rsidRPr="00936116">
        <w:rPr>
          <w:rFonts w:ascii="Times New Roman" w:hAnsi="Times New Roman" w:cs="Times New Roman"/>
          <w:position w:val="29"/>
          <w:sz w:val="24"/>
          <w:szCs w:val="24"/>
        </w:rPr>
        <w:tab/>
      </w:r>
      <w:r w:rsidR="001349CE" w:rsidRPr="00936116">
        <w:rPr>
          <w:rFonts w:ascii="Times New Roman" w:hAnsi="Times New Roman" w:cs="Times New Roman"/>
          <w:i/>
          <w:w w:val="115"/>
          <w:sz w:val="24"/>
          <w:szCs w:val="24"/>
        </w:rPr>
        <w:t>F</w:t>
      </w:r>
      <w:r w:rsidR="001349CE" w:rsidRPr="00936116">
        <w:rPr>
          <w:rFonts w:ascii="Times New Roman" w:hAnsi="Times New Roman" w:cs="Times New Roman"/>
          <w:w w:val="115"/>
          <w:sz w:val="24"/>
          <w:szCs w:val="24"/>
        </w:rPr>
        <w:t>=</w:t>
      </w:r>
      <w:r w:rsidR="001349CE" w:rsidRPr="00936116">
        <w:rPr>
          <w:rFonts w:ascii="Times New Roman" w:hAnsi="Times New Roman" w:cs="Times New Roman"/>
          <w:i/>
          <w:w w:val="115"/>
          <w:position w:val="21"/>
          <w:sz w:val="24"/>
          <w:szCs w:val="24"/>
        </w:rPr>
        <w:t>√</w:t>
      </w:r>
      <w:r w:rsidR="001349CE" w:rsidRPr="00936116">
        <w:rPr>
          <w:rFonts w:ascii="Times New Roman" w:hAnsi="Times New Roman" w:cs="Times New Roman"/>
          <w:w w:val="115"/>
          <w:sz w:val="24"/>
          <w:szCs w:val="24"/>
        </w:rPr>
        <w:t>78</w:t>
      </w:r>
      <w:r w:rsidR="001349CE" w:rsidRPr="00936116">
        <w:rPr>
          <w:rFonts w:ascii="Times New Roman" w:hAnsi="Times New Roman" w:cs="Times New Roman"/>
          <w:i/>
          <w:w w:val="115"/>
          <w:sz w:val="24"/>
          <w:szCs w:val="24"/>
        </w:rPr>
        <w:t>.</w:t>
      </w:r>
      <w:r w:rsidR="001349CE" w:rsidRPr="00936116">
        <w:rPr>
          <w:rFonts w:ascii="Times New Roman" w:hAnsi="Times New Roman" w:cs="Times New Roman"/>
          <w:w w:val="115"/>
          <w:sz w:val="24"/>
          <w:szCs w:val="24"/>
        </w:rPr>
        <w:t>43</w:t>
      </w:r>
      <w:r w:rsidR="001349CE" w:rsidRPr="00936116">
        <w:rPr>
          <w:rFonts w:ascii="Times New Roman" w:hAnsi="Times New Roman" w:cs="Times New Roman"/>
          <w:i/>
          <w:w w:val="115"/>
          <w:sz w:val="24"/>
          <w:szCs w:val="24"/>
        </w:rPr>
        <w:t>·</w:t>
      </w:r>
      <w:r w:rsidR="001349CE" w:rsidRPr="00936116">
        <w:rPr>
          <w:rFonts w:ascii="Times New Roman" w:hAnsi="Times New Roman" w:cs="Times New Roman"/>
          <w:w w:val="115"/>
          <w:sz w:val="24"/>
          <w:szCs w:val="24"/>
        </w:rPr>
        <w:t>78</w:t>
      </w:r>
      <w:r w:rsidR="001349CE" w:rsidRPr="00936116">
        <w:rPr>
          <w:rFonts w:ascii="Times New Roman" w:hAnsi="Times New Roman" w:cs="Times New Roman"/>
          <w:i/>
          <w:w w:val="115"/>
          <w:sz w:val="24"/>
          <w:szCs w:val="24"/>
        </w:rPr>
        <w:t>.</w:t>
      </w:r>
      <w:r w:rsidR="001349CE" w:rsidRPr="00936116">
        <w:rPr>
          <w:rFonts w:ascii="Times New Roman" w:hAnsi="Times New Roman" w:cs="Times New Roman"/>
          <w:w w:val="115"/>
          <w:sz w:val="24"/>
          <w:szCs w:val="24"/>
        </w:rPr>
        <w:t>43=</w:t>
      </w:r>
      <w:r w:rsidR="001349CE" w:rsidRPr="00936116">
        <w:rPr>
          <w:rFonts w:ascii="Times New Roman" w:hAnsi="Times New Roman" w:cs="Times New Roman"/>
          <w:spacing w:val="-2"/>
          <w:w w:val="115"/>
          <w:sz w:val="24"/>
          <w:szCs w:val="24"/>
        </w:rPr>
        <w:t>78</w:t>
      </w:r>
      <w:r w:rsidR="001349CE" w:rsidRPr="00936116">
        <w:rPr>
          <w:rFonts w:ascii="Times New Roman" w:hAnsi="Times New Roman" w:cs="Times New Roman"/>
          <w:i/>
          <w:spacing w:val="-2"/>
          <w:w w:val="115"/>
          <w:sz w:val="24"/>
          <w:szCs w:val="24"/>
        </w:rPr>
        <w:t>.</w:t>
      </w:r>
      <w:r w:rsidR="001349CE" w:rsidRPr="00936116">
        <w:rPr>
          <w:rFonts w:ascii="Times New Roman" w:hAnsi="Times New Roman" w:cs="Times New Roman"/>
          <w:spacing w:val="-2"/>
          <w:w w:val="115"/>
          <w:sz w:val="24"/>
          <w:szCs w:val="24"/>
        </w:rPr>
        <w:t>43</w:t>
      </w:r>
    </w:p>
    <w:p w:rsidR="001349CE" w:rsidRPr="00936116" w:rsidRDefault="00CA7BA9" w:rsidP="00936116">
      <w:pPr>
        <w:pStyle w:val="BodyText"/>
        <w:spacing w:line="360" w:lineRule="auto"/>
        <w:ind w:right="29"/>
        <w:jc w:val="both"/>
      </w:pPr>
      <w:r w:rsidRPr="00936116">
        <w:rPr>
          <w:w w:val="105"/>
        </w:rPr>
        <w:t>This shows that the price of items decrease by 78.43% between 2024 and 2025.</w:t>
      </w:r>
    </w:p>
    <w:p w:rsidR="001349CE" w:rsidRPr="00936116" w:rsidRDefault="001349CE" w:rsidP="00936116">
      <w:pPr>
        <w:pStyle w:val="BodyText"/>
        <w:spacing w:line="360" w:lineRule="auto"/>
        <w:ind w:left="23" w:right="29"/>
        <w:jc w:val="both"/>
        <w:rPr>
          <w:b/>
        </w:rPr>
      </w:pPr>
      <w:r w:rsidRPr="00936116">
        <w:rPr>
          <w:b/>
        </w:rPr>
        <w:t>4.3</w:t>
      </w:r>
      <w:r w:rsidRPr="00936116">
        <w:rPr>
          <w:b/>
        </w:rPr>
        <w:tab/>
        <w:t>Interpretation of Results</w:t>
      </w:r>
    </w:p>
    <w:p w:rsidR="001349CE" w:rsidRPr="00936116" w:rsidRDefault="001349CE" w:rsidP="00936116">
      <w:pPr>
        <w:pStyle w:val="BodyText"/>
        <w:spacing w:line="360" w:lineRule="auto"/>
        <w:ind w:left="23" w:right="29"/>
        <w:jc w:val="both"/>
      </w:pPr>
      <w:r w:rsidRPr="00936116">
        <w:t>The results of the price indices are summarized as follows:</w:t>
      </w:r>
    </w:p>
    <w:p w:rsidR="001349CE" w:rsidRPr="00936116" w:rsidRDefault="00E66E74" w:rsidP="00936116">
      <w:pPr>
        <w:pStyle w:val="BodyText"/>
        <w:spacing w:line="360" w:lineRule="auto"/>
        <w:ind w:left="23" w:right="29"/>
        <w:jc w:val="both"/>
      </w:pPr>
      <w:r w:rsidRPr="00936116">
        <w:t>- Laspeyres Price Index</w:t>
      </w:r>
      <w:r w:rsidR="001349CE" w:rsidRPr="00936116">
        <w:t>: 78.43</w:t>
      </w:r>
    </w:p>
    <w:p w:rsidR="001349CE" w:rsidRPr="00936116" w:rsidRDefault="001349CE" w:rsidP="00936116">
      <w:pPr>
        <w:pStyle w:val="BodyText"/>
        <w:spacing w:line="360" w:lineRule="auto"/>
        <w:ind w:left="23" w:right="29"/>
        <w:jc w:val="both"/>
      </w:pPr>
      <w:r w:rsidRPr="00936116">
        <w:t>- Paasche’s Price Index: 78.43</w:t>
      </w:r>
    </w:p>
    <w:p w:rsidR="001349CE" w:rsidRPr="00936116" w:rsidRDefault="001349CE" w:rsidP="00936116">
      <w:pPr>
        <w:pStyle w:val="BodyText"/>
        <w:spacing w:line="360" w:lineRule="auto"/>
        <w:ind w:left="23" w:right="29"/>
        <w:jc w:val="both"/>
      </w:pPr>
      <w:r w:rsidRPr="00936116">
        <w:t>- Fisher’s Ideal Index: 78.43</w:t>
      </w:r>
    </w:p>
    <w:p w:rsidR="001349CE" w:rsidRPr="00936116" w:rsidRDefault="001349CE" w:rsidP="00936116">
      <w:pPr>
        <w:pStyle w:val="BodyText"/>
        <w:spacing w:line="360" w:lineRule="auto"/>
        <w:ind w:left="23" w:right="29"/>
        <w:jc w:val="both"/>
        <w:rPr>
          <w:b/>
        </w:rPr>
      </w:pPr>
      <w:r w:rsidRPr="00936116">
        <w:rPr>
          <w:b/>
        </w:rPr>
        <w:t>Key Findings:</w:t>
      </w:r>
    </w:p>
    <w:p w:rsidR="001349CE" w:rsidRPr="00936116" w:rsidRDefault="001349CE" w:rsidP="00936116">
      <w:pPr>
        <w:pStyle w:val="BodyText"/>
        <w:spacing w:line="360" w:lineRule="auto"/>
        <w:ind w:left="23" w:right="29"/>
        <w:jc w:val="both"/>
      </w:pPr>
      <w:r w:rsidRPr="00936116">
        <w:t>1. Price Decrease: All three indices indicate a 21.57% decrease in the price level from 2024 to 2025. This suggests that the cost of the food basket has decreased significantly, potentially improving purchasing power for consumers maintaining the same consumption pattern.</w:t>
      </w:r>
    </w:p>
    <w:p w:rsidR="001349CE" w:rsidRPr="00936116" w:rsidRDefault="001349CE" w:rsidP="00936116">
      <w:pPr>
        <w:pStyle w:val="BodyText"/>
        <w:spacing w:line="360" w:lineRule="auto"/>
        <w:ind w:left="23" w:right="29"/>
        <w:jc w:val="both"/>
      </w:pPr>
      <w:r w:rsidRPr="00936116">
        <w:t>2. Identical Indices: The Laspeyres and Paasche’s indices are equal because the quantities consumed in 2024 and 2025 are identical. This eliminates the distinction between base and current year quantities, resulting in the same value for both indices and, consequently, the Fisher’s index.</w:t>
      </w:r>
    </w:p>
    <w:p w:rsidR="001349CE" w:rsidRPr="00936116" w:rsidRDefault="001349CE" w:rsidP="00936116">
      <w:pPr>
        <w:pStyle w:val="BodyText"/>
        <w:spacing w:line="360" w:lineRule="auto"/>
        <w:ind w:left="23" w:right="29"/>
        <w:jc w:val="both"/>
      </w:pPr>
      <w:r w:rsidRPr="00936116">
        <w:t>3. Stable Consumption: The unchanged quantities suggest that consumer demand for these food items remained constant despite price changes. This could indicate stable preferences or inelastic demand for these staple goods.</w:t>
      </w:r>
    </w:p>
    <w:p w:rsidR="001349CE" w:rsidRPr="00936116" w:rsidRDefault="001349CE" w:rsidP="00936116">
      <w:pPr>
        <w:pStyle w:val="BodyText"/>
        <w:spacing w:line="360" w:lineRule="auto"/>
        <w:ind w:left="23" w:right="29"/>
        <w:jc w:val="both"/>
        <w:rPr>
          <w:b/>
        </w:rPr>
      </w:pPr>
      <w:r w:rsidRPr="00936116">
        <w:rPr>
          <w:b/>
        </w:rPr>
        <w:t>4. Item-Specific Insights</w:t>
      </w:r>
    </w:p>
    <w:p w:rsidR="001349CE" w:rsidRPr="00936116" w:rsidRDefault="001349CE" w:rsidP="00936116">
      <w:pPr>
        <w:pStyle w:val="BodyText"/>
        <w:spacing w:line="360" w:lineRule="auto"/>
        <w:ind w:left="23" w:right="29"/>
        <w:jc w:val="both"/>
      </w:pPr>
      <w:r w:rsidRPr="00936116">
        <w:rPr>
          <w:b/>
        </w:rPr>
        <w:t>Price Decreases</w:t>
      </w:r>
      <w:r w:rsidRPr="00936116">
        <w:t>: Vegetable Oil (16.67% decrease), Rice (22.50% decrease), Semo (11.76% decrease), and Spaghetti (20.00% decrease) saw significant price reductions, likely driven by market factors such as increased supply or reduced production costs.</w:t>
      </w:r>
    </w:p>
    <w:p w:rsidR="001349CE" w:rsidRPr="00936116" w:rsidRDefault="001349CE" w:rsidP="00936116">
      <w:pPr>
        <w:pStyle w:val="BodyText"/>
        <w:spacing w:line="360" w:lineRule="auto"/>
        <w:ind w:left="23" w:right="29"/>
        <w:jc w:val="both"/>
      </w:pPr>
      <w:r w:rsidRPr="00936116">
        <w:rPr>
          <w:b/>
        </w:rPr>
        <w:t>Price Increase</w:t>
      </w:r>
      <w:r w:rsidRPr="00936116">
        <w:t>: Indomie experienced a slight price increase (5.00%), which may reflect brand-specific factors or higher production costs.</w:t>
      </w:r>
    </w:p>
    <w:p w:rsidR="001349CE" w:rsidRPr="00936116" w:rsidRDefault="001349CE" w:rsidP="00936116">
      <w:pPr>
        <w:pStyle w:val="BodyText"/>
        <w:spacing w:line="360" w:lineRule="auto"/>
        <w:ind w:left="23" w:right="29"/>
        <w:jc w:val="both"/>
        <w:rPr>
          <w:b/>
        </w:rPr>
      </w:pPr>
      <w:r w:rsidRPr="00936116">
        <w:rPr>
          <w:b/>
        </w:rPr>
        <w:t>Economic Implications:</w:t>
      </w:r>
    </w:p>
    <w:p w:rsidR="001349CE" w:rsidRPr="00936116" w:rsidRDefault="001349CE" w:rsidP="00936116">
      <w:pPr>
        <w:pStyle w:val="BodyText"/>
        <w:spacing w:line="360" w:lineRule="auto"/>
        <w:ind w:left="23" w:right="29"/>
        <w:jc w:val="both"/>
      </w:pPr>
      <w:r w:rsidRPr="00936116">
        <w:rPr>
          <w:b/>
        </w:rPr>
        <w:t>Cost of Living</w:t>
      </w:r>
      <w:r w:rsidRPr="00936116">
        <w:t xml:space="preserve">: The 21.57% price decrease implies a lower cost of living for households </w:t>
      </w:r>
      <w:r w:rsidRPr="00936116">
        <w:lastRenderedPageBreak/>
        <w:t>relying on these food items, assuming other factors (e.g., income, other expenses) remain constant.</w:t>
      </w:r>
    </w:p>
    <w:p w:rsidR="001349CE" w:rsidRPr="00936116" w:rsidRDefault="001349CE" w:rsidP="00936116">
      <w:pPr>
        <w:pStyle w:val="BodyText"/>
        <w:spacing w:line="360" w:lineRule="auto"/>
        <w:ind w:left="23" w:right="29"/>
        <w:jc w:val="both"/>
      </w:pPr>
      <w:r w:rsidRPr="00936116">
        <w:rPr>
          <w:b/>
        </w:rPr>
        <w:t>Purchasing Power</w:t>
      </w:r>
      <w:r w:rsidRPr="00936116">
        <w:t>: Consumers can purchase the same basket of goods for less in 2025, potentially freeing up income for other expenditures or savings.</w:t>
      </w:r>
    </w:p>
    <w:p w:rsidR="001349CE" w:rsidRPr="00936116" w:rsidRDefault="001349CE" w:rsidP="00936116">
      <w:pPr>
        <w:pStyle w:val="BodyText"/>
        <w:spacing w:line="360" w:lineRule="auto"/>
        <w:ind w:left="23" w:right="29"/>
        <w:jc w:val="both"/>
      </w:pPr>
      <w:r w:rsidRPr="00936116">
        <w:rPr>
          <w:b/>
        </w:rPr>
        <w:t>Policy Considerations</w:t>
      </w:r>
      <w:r w:rsidRPr="00936116">
        <w:t>: Policymakers may use these findings to assess inflation trends or the effectiveness of agricultural policies affecting food prices.</w:t>
      </w:r>
    </w:p>
    <w:p w:rsidR="00E361A2" w:rsidRPr="00936116" w:rsidRDefault="00E361A2" w:rsidP="00936116">
      <w:pPr>
        <w:spacing w:after="0" w:line="360" w:lineRule="auto"/>
        <w:jc w:val="both"/>
        <w:rPr>
          <w:rFonts w:ascii="Times New Roman" w:eastAsia="Times New Roman" w:hAnsi="Times New Roman" w:cs="Times New Roman"/>
          <w:sz w:val="24"/>
          <w:szCs w:val="24"/>
        </w:rPr>
      </w:pPr>
    </w:p>
    <w:p w:rsidR="00E361A2" w:rsidRPr="00936116" w:rsidRDefault="00E361A2" w:rsidP="00936116">
      <w:pPr>
        <w:spacing w:after="0" w:line="360" w:lineRule="auto"/>
        <w:jc w:val="both"/>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br w:type="page"/>
      </w:r>
    </w:p>
    <w:p w:rsidR="00120FC6" w:rsidRDefault="00120FC6" w:rsidP="00120FC6">
      <w:pPr>
        <w:spacing w:after="0" w:line="360" w:lineRule="auto"/>
        <w:jc w:val="center"/>
        <w:outlineLvl w:val="0"/>
        <w:rPr>
          <w:rFonts w:ascii="Times New Roman" w:eastAsia="Times New Roman" w:hAnsi="Times New Roman" w:cs="Times New Roman"/>
          <w:b/>
          <w:bCs/>
          <w:kern w:val="36"/>
          <w:sz w:val="24"/>
          <w:szCs w:val="24"/>
        </w:rPr>
      </w:pPr>
      <w:r w:rsidRPr="00936116">
        <w:rPr>
          <w:rFonts w:ascii="Times New Roman" w:eastAsia="Times New Roman" w:hAnsi="Times New Roman" w:cs="Times New Roman"/>
          <w:b/>
          <w:bCs/>
          <w:kern w:val="36"/>
          <w:sz w:val="24"/>
          <w:szCs w:val="24"/>
        </w:rPr>
        <w:lastRenderedPageBreak/>
        <w:t>CHAPTER FIVE</w:t>
      </w:r>
    </w:p>
    <w:p w:rsidR="00B4181F" w:rsidRPr="00936116" w:rsidRDefault="00120FC6" w:rsidP="00120FC6">
      <w:pPr>
        <w:spacing w:after="0" w:line="360" w:lineRule="auto"/>
        <w:jc w:val="center"/>
        <w:outlineLvl w:val="0"/>
        <w:rPr>
          <w:rFonts w:ascii="Times New Roman" w:eastAsia="Times New Roman" w:hAnsi="Times New Roman" w:cs="Times New Roman"/>
          <w:b/>
          <w:bCs/>
          <w:kern w:val="36"/>
          <w:sz w:val="24"/>
          <w:szCs w:val="24"/>
        </w:rPr>
      </w:pPr>
      <w:r w:rsidRPr="00936116">
        <w:rPr>
          <w:rFonts w:ascii="Times New Roman" w:eastAsia="Times New Roman" w:hAnsi="Times New Roman" w:cs="Times New Roman"/>
          <w:b/>
          <w:bCs/>
          <w:kern w:val="36"/>
          <w:sz w:val="24"/>
          <w:szCs w:val="24"/>
        </w:rPr>
        <w:t>SUMMARY, CONCLUSION, AND RECOMMENDATIONS</w:t>
      </w:r>
    </w:p>
    <w:p w:rsidR="00B4181F" w:rsidRPr="00936116" w:rsidRDefault="00B4181F" w:rsidP="00936116">
      <w:pPr>
        <w:spacing w:after="0" w:line="360" w:lineRule="auto"/>
        <w:jc w:val="both"/>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5.1 Summary</w:t>
      </w:r>
    </w:p>
    <w:p w:rsidR="00B4181F" w:rsidRPr="00936116" w:rsidRDefault="00B4181F"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This study analyzed the price dynamics of selected food items (vegetable oil, rice, semo, Indomie, and spaghetti) in Ipata Market, Ilorin, Nigeria, over a six-month period from January to June 2025, with a comparison to the base year of 2024. The research adopted a mixed-methods approach, combining quantitative data on price and quantity changes with qualitative insights into social and cultural factors influencing pricing. The study aimed to identify the factors driving food prices, assess the impact of price volatility on consumers and vendors, evaluate the role of social and cultural factors, and provide recommendations for stabilizing prices and improving market efficiency.</w:t>
      </w:r>
    </w:p>
    <w:p w:rsidR="00B4181F" w:rsidRPr="00936116" w:rsidRDefault="00B4181F"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Chapter One introduced the significance of Ipata Market as a critical hub in Nigeria’s food economy, highlighting its role in supplying staple foods and the challenges of price volatility driven by seasonal variations, supply chain inefficiencies, and market intermediaries. The objectives, research questions, and hypotheses were outlined, focusing on economic, environmental, and social factors influencing prices. Chapter Two reviewed relevant literature, establishing a conceptual framework based on supply and demand dynamics, economic factors (e.g., production and transportation costs), environmental factors (e.g., seasonality), and social factors (e.g., bargaining and moral economy). The theoretical framework integrated the theories of market integration (Kabbiri et al., 2016) and moral economy (Jackson et al., 2009) to explain price formation in Ipata Market.</w:t>
      </w:r>
    </w:p>
    <w:p w:rsidR="00B4181F" w:rsidRPr="00936116" w:rsidRDefault="00B4181F"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Chapter Three detailed the methodology, employing a mixed-methods design with purposive sampling of 100 respondents (50 vendors and 50 consumers). Data were collected through surveys, interviews, and market observations, analyzed using descriptive and inferential statistics (SPSS) for quantitative data and thematic analysis (NVivo) for qualitative data. Chapter Four presented the analysis of price and quantity data using Laspeyres, Paasche’s, and Fisher’s Ideal Price Indices, revealing a 21.57% decrease in the price level from 2024 to 2025. Key findings indicated stable consumption patterns, significant price reductions for most food items (except Indomie), and implications for improved consumer purchasing power and reduced cost of living.</w:t>
      </w:r>
    </w:p>
    <w:p w:rsidR="00B4181F" w:rsidRPr="00936116" w:rsidRDefault="00B4181F"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The study confirmed that economic factors, such as production and transportation costs, and environmental factors, like seasonality, significantly influence food prices in Ipata Market. Social and cultural factors, including bargaining, trust-based relationships, and informal credit arrangements, also play a critical role in modulating price volatility and enhancing food </w:t>
      </w:r>
      <w:r w:rsidRPr="00936116">
        <w:rPr>
          <w:rFonts w:ascii="Times New Roman" w:eastAsia="Times New Roman" w:hAnsi="Times New Roman" w:cs="Times New Roman"/>
          <w:sz w:val="24"/>
          <w:szCs w:val="24"/>
        </w:rPr>
        <w:lastRenderedPageBreak/>
        <w:t>access, aligning with the moral economy framework. The hypotheses testing seasonal variations, transportation costs, and social factors were supported, indicating their significant impact on price dynamics.</w:t>
      </w:r>
    </w:p>
    <w:p w:rsidR="00B4181F" w:rsidRPr="00936116" w:rsidRDefault="00B4181F" w:rsidP="00936116">
      <w:pPr>
        <w:spacing w:after="0" w:line="360" w:lineRule="auto"/>
        <w:jc w:val="both"/>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5.2 Conclusion</w:t>
      </w:r>
    </w:p>
    <w:p w:rsidR="00EB32B1" w:rsidRPr="00936116" w:rsidRDefault="00EB32B1" w:rsidP="00936116">
      <w:pPr>
        <w:pStyle w:val="NormalWeb"/>
        <w:spacing w:before="0" w:beforeAutospacing="0" w:after="0" w:afterAutospacing="0" w:line="360" w:lineRule="auto"/>
        <w:jc w:val="both"/>
      </w:pPr>
      <w:r w:rsidRPr="00936116">
        <w:t>The analysis of Ipata Market's food price dynamics reveals a 21.57% price drop from 2024 to 2025, driven by improved supply or lower production costs, easing consumer costs and potentially boosting vendor profits. Stable consumption quantities indicate inelastic demand for staples, vital to household diets. Supply chain inefficiencies and seasonal variations fuel price volatility, consistent with prior studies. Social practices like bargaining and credit access, rooted in trust-based relationships, enhance resilience and stabilize prices, aligning with the moral economy model. As a regional hub, Ipata Market connects rural producers to urban consumers, with social capital and cultural norms buffering economic and environmental volatility. These findings support food security and market efficiency, contributing to Sustainable Development Goal 2 for zero hunger and sustainable agriculture.</w:t>
      </w:r>
    </w:p>
    <w:p w:rsidR="00B4181F" w:rsidRPr="00936116" w:rsidRDefault="00B4181F" w:rsidP="00936116">
      <w:pPr>
        <w:spacing w:after="0" w:line="360" w:lineRule="auto"/>
        <w:jc w:val="both"/>
        <w:rPr>
          <w:rFonts w:ascii="Times New Roman" w:eastAsia="Times New Roman" w:hAnsi="Times New Roman" w:cs="Times New Roman"/>
          <w:sz w:val="24"/>
          <w:szCs w:val="24"/>
        </w:rPr>
      </w:pPr>
    </w:p>
    <w:p w:rsidR="00B4181F" w:rsidRPr="00936116" w:rsidRDefault="00B4181F" w:rsidP="00936116">
      <w:pPr>
        <w:spacing w:after="0" w:line="360" w:lineRule="auto"/>
        <w:jc w:val="both"/>
        <w:outlineLvl w:val="1"/>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t>5.3 Recommendations</w:t>
      </w:r>
    </w:p>
    <w:p w:rsidR="00B4181F" w:rsidRPr="00936116" w:rsidRDefault="00B4181F" w:rsidP="00936116">
      <w:p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Based on the findings, the following recommendations are proposed to stabilize food prices and enhance market efficiency in Ipata Market and similar traditional markets:</w:t>
      </w:r>
    </w:p>
    <w:p w:rsidR="00B4181F" w:rsidRPr="00936116" w:rsidRDefault="00B4181F" w:rsidP="00936116">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Improve Supply Chain Infrastructure</w:t>
      </w:r>
      <w:r w:rsidRPr="00936116">
        <w:rPr>
          <w:rFonts w:ascii="Times New Roman" w:eastAsia="Times New Roman" w:hAnsi="Times New Roman" w:cs="Times New Roman"/>
          <w:sz w:val="24"/>
          <w:szCs w:val="24"/>
        </w:rPr>
        <w:t>: Policymakers and market administrators should invest in modernizing transportation and storage facilities to reduce transaction costs and mitigate the impact of seasonal shortages. For example, constructing cold storage units for perishable goods like vegetables can stabilize supply and prices during the dry season.</w:t>
      </w:r>
    </w:p>
    <w:p w:rsidR="00B4181F" w:rsidRPr="00936116" w:rsidRDefault="00B4181F" w:rsidP="00936116">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Support Agricultural Productivity</w:t>
      </w:r>
      <w:r w:rsidRPr="00936116">
        <w:rPr>
          <w:rFonts w:ascii="Times New Roman" w:eastAsia="Times New Roman" w:hAnsi="Times New Roman" w:cs="Times New Roman"/>
          <w:sz w:val="24"/>
          <w:szCs w:val="24"/>
        </w:rPr>
        <w:t>: Government and development agencies should provide subsidies for farming inputs (e.g., seeds, fertilizers) and promote irrigation systems to reduce reliance on rainfed agriculture. This would enhance year-round production, minimizing price spikes during the dry season.</w:t>
      </w:r>
    </w:p>
    <w:p w:rsidR="00B4181F" w:rsidRPr="00936116" w:rsidRDefault="00B4181F" w:rsidP="00936116">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Regulate Market Intermediaries</w:t>
      </w:r>
      <w:r w:rsidRPr="00936116">
        <w:rPr>
          <w:rFonts w:ascii="Times New Roman" w:eastAsia="Times New Roman" w:hAnsi="Times New Roman" w:cs="Times New Roman"/>
          <w:sz w:val="24"/>
          <w:szCs w:val="24"/>
        </w:rPr>
        <w:t>: To address the issue of high markups by wholesalers and middlemen, regulatory measures or cooperatives could be established to streamline the supply chain and ensure fair pricing for both vendors and consumers.</w:t>
      </w:r>
    </w:p>
    <w:p w:rsidR="00B4181F" w:rsidRPr="00936116" w:rsidRDefault="00B4181F" w:rsidP="00936116">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Promote Financial Inclusion for Vendors and Consumers</w:t>
      </w:r>
      <w:r w:rsidRPr="00936116">
        <w:rPr>
          <w:rFonts w:ascii="Times New Roman" w:eastAsia="Times New Roman" w:hAnsi="Times New Roman" w:cs="Times New Roman"/>
          <w:sz w:val="24"/>
          <w:szCs w:val="24"/>
        </w:rPr>
        <w:t xml:space="preserve">: Financial institutions and market associations should expand access to affordable credit for vendors to manage fluctuating wholesale prices and for consumers to cope with price spikes. </w:t>
      </w:r>
      <w:r w:rsidRPr="00936116">
        <w:rPr>
          <w:rFonts w:ascii="Times New Roman" w:eastAsia="Times New Roman" w:hAnsi="Times New Roman" w:cs="Times New Roman"/>
          <w:sz w:val="24"/>
          <w:szCs w:val="24"/>
        </w:rPr>
        <w:lastRenderedPageBreak/>
        <w:t>Formalizing informal credit arrangements through microfinance programs could enhance market resilience.</w:t>
      </w:r>
    </w:p>
    <w:p w:rsidR="00B4181F" w:rsidRPr="00936116" w:rsidRDefault="00B4181F" w:rsidP="00936116">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Strengthen Market Governance</w:t>
      </w:r>
      <w:r w:rsidRPr="00936116">
        <w:rPr>
          <w:rFonts w:ascii="Times New Roman" w:eastAsia="Times New Roman" w:hAnsi="Times New Roman" w:cs="Times New Roman"/>
          <w:sz w:val="24"/>
          <w:szCs w:val="24"/>
        </w:rPr>
        <w:t>: Local authorities should implement policies to improve market infrastructure, such as better roads and sanitation, to reduce operational costs for vendors. Regular price monitoring and transparency initiatives can also help stabilize prices and build consumer trust.</w:t>
      </w:r>
    </w:p>
    <w:p w:rsidR="00B4181F" w:rsidRPr="00936116" w:rsidRDefault="00B4181F" w:rsidP="00702633">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Leverage Social Capital</w:t>
      </w:r>
      <w:r w:rsidRPr="00936116">
        <w:rPr>
          <w:rFonts w:ascii="Times New Roman" w:eastAsia="Times New Roman" w:hAnsi="Times New Roman" w:cs="Times New Roman"/>
          <w:sz w:val="24"/>
          <w:szCs w:val="24"/>
        </w:rPr>
        <w:t>: Market stakeholders should encourage trust-based relationships and ethical pricing practices through community engagement programs. Training vendors on fair pricing and negotiation skills can enhance the moral economy, ensuring equitable access to food.</w:t>
      </w:r>
    </w:p>
    <w:p w:rsidR="00B4181F" w:rsidRPr="00936116" w:rsidRDefault="00B4181F" w:rsidP="00702633">
      <w:pPr>
        <w:numPr>
          <w:ilvl w:val="0"/>
          <w:numId w:val="29"/>
        </w:numPr>
        <w:spacing w:after="0" w:line="360" w:lineRule="auto"/>
        <w:jc w:val="both"/>
        <w:rPr>
          <w:rFonts w:ascii="Times New Roman" w:eastAsia="Times New Roman" w:hAnsi="Times New Roman" w:cs="Times New Roman"/>
          <w:sz w:val="24"/>
          <w:szCs w:val="24"/>
        </w:rPr>
      </w:pPr>
      <w:r w:rsidRPr="00936116">
        <w:rPr>
          <w:rFonts w:ascii="Times New Roman" w:eastAsia="Times New Roman" w:hAnsi="Times New Roman" w:cs="Times New Roman"/>
          <w:b/>
          <w:bCs/>
          <w:sz w:val="24"/>
          <w:szCs w:val="24"/>
        </w:rPr>
        <w:t>Conduct Further Research</w:t>
      </w:r>
      <w:r w:rsidRPr="00936116">
        <w:rPr>
          <w:rFonts w:ascii="Times New Roman" w:eastAsia="Times New Roman" w:hAnsi="Times New Roman" w:cs="Times New Roman"/>
          <w:sz w:val="24"/>
          <w:szCs w:val="24"/>
        </w:rPr>
        <w:t>: Additional studies should explore price dynamics in other Nigerian markets to validate these findings and develop context-specific interventions. Longitudinal studies could also assess the long-term impact of price stabilization measures on food security and vendor profitability.</w:t>
      </w:r>
    </w:p>
    <w:p w:rsidR="00B4181F" w:rsidRPr="00936116" w:rsidRDefault="00B4181F" w:rsidP="00936116">
      <w:pPr>
        <w:spacing w:after="0" w:line="360" w:lineRule="auto"/>
        <w:jc w:val="center"/>
        <w:outlineLvl w:val="2"/>
        <w:rPr>
          <w:rFonts w:ascii="Times New Roman" w:eastAsia="Times New Roman" w:hAnsi="Times New Roman" w:cs="Times New Roman"/>
          <w:b/>
          <w:bCs/>
          <w:sz w:val="24"/>
          <w:szCs w:val="24"/>
        </w:rPr>
      </w:pPr>
    </w:p>
    <w:p w:rsidR="009E78D1" w:rsidRPr="00936116" w:rsidRDefault="009E78D1" w:rsidP="00936116">
      <w:pPr>
        <w:spacing w:after="0" w:line="360" w:lineRule="auto"/>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br w:type="page"/>
      </w:r>
    </w:p>
    <w:p w:rsidR="007D4193" w:rsidRPr="00936116" w:rsidRDefault="00C226D5" w:rsidP="00936116">
      <w:pPr>
        <w:spacing w:after="0" w:line="360" w:lineRule="auto"/>
        <w:jc w:val="center"/>
        <w:outlineLvl w:val="2"/>
        <w:rPr>
          <w:rFonts w:ascii="Times New Roman" w:eastAsia="Times New Roman" w:hAnsi="Times New Roman" w:cs="Times New Roman"/>
          <w:b/>
          <w:bCs/>
          <w:sz w:val="24"/>
          <w:szCs w:val="24"/>
        </w:rPr>
      </w:pPr>
      <w:r w:rsidRPr="00936116">
        <w:rPr>
          <w:rFonts w:ascii="Times New Roman" w:eastAsia="Times New Roman" w:hAnsi="Times New Roman" w:cs="Times New Roman"/>
          <w:b/>
          <w:bCs/>
          <w:sz w:val="24"/>
          <w:szCs w:val="24"/>
        </w:rPr>
        <w:lastRenderedPageBreak/>
        <w:t>REFERENCES</w:t>
      </w:r>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Adeosun, K. P., Greene, M., &amp; Oosterveer, P. (2022). Informal Ready-to-Eat Food Vending: A Social Practice Perspective on Urban Food Provisioning in Nigeria. </w:t>
      </w:r>
      <w:r w:rsidRPr="00936116">
        <w:rPr>
          <w:rFonts w:ascii="Times New Roman" w:eastAsia="Times New Roman" w:hAnsi="Times New Roman" w:cs="Times New Roman"/>
          <w:i/>
          <w:iCs/>
          <w:sz w:val="24"/>
          <w:szCs w:val="24"/>
        </w:rPr>
        <w:t>Food Security</w:t>
      </w:r>
      <w:r w:rsidRPr="00936116">
        <w:rPr>
          <w:rFonts w:ascii="Times New Roman" w:eastAsia="Times New Roman" w:hAnsi="Times New Roman" w:cs="Times New Roman"/>
          <w:sz w:val="24"/>
          <w:szCs w:val="24"/>
        </w:rPr>
        <w:t xml:space="preserve">. </w:t>
      </w:r>
      <w:hyperlink r:id="rId8" w:tgtFrame="_blank" w:history="1">
        <w:r w:rsidRPr="00936116">
          <w:rPr>
            <w:rFonts w:ascii="Times New Roman" w:eastAsia="Times New Roman" w:hAnsi="Times New Roman" w:cs="Times New Roman"/>
            <w:sz w:val="24"/>
            <w:szCs w:val="24"/>
          </w:rPr>
          <w:t>https://doi.org/10.1007/s12571-022-01257-0</w:t>
        </w:r>
      </w:hyperlink>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Ahmed, S., Kennedy, G., Crum, J., Vogliano, C., McClung, S., &amp; Anderson, C. (2021). Suitability of Data-Collection Methods, Tools, and Metrics for Evaluating Market Food Environments in Low- and Middle-Income Countries. </w:t>
      </w:r>
      <w:r w:rsidRPr="00936116">
        <w:rPr>
          <w:rFonts w:ascii="Times New Roman" w:eastAsia="Times New Roman" w:hAnsi="Times New Roman" w:cs="Times New Roman"/>
          <w:i/>
          <w:iCs/>
          <w:sz w:val="24"/>
          <w:szCs w:val="24"/>
        </w:rPr>
        <w:t>Foods, 10(11), 2728</w:t>
      </w:r>
      <w:r w:rsidRPr="00936116">
        <w:rPr>
          <w:rFonts w:ascii="Times New Roman" w:eastAsia="Times New Roman" w:hAnsi="Times New Roman" w:cs="Times New Roman"/>
          <w:sz w:val="24"/>
          <w:szCs w:val="24"/>
        </w:rPr>
        <w:t xml:space="preserve">. </w:t>
      </w:r>
      <w:hyperlink r:id="rId9" w:tgtFrame="_blank" w:history="1">
        <w:r w:rsidRPr="00936116">
          <w:rPr>
            <w:rFonts w:ascii="Times New Roman" w:eastAsia="Times New Roman" w:hAnsi="Times New Roman" w:cs="Times New Roman"/>
            <w:sz w:val="24"/>
            <w:szCs w:val="24"/>
          </w:rPr>
          <w:t>https://doi.org/10.3390/foods10112728</w:t>
        </w:r>
      </w:hyperlink>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Jackson, P., Ward, N., &amp; Russell, P. (2009). Moral Economies of Food and Geographies of Responsibility. </w:t>
      </w:r>
      <w:r w:rsidRPr="00936116">
        <w:rPr>
          <w:rFonts w:ascii="Times New Roman" w:eastAsia="Times New Roman" w:hAnsi="Times New Roman" w:cs="Times New Roman"/>
          <w:i/>
          <w:iCs/>
          <w:sz w:val="24"/>
          <w:szCs w:val="24"/>
        </w:rPr>
        <w:t>Transactions of the Institute of British Geographers, 34(1), 12–24</w:t>
      </w:r>
      <w:r w:rsidRPr="00936116">
        <w:rPr>
          <w:rFonts w:ascii="Times New Roman" w:eastAsia="Times New Roman" w:hAnsi="Times New Roman" w:cs="Times New Roman"/>
          <w:sz w:val="24"/>
          <w:szCs w:val="24"/>
        </w:rPr>
        <w:t xml:space="preserve">. </w:t>
      </w:r>
      <w:hyperlink r:id="rId10" w:tgtFrame="_blank" w:history="1">
        <w:r w:rsidRPr="00936116">
          <w:rPr>
            <w:rFonts w:ascii="Times New Roman" w:eastAsia="Times New Roman" w:hAnsi="Times New Roman" w:cs="Times New Roman"/>
            <w:sz w:val="24"/>
            <w:szCs w:val="24"/>
          </w:rPr>
          <w:t>https://doi.org/10.1111/j.1475-5661.2008.00330.x</w:t>
        </w:r>
      </w:hyperlink>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Kabbiri, R., Dora, M., Elepu, G., &amp; Gellynck, X. (2016). A Global Perspective of Food Market Integration: A Review. </w:t>
      </w:r>
      <w:r w:rsidRPr="00936116">
        <w:rPr>
          <w:rFonts w:ascii="Times New Roman" w:eastAsia="Times New Roman" w:hAnsi="Times New Roman" w:cs="Times New Roman"/>
          <w:i/>
          <w:iCs/>
          <w:sz w:val="24"/>
          <w:szCs w:val="24"/>
        </w:rPr>
        <w:t>Agrekon, 55(1–2), 62–80</w:t>
      </w:r>
      <w:r w:rsidRPr="00936116">
        <w:rPr>
          <w:rFonts w:ascii="Times New Roman" w:eastAsia="Times New Roman" w:hAnsi="Times New Roman" w:cs="Times New Roman"/>
          <w:sz w:val="24"/>
          <w:szCs w:val="24"/>
        </w:rPr>
        <w:t xml:space="preserve">. </w:t>
      </w:r>
      <w:hyperlink r:id="rId11" w:tgtFrame="_blank" w:history="1">
        <w:r w:rsidRPr="00936116">
          <w:rPr>
            <w:rFonts w:ascii="Times New Roman" w:eastAsia="Times New Roman" w:hAnsi="Times New Roman" w:cs="Times New Roman"/>
            <w:sz w:val="24"/>
            <w:szCs w:val="24"/>
          </w:rPr>
          <w:t>https://doi.org/10.1080/03031853.2016.1159589</w:t>
        </w:r>
      </w:hyperlink>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Kimenju, S. C., Rischke, R., Klasen, S., &amp; Qaim, M. (2015). Do Supermarkets Contribute to the Obesity Pandemic in Developing Countries? </w:t>
      </w:r>
      <w:r w:rsidRPr="00936116">
        <w:rPr>
          <w:rFonts w:ascii="Times New Roman" w:eastAsia="Times New Roman" w:hAnsi="Times New Roman" w:cs="Times New Roman"/>
          <w:i/>
          <w:iCs/>
          <w:sz w:val="24"/>
          <w:szCs w:val="24"/>
        </w:rPr>
        <w:t>Public Health Nutrition, 18(17), 3224–3233</w:t>
      </w:r>
      <w:r w:rsidRPr="00936116">
        <w:rPr>
          <w:rFonts w:ascii="Times New Roman" w:eastAsia="Times New Roman" w:hAnsi="Times New Roman" w:cs="Times New Roman"/>
          <w:sz w:val="24"/>
          <w:szCs w:val="24"/>
        </w:rPr>
        <w:t xml:space="preserve">. </w:t>
      </w:r>
      <w:hyperlink r:id="rId12" w:tgtFrame="_blank" w:history="1">
        <w:r w:rsidRPr="00936116">
          <w:rPr>
            <w:rFonts w:ascii="Times New Roman" w:eastAsia="Times New Roman" w:hAnsi="Times New Roman" w:cs="Times New Roman"/>
            <w:sz w:val="24"/>
            <w:szCs w:val="24"/>
          </w:rPr>
          <w:t>https://doi.org/10.1017/S1368980015000919</w:t>
        </w:r>
      </w:hyperlink>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Nordhagen, S. (2022). Food Safety Perspectives and Practices of Consumers and Vendors in Nigeria: A Review. </w:t>
      </w:r>
      <w:r w:rsidRPr="00936116">
        <w:rPr>
          <w:rFonts w:ascii="Times New Roman" w:eastAsia="Times New Roman" w:hAnsi="Times New Roman" w:cs="Times New Roman"/>
          <w:i/>
          <w:iCs/>
          <w:sz w:val="24"/>
          <w:szCs w:val="24"/>
        </w:rPr>
        <w:t>Food Control, 134, 108693</w:t>
      </w:r>
      <w:r w:rsidRPr="00936116">
        <w:rPr>
          <w:rFonts w:ascii="Times New Roman" w:eastAsia="Times New Roman" w:hAnsi="Times New Roman" w:cs="Times New Roman"/>
          <w:sz w:val="24"/>
          <w:szCs w:val="24"/>
        </w:rPr>
        <w:t>.</w:t>
      </w:r>
    </w:p>
    <w:p w:rsidR="00C226D5" w:rsidRPr="00936116" w:rsidRDefault="00C226D5" w:rsidP="00936116">
      <w:pPr>
        <w:spacing w:after="0" w:line="360" w:lineRule="auto"/>
        <w:ind w:left="720" w:hanging="720"/>
        <w:jc w:val="both"/>
        <w:rPr>
          <w:rFonts w:ascii="Times New Roman" w:eastAsia="Times New Roman" w:hAnsi="Times New Roman" w:cs="Times New Roman"/>
          <w:sz w:val="24"/>
          <w:szCs w:val="24"/>
        </w:rPr>
      </w:pPr>
      <w:r w:rsidRPr="00936116">
        <w:rPr>
          <w:rFonts w:ascii="Times New Roman" w:eastAsia="Times New Roman" w:hAnsi="Times New Roman" w:cs="Times New Roman"/>
          <w:sz w:val="24"/>
          <w:szCs w:val="24"/>
        </w:rPr>
        <w:t xml:space="preserve">United Nations. (2015). Transforming Our World: The 2030 Agenda for Sustainable Development. </w:t>
      </w:r>
      <w:r w:rsidRPr="00936116">
        <w:rPr>
          <w:rFonts w:ascii="Times New Roman" w:eastAsia="Times New Roman" w:hAnsi="Times New Roman" w:cs="Times New Roman"/>
          <w:i/>
          <w:iCs/>
          <w:sz w:val="24"/>
          <w:szCs w:val="24"/>
        </w:rPr>
        <w:t>United Nations General Assembly</w:t>
      </w:r>
      <w:r w:rsidRPr="00936116">
        <w:rPr>
          <w:rFonts w:ascii="Times New Roman" w:eastAsia="Times New Roman" w:hAnsi="Times New Roman" w:cs="Times New Roman"/>
          <w:sz w:val="24"/>
          <w:szCs w:val="24"/>
        </w:rPr>
        <w:t xml:space="preserve">. </w:t>
      </w:r>
      <w:hyperlink r:id="rId13" w:tgtFrame="_blank" w:history="1">
        <w:r w:rsidRPr="00936116">
          <w:rPr>
            <w:rFonts w:ascii="Times New Roman" w:eastAsia="Times New Roman" w:hAnsi="Times New Roman" w:cs="Times New Roman"/>
            <w:sz w:val="24"/>
            <w:szCs w:val="24"/>
          </w:rPr>
          <w:t>https://sdgs.un.org/2030agenda</w:t>
        </w:r>
      </w:hyperlink>
    </w:p>
    <w:sectPr w:rsidR="00C226D5" w:rsidRPr="00936116" w:rsidSect="00032B0B">
      <w:footerReference w:type="default" r:id="rId14"/>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8C" w:rsidRDefault="00204B8C" w:rsidP="00723CCC">
      <w:pPr>
        <w:spacing w:after="0" w:line="240" w:lineRule="auto"/>
      </w:pPr>
      <w:r>
        <w:separator/>
      </w:r>
    </w:p>
  </w:endnote>
  <w:endnote w:type="continuationSeparator" w:id="1">
    <w:p w:rsidR="00204B8C" w:rsidRDefault="00204B8C" w:rsidP="00723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tka Text">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6532"/>
      <w:docPartObj>
        <w:docPartGallery w:val="Page Numbers (Bottom of Page)"/>
        <w:docPartUnique/>
      </w:docPartObj>
    </w:sdtPr>
    <w:sdtContent>
      <w:p w:rsidR="00723CCC" w:rsidRDefault="00AA02E7">
        <w:pPr>
          <w:pStyle w:val="Footer"/>
          <w:jc w:val="center"/>
        </w:pPr>
        <w:fldSimple w:instr=" PAGE   \* MERGEFORMAT ">
          <w:r w:rsidR="00702633">
            <w:rPr>
              <w:noProof/>
            </w:rPr>
            <w:t>25</w:t>
          </w:r>
        </w:fldSimple>
      </w:p>
    </w:sdtContent>
  </w:sdt>
  <w:p w:rsidR="00723CCC" w:rsidRDefault="00723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8C" w:rsidRDefault="00204B8C" w:rsidP="00723CCC">
      <w:pPr>
        <w:spacing w:after="0" w:line="240" w:lineRule="auto"/>
      </w:pPr>
      <w:r>
        <w:separator/>
      </w:r>
    </w:p>
  </w:footnote>
  <w:footnote w:type="continuationSeparator" w:id="1">
    <w:p w:rsidR="00204B8C" w:rsidRDefault="00204B8C" w:rsidP="00723C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0FD0"/>
    <w:multiLevelType w:val="multilevel"/>
    <w:tmpl w:val="A2727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665FB"/>
    <w:multiLevelType w:val="multilevel"/>
    <w:tmpl w:val="14B8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D538F"/>
    <w:multiLevelType w:val="multilevel"/>
    <w:tmpl w:val="B648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467166"/>
    <w:multiLevelType w:val="multilevel"/>
    <w:tmpl w:val="434E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92D98"/>
    <w:multiLevelType w:val="multilevel"/>
    <w:tmpl w:val="CC7C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170016"/>
    <w:multiLevelType w:val="multilevel"/>
    <w:tmpl w:val="D39C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255A36"/>
    <w:multiLevelType w:val="multilevel"/>
    <w:tmpl w:val="361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E7954"/>
    <w:multiLevelType w:val="multilevel"/>
    <w:tmpl w:val="990C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30EA2"/>
    <w:multiLevelType w:val="multilevel"/>
    <w:tmpl w:val="3CDA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01894"/>
    <w:multiLevelType w:val="multilevel"/>
    <w:tmpl w:val="132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4128A"/>
    <w:multiLevelType w:val="multilevel"/>
    <w:tmpl w:val="D29E79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5A20C6"/>
    <w:multiLevelType w:val="multilevel"/>
    <w:tmpl w:val="2842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D0170"/>
    <w:multiLevelType w:val="multilevel"/>
    <w:tmpl w:val="9D92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BA4F46"/>
    <w:multiLevelType w:val="multilevel"/>
    <w:tmpl w:val="C7A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63DDF"/>
    <w:multiLevelType w:val="multilevel"/>
    <w:tmpl w:val="B4A0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186360"/>
    <w:multiLevelType w:val="multilevel"/>
    <w:tmpl w:val="42FA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E23209"/>
    <w:multiLevelType w:val="multilevel"/>
    <w:tmpl w:val="7FE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0A1475"/>
    <w:multiLevelType w:val="multilevel"/>
    <w:tmpl w:val="1C040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B23604"/>
    <w:multiLevelType w:val="multilevel"/>
    <w:tmpl w:val="ECB8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736211"/>
    <w:multiLevelType w:val="multilevel"/>
    <w:tmpl w:val="D4A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125D5F"/>
    <w:multiLevelType w:val="multilevel"/>
    <w:tmpl w:val="8D2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BF35A5"/>
    <w:multiLevelType w:val="multilevel"/>
    <w:tmpl w:val="83B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EF1114"/>
    <w:multiLevelType w:val="multilevel"/>
    <w:tmpl w:val="9D1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A016E4"/>
    <w:multiLevelType w:val="multilevel"/>
    <w:tmpl w:val="CFF6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F1071"/>
    <w:multiLevelType w:val="multilevel"/>
    <w:tmpl w:val="EC74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F63E6"/>
    <w:multiLevelType w:val="multilevel"/>
    <w:tmpl w:val="614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7F4D6B"/>
    <w:multiLevelType w:val="multilevel"/>
    <w:tmpl w:val="783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551E98"/>
    <w:multiLevelType w:val="hybridMultilevel"/>
    <w:tmpl w:val="BB9866F4"/>
    <w:lvl w:ilvl="0" w:tplc="22EAAD10">
      <w:numFmt w:val="bullet"/>
      <w:lvlText w:val="•"/>
      <w:lvlJc w:val="left"/>
      <w:pPr>
        <w:ind w:left="620" w:hanging="302"/>
      </w:pPr>
      <w:rPr>
        <w:rFonts w:ascii="Times New Roman" w:eastAsia="Times New Roman" w:hAnsi="Times New Roman" w:cs="Times New Roman" w:hint="default"/>
        <w:b w:val="0"/>
        <w:bCs w:val="0"/>
        <w:i w:val="0"/>
        <w:iCs w:val="0"/>
        <w:spacing w:val="0"/>
        <w:w w:val="216"/>
        <w:sz w:val="24"/>
        <w:szCs w:val="24"/>
        <w:lang w:val="en-US" w:eastAsia="en-US" w:bidi="ar-SA"/>
      </w:rPr>
    </w:lvl>
    <w:lvl w:ilvl="1" w:tplc="BAB422EC">
      <w:numFmt w:val="bullet"/>
      <w:lvlText w:val="•"/>
      <w:lvlJc w:val="left"/>
      <w:pPr>
        <w:ind w:left="1564" w:hanging="302"/>
      </w:pPr>
      <w:rPr>
        <w:rFonts w:hint="default"/>
        <w:lang w:val="en-US" w:eastAsia="en-US" w:bidi="ar-SA"/>
      </w:rPr>
    </w:lvl>
    <w:lvl w:ilvl="2" w:tplc="25D6C95E">
      <w:numFmt w:val="bullet"/>
      <w:lvlText w:val="•"/>
      <w:lvlJc w:val="left"/>
      <w:pPr>
        <w:ind w:left="2508" w:hanging="302"/>
      </w:pPr>
      <w:rPr>
        <w:rFonts w:hint="default"/>
        <w:lang w:val="en-US" w:eastAsia="en-US" w:bidi="ar-SA"/>
      </w:rPr>
    </w:lvl>
    <w:lvl w:ilvl="3" w:tplc="D2409C20">
      <w:numFmt w:val="bullet"/>
      <w:lvlText w:val="•"/>
      <w:lvlJc w:val="left"/>
      <w:pPr>
        <w:ind w:left="3453" w:hanging="302"/>
      </w:pPr>
      <w:rPr>
        <w:rFonts w:hint="default"/>
        <w:lang w:val="en-US" w:eastAsia="en-US" w:bidi="ar-SA"/>
      </w:rPr>
    </w:lvl>
    <w:lvl w:ilvl="4" w:tplc="035E94CC">
      <w:numFmt w:val="bullet"/>
      <w:lvlText w:val="•"/>
      <w:lvlJc w:val="left"/>
      <w:pPr>
        <w:ind w:left="4397" w:hanging="302"/>
      </w:pPr>
      <w:rPr>
        <w:rFonts w:hint="default"/>
        <w:lang w:val="en-US" w:eastAsia="en-US" w:bidi="ar-SA"/>
      </w:rPr>
    </w:lvl>
    <w:lvl w:ilvl="5" w:tplc="D9E26432">
      <w:numFmt w:val="bullet"/>
      <w:lvlText w:val="•"/>
      <w:lvlJc w:val="left"/>
      <w:pPr>
        <w:ind w:left="5341" w:hanging="302"/>
      </w:pPr>
      <w:rPr>
        <w:rFonts w:hint="default"/>
        <w:lang w:val="en-US" w:eastAsia="en-US" w:bidi="ar-SA"/>
      </w:rPr>
    </w:lvl>
    <w:lvl w:ilvl="6" w:tplc="3F2836FE">
      <w:numFmt w:val="bullet"/>
      <w:lvlText w:val="•"/>
      <w:lvlJc w:val="left"/>
      <w:pPr>
        <w:ind w:left="6286" w:hanging="302"/>
      </w:pPr>
      <w:rPr>
        <w:rFonts w:hint="default"/>
        <w:lang w:val="en-US" w:eastAsia="en-US" w:bidi="ar-SA"/>
      </w:rPr>
    </w:lvl>
    <w:lvl w:ilvl="7" w:tplc="0FAA5254">
      <w:numFmt w:val="bullet"/>
      <w:lvlText w:val="•"/>
      <w:lvlJc w:val="left"/>
      <w:pPr>
        <w:ind w:left="7230" w:hanging="302"/>
      </w:pPr>
      <w:rPr>
        <w:rFonts w:hint="default"/>
        <w:lang w:val="en-US" w:eastAsia="en-US" w:bidi="ar-SA"/>
      </w:rPr>
    </w:lvl>
    <w:lvl w:ilvl="8" w:tplc="E78A43D4">
      <w:numFmt w:val="bullet"/>
      <w:lvlText w:val="•"/>
      <w:lvlJc w:val="left"/>
      <w:pPr>
        <w:ind w:left="8174" w:hanging="302"/>
      </w:pPr>
      <w:rPr>
        <w:rFonts w:hint="default"/>
        <w:lang w:val="en-US" w:eastAsia="en-US" w:bidi="ar-SA"/>
      </w:rPr>
    </w:lvl>
  </w:abstractNum>
  <w:abstractNum w:abstractNumId="28">
    <w:nsid w:val="7AB67AD2"/>
    <w:multiLevelType w:val="multilevel"/>
    <w:tmpl w:val="4FD4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23"/>
  </w:num>
  <w:num w:numId="5">
    <w:abstractNumId w:val="11"/>
  </w:num>
  <w:num w:numId="6">
    <w:abstractNumId w:val="21"/>
  </w:num>
  <w:num w:numId="7">
    <w:abstractNumId w:val="24"/>
  </w:num>
  <w:num w:numId="8">
    <w:abstractNumId w:val="25"/>
  </w:num>
  <w:num w:numId="9">
    <w:abstractNumId w:val="19"/>
  </w:num>
  <w:num w:numId="10">
    <w:abstractNumId w:val="6"/>
  </w:num>
  <w:num w:numId="11">
    <w:abstractNumId w:val="12"/>
  </w:num>
  <w:num w:numId="12">
    <w:abstractNumId w:val="18"/>
  </w:num>
  <w:num w:numId="13">
    <w:abstractNumId w:val="8"/>
  </w:num>
  <w:num w:numId="14">
    <w:abstractNumId w:val="20"/>
  </w:num>
  <w:num w:numId="15">
    <w:abstractNumId w:val="26"/>
  </w:num>
  <w:num w:numId="16">
    <w:abstractNumId w:val="15"/>
  </w:num>
  <w:num w:numId="17">
    <w:abstractNumId w:val="1"/>
  </w:num>
  <w:num w:numId="18">
    <w:abstractNumId w:val="9"/>
  </w:num>
  <w:num w:numId="19">
    <w:abstractNumId w:val="16"/>
  </w:num>
  <w:num w:numId="20">
    <w:abstractNumId w:val="3"/>
  </w:num>
  <w:num w:numId="21">
    <w:abstractNumId w:val="7"/>
  </w:num>
  <w:num w:numId="22">
    <w:abstractNumId w:val="28"/>
  </w:num>
  <w:num w:numId="23">
    <w:abstractNumId w:val="17"/>
  </w:num>
  <w:num w:numId="24">
    <w:abstractNumId w:val="14"/>
  </w:num>
  <w:num w:numId="25">
    <w:abstractNumId w:val="0"/>
  </w:num>
  <w:num w:numId="26">
    <w:abstractNumId w:val="13"/>
  </w:num>
  <w:num w:numId="27">
    <w:abstractNumId w:val="22"/>
  </w:num>
  <w:num w:numId="28">
    <w:abstractNumId w:val="27"/>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92243"/>
    <w:rsid w:val="000200C0"/>
    <w:rsid w:val="000202BC"/>
    <w:rsid w:val="00032B0B"/>
    <w:rsid w:val="000363F2"/>
    <w:rsid w:val="000C0B99"/>
    <w:rsid w:val="000C5718"/>
    <w:rsid w:val="000F2284"/>
    <w:rsid w:val="00120FC6"/>
    <w:rsid w:val="001349CE"/>
    <w:rsid w:val="001906E3"/>
    <w:rsid w:val="001E4FCD"/>
    <w:rsid w:val="00204B8C"/>
    <w:rsid w:val="00216E08"/>
    <w:rsid w:val="00231C79"/>
    <w:rsid w:val="00270959"/>
    <w:rsid w:val="00294A9F"/>
    <w:rsid w:val="00295216"/>
    <w:rsid w:val="002F217B"/>
    <w:rsid w:val="00320AD4"/>
    <w:rsid w:val="003F3649"/>
    <w:rsid w:val="00431197"/>
    <w:rsid w:val="004413FD"/>
    <w:rsid w:val="00503E72"/>
    <w:rsid w:val="00600EFD"/>
    <w:rsid w:val="00602676"/>
    <w:rsid w:val="0064198D"/>
    <w:rsid w:val="006C31C0"/>
    <w:rsid w:val="00702633"/>
    <w:rsid w:val="00703814"/>
    <w:rsid w:val="0072018C"/>
    <w:rsid w:val="00723CCC"/>
    <w:rsid w:val="007A157F"/>
    <w:rsid w:val="007D4193"/>
    <w:rsid w:val="0086085D"/>
    <w:rsid w:val="008A2F17"/>
    <w:rsid w:val="008B3AE2"/>
    <w:rsid w:val="00936116"/>
    <w:rsid w:val="00992243"/>
    <w:rsid w:val="009D66B9"/>
    <w:rsid w:val="009E78D1"/>
    <w:rsid w:val="00A94C41"/>
    <w:rsid w:val="00AA02E7"/>
    <w:rsid w:val="00AB763B"/>
    <w:rsid w:val="00AD00D6"/>
    <w:rsid w:val="00B4181F"/>
    <w:rsid w:val="00B61D84"/>
    <w:rsid w:val="00B70539"/>
    <w:rsid w:val="00BC057C"/>
    <w:rsid w:val="00BF2B7A"/>
    <w:rsid w:val="00C1793A"/>
    <w:rsid w:val="00C21C86"/>
    <w:rsid w:val="00C226D5"/>
    <w:rsid w:val="00C92747"/>
    <w:rsid w:val="00CA63CB"/>
    <w:rsid w:val="00CA7BA9"/>
    <w:rsid w:val="00CB579A"/>
    <w:rsid w:val="00CC6D6E"/>
    <w:rsid w:val="00E07634"/>
    <w:rsid w:val="00E361A2"/>
    <w:rsid w:val="00E5443F"/>
    <w:rsid w:val="00E66E74"/>
    <w:rsid w:val="00E97E1A"/>
    <w:rsid w:val="00EB32B1"/>
    <w:rsid w:val="00EF0056"/>
    <w:rsid w:val="00F325CB"/>
    <w:rsid w:val="00FE7AFD"/>
    <w:rsid w:val="00FF0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style>
  <w:style w:type="paragraph" w:styleId="Heading1">
    <w:name w:val="heading 1"/>
    <w:basedOn w:val="Normal"/>
    <w:link w:val="Heading1Char"/>
    <w:uiPriority w:val="9"/>
    <w:qFormat/>
    <w:rsid w:val="00CA6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6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6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63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63CB"/>
    <w:pPr>
      <w:ind w:left="720"/>
      <w:contextualSpacing/>
    </w:pPr>
  </w:style>
  <w:style w:type="character" w:customStyle="1" w:styleId="Heading1Char">
    <w:name w:val="Heading 1 Char"/>
    <w:basedOn w:val="DefaultParagraphFont"/>
    <w:link w:val="Heading1"/>
    <w:uiPriority w:val="9"/>
    <w:rsid w:val="00CA63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63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63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63CB"/>
    <w:rPr>
      <w:rFonts w:ascii="Times New Roman" w:eastAsia="Times New Roman" w:hAnsi="Times New Roman" w:cs="Times New Roman"/>
      <w:b/>
      <w:bCs/>
      <w:sz w:val="24"/>
      <w:szCs w:val="24"/>
    </w:rPr>
  </w:style>
  <w:style w:type="paragraph" w:styleId="NormalWeb">
    <w:name w:val="Normal (Web)"/>
    <w:basedOn w:val="Normal"/>
    <w:uiPriority w:val="99"/>
    <w:unhideWhenUsed/>
    <w:rsid w:val="00CA63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3CB"/>
    <w:rPr>
      <w:b/>
      <w:bCs/>
    </w:rPr>
  </w:style>
  <w:style w:type="character" w:styleId="Emphasis">
    <w:name w:val="Emphasis"/>
    <w:basedOn w:val="DefaultParagraphFont"/>
    <w:uiPriority w:val="20"/>
    <w:qFormat/>
    <w:rsid w:val="00E361A2"/>
    <w:rPr>
      <w:i/>
      <w:iCs/>
    </w:rPr>
  </w:style>
  <w:style w:type="table" w:styleId="TableGrid">
    <w:name w:val="Table Grid"/>
    <w:basedOn w:val="TableNormal"/>
    <w:uiPriority w:val="59"/>
    <w:rsid w:val="00E54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4193"/>
    <w:rPr>
      <w:color w:val="0000FF"/>
      <w:u w:val="single"/>
    </w:rPr>
  </w:style>
  <w:style w:type="paragraph" w:styleId="Header">
    <w:name w:val="header"/>
    <w:basedOn w:val="Normal"/>
    <w:link w:val="HeaderChar"/>
    <w:uiPriority w:val="99"/>
    <w:semiHidden/>
    <w:unhideWhenUsed/>
    <w:rsid w:val="00723C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3CCC"/>
  </w:style>
  <w:style w:type="paragraph" w:styleId="Footer">
    <w:name w:val="footer"/>
    <w:basedOn w:val="Normal"/>
    <w:link w:val="FooterChar"/>
    <w:uiPriority w:val="99"/>
    <w:unhideWhenUsed/>
    <w:rsid w:val="00723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CC"/>
  </w:style>
  <w:style w:type="paragraph" w:styleId="BodyText">
    <w:name w:val="Body Text"/>
    <w:basedOn w:val="Normal"/>
    <w:link w:val="BodyTextChar"/>
    <w:uiPriority w:val="1"/>
    <w:qFormat/>
    <w:rsid w:val="001349C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49C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349CE"/>
    <w:pPr>
      <w:widowControl w:val="0"/>
      <w:autoSpaceDE w:val="0"/>
      <w:autoSpaceDN w:val="0"/>
      <w:spacing w:before="21" w:after="0" w:line="247" w:lineRule="exact"/>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21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C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98620">
      <w:bodyDiv w:val="1"/>
      <w:marLeft w:val="0"/>
      <w:marRight w:val="0"/>
      <w:marTop w:val="0"/>
      <w:marBottom w:val="0"/>
      <w:divBdr>
        <w:top w:val="none" w:sz="0" w:space="0" w:color="auto"/>
        <w:left w:val="none" w:sz="0" w:space="0" w:color="auto"/>
        <w:bottom w:val="none" w:sz="0" w:space="0" w:color="auto"/>
        <w:right w:val="none" w:sz="0" w:space="0" w:color="auto"/>
      </w:divBdr>
      <w:divsChild>
        <w:div w:id="1059085734">
          <w:marLeft w:val="0"/>
          <w:marRight w:val="0"/>
          <w:marTop w:val="0"/>
          <w:marBottom w:val="0"/>
          <w:divBdr>
            <w:top w:val="none" w:sz="0" w:space="0" w:color="auto"/>
            <w:left w:val="none" w:sz="0" w:space="0" w:color="auto"/>
            <w:bottom w:val="none" w:sz="0" w:space="0" w:color="auto"/>
            <w:right w:val="none" w:sz="0" w:space="0" w:color="auto"/>
          </w:divBdr>
        </w:div>
        <w:div w:id="1054547751">
          <w:marLeft w:val="0"/>
          <w:marRight w:val="0"/>
          <w:marTop w:val="0"/>
          <w:marBottom w:val="0"/>
          <w:divBdr>
            <w:top w:val="none" w:sz="0" w:space="0" w:color="auto"/>
            <w:left w:val="none" w:sz="0" w:space="0" w:color="auto"/>
            <w:bottom w:val="none" w:sz="0" w:space="0" w:color="auto"/>
            <w:right w:val="none" w:sz="0" w:space="0" w:color="auto"/>
          </w:divBdr>
        </w:div>
      </w:divsChild>
    </w:div>
    <w:div w:id="131020621">
      <w:bodyDiv w:val="1"/>
      <w:marLeft w:val="0"/>
      <w:marRight w:val="0"/>
      <w:marTop w:val="0"/>
      <w:marBottom w:val="0"/>
      <w:divBdr>
        <w:top w:val="none" w:sz="0" w:space="0" w:color="auto"/>
        <w:left w:val="none" w:sz="0" w:space="0" w:color="auto"/>
        <w:bottom w:val="none" w:sz="0" w:space="0" w:color="auto"/>
        <w:right w:val="none" w:sz="0" w:space="0" w:color="auto"/>
      </w:divBdr>
    </w:div>
    <w:div w:id="237248515">
      <w:bodyDiv w:val="1"/>
      <w:marLeft w:val="0"/>
      <w:marRight w:val="0"/>
      <w:marTop w:val="0"/>
      <w:marBottom w:val="0"/>
      <w:divBdr>
        <w:top w:val="none" w:sz="0" w:space="0" w:color="auto"/>
        <w:left w:val="none" w:sz="0" w:space="0" w:color="auto"/>
        <w:bottom w:val="none" w:sz="0" w:space="0" w:color="auto"/>
        <w:right w:val="none" w:sz="0" w:space="0" w:color="auto"/>
      </w:divBdr>
      <w:divsChild>
        <w:div w:id="1571692626">
          <w:marLeft w:val="0"/>
          <w:marRight w:val="0"/>
          <w:marTop w:val="0"/>
          <w:marBottom w:val="0"/>
          <w:divBdr>
            <w:top w:val="none" w:sz="0" w:space="0" w:color="auto"/>
            <w:left w:val="none" w:sz="0" w:space="0" w:color="auto"/>
            <w:bottom w:val="none" w:sz="0" w:space="0" w:color="auto"/>
            <w:right w:val="none" w:sz="0" w:space="0" w:color="auto"/>
          </w:divBdr>
        </w:div>
      </w:divsChild>
    </w:div>
    <w:div w:id="462504332">
      <w:bodyDiv w:val="1"/>
      <w:marLeft w:val="0"/>
      <w:marRight w:val="0"/>
      <w:marTop w:val="0"/>
      <w:marBottom w:val="0"/>
      <w:divBdr>
        <w:top w:val="none" w:sz="0" w:space="0" w:color="auto"/>
        <w:left w:val="none" w:sz="0" w:space="0" w:color="auto"/>
        <w:bottom w:val="none" w:sz="0" w:space="0" w:color="auto"/>
        <w:right w:val="none" w:sz="0" w:space="0" w:color="auto"/>
      </w:divBdr>
    </w:div>
    <w:div w:id="520822096">
      <w:bodyDiv w:val="1"/>
      <w:marLeft w:val="0"/>
      <w:marRight w:val="0"/>
      <w:marTop w:val="0"/>
      <w:marBottom w:val="0"/>
      <w:divBdr>
        <w:top w:val="none" w:sz="0" w:space="0" w:color="auto"/>
        <w:left w:val="none" w:sz="0" w:space="0" w:color="auto"/>
        <w:bottom w:val="none" w:sz="0" w:space="0" w:color="auto"/>
        <w:right w:val="none" w:sz="0" w:space="0" w:color="auto"/>
      </w:divBdr>
    </w:div>
    <w:div w:id="581376306">
      <w:bodyDiv w:val="1"/>
      <w:marLeft w:val="0"/>
      <w:marRight w:val="0"/>
      <w:marTop w:val="0"/>
      <w:marBottom w:val="0"/>
      <w:divBdr>
        <w:top w:val="none" w:sz="0" w:space="0" w:color="auto"/>
        <w:left w:val="none" w:sz="0" w:space="0" w:color="auto"/>
        <w:bottom w:val="none" w:sz="0" w:space="0" w:color="auto"/>
        <w:right w:val="none" w:sz="0" w:space="0" w:color="auto"/>
      </w:divBdr>
    </w:div>
    <w:div w:id="647517497">
      <w:bodyDiv w:val="1"/>
      <w:marLeft w:val="0"/>
      <w:marRight w:val="0"/>
      <w:marTop w:val="0"/>
      <w:marBottom w:val="0"/>
      <w:divBdr>
        <w:top w:val="none" w:sz="0" w:space="0" w:color="auto"/>
        <w:left w:val="none" w:sz="0" w:space="0" w:color="auto"/>
        <w:bottom w:val="none" w:sz="0" w:space="0" w:color="auto"/>
        <w:right w:val="none" w:sz="0" w:space="0" w:color="auto"/>
      </w:divBdr>
    </w:div>
    <w:div w:id="698701201">
      <w:bodyDiv w:val="1"/>
      <w:marLeft w:val="0"/>
      <w:marRight w:val="0"/>
      <w:marTop w:val="0"/>
      <w:marBottom w:val="0"/>
      <w:divBdr>
        <w:top w:val="none" w:sz="0" w:space="0" w:color="auto"/>
        <w:left w:val="none" w:sz="0" w:space="0" w:color="auto"/>
        <w:bottom w:val="none" w:sz="0" w:space="0" w:color="auto"/>
        <w:right w:val="none" w:sz="0" w:space="0" w:color="auto"/>
      </w:divBdr>
    </w:div>
    <w:div w:id="789394321">
      <w:bodyDiv w:val="1"/>
      <w:marLeft w:val="0"/>
      <w:marRight w:val="0"/>
      <w:marTop w:val="0"/>
      <w:marBottom w:val="0"/>
      <w:divBdr>
        <w:top w:val="none" w:sz="0" w:space="0" w:color="auto"/>
        <w:left w:val="none" w:sz="0" w:space="0" w:color="auto"/>
        <w:bottom w:val="none" w:sz="0" w:space="0" w:color="auto"/>
        <w:right w:val="none" w:sz="0" w:space="0" w:color="auto"/>
      </w:divBdr>
    </w:div>
    <w:div w:id="822623228">
      <w:bodyDiv w:val="1"/>
      <w:marLeft w:val="0"/>
      <w:marRight w:val="0"/>
      <w:marTop w:val="0"/>
      <w:marBottom w:val="0"/>
      <w:divBdr>
        <w:top w:val="none" w:sz="0" w:space="0" w:color="auto"/>
        <w:left w:val="none" w:sz="0" w:space="0" w:color="auto"/>
        <w:bottom w:val="none" w:sz="0" w:space="0" w:color="auto"/>
        <w:right w:val="none" w:sz="0" w:space="0" w:color="auto"/>
      </w:divBdr>
    </w:div>
    <w:div w:id="839851204">
      <w:bodyDiv w:val="1"/>
      <w:marLeft w:val="0"/>
      <w:marRight w:val="0"/>
      <w:marTop w:val="0"/>
      <w:marBottom w:val="0"/>
      <w:divBdr>
        <w:top w:val="none" w:sz="0" w:space="0" w:color="auto"/>
        <w:left w:val="none" w:sz="0" w:space="0" w:color="auto"/>
        <w:bottom w:val="none" w:sz="0" w:space="0" w:color="auto"/>
        <w:right w:val="none" w:sz="0" w:space="0" w:color="auto"/>
      </w:divBdr>
      <w:divsChild>
        <w:div w:id="1574049645">
          <w:marLeft w:val="0"/>
          <w:marRight w:val="0"/>
          <w:marTop w:val="0"/>
          <w:marBottom w:val="0"/>
          <w:divBdr>
            <w:top w:val="none" w:sz="0" w:space="0" w:color="auto"/>
            <w:left w:val="none" w:sz="0" w:space="0" w:color="auto"/>
            <w:bottom w:val="none" w:sz="0" w:space="0" w:color="auto"/>
            <w:right w:val="none" w:sz="0" w:space="0" w:color="auto"/>
          </w:divBdr>
        </w:div>
        <w:div w:id="867643755">
          <w:marLeft w:val="0"/>
          <w:marRight w:val="0"/>
          <w:marTop w:val="0"/>
          <w:marBottom w:val="0"/>
          <w:divBdr>
            <w:top w:val="none" w:sz="0" w:space="0" w:color="auto"/>
            <w:left w:val="none" w:sz="0" w:space="0" w:color="auto"/>
            <w:bottom w:val="none" w:sz="0" w:space="0" w:color="auto"/>
            <w:right w:val="none" w:sz="0" w:space="0" w:color="auto"/>
          </w:divBdr>
        </w:div>
        <w:div w:id="1872955542">
          <w:marLeft w:val="0"/>
          <w:marRight w:val="0"/>
          <w:marTop w:val="0"/>
          <w:marBottom w:val="0"/>
          <w:divBdr>
            <w:top w:val="none" w:sz="0" w:space="0" w:color="auto"/>
            <w:left w:val="none" w:sz="0" w:space="0" w:color="auto"/>
            <w:bottom w:val="none" w:sz="0" w:space="0" w:color="auto"/>
            <w:right w:val="none" w:sz="0" w:space="0" w:color="auto"/>
          </w:divBdr>
        </w:div>
        <w:div w:id="1370835734">
          <w:marLeft w:val="0"/>
          <w:marRight w:val="0"/>
          <w:marTop w:val="0"/>
          <w:marBottom w:val="0"/>
          <w:divBdr>
            <w:top w:val="none" w:sz="0" w:space="0" w:color="auto"/>
            <w:left w:val="none" w:sz="0" w:space="0" w:color="auto"/>
            <w:bottom w:val="none" w:sz="0" w:space="0" w:color="auto"/>
            <w:right w:val="none" w:sz="0" w:space="0" w:color="auto"/>
          </w:divBdr>
        </w:div>
      </w:divsChild>
    </w:div>
    <w:div w:id="872036983">
      <w:bodyDiv w:val="1"/>
      <w:marLeft w:val="0"/>
      <w:marRight w:val="0"/>
      <w:marTop w:val="0"/>
      <w:marBottom w:val="0"/>
      <w:divBdr>
        <w:top w:val="none" w:sz="0" w:space="0" w:color="auto"/>
        <w:left w:val="none" w:sz="0" w:space="0" w:color="auto"/>
        <w:bottom w:val="none" w:sz="0" w:space="0" w:color="auto"/>
        <w:right w:val="none" w:sz="0" w:space="0" w:color="auto"/>
      </w:divBdr>
    </w:div>
    <w:div w:id="1052729900">
      <w:bodyDiv w:val="1"/>
      <w:marLeft w:val="0"/>
      <w:marRight w:val="0"/>
      <w:marTop w:val="0"/>
      <w:marBottom w:val="0"/>
      <w:divBdr>
        <w:top w:val="none" w:sz="0" w:space="0" w:color="auto"/>
        <w:left w:val="none" w:sz="0" w:space="0" w:color="auto"/>
        <w:bottom w:val="none" w:sz="0" w:space="0" w:color="auto"/>
        <w:right w:val="none" w:sz="0" w:space="0" w:color="auto"/>
      </w:divBdr>
    </w:div>
    <w:div w:id="1276404922">
      <w:bodyDiv w:val="1"/>
      <w:marLeft w:val="0"/>
      <w:marRight w:val="0"/>
      <w:marTop w:val="0"/>
      <w:marBottom w:val="0"/>
      <w:divBdr>
        <w:top w:val="none" w:sz="0" w:space="0" w:color="auto"/>
        <w:left w:val="none" w:sz="0" w:space="0" w:color="auto"/>
        <w:bottom w:val="none" w:sz="0" w:space="0" w:color="auto"/>
        <w:right w:val="none" w:sz="0" w:space="0" w:color="auto"/>
      </w:divBdr>
    </w:div>
    <w:div w:id="1503859562">
      <w:bodyDiv w:val="1"/>
      <w:marLeft w:val="0"/>
      <w:marRight w:val="0"/>
      <w:marTop w:val="0"/>
      <w:marBottom w:val="0"/>
      <w:divBdr>
        <w:top w:val="none" w:sz="0" w:space="0" w:color="auto"/>
        <w:left w:val="none" w:sz="0" w:space="0" w:color="auto"/>
        <w:bottom w:val="none" w:sz="0" w:space="0" w:color="auto"/>
        <w:right w:val="none" w:sz="0" w:space="0" w:color="auto"/>
      </w:divBdr>
    </w:div>
    <w:div w:id="1870096948">
      <w:bodyDiv w:val="1"/>
      <w:marLeft w:val="0"/>
      <w:marRight w:val="0"/>
      <w:marTop w:val="0"/>
      <w:marBottom w:val="0"/>
      <w:divBdr>
        <w:top w:val="none" w:sz="0" w:space="0" w:color="auto"/>
        <w:left w:val="none" w:sz="0" w:space="0" w:color="auto"/>
        <w:bottom w:val="none" w:sz="0" w:space="0" w:color="auto"/>
        <w:right w:val="none" w:sz="0" w:space="0" w:color="auto"/>
      </w:divBdr>
    </w:div>
    <w:div w:id="1990204983">
      <w:bodyDiv w:val="1"/>
      <w:marLeft w:val="0"/>
      <w:marRight w:val="0"/>
      <w:marTop w:val="0"/>
      <w:marBottom w:val="0"/>
      <w:divBdr>
        <w:top w:val="none" w:sz="0" w:space="0" w:color="auto"/>
        <w:left w:val="none" w:sz="0" w:space="0" w:color="auto"/>
        <w:bottom w:val="none" w:sz="0" w:space="0" w:color="auto"/>
        <w:right w:val="none" w:sz="0" w:space="0" w:color="auto"/>
      </w:divBdr>
    </w:div>
    <w:div w:id="21160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71-022-01257-0" TargetMode="External"/><Relationship Id="rId13" Type="http://schemas.openxmlformats.org/officeDocument/2006/relationships/hyperlink" Target="https://sdgs.un.org/2030agend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7/S13689800150009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031853.2016.11595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11/j.1475-5661.2008.00330.x" TargetMode="External"/><Relationship Id="rId4" Type="http://schemas.openxmlformats.org/officeDocument/2006/relationships/webSettings" Target="webSettings.xml"/><Relationship Id="rId9" Type="http://schemas.openxmlformats.org/officeDocument/2006/relationships/hyperlink" Target="https://doi.org/10.3390/foods101127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26</Pages>
  <Words>7182</Words>
  <Characters>40939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2025-06-23T16:40:00Z</dcterms:created>
  <dcterms:modified xsi:type="dcterms:W3CDTF">2025-07-11T13:17:00Z</dcterms:modified>
</cp:coreProperties>
</file>