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cs="Times New Roman" w:hAnsi="Times New Roman"/>
          <w:sz w:val="28"/>
          <w:szCs w:val="28"/>
        </w:rPr>
      </w:pPr>
      <w:r>
        <w:rPr>
          <w:rFonts w:ascii="Times New Roman" w:cs="Times New Roman" w:hAnsi="Times New Roman"/>
          <w:b/>
          <w:noProof/>
          <w:sz w:val="28"/>
          <w:szCs w:val="28"/>
        </w:rPr>
        <w:drawing>
          <wp:inline distL="0" distT="0" distB="0" distR="0">
            <wp:extent cx="955674" cy="900430"/>
            <wp:effectExtent l="0" t="0" r="0" b="0"/>
            <wp:docPr id="1026"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cstate="print"/>
                    <a:srcRect l="0" t="0" r="0" b="0"/>
                    <a:stretch/>
                  </pic:blipFill>
                  <pic:spPr>
                    <a:xfrm rot="0">
                      <a:off x="0" y="0"/>
                      <a:ext cx="955674" cy="900430"/>
                    </a:xfrm>
                    <a:prstGeom prst="rect"/>
                    <a:ln>
                      <a:noFill/>
                    </a:ln>
                  </pic:spPr>
                </pic:pic>
              </a:graphicData>
            </a:graphic>
          </wp:inline>
        </w:drawing>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PROJRCT REPORT</w:t>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ON</w:t>
      </w:r>
    </w:p>
    <w:p>
      <w:pPr>
        <w:pStyle w:val="style0"/>
        <w:tabs>
          <w:tab w:val="left" w:leader="none" w:pos="720"/>
        </w:tabs>
        <w:spacing w:lineRule="auto" w:line="276"/>
        <w:jc w:val="center"/>
        <w:rPr>
          <w:rFonts w:ascii="宋体" w:cs="宋体" w:hAnsi="宋体"/>
          <w:b/>
          <w:bCs/>
          <w:sz w:val="24"/>
          <w:szCs w:val="24"/>
        </w:rPr>
      </w:pPr>
      <w:r>
        <w:rPr>
          <w:rFonts w:ascii="宋体" w:cs="宋体" w:hAnsi="宋体"/>
          <w:b/>
          <w:bCs/>
          <w:sz w:val="24"/>
          <w:szCs w:val="24"/>
        </w:rPr>
        <w:t>ANTIBACTERIAL ACTIVITY OF CLOVE EXTRACTS AGAINST METHICILLIN-RESISTANT AND METHICILLIN-SUSCEPTIBLE STAPHYLOCOCCUS AUREUS</w:t>
      </w:r>
    </w:p>
    <w:p>
      <w:pPr>
        <w:pStyle w:val="style0"/>
        <w:tabs>
          <w:tab w:val="left" w:leader="none" w:pos="720"/>
        </w:tabs>
        <w:spacing w:lineRule="auto" w:line="276"/>
        <w:jc w:val="center"/>
        <w:rPr>
          <w:rFonts w:ascii="宋体" w:cs="宋体" w:hAnsi="宋体"/>
          <w:b/>
          <w:color w:val="000000"/>
          <w:sz w:val="24"/>
          <w:szCs w:val="24"/>
        </w:rPr>
      </w:pPr>
      <w:r>
        <w:rPr>
          <w:rFonts w:ascii="宋体" w:cs="宋体" w:hAnsi="宋体"/>
          <w:b/>
          <w:color w:val="000000"/>
          <w:sz w:val="24"/>
          <w:szCs w:val="24"/>
        </w:rPr>
        <w:t>BY</w:t>
      </w:r>
    </w:p>
    <w:p>
      <w:pPr>
        <w:pStyle w:val="style0"/>
        <w:tabs>
          <w:tab w:val="left" w:leader="none" w:pos="720"/>
        </w:tabs>
        <w:spacing w:lineRule="auto" w:line="276"/>
        <w:rPr>
          <w:rFonts w:ascii="宋体" w:cs="宋体" w:hAnsi="宋体"/>
          <w:b/>
          <w:color w:val="000000"/>
          <w:sz w:val="24"/>
          <w:szCs w:val="24"/>
        </w:rPr>
      </w:pPr>
    </w:p>
    <w:p>
      <w:pPr>
        <w:pStyle w:val="style0"/>
        <w:tabs>
          <w:tab w:val="left" w:leader="none" w:pos="720"/>
        </w:tabs>
        <w:spacing w:lineRule="auto" w:line="276"/>
        <w:jc w:val="center"/>
        <w:rPr>
          <w:rFonts w:ascii="Times New Roman" w:cs="Times New Roman" w:eastAsia="Calibri" w:hAnsi="Times New Roman"/>
          <w:b/>
          <w:sz w:val="24"/>
          <w:szCs w:val="24"/>
        </w:rPr>
      </w:pPr>
      <w:r>
        <w:rPr>
          <w:rFonts w:ascii="Times New Roman" w:cs="Times New Roman" w:eastAsia="Calibri" w:hAnsi="Times New Roman"/>
          <w:b/>
          <w:sz w:val="24"/>
          <w:szCs w:val="24"/>
          <w:lang w:val="en-US"/>
        </w:rPr>
        <w:t>OLAOGUN HELLEN TEMITOPE</w:t>
      </w:r>
    </w:p>
    <w:p>
      <w:pPr>
        <w:pStyle w:val="style0"/>
        <w:tabs>
          <w:tab w:val="left" w:leader="none" w:pos="720"/>
        </w:tabs>
        <w:spacing w:lineRule="auto" w:line="276"/>
        <w:jc w:val="center"/>
        <w:rPr>
          <w:rFonts w:ascii="Times New Roman" w:cs="Times New Roman" w:eastAsia="Calibri" w:hAnsi="Times New Roman"/>
          <w:b/>
          <w:sz w:val="24"/>
          <w:szCs w:val="24"/>
        </w:rPr>
      </w:pPr>
      <w:r>
        <w:rPr>
          <w:rFonts w:ascii="Times New Roman" w:cs="Times New Roman" w:eastAsia="Calibri" w:hAnsi="Times New Roman"/>
          <w:b/>
          <w:sz w:val="24"/>
          <w:szCs w:val="24"/>
          <w:lang w:val="en-US"/>
        </w:rPr>
        <w:t>HND/23/SLT/FT/0047</w:t>
      </w:r>
    </w:p>
    <w:p>
      <w:pPr>
        <w:pStyle w:val="style0"/>
        <w:tabs>
          <w:tab w:val="left" w:leader="none" w:pos="720"/>
        </w:tabs>
        <w:spacing w:lineRule="auto" w:line="276"/>
        <w:jc w:val="center"/>
        <w:rPr>
          <w:rFonts w:ascii="Times New Roman" w:cs="Times New Roman" w:eastAsia="Calibri" w:hAnsi="Times New Roman"/>
          <w:b/>
          <w:sz w:val="24"/>
          <w:szCs w:val="24"/>
        </w:rPr>
      </w:pPr>
      <w:r>
        <w:rPr>
          <w:rFonts w:ascii="Times New Roman" w:cs="Times New Roman" w:eastAsia="Calibri" w:hAnsi="Times New Roman"/>
          <w:b/>
          <w:sz w:val="24"/>
          <w:szCs w:val="24"/>
        </w:rPr>
        <w:t>SUBMITTED TO:</w:t>
      </w:r>
    </w:p>
    <w:p>
      <w:pPr>
        <w:pStyle w:val="style0"/>
        <w:tabs>
          <w:tab w:val="left" w:leader="none" w:pos="720"/>
        </w:tabs>
        <w:spacing w:lineRule="auto" w:line="276"/>
        <w:jc w:val="center"/>
        <w:rPr>
          <w:rFonts w:ascii="Times New Roman" w:cs="Times New Roman" w:eastAsia="Calibri" w:hAnsi="Times New Roman"/>
          <w:b/>
          <w:sz w:val="24"/>
          <w:szCs w:val="24"/>
        </w:rPr>
      </w:pPr>
    </w:p>
    <w:p>
      <w:pPr>
        <w:pStyle w:val="style0"/>
        <w:tabs>
          <w:tab w:val="left" w:leader="none" w:pos="720"/>
        </w:tabs>
        <w:spacing w:lineRule="auto" w:line="276"/>
        <w:jc w:val="center"/>
        <w:rPr>
          <w:rFonts w:ascii="宋体" w:cs="宋体" w:hAnsi="宋体"/>
          <w:b/>
          <w:color w:val="000000"/>
          <w:sz w:val="24"/>
          <w:szCs w:val="24"/>
        </w:rPr>
      </w:pPr>
      <w:r>
        <w:rPr>
          <w:rFonts w:ascii="宋体" w:cs="宋体" w:hAnsi="宋体"/>
          <w:b/>
          <w:color w:val="000000"/>
          <w:sz w:val="24"/>
          <w:szCs w:val="24"/>
        </w:rPr>
        <w:t>THE DEPARTMENT OF SCIENCE LABORATORY TECHNOLOGY, INSTITUTE OF APPLIED SCIENCES (IAS),</w:t>
      </w:r>
    </w:p>
    <w:p>
      <w:pPr>
        <w:pStyle w:val="style0"/>
        <w:tabs>
          <w:tab w:val="left" w:leader="none" w:pos="720"/>
        </w:tabs>
        <w:spacing w:lineRule="auto" w:line="276"/>
        <w:jc w:val="center"/>
        <w:rPr>
          <w:rFonts w:ascii="宋体" w:cs="宋体" w:hAnsi="宋体"/>
          <w:b/>
          <w:color w:val="000000"/>
          <w:sz w:val="24"/>
          <w:szCs w:val="24"/>
        </w:rPr>
      </w:pPr>
      <w:r>
        <w:rPr>
          <w:rFonts w:ascii="宋体" w:cs="宋体" w:hAnsi="宋体"/>
          <w:b/>
          <w:color w:val="000000"/>
          <w:sz w:val="24"/>
          <w:szCs w:val="24"/>
        </w:rPr>
        <w:t>KWARA STATE POLYTECHNIC, ILORIN,</w:t>
      </w:r>
    </w:p>
    <w:p>
      <w:pPr>
        <w:pStyle w:val="style0"/>
        <w:tabs>
          <w:tab w:val="left" w:leader="none" w:pos="720"/>
        </w:tabs>
        <w:spacing w:lineRule="auto" w:line="276"/>
        <w:jc w:val="center"/>
        <w:rPr>
          <w:rFonts w:ascii="宋体" w:cs="宋体" w:hAnsi="宋体"/>
          <w:b/>
          <w:color w:val="000000"/>
          <w:sz w:val="24"/>
          <w:szCs w:val="24"/>
        </w:rPr>
      </w:pPr>
      <w:r>
        <w:rPr>
          <w:rFonts w:ascii="宋体" w:cs="宋体" w:hAnsi="宋体"/>
          <w:b/>
          <w:color w:val="000000"/>
          <w:sz w:val="24"/>
          <w:szCs w:val="24"/>
        </w:rPr>
        <w:t xml:space="preserve">IN PARTIAL FULFILLMENT OF THE REQUIREMENTS FOR THE AWARD OF </w:t>
      </w:r>
      <w:r>
        <w:rPr>
          <w:rFonts w:ascii="宋体" w:cs="宋体" w:hAnsi="宋体"/>
          <w:b/>
          <w:color w:val="000000"/>
          <w:sz w:val="24"/>
          <w:szCs w:val="24"/>
        </w:rPr>
        <w:t xml:space="preserve">HIGHER </w:t>
      </w:r>
      <w:r>
        <w:rPr>
          <w:rFonts w:ascii="宋体" w:cs="宋体" w:hAnsi="宋体"/>
          <w:b/>
          <w:color w:val="000000"/>
          <w:sz w:val="24"/>
          <w:szCs w:val="24"/>
        </w:rPr>
        <w:t>NATIONAL DIPLOMA (</w:t>
      </w:r>
      <w:r>
        <w:rPr>
          <w:rFonts w:ascii="宋体" w:cs="宋体" w:hAnsi="宋体"/>
          <w:b/>
          <w:color w:val="000000"/>
          <w:sz w:val="24"/>
          <w:szCs w:val="24"/>
        </w:rPr>
        <w:t>H</w:t>
      </w:r>
      <w:r>
        <w:rPr>
          <w:rFonts w:ascii="宋体" w:cs="宋体" w:hAnsi="宋体"/>
          <w:b/>
          <w:color w:val="000000"/>
          <w:sz w:val="24"/>
          <w:szCs w:val="24"/>
        </w:rPr>
        <w:t>ND) SCIENCE LABORATORY TECHNOLOGY</w:t>
      </w:r>
      <w:r>
        <w:rPr>
          <w:rFonts w:ascii="宋体" w:cs="宋体" w:hAnsi="宋体"/>
          <w:b/>
          <w:color w:val="000000"/>
          <w:sz w:val="24"/>
          <w:szCs w:val="24"/>
        </w:rPr>
        <w:t xml:space="preserve"> (MICROBIOLOGY </w:t>
      </w:r>
      <w:r>
        <w:rPr>
          <w:rFonts w:ascii="宋体" w:cs="宋体" w:hAnsi="宋体"/>
          <w:b/>
          <w:color w:val="000000"/>
          <w:sz w:val="24"/>
          <w:szCs w:val="24"/>
        </w:rPr>
        <w:t>OPTION</w:t>
      </w:r>
      <w:bookmarkStart w:id="0" w:name="_GoBack"/>
      <w:bookmarkEnd w:id="0"/>
      <w:r>
        <w:rPr>
          <w:rFonts w:ascii="宋体" w:cs="宋体" w:hAnsi="宋体"/>
          <w:b/>
          <w:color w:val="000000"/>
          <w:sz w:val="24"/>
          <w:szCs w:val="24"/>
        </w:rPr>
        <w:t>)</w:t>
      </w:r>
    </w:p>
    <w:p>
      <w:pPr>
        <w:pStyle w:val="style0"/>
        <w:tabs>
          <w:tab w:val="left" w:leader="none" w:pos="720"/>
        </w:tabs>
        <w:spacing w:lineRule="auto" w:line="276"/>
        <w:jc w:val="center"/>
        <w:rPr>
          <w:rFonts w:ascii="宋体" w:cs="宋体" w:hAnsi="宋体"/>
          <w:b/>
          <w:color w:val="000000"/>
          <w:sz w:val="24"/>
          <w:szCs w:val="24"/>
        </w:rPr>
      </w:pPr>
      <w:r>
        <w:rPr>
          <w:rFonts w:ascii="宋体" w:cs="宋体" w:hAnsi="宋体"/>
          <w:b/>
          <w:color w:val="000000"/>
          <w:sz w:val="24"/>
          <w:szCs w:val="24"/>
        </w:rPr>
        <w:t>SUPERVISED BY:</w:t>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 xml:space="preserve">MR. ABDULLAH M.N </w:t>
      </w:r>
    </w:p>
    <w:p>
      <w:pPr>
        <w:pStyle w:val="style0"/>
        <w:tabs>
          <w:tab w:val="center" w:leader="none" w:pos="446"/>
          <w:tab w:val="center" w:leader="none" w:pos="4796"/>
          <w:tab w:val="center" w:leader="none" w:pos="5747"/>
        </w:tabs>
        <w:spacing w:after="51"/>
        <w:jc w:val="right"/>
        <w:rPr>
          <w:rFonts w:ascii="Times New Roman" w:cs="Times New Roman" w:eastAsia="Times New Roman" w:hAnsi="Times New Roman"/>
          <w:sz w:val="24"/>
          <w:szCs w:val="24"/>
        </w:rPr>
      </w:pPr>
      <w:r>
        <w:rPr>
          <w:rFonts w:ascii="Times New Roman" w:cs="Times New Roman" w:hAnsi="Times New Roman"/>
          <w:b/>
          <w:bCs/>
          <w:sz w:val="24"/>
          <w:szCs w:val="24"/>
        </w:rPr>
        <w:t>2024/2025 SESSION</w:t>
      </w:r>
      <w:bookmarkStart w:id="1" w:name="_Toc172144250"/>
      <w:bookmarkEnd w:id="1"/>
    </w:p>
    <w:p>
      <w:pPr>
        <w:pStyle w:val="style0"/>
        <w:jc w:val="center"/>
        <w:rPr>
          <w:rFonts w:ascii="宋体" w:cs="宋体" w:hAnsi="宋体"/>
          <w:b/>
          <w:bCs/>
          <w:sz w:val="28"/>
          <w:szCs w:val="28"/>
        </w:rPr>
      </w:pPr>
    </w:p>
    <w:p>
      <w:pPr>
        <w:pStyle w:val="style0"/>
        <w:jc w:val="center"/>
        <w:rPr>
          <w:rFonts w:ascii="宋体" w:cs="宋体" w:hAnsi="宋体"/>
          <w:b/>
          <w:bCs/>
          <w:sz w:val="28"/>
          <w:szCs w:val="28"/>
        </w:rPr>
      </w:pPr>
    </w:p>
    <w:p>
      <w:pPr>
        <w:pStyle w:val="style0"/>
        <w:tabs>
          <w:tab w:val="left" w:leader="none" w:pos="720"/>
        </w:tabs>
        <w:spacing w:lineRule="auto" w:line="276"/>
        <w:jc w:val="right"/>
        <w:rPr>
          <w:rFonts w:ascii="宋体" w:cs="宋体" w:hAnsi="宋体"/>
          <w:b/>
          <w:color w:val="000000"/>
          <w:sz w:val="28"/>
          <w:szCs w:val="28"/>
        </w:rPr>
      </w:pPr>
    </w:p>
    <w:bookmarkStart w:id="2" w:name="_Toc198482800"/>
    <w:bookmarkStart w:id="3" w:name="_Toc202853953"/>
    <w:p>
      <w:pPr>
        <w:pStyle w:val="style1"/>
        <w:jc w:val="center"/>
        <w:rPr>
          <w:rFonts w:ascii="宋体" w:hAnsi="宋体"/>
          <w:b/>
          <w:bCs/>
          <w:color w:val="auto"/>
          <w:sz w:val="28"/>
          <w:szCs w:val="28"/>
        </w:rPr>
      </w:pPr>
      <w:r>
        <w:rPr>
          <w:rFonts w:ascii="宋体" w:hAnsi="宋体"/>
          <w:b/>
          <w:bCs/>
          <w:color w:val="auto"/>
          <w:sz w:val="28"/>
          <w:szCs w:val="28"/>
        </w:rPr>
        <w:t>CERTIFICATION</w:t>
      </w:r>
      <w:bookmarkEnd w:id="2"/>
      <w:bookmarkEnd w:id="3"/>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is to certify that this project work was carried out by </w:t>
      </w:r>
      <w:r>
        <w:rPr>
          <w:rFonts w:ascii="Times New Roman" w:cs="Times New Roman" w:eastAsia="Times New Roman" w:hAnsi="Times New Roman"/>
          <w:sz w:val="24"/>
          <w:szCs w:val="24"/>
          <w:lang w:val="en-US"/>
        </w:rPr>
        <w:t xml:space="preserve">OLAOGUN HELLEN TEMITOPE </w:t>
      </w:r>
      <w:r>
        <w:rPr>
          <w:rFonts w:ascii="Times New Roman" w:cs="Times New Roman" w:eastAsia="Times New Roman" w:hAnsi="Times New Roman"/>
          <w:sz w:val="24"/>
          <w:szCs w:val="24"/>
        </w:rPr>
        <w:t xml:space="preserve">with Matriculation Number </w:t>
      </w:r>
      <w:r>
        <w:rPr>
          <w:rFonts w:ascii="Times New Roman" w:cs="Times New Roman" w:eastAsia="Times New Roman" w:hAnsi="Times New Roman"/>
          <w:sz w:val="24"/>
          <w:szCs w:val="24"/>
          <w:lang w:val="en-US"/>
        </w:rPr>
        <w:t>HND/23/SLT/FT/0047</w:t>
      </w:r>
      <w:r>
        <w:rPr>
          <w:rFonts w:ascii="Times New Roman" w:cs="Times New Roman" w:eastAsia="Times New Roman" w:hAnsi="Times New Roman"/>
          <w:sz w:val="24"/>
          <w:szCs w:val="24"/>
        </w:rPr>
        <w:t>, as part of the requirements for the Award o</w:t>
      </w:r>
      <w:r>
        <w:rPr>
          <w:rFonts w:ascii="Times New Roman" w:cs="Times New Roman" w:eastAsia="Times New Roman" w:hAnsi="Times New Roman"/>
          <w:sz w:val="24"/>
          <w:szCs w:val="24"/>
        </w:rPr>
        <w:t>f</w:t>
      </w:r>
      <w:r>
        <w:rPr>
          <w:rFonts w:ascii="Times New Roman" w:cs="Times New Roman" w:eastAsia="Times New Roman" w:hAnsi="Times New Roman"/>
          <w:sz w:val="24"/>
          <w:szCs w:val="24"/>
        </w:rPr>
        <w:t xml:space="preserve"> Higher </w:t>
      </w:r>
      <w:r>
        <w:rPr>
          <w:rFonts w:ascii="Times New Roman" w:cs="Times New Roman" w:eastAsia="Times New Roman" w:hAnsi="Times New Roman"/>
          <w:sz w:val="24"/>
          <w:szCs w:val="24"/>
        </w:rPr>
        <w:t>National Diploma (</w:t>
      </w:r>
      <w:r>
        <w:rPr>
          <w:rFonts w:ascii="Times New Roman" w:cs="Times New Roman" w:eastAsia="Times New Roman" w:hAnsi="Times New Roman"/>
          <w:sz w:val="24"/>
          <w:szCs w:val="24"/>
        </w:rPr>
        <w:t>HND</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w:t>
      </w:r>
      <w:r>
        <w:rPr>
          <w:rFonts w:ascii="Times New Roman" w:cs="Times New Roman" w:eastAsia="Times New Roman" w:hAnsi="Times New Roman"/>
          <w:sz w:val="24"/>
          <w:szCs w:val="24"/>
        </w:rPr>
        <w:t xml:space="preserve">n </w:t>
      </w:r>
      <w:r>
        <w:rPr>
          <w:rFonts w:ascii="Times New Roman" w:cs="Times New Roman" w:eastAsia="Times New Roman" w:hAnsi="Times New Roman"/>
          <w:sz w:val="24"/>
          <w:szCs w:val="24"/>
        </w:rPr>
        <w:t>Science Laboratory Technology (SLT).</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lineRule="auto" w:line="240"/>
        <w:jc w:val="both"/>
        <w:rPr>
          <w:rFonts w:ascii="Times New Roman" w:hAnsi="Times New Roman"/>
          <w:sz w:val="24"/>
          <w:szCs w:val="24"/>
        </w:rPr>
      </w:pPr>
      <w:r>
        <w:rPr>
          <w:rFonts w:ascii="Times New Roman" w:hAnsi="Times New Roman"/>
          <w:sz w:val="24"/>
          <w:szCs w:val="24"/>
        </w:rPr>
        <w:t>_____________________</w:t>
      </w:r>
      <w:r>
        <w:rPr>
          <w:rFonts w:ascii="Times New Roman" w:hAnsi="Times New Roman"/>
          <w:sz w:val="24"/>
          <w:szCs w:val="24"/>
        </w:rPr>
        <w:tab/>
      </w:r>
      <w:r>
        <w:rPr>
          <w:rFonts w:ascii="Times New Roman" w:hAnsi="Times New Roman"/>
          <w:sz w:val="24"/>
          <w:szCs w:val="24"/>
        </w:rPr>
        <w:t xml:space="preserve">                                                            _____________________   </w:t>
      </w:r>
    </w:p>
    <w:p>
      <w:pPr>
        <w:pStyle w:val="style0"/>
        <w:spacing w:lineRule="auto" w:line="2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MR. </w:t>
      </w:r>
      <w:r>
        <w:rPr>
          <w:rFonts w:ascii="Times New Roman" w:hAnsi="Times New Roman"/>
          <w:sz w:val="24"/>
          <w:szCs w:val="24"/>
        </w:rPr>
        <w:t>ABDULLAH M.</w:t>
      </w:r>
      <w:r>
        <w:rPr>
          <w:rFonts w:ascii="Times New Roman" w:hAnsi="Times New Roman"/>
          <w:sz w:val="24"/>
          <w:szCs w:val="24"/>
        </w:rPr>
        <w:t xml:space="preserve"> </w:t>
      </w:r>
      <w:r>
        <w:rPr>
          <w:rFonts w:ascii="Times New Roman" w:hAnsi="Times New Roman"/>
          <w:sz w:val="24"/>
          <w:szCs w:val="24"/>
        </w:rPr>
        <w:t>N</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DATE                                              </w:t>
      </w:r>
      <w:r>
        <w:rPr>
          <w:rFonts w:ascii="Times New Roman" w:hAnsi="Times New Roman"/>
          <w:sz w:val="24"/>
          <w:szCs w:val="24"/>
        </w:rPr>
        <w:t xml:space="preserve">   </w:t>
      </w:r>
      <w:r>
        <w:rPr>
          <w:rFonts w:ascii="Times New Roman" w:hAnsi="Times New Roman"/>
          <w:sz w:val="24"/>
          <w:szCs w:val="24"/>
        </w:rPr>
        <w:t>(</w:t>
      </w:r>
      <w:r>
        <w:rPr>
          <w:rFonts w:ascii="Times New Roman" w:hAnsi="Times New Roman"/>
          <w:iCs/>
          <w:sz w:val="24"/>
          <w:szCs w:val="24"/>
        </w:rPr>
        <w:t>PROJECT SUPERVISOR</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 xml:space="preserve"> </w:t>
      </w:r>
    </w:p>
    <w:p>
      <w:pPr>
        <w:pStyle w:val="style0"/>
        <w:spacing w:lineRule="auto" w:line="240"/>
        <w:jc w:val="both"/>
        <w:rPr>
          <w:rFonts w:ascii="Times New Roman" w:hAnsi="Times New Roman"/>
          <w:sz w:val="24"/>
          <w:szCs w:val="24"/>
        </w:rPr>
      </w:pPr>
      <w:r>
        <w:rPr>
          <w:rFonts w:ascii="Times New Roman" w:hAnsi="Times New Roman"/>
          <w:sz w:val="24"/>
          <w:szCs w:val="24"/>
        </w:rPr>
        <w:t xml:space="preserve">                                                                                                        </w:t>
      </w:r>
    </w:p>
    <w:p>
      <w:pPr>
        <w:pStyle w:val="style0"/>
        <w:spacing w:lineRule="auto" w:line="240"/>
        <w:jc w:val="both"/>
        <w:rPr>
          <w:rFonts w:ascii="Times New Roman" w:hAnsi="Times New Roman"/>
          <w:sz w:val="24"/>
          <w:szCs w:val="24"/>
        </w:rPr>
      </w:pPr>
      <w:r>
        <w:rPr>
          <w:rFonts w:ascii="Times New Roman" w:hAnsi="Times New Roman"/>
          <w:sz w:val="24"/>
          <w:szCs w:val="24"/>
        </w:rPr>
        <w:t xml:space="preserve"> _____________________                                                              ______________________</w:t>
      </w:r>
    </w:p>
    <w:p>
      <w:pPr>
        <w:pStyle w:val="style0"/>
        <w:spacing w:after="0" w:lineRule="auto" w:line="240"/>
        <w:jc w:val="both"/>
        <w:rPr>
          <w:rFonts w:ascii="Times New Roman" w:hAnsi="Times New Roman"/>
          <w:sz w:val="24"/>
          <w:szCs w:val="24"/>
        </w:rPr>
      </w:pPr>
      <w:r>
        <w:rPr>
          <w:rFonts w:ascii="Times New Roman" w:hAnsi="Times New Roman"/>
          <w:sz w:val="24"/>
          <w:szCs w:val="24"/>
        </w:rPr>
        <w:t>DR. ABDULKAREEM USMAN</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DATE   </w:t>
      </w:r>
    </w:p>
    <w:p>
      <w:pPr>
        <w:pStyle w:val="style0"/>
        <w:spacing w:after="0" w:lineRule="auto" w:line="240"/>
        <w:jc w:val="both"/>
        <w:rPr>
          <w:rFonts w:ascii="Times New Roman" w:hAnsi="Times New Roman"/>
          <w:sz w:val="24"/>
          <w:szCs w:val="24"/>
        </w:rPr>
      </w:pPr>
      <w:r>
        <w:rPr>
          <w:rFonts w:ascii="Times New Roman" w:hAnsi="Times New Roman"/>
          <w:sz w:val="24"/>
          <w:szCs w:val="24"/>
        </w:rPr>
        <w:t>(</w:t>
      </w:r>
      <w:r>
        <w:rPr>
          <w:rFonts w:ascii="Times New Roman" w:hAnsi="Times New Roman"/>
          <w:iCs/>
          <w:sz w:val="24"/>
          <w:szCs w:val="24"/>
        </w:rPr>
        <w:t>HEAD OF DEPARTMENT</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 xml:space="preserve">                                                  </w:t>
      </w:r>
    </w:p>
    <w:p>
      <w:pPr>
        <w:pStyle w:val="style0"/>
        <w:spacing w:lineRule="auto" w:line="240"/>
        <w:jc w:val="both"/>
        <w:rPr>
          <w:rFonts w:ascii="Times New Roman" w:hAnsi="Times New Roman"/>
          <w:sz w:val="24"/>
          <w:szCs w:val="24"/>
        </w:rPr>
      </w:pPr>
    </w:p>
    <w:p>
      <w:pPr>
        <w:pStyle w:val="style0"/>
        <w:spacing w:lineRule="auto" w:line="240"/>
        <w:jc w:val="both"/>
        <w:rPr>
          <w:rFonts w:ascii="Times New Roman" w:hAnsi="Times New Roman"/>
          <w:sz w:val="24"/>
          <w:szCs w:val="24"/>
        </w:rPr>
      </w:pPr>
      <w:r>
        <w:rPr>
          <w:rFonts w:ascii="Times New Roman" w:hAnsi="Times New Roman"/>
          <w:sz w:val="24"/>
          <w:szCs w:val="24"/>
        </w:rPr>
        <w:t xml:space="preserve"> _____________________                                                                   ____________________                                                                                        </w:t>
      </w:r>
    </w:p>
    <w:p>
      <w:pPr>
        <w:pStyle w:val="style0"/>
        <w:tabs>
          <w:tab w:val="left" w:leader="none" w:pos="7380"/>
        </w:tabs>
        <w:spacing w:after="0" w:lineRule="auto" w:line="240"/>
        <w:jc w:val="both"/>
        <w:rPr>
          <w:rFonts w:ascii="Times New Roman" w:hAnsi="Times New Roman"/>
          <w:sz w:val="24"/>
          <w:szCs w:val="24"/>
        </w:rPr>
      </w:pPr>
      <w:r>
        <w:rPr>
          <w:rFonts w:ascii="Times New Roman" w:hAnsi="Times New Roman"/>
          <w:sz w:val="24"/>
          <w:szCs w:val="24"/>
        </w:rPr>
        <w:t>MISS AHMED T. O.</w:t>
      </w:r>
      <w:r>
        <w:rPr>
          <w:rFonts w:ascii="Times New Roman" w:hAnsi="Times New Roman"/>
          <w:sz w:val="24"/>
          <w:szCs w:val="24"/>
        </w:rPr>
        <w:tab/>
      </w:r>
      <w:r>
        <w:rPr>
          <w:rFonts w:ascii="Times New Roman" w:hAnsi="Times New Roman"/>
          <w:sz w:val="24"/>
          <w:szCs w:val="24"/>
        </w:rPr>
        <w:t>DATE</w:t>
      </w:r>
    </w:p>
    <w:p>
      <w:pPr>
        <w:pStyle w:val="style0"/>
        <w:tabs>
          <w:tab w:val="left" w:leader="none" w:pos="7380"/>
        </w:tabs>
        <w:spacing w:after="0" w:lineRule="auto" w:line="240"/>
        <w:jc w:val="both"/>
        <w:rPr>
          <w:rFonts w:ascii="Times New Roman" w:hAnsi="Times New Roman"/>
          <w:bCs/>
          <w:sz w:val="24"/>
          <w:szCs w:val="24"/>
        </w:rPr>
      </w:pPr>
      <w:r>
        <w:rPr>
          <w:rFonts w:ascii="Times New Roman" w:hAnsi="Times New Roman"/>
          <w:sz w:val="24"/>
          <w:szCs w:val="24"/>
        </w:rPr>
        <w:t>(</w:t>
      </w:r>
      <w:r>
        <w:rPr>
          <w:rFonts w:ascii="Times New Roman" w:hAnsi="Times New Roman"/>
          <w:iCs/>
          <w:sz w:val="24"/>
          <w:szCs w:val="24"/>
        </w:rPr>
        <w:t>HEAD OF UNIT</w:t>
      </w:r>
      <w:r>
        <w:rPr>
          <w:rFonts w:ascii="Times New Roman" w:hAnsi="Times New Roman"/>
          <w:sz w:val="24"/>
          <w:szCs w:val="24"/>
        </w:rPr>
        <w:t>)</w:t>
      </w:r>
    </w:p>
    <w:p>
      <w:pPr>
        <w:pStyle w:val="style0"/>
        <w:spacing w:before="100" w:beforeAutospacing="true" w:after="0"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rPr>
          <w:rFonts w:ascii="Times New Roman" w:cs="Times New Roman" w:eastAsia="Times New Roman" w:hAnsi="Times New Roman"/>
          <w:b/>
          <w:bCs/>
          <w:sz w:val="28"/>
          <w:szCs w:val="28"/>
        </w:rPr>
      </w:pPr>
    </w:p>
    <w:p>
      <w:pPr>
        <w:pStyle w:val="style0"/>
        <w:spacing w:before="100" w:beforeAutospacing="true" w:after="100" w:afterAutospacing="true" w:lineRule="auto" w:line="480"/>
        <w:rPr>
          <w:rFonts w:ascii="Times New Roman" w:cs="Times New Roman" w:eastAsia="Times New Roman" w:hAnsi="Times New Roman"/>
          <w:b/>
          <w:bCs/>
          <w:sz w:val="28"/>
          <w:szCs w:val="28"/>
        </w:rPr>
      </w:pPr>
    </w:p>
    <w:bookmarkStart w:id="4" w:name="_Toc198482801"/>
    <w:bookmarkStart w:id="5" w:name="_Toc202853954"/>
    <w:p>
      <w:pPr>
        <w:pStyle w:val="style1"/>
        <w:jc w:val="center"/>
        <w:rPr>
          <w:rFonts w:ascii="宋体" w:hAnsi="宋体"/>
          <w:b/>
          <w:bCs/>
          <w:color w:val="auto"/>
          <w:sz w:val="28"/>
          <w:szCs w:val="28"/>
        </w:rPr>
      </w:pPr>
      <w:r>
        <w:rPr>
          <w:rFonts w:ascii="宋体" w:hAnsi="宋体"/>
          <w:b/>
          <w:bCs/>
          <w:color w:val="auto"/>
          <w:sz w:val="28"/>
          <w:szCs w:val="28"/>
        </w:rPr>
        <w:t>DEDICATION</w:t>
      </w:r>
      <w:bookmarkEnd w:id="4"/>
      <w:bookmarkEnd w:id="5"/>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Calibri" w:cs="宋体" w:eastAsia="宋体" w:hAnsi="Calibri" w:hint="default"/>
          <w:b w:val="false"/>
          <w:bCs w:val="false"/>
          <w:i w:val="false"/>
          <w:iCs w:val="false"/>
          <w:color w:val="auto"/>
          <w:kern w:val="2"/>
          <w:sz w:val="24"/>
          <w:szCs w:val="24"/>
          <w:highlight w:val="none"/>
          <w:vertAlign w:val="baseline"/>
          <w:em w:val="none"/>
          <w:lang w:eastAsia="en-GB"/>
        </w:rPr>
        <w:t>I</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dedicate</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this</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project</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to</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Almighty</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God</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and</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my</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family</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members</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whose</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support</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and</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encouragement</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have</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been</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my</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guiding</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light</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throughout</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this</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journey</w:t>
      </w:r>
      <w:r>
        <w:rPr>
          <w:rFonts w:ascii="Calibri" w:cs="宋体" w:eastAsia="宋体" w:hAnsi="Calibri" w:hint="default"/>
          <w:b w:val="false"/>
          <w:bCs w:val="false"/>
          <w:i w:val="false"/>
          <w:iCs w:val="false"/>
          <w:color w:val="auto"/>
          <w:kern w:val="2"/>
          <w:sz w:val="24"/>
          <w:szCs w:val="24"/>
          <w:highlight w:val="none"/>
          <w:vertAlign w:val="baseline"/>
          <w:em w:val="none"/>
          <w:lang w:val="en-US" w:eastAsia="en-GB"/>
        </w:rPr>
        <w:t>.</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bookmarkStart w:id="6" w:name="_Toc198482802"/>
    <w:bookmarkStart w:id="7" w:name="_Toc202853955"/>
    <w:p>
      <w:pPr>
        <w:pStyle w:val="style1"/>
        <w:jc w:val="center"/>
        <w:rPr>
          <w:rFonts w:ascii="宋体" w:hAnsi="宋体"/>
          <w:b/>
          <w:bCs/>
          <w:color w:val="auto"/>
          <w:sz w:val="28"/>
          <w:szCs w:val="28"/>
        </w:rPr>
      </w:pPr>
      <w:r>
        <w:rPr>
          <w:rFonts w:ascii="宋体" w:hAnsi="宋体"/>
          <w:b/>
          <w:bCs/>
          <w:color w:val="auto"/>
          <w:sz w:val="28"/>
          <w:szCs w:val="28"/>
        </w:rPr>
        <w:t>ACKNOWLEDGEMENT</w:t>
      </w:r>
      <w:r>
        <w:rPr>
          <w:rFonts w:ascii="宋体" w:hAnsi="宋体"/>
          <w:b/>
          <w:bCs/>
          <w:color w:val="auto"/>
          <w:sz w:val="28"/>
          <w:szCs w:val="28"/>
        </w:rPr>
        <w:t>S</w:t>
      </w:r>
      <w:bookmarkEnd w:id="6"/>
      <w:bookmarkEnd w:id="7"/>
    </w:p>
    <w:p>
      <w:pPr>
        <w:pStyle w:val="style0"/>
        <w:keepNext/>
        <w:keepLines/>
        <w:spacing w:before="240" w:after="0"/>
        <w:jc w:val="center"/>
        <w:outlineLvl w:val="0"/>
        <w:rPr>
          <w:rFonts w:ascii="Times New Roman" w:cs="Times New Roman" w:eastAsia="SimSun" w:hAnsi="Times New Roman"/>
          <w:b/>
          <w:sz w:val="28"/>
          <w:szCs w:val="28"/>
          <w:lang w:eastAsia="zh-CN"/>
        </w:rPr>
      </w:pPr>
    </w:p>
    <w:p>
      <w:pPr>
        <w:pStyle w:val="style0"/>
        <w:spacing w:after="160" w:lineRule="auto" w:line="278"/>
        <w:jc w:val="left"/>
        <w:rPr>
          <w:rFonts w:ascii="Times New Roman" w:cs="SimSun" w:eastAsia="Calibri" w:hAnsi="Times New Roman"/>
          <w:sz w:val="24"/>
          <w:szCs w:val="24"/>
        </w:rPr>
      </w:pPr>
      <w:r>
        <w:rPr>
          <w:rFonts w:ascii="Calibri" w:cs="宋体" w:eastAsia="宋体" w:hAnsi="Calibri" w:hint="default"/>
          <w:b w:val="false"/>
          <w:bCs w:val="false"/>
          <w:i w:val="false"/>
          <w:iCs w:val="false"/>
          <w:color w:val="auto"/>
          <w:kern w:val="2"/>
          <w:sz w:val="24"/>
          <w:szCs w:val="24"/>
          <w:highlight w:val="none"/>
          <w:vertAlign w:val="baseline"/>
          <w:em w:val="none"/>
          <w:lang w:val="en-US"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I</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give</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thanks</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to</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Almighty</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God,</w:t>
      </w:r>
      <w:r>
        <w:rPr>
          <w:rFonts w:ascii="Calibri" w:cs="宋体" w:eastAsia="宋体" w:hAnsi="Calibri" w:hint="default"/>
          <w:b w:val="false"/>
          <w:bCs w:val="false"/>
          <w:i w:val="false"/>
          <w:iCs w:val="false"/>
          <w:color w:val="auto"/>
          <w:kern w:val="2"/>
          <w:sz w:val="24"/>
          <w:szCs w:val="24"/>
          <w:highlight w:val="none"/>
          <w:vertAlign w:val="baseline"/>
          <w:em w:val="none"/>
          <w:lang w:val="en-US" w:eastAsia="en-GB"/>
        </w:rPr>
        <w:t xml:space="preserve"> f</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or</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he</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is</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worthy</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of</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all</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my</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praise,</w:t>
      </w:r>
      <w:r>
        <w:rPr>
          <w:rFonts w:ascii="Calibri" w:cs="宋体" w:eastAsia="宋体" w:hAnsi="Calibri" w:hint="default"/>
          <w:b w:val="false"/>
          <w:bCs w:val="false"/>
          <w:i w:val="false"/>
          <w:iCs w:val="false"/>
          <w:color w:val="auto"/>
          <w:kern w:val="2"/>
          <w:sz w:val="24"/>
          <w:szCs w:val="24"/>
          <w:highlight w:val="none"/>
          <w:vertAlign w:val="baseline"/>
          <w:em w:val="none"/>
          <w:lang w:val="en-US" w:eastAsia="en-GB"/>
        </w:rPr>
        <w:t xml:space="preserve"> f</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or</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his</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unwavering</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faithfulness</w:t>
      </w:r>
      <w:r>
        <w:rPr>
          <w:rFonts w:ascii="Calibri" w:cs="宋体" w:eastAsia="宋体" w:hAnsi="Calibri" w:hint="default"/>
          <w:b w:val="false"/>
          <w:bCs w:val="false"/>
          <w:i w:val="false"/>
          <w:iCs w:val="false"/>
          <w:color w:val="auto"/>
          <w:kern w:val="2"/>
          <w:sz w:val="24"/>
          <w:szCs w:val="24"/>
          <w:highlight w:val="none"/>
          <w:vertAlign w:val="baseline"/>
          <w:em w:val="none"/>
          <w:lang w:val="en-US"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and</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mercies</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that</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have</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sustained</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me</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throughout</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my</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academic</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journey.</w:t>
      </w:r>
    </w:p>
    <w:p>
      <w:pPr>
        <w:pStyle w:val="style0"/>
        <w:spacing w:after="160" w:lineRule="auto" w:line="278"/>
        <w:jc w:val="left"/>
        <w:rPr>
          <w:rFonts w:ascii="Times New Roman" w:cs="SimSun" w:eastAsia="Calibri" w:hAnsi="Times New Roman"/>
          <w:sz w:val="24"/>
          <w:szCs w:val="24"/>
        </w:rPr>
      </w:pPr>
      <w:r>
        <w:rPr>
          <w:rFonts w:ascii="Calibri" w:cs="宋体" w:eastAsia="宋体" w:hAnsi="Calibri" w:hint="default"/>
          <w:b w:val="false"/>
          <w:bCs w:val="false"/>
          <w:i w:val="false"/>
          <w:iCs w:val="false"/>
          <w:color w:val="auto"/>
          <w:kern w:val="2"/>
          <w:sz w:val="24"/>
          <w:szCs w:val="24"/>
          <w:highlight w:val="none"/>
          <w:vertAlign w:val="baseline"/>
          <w:em w:val="none"/>
          <w:lang w:val="en-US"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My</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sincere</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appreciation</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goes</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to</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my</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Amiable</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supervisor</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bCs/>
          <w:i w:val="false"/>
          <w:iCs w:val="false"/>
          <w:color w:val="auto"/>
          <w:kern w:val="2"/>
          <w:sz w:val="24"/>
          <w:szCs w:val="24"/>
          <w:highlight w:val="none"/>
          <w:vertAlign w:val="baseline"/>
          <w:em w:val="none"/>
          <w:lang w:eastAsia="en-GB"/>
        </w:rPr>
        <w:t>M</w:t>
      </w:r>
      <w:r>
        <w:rPr>
          <w:rFonts w:ascii="Calibri" w:cs="宋体" w:eastAsia="宋体" w:hAnsi="Calibri" w:hint="default"/>
          <w:b/>
          <w:bCs/>
          <w:i w:val="false"/>
          <w:iCs w:val="false"/>
          <w:color w:val="auto"/>
          <w:kern w:val="2"/>
          <w:sz w:val="24"/>
          <w:szCs w:val="24"/>
          <w:highlight w:val="none"/>
          <w:vertAlign w:val="baseline"/>
          <w:em w:val="none"/>
          <w:lang w:val="en-US" w:eastAsia="en-GB"/>
        </w:rPr>
        <w:t xml:space="preserve">r. Abdullahi </w:t>
      </w:r>
      <w:r>
        <w:rPr>
          <w:rFonts w:ascii="Calibri" w:cs="宋体" w:eastAsia="宋体" w:hAnsi="Calibri" w:hint="default"/>
          <w:b/>
          <w:bCs/>
          <w:i w:val="false"/>
          <w:iCs w:val="false"/>
          <w:color w:val="auto"/>
          <w:kern w:val="2"/>
          <w:sz w:val="24"/>
          <w:szCs w:val="24"/>
          <w:highlight w:val="none"/>
          <w:vertAlign w:val="baseline"/>
          <w:em w:val="none"/>
          <w:lang w:eastAsia="en-GB"/>
        </w:rPr>
        <w:t>M.N</w:t>
      </w:r>
      <w:r>
        <w:rPr>
          <w:rFonts w:ascii="Calibri" w:cs="宋体" w:eastAsia="宋体" w:hAnsi="Calibri" w:hint="default"/>
          <w:b/>
          <w:bCs/>
          <w:i w:val="false"/>
          <w:iCs w:val="false"/>
          <w:color w:val="auto"/>
          <w:kern w:val="2"/>
          <w:sz w:val="24"/>
          <w:szCs w:val="24"/>
          <w:highlight w:val="none"/>
          <w:vertAlign w:val="baseline"/>
          <w:em w:val="none"/>
          <w:lang w:val="en-US"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May</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Almighty</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God</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continue</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to</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protect</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you</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and</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your</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family</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p>
    <w:p>
      <w:pPr>
        <w:pStyle w:val="style0"/>
        <w:spacing w:after="160" w:lineRule="auto" w:line="278"/>
        <w:jc w:val="left"/>
        <w:rPr>
          <w:rFonts w:ascii="Times New Roman" w:cs="SimSun" w:eastAsia="Calibri" w:hAnsi="Times New Roman"/>
          <w:sz w:val="24"/>
          <w:szCs w:val="24"/>
        </w:rPr>
      </w:pPr>
      <w:r>
        <w:rPr>
          <w:rFonts w:ascii="Calibri" w:cs="宋体" w:eastAsia="宋体" w:hAnsi="Calibri" w:hint="default"/>
          <w:b w:val="false"/>
          <w:bCs w:val="false"/>
          <w:i w:val="false"/>
          <w:iCs w:val="false"/>
          <w:color w:val="auto"/>
          <w:kern w:val="2"/>
          <w:sz w:val="24"/>
          <w:szCs w:val="24"/>
          <w:highlight w:val="none"/>
          <w:vertAlign w:val="baseline"/>
          <w:em w:val="none"/>
          <w:lang w:val="en-US"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I</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would</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like</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to</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extend</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my</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gratitude</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to</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my</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parent</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bCs/>
          <w:i w:val="false"/>
          <w:iCs w:val="false"/>
          <w:color w:val="auto"/>
          <w:kern w:val="2"/>
          <w:sz w:val="24"/>
          <w:szCs w:val="24"/>
          <w:highlight w:val="none"/>
          <w:vertAlign w:val="baseline"/>
          <w:em w:val="none"/>
          <w:lang w:eastAsia="en-GB"/>
        </w:rPr>
        <w:t>M</w:t>
      </w:r>
      <w:r>
        <w:rPr>
          <w:rFonts w:ascii="Calibri" w:cs="宋体" w:eastAsia="宋体" w:hAnsi="Calibri" w:hint="default"/>
          <w:b/>
          <w:bCs/>
          <w:i w:val="false"/>
          <w:iCs w:val="false"/>
          <w:color w:val="auto"/>
          <w:kern w:val="2"/>
          <w:sz w:val="24"/>
          <w:szCs w:val="24"/>
          <w:highlight w:val="none"/>
          <w:vertAlign w:val="baseline"/>
          <w:em w:val="none"/>
          <w:lang w:val="en-US" w:eastAsia="en-GB"/>
        </w:rPr>
        <w:t xml:space="preserve">R. &amp; </w:t>
      </w:r>
      <w:r>
        <w:rPr>
          <w:rFonts w:ascii="Calibri" w:cs="宋体" w:eastAsia="宋体" w:hAnsi="Calibri" w:hint="default"/>
          <w:b/>
          <w:bCs/>
          <w:i w:val="false"/>
          <w:iCs w:val="false"/>
          <w:color w:val="auto"/>
          <w:kern w:val="2"/>
          <w:sz w:val="24"/>
          <w:szCs w:val="24"/>
          <w:highlight w:val="none"/>
          <w:vertAlign w:val="baseline"/>
          <w:em w:val="none"/>
          <w:lang w:eastAsia="en-GB"/>
        </w:rPr>
        <w:t>M</w:t>
      </w:r>
      <w:r>
        <w:rPr>
          <w:rFonts w:ascii="Calibri" w:cs="宋体" w:eastAsia="宋体" w:hAnsi="Calibri" w:hint="default"/>
          <w:b/>
          <w:bCs/>
          <w:i w:val="false"/>
          <w:iCs w:val="false"/>
          <w:color w:val="auto"/>
          <w:kern w:val="2"/>
          <w:sz w:val="24"/>
          <w:szCs w:val="24"/>
          <w:highlight w:val="none"/>
          <w:vertAlign w:val="baseline"/>
          <w:em w:val="none"/>
          <w:lang w:val="en-US" w:eastAsia="en-GB"/>
        </w:rPr>
        <w:t>RS.</w:t>
      </w:r>
      <w:r>
        <w:rPr>
          <w:rFonts w:ascii="Calibri" w:cs="宋体" w:eastAsia="宋体" w:hAnsi="Calibri" w:hint="default"/>
          <w:b/>
          <w:bCs/>
          <w:i w:val="false"/>
          <w:iCs w:val="false"/>
          <w:color w:val="auto"/>
          <w:kern w:val="2"/>
          <w:sz w:val="24"/>
          <w:szCs w:val="24"/>
          <w:highlight w:val="none"/>
          <w:vertAlign w:val="baseline"/>
          <w:em w:val="none"/>
          <w:lang w:eastAsia="en-GB"/>
        </w:rPr>
        <w:t xml:space="preserve"> O</w:t>
      </w:r>
      <w:r>
        <w:rPr>
          <w:rFonts w:ascii="Calibri" w:cs="宋体" w:eastAsia="宋体" w:hAnsi="Calibri" w:hint="default"/>
          <w:b/>
          <w:bCs/>
          <w:i w:val="false"/>
          <w:iCs w:val="false"/>
          <w:color w:val="auto"/>
          <w:kern w:val="2"/>
          <w:sz w:val="24"/>
          <w:szCs w:val="24"/>
          <w:highlight w:val="none"/>
          <w:vertAlign w:val="baseline"/>
          <w:em w:val="none"/>
          <w:lang w:val="en-US" w:eastAsia="en-GB"/>
        </w:rPr>
        <w:t>LAOGUN</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whose</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guidance</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and</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support</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were</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invaluable</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throughout</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this</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journey</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p>
    <w:p>
      <w:pPr>
        <w:pStyle w:val="style0"/>
        <w:spacing w:after="160" w:lineRule="auto" w:line="278"/>
        <w:jc w:val="left"/>
        <w:rPr>
          <w:rFonts w:ascii="Times New Roman" w:cs="SimSun" w:eastAsia="Calibri" w:hAnsi="Times New Roman"/>
          <w:sz w:val="24"/>
          <w:szCs w:val="24"/>
        </w:rPr>
      </w:pPr>
      <w:r>
        <w:rPr>
          <w:rFonts w:ascii="Calibri" w:cs="宋体" w:eastAsia="宋体" w:hAnsi="Calibri" w:hint="default"/>
          <w:b w:val="false"/>
          <w:bCs w:val="false"/>
          <w:i w:val="false"/>
          <w:iCs w:val="false"/>
          <w:color w:val="auto"/>
          <w:kern w:val="2"/>
          <w:sz w:val="24"/>
          <w:szCs w:val="24"/>
          <w:highlight w:val="none"/>
          <w:vertAlign w:val="baseline"/>
          <w:em w:val="none"/>
          <w:lang w:val="en-US"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With</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sincere</w:t>
      </w:r>
      <w:r>
        <w:rPr>
          <w:rFonts w:ascii="Calibri" w:cs="宋体" w:eastAsia="宋体" w:hAnsi="Calibri" w:hint="default"/>
          <w:b w:val="false"/>
          <w:bCs w:val="false"/>
          <w:i w:val="false"/>
          <w:iCs w:val="false"/>
          <w:color w:val="auto"/>
          <w:kern w:val="2"/>
          <w:sz w:val="24"/>
          <w:szCs w:val="24"/>
          <w:highlight w:val="none"/>
          <w:vertAlign w:val="baseline"/>
          <w:em w:val="none"/>
          <w:lang w:val="en-US" w:eastAsia="en-GB"/>
        </w:rPr>
        <w:t xml:space="preserve"> gratitude</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w:t>
      </w:r>
      <w:r>
        <w:rPr>
          <w:rFonts w:ascii="Calibri" w:cs="宋体" w:eastAsia="宋体" w:hAnsi="Calibri" w:hint="default"/>
          <w:b w:val="false"/>
          <w:bCs w:val="false"/>
          <w:i w:val="false"/>
          <w:iCs w:val="false"/>
          <w:color w:val="auto"/>
          <w:kern w:val="2"/>
          <w:sz w:val="24"/>
          <w:szCs w:val="24"/>
          <w:highlight w:val="none"/>
          <w:vertAlign w:val="baseline"/>
          <w:em w:val="none"/>
          <w:lang w:val="en-US" w:eastAsia="en-GB"/>
        </w:rPr>
        <w:t xml:space="preserve"> i</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appreciate</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bCs/>
          <w:i w:val="false"/>
          <w:iCs w:val="false"/>
          <w:color w:val="auto"/>
          <w:kern w:val="2"/>
          <w:sz w:val="24"/>
          <w:szCs w:val="24"/>
          <w:highlight w:val="none"/>
          <w:vertAlign w:val="baseline"/>
          <w:em w:val="none"/>
          <w:lang w:eastAsia="en-GB"/>
        </w:rPr>
        <w:t>M</w:t>
      </w:r>
      <w:r>
        <w:rPr>
          <w:rFonts w:ascii="Calibri" w:cs="宋体" w:eastAsia="宋体" w:hAnsi="Calibri" w:hint="default"/>
          <w:b/>
          <w:bCs/>
          <w:i w:val="false"/>
          <w:iCs w:val="false"/>
          <w:color w:val="auto"/>
          <w:kern w:val="2"/>
          <w:sz w:val="24"/>
          <w:szCs w:val="24"/>
          <w:highlight w:val="none"/>
          <w:vertAlign w:val="baseline"/>
          <w:em w:val="none"/>
          <w:lang w:val="en-US" w:eastAsia="en-GB"/>
        </w:rPr>
        <w:t>R. OLAMIDE JOHN</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who</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support</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me</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financially</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and</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morally</w:t>
      </w:r>
      <w:r>
        <w:rPr>
          <w:rFonts w:ascii="Calibri" w:cs="宋体" w:eastAsia="宋体" w:hAnsi="Calibri" w:hint="default"/>
          <w:b w:val="false"/>
          <w:bCs w:val="false"/>
          <w:i w:val="false"/>
          <w:iCs w:val="false"/>
          <w:color w:val="auto"/>
          <w:kern w:val="2"/>
          <w:sz w:val="24"/>
          <w:szCs w:val="24"/>
          <w:highlight w:val="none"/>
          <w:vertAlign w:val="baseline"/>
          <w:em w:val="none"/>
          <w:lang w:val="en-US"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God</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will</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bless</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you</w:t>
      </w:r>
      <w:r>
        <w:rPr>
          <w:rFonts w:ascii="Calibri" w:cs="宋体" w:eastAsia="宋体" w:hAnsi="Calibri" w:hint="default"/>
          <w:b w:val="false"/>
          <w:bCs w:val="false"/>
          <w:i w:val="false"/>
          <w:iCs w:val="false"/>
          <w:color w:val="auto"/>
          <w:kern w:val="2"/>
          <w:sz w:val="24"/>
          <w:szCs w:val="24"/>
          <w:highlight w:val="none"/>
          <w:vertAlign w:val="baseline"/>
          <w:em w:val="none"/>
          <w:lang w:val="en-US" w:eastAsia="en-GB"/>
        </w:rPr>
        <w:t>.</w:t>
      </w:r>
    </w:p>
    <w:p>
      <w:pPr>
        <w:pStyle w:val="style0"/>
        <w:spacing w:after="160" w:lineRule="auto" w:line="278"/>
        <w:jc w:val="left"/>
        <w:rPr>
          <w:rFonts w:ascii="Times New Roman" w:cs="SimSun" w:eastAsia="Calibri" w:hAnsi="Times New Roman"/>
          <w:sz w:val="24"/>
          <w:szCs w:val="24"/>
        </w:rPr>
      </w:pPr>
      <w:r>
        <w:rPr>
          <w:rFonts w:ascii="Calibri" w:cs="宋体" w:eastAsia="宋体" w:hAnsi="Calibri" w:hint="default"/>
          <w:b w:val="false"/>
          <w:bCs w:val="false"/>
          <w:i w:val="false"/>
          <w:iCs w:val="false"/>
          <w:color w:val="auto"/>
          <w:kern w:val="2"/>
          <w:sz w:val="24"/>
          <w:szCs w:val="24"/>
          <w:highlight w:val="none"/>
          <w:vertAlign w:val="baseline"/>
          <w:em w:val="none"/>
          <w:lang w:val="en-US"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I</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also</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extend</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my</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gratitude</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to</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all</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the</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lecturers</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within</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the</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institute</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of</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Applied</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sciences</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for</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their</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commitment</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to</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academic</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development</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and</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for</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the</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knowledge,</w:t>
      </w:r>
      <w:r>
        <w:rPr>
          <w:rFonts w:ascii="Calibri" w:cs="宋体" w:eastAsia="宋体" w:hAnsi="Calibri" w:hint="default"/>
          <w:b w:val="false"/>
          <w:bCs w:val="false"/>
          <w:i w:val="false"/>
          <w:iCs w:val="false"/>
          <w:color w:val="auto"/>
          <w:kern w:val="2"/>
          <w:sz w:val="24"/>
          <w:szCs w:val="24"/>
          <w:highlight w:val="none"/>
          <w:vertAlign w:val="baseline"/>
          <w:em w:val="none"/>
          <w:lang w:val="en-US"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mentorship</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and</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courage</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they</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imparted</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to</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me</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p>
    <w:p>
      <w:pPr>
        <w:pStyle w:val="style0"/>
        <w:spacing w:after="160" w:lineRule="auto" w:line="278"/>
        <w:jc w:val="left"/>
        <w:rPr>
          <w:rFonts w:ascii="Times New Roman" w:cs="SimSun" w:eastAsia="Calibri" w:hAnsi="Times New Roman"/>
          <w:sz w:val="24"/>
          <w:szCs w:val="24"/>
        </w:rPr>
      </w:pP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val="en-US"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Finally,</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to</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everyone</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who</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has</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contributed</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in</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one</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way</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or</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another</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to</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the</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success</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of</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this</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academic</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pursuit.Thank</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you</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 xml:space="preserve"> </w:t>
      </w:r>
      <w:r>
        <w:rPr>
          <w:rFonts w:ascii="Calibri" w:cs="宋体" w:eastAsia="宋体" w:hAnsi="Calibri" w:hint="default"/>
          <w:b w:val="false"/>
          <w:bCs w:val="false"/>
          <w:i w:val="false"/>
          <w:iCs w:val="false"/>
          <w:color w:val="auto"/>
          <w:kern w:val="2"/>
          <w:sz w:val="24"/>
          <w:szCs w:val="24"/>
          <w:highlight w:val="none"/>
          <w:vertAlign w:val="baseline"/>
          <w:em w:val="none"/>
          <w:lang w:eastAsia="en-GB"/>
        </w:rPr>
        <w:t>all</w:t>
      </w:r>
      <w:r>
        <w:rPr>
          <w:rFonts w:ascii="Calibri" w:cs="宋体" w:eastAsia="宋体" w:hAnsi="Calibri" w:hint="default"/>
          <w:b w:val="false"/>
          <w:bCs w:val="false"/>
          <w:i w:val="false"/>
          <w:iCs w:val="false"/>
          <w:color w:val="auto"/>
          <w:kern w:val="2"/>
          <w:sz w:val="24"/>
          <w:szCs w:val="24"/>
          <w:highlight w:val="none"/>
          <w:vertAlign w:val="baseline"/>
          <w:em w:val="none"/>
          <w:lang w:val="en-US" w:eastAsia="en-GB"/>
        </w:rPr>
        <w:t>, God bless you.</w:t>
      </w: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bookmarkStart w:id="8" w:name="_Toc201509687"/>
    <w:bookmarkStart w:id="9" w:name="_Toc202853956"/>
    <w:p>
      <w:pPr>
        <w:pStyle w:val="style1"/>
        <w:jc w:val="center"/>
        <w:rPr>
          <w:rFonts w:ascii="宋体" w:eastAsia="Calibri" w:hAnsi="宋体"/>
          <w:b/>
          <w:bCs/>
          <w:color w:val="auto"/>
          <w:sz w:val="28"/>
          <w:szCs w:val="28"/>
        </w:rPr>
      </w:pPr>
      <w:r>
        <w:rPr>
          <w:rFonts w:ascii="宋体" w:eastAsia="Calibri" w:hAnsi="宋体"/>
          <w:b/>
          <w:bCs/>
          <w:color w:val="auto"/>
          <w:sz w:val="28"/>
          <w:szCs w:val="28"/>
        </w:rPr>
        <w:t>TABLE OF CONTENTS</w:t>
      </w:r>
      <w:bookmarkEnd w:id="8"/>
      <w:bookmarkEnd w:id="9"/>
    </w:p>
    <w:p>
      <w:pPr>
        <w:pStyle w:val="style266"/>
        <w:rPr/>
      </w:pPr>
    </w:p>
    <w:p>
      <w:pPr>
        <w:pStyle w:val="style266"/>
        <w:rPr/>
      </w:pPr>
    </w:p>
    <w:p>
      <w:pPr>
        <w:pStyle w:val="style19"/>
        <w:tabs>
          <w:tab w:val="right" w:leader="dot" w:pos="9350"/>
        </w:tabs>
        <w:rPr>
          <w:rFonts w:eastAsia="宋体"/>
          <w:noProof/>
        </w:rPr>
      </w:pPr>
      <w:r>
        <w:rPr/>
        <w:fldChar w:fldCharType="begin"/>
      </w:r>
      <w:r>
        <w:instrText xml:space="preserve"> TOC \o "1-3" \h \z \u </w:instrText>
      </w:r>
      <w:r>
        <w:rPr/>
        <w:fldChar w:fldCharType="separate"/>
      </w:r>
      <w:r>
        <w:rPr/>
        <w:fldChar w:fldCharType="begin"/>
      </w:r>
      <w:r>
        <w:instrText xml:space="preserve"> HYPERLINK \l "_Toc202853953" </w:instrText>
      </w:r>
      <w:r>
        <w:rPr/>
        <w:fldChar w:fldCharType="separate"/>
      </w:r>
      <w:r>
        <w:rPr>
          <w:rStyle w:val="style85"/>
          <w:rFonts w:ascii="宋体" w:hAnsi="宋体"/>
          <w:b/>
          <w:bCs/>
          <w:noProof/>
        </w:rPr>
        <w:t>CERTIFICATION</w:t>
      </w:r>
      <w:r>
        <w:rPr>
          <w:noProof/>
          <w:webHidden/>
        </w:rPr>
        <w:tab/>
      </w:r>
      <w:r>
        <w:rPr>
          <w:noProof/>
          <w:webHidden/>
        </w:rPr>
        <w:fldChar w:fldCharType="begin"/>
      </w:r>
      <w:r>
        <w:rPr>
          <w:noProof/>
          <w:webHidden/>
        </w:rPr>
        <w:instrText xml:space="preserve"> PAGEREF _Toc202853953 \h </w:instrText>
      </w:r>
      <w:r>
        <w:rPr>
          <w:noProof/>
          <w:webHidden/>
        </w:rPr>
        <w:fldChar w:fldCharType="separate"/>
      </w:r>
      <w:r>
        <w:rPr>
          <w:noProof/>
          <w:webHidden/>
        </w:rPr>
        <w:t>ii</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"_Toc202853954" </w:instrText>
      </w:r>
      <w:r>
        <w:rPr/>
        <w:fldChar w:fldCharType="separate"/>
      </w:r>
      <w:r>
        <w:rPr>
          <w:rStyle w:val="style85"/>
          <w:rFonts w:ascii="宋体" w:hAnsi="宋体"/>
          <w:b/>
          <w:bCs/>
          <w:noProof/>
        </w:rPr>
        <w:t>DEDICATION</w:t>
      </w:r>
      <w:r>
        <w:rPr>
          <w:noProof/>
          <w:webHidden/>
        </w:rPr>
        <w:tab/>
      </w:r>
      <w:r>
        <w:rPr>
          <w:noProof/>
          <w:webHidden/>
        </w:rPr>
        <w:fldChar w:fldCharType="begin"/>
      </w:r>
      <w:r>
        <w:rPr>
          <w:noProof/>
          <w:webHidden/>
        </w:rPr>
        <w:instrText xml:space="preserve"> PAGEREF _Toc202853954 \h </w:instrText>
      </w:r>
      <w:r>
        <w:rPr>
          <w:noProof/>
          <w:webHidden/>
        </w:rPr>
        <w:fldChar w:fldCharType="separate"/>
      </w:r>
      <w:r>
        <w:rPr>
          <w:noProof/>
          <w:webHidden/>
        </w:rPr>
        <w:t>iii</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"_Toc202853955" </w:instrText>
      </w:r>
      <w:r>
        <w:rPr/>
        <w:fldChar w:fldCharType="separate"/>
      </w:r>
      <w:r>
        <w:rPr>
          <w:rStyle w:val="style85"/>
          <w:rFonts w:ascii="宋体" w:hAnsi="宋体"/>
          <w:b/>
          <w:bCs/>
          <w:noProof/>
        </w:rPr>
        <w:t>ACKNOWLEDGEMENTS</w:t>
      </w:r>
      <w:r>
        <w:rPr>
          <w:noProof/>
          <w:webHidden/>
        </w:rPr>
        <w:tab/>
      </w:r>
      <w:r>
        <w:rPr>
          <w:noProof/>
          <w:webHidden/>
        </w:rPr>
        <w:fldChar w:fldCharType="begin"/>
      </w:r>
      <w:r>
        <w:rPr>
          <w:noProof/>
          <w:webHidden/>
        </w:rPr>
        <w:instrText xml:space="preserve"> PAGEREF _Toc202853955 \h </w:instrText>
      </w:r>
      <w:r>
        <w:rPr>
          <w:noProof/>
          <w:webHidden/>
        </w:rPr>
        <w:fldChar w:fldCharType="separate"/>
      </w:r>
      <w:r>
        <w:rPr>
          <w:noProof/>
          <w:webHidden/>
        </w:rPr>
        <w:t>iv</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"_Toc202853956" </w:instrText>
      </w:r>
      <w:r>
        <w:rPr/>
        <w:fldChar w:fldCharType="separate"/>
      </w:r>
      <w:r>
        <w:rPr>
          <w:rStyle w:val="style85"/>
          <w:rFonts w:ascii="宋体" w:eastAsia="Calibri" w:hAnsi="宋体"/>
          <w:b/>
          <w:bCs/>
          <w:noProof/>
        </w:rPr>
        <w:t>TABLE OF CONTENTS</w:t>
      </w:r>
      <w:r>
        <w:rPr>
          <w:noProof/>
          <w:webHidden/>
        </w:rPr>
        <w:tab/>
      </w:r>
      <w:r>
        <w:rPr>
          <w:noProof/>
          <w:webHidden/>
        </w:rPr>
        <w:fldChar w:fldCharType="begin"/>
      </w:r>
      <w:r>
        <w:rPr>
          <w:noProof/>
          <w:webHidden/>
        </w:rPr>
        <w:instrText xml:space="preserve"> PAGEREF _Toc202853956 \h </w:instrText>
      </w:r>
      <w:r>
        <w:rPr>
          <w:noProof/>
          <w:webHidden/>
        </w:rPr>
        <w:fldChar w:fldCharType="separate"/>
      </w:r>
      <w:r>
        <w:rPr>
          <w:noProof/>
          <w:webHidden/>
        </w:rPr>
        <w:t>v</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"_Toc202853957" </w:instrText>
      </w:r>
      <w:r>
        <w:rPr/>
        <w:fldChar w:fldCharType="separate"/>
      </w:r>
      <w:r>
        <w:rPr>
          <w:rStyle w:val="style85"/>
          <w:rFonts w:ascii="宋体" w:eastAsia="Calibri" w:hAnsi="宋体"/>
          <w:b/>
          <w:bCs/>
          <w:noProof/>
        </w:rPr>
        <w:t>ABSTRACT</w:t>
      </w:r>
      <w:r>
        <w:rPr>
          <w:noProof/>
          <w:webHidden/>
        </w:rPr>
        <w:tab/>
      </w:r>
      <w:r>
        <w:rPr>
          <w:noProof/>
          <w:webHidden/>
        </w:rPr>
        <w:fldChar w:fldCharType="begin"/>
      </w:r>
      <w:r>
        <w:rPr>
          <w:noProof/>
          <w:webHidden/>
        </w:rPr>
        <w:instrText xml:space="preserve"> PAGEREF _Toc202853957 \h </w:instrText>
      </w:r>
      <w:r>
        <w:rPr>
          <w:noProof/>
          <w:webHidden/>
        </w:rPr>
        <w:fldChar w:fldCharType="separate"/>
      </w:r>
      <w:r>
        <w:rPr>
          <w:noProof/>
          <w:webHidden/>
        </w:rPr>
        <w:t>vii</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"_Toc202853959" </w:instrText>
      </w:r>
      <w:r>
        <w:rPr/>
        <w:fldChar w:fldCharType="separate"/>
      </w:r>
      <w:r>
        <w:rPr>
          <w:rStyle w:val="style85"/>
          <w:rFonts w:ascii="宋体" w:eastAsia="Calibri" w:hAnsi="宋体"/>
          <w:b/>
          <w:bCs/>
          <w:noProof/>
        </w:rPr>
        <w:t>CHAPTER ONE</w:t>
      </w:r>
      <w:r>
        <w:rPr>
          <w:noProof/>
          <w:webHidden/>
        </w:rPr>
        <w:tab/>
      </w:r>
      <w:r>
        <w:rPr>
          <w:noProof/>
          <w:webHidden/>
        </w:rPr>
        <w:fldChar w:fldCharType="begin"/>
      </w:r>
      <w:r>
        <w:rPr>
          <w:noProof/>
          <w:webHidden/>
        </w:rPr>
        <w:instrText xml:space="preserve"> PAGEREF _Toc202853959 \h </w:instrText>
      </w:r>
      <w:r>
        <w:rPr>
          <w:noProof/>
          <w:webHidden/>
        </w:rPr>
        <w:fldChar w:fldCharType="separate"/>
      </w:r>
      <w:r>
        <w:rPr>
          <w:noProof/>
          <w:webHidden/>
        </w:rPr>
        <w:t>1</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"_Toc202853960" </w:instrText>
      </w:r>
      <w:r>
        <w:rPr/>
        <w:fldChar w:fldCharType="separate"/>
      </w:r>
      <w:r>
        <w:rPr>
          <w:rStyle w:val="style85"/>
          <w:rFonts w:ascii="宋体" w:hAnsi="宋体"/>
          <w:noProof/>
        </w:rPr>
        <w:t>1.0 Introduction</w:t>
      </w:r>
      <w:r>
        <w:rPr>
          <w:noProof/>
          <w:webHidden/>
        </w:rPr>
        <w:tab/>
      </w:r>
      <w:r>
        <w:rPr>
          <w:noProof/>
          <w:webHidden/>
        </w:rPr>
        <w:fldChar w:fldCharType="begin"/>
      </w:r>
      <w:r>
        <w:rPr>
          <w:noProof/>
          <w:webHidden/>
        </w:rPr>
        <w:instrText xml:space="preserve"> PAGEREF _Toc202853960 \h </w:instrText>
      </w:r>
      <w:r>
        <w:rPr>
          <w:noProof/>
          <w:webHidden/>
        </w:rPr>
        <w:fldChar w:fldCharType="separate"/>
      </w:r>
      <w:r>
        <w:rPr>
          <w:noProof/>
          <w:webHidden/>
        </w:rPr>
        <w:t>1</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"_Toc202853961" </w:instrText>
      </w:r>
      <w:r>
        <w:rPr/>
        <w:fldChar w:fldCharType="separate"/>
      </w:r>
      <w:r>
        <w:rPr>
          <w:rStyle w:val="style85"/>
          <w:rFonts w:ascii="宋体" w:hAnsi="宋体"/>
          <w:noProof/>
        </w:rPr>
        <w:t>1.1 Statement of the Problem</w:t>
      </w:r>
      <w:r>
        <w:rPr>
          <w:noProof/>
          <w:webHidden/>
        </w:rPr>
        <w:tab/>
      </w:r>
      <w:r>
        <w:rPr>
          <w:noProof/>
          <w:webHidden/>
        </w:rPr>
        <w:fldChar w:fldCharType="begin"/>
      </w:r>
      <w:r>
        <w:rPr>
          <w:noProof/>
          <w:webHidden/>
        </w:rPr>
        <w:instrText xml:space="preserve"> PAGEREF _Toc202853961 \h </w:instrText>
      </w:r>
      <w:r>
        <w:rPr>
          <w:noProof/>
          <w:webHidden/>
        </w:rPr>
        <w:fldChar w:fldCharType="separate"/>
      </w:r>
      <w:r>
        <w:rPr>
          <w:noProof/>
          <w:webHidden/>
        </w:rPr>
        <w:t>2</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"_Toc202853962" </w:instrText>
      </w:r>
      <w:r>
        <w:rPr/>
        <w:fldChar w:fldCharType="separate"/>
      </w:r>
      <w:r>
        <w:rPr>
          <w:rStyle w:val="style85"/>
          <w:rFonts w:ascii="宋体" w:hAnsi="宋体"/>
          <w:noProof/>
        </w:rPr>
        <w:t>1.2 Justification of the Study</w:t>
      </w:r>
      <w:r>
        <w:rPr>
          <w:noProof/>
          <w:webHidden/>
        </w:rPr>
        <w:tab/>
      </w:r>
      <w:r>
        <w:rPr>
          <w:noProof/>
          <w:webHidden/>
        </w:rPr>
        <w:fldChar w:fldCharType="begin"/>
      </w:r>
      <w:r>
        <w:rPr>
          <w:noProof/>
          <w:webHidden/>
        </w:rPr>
        <w:instrText xml:space="preserve"> PAGEREF _Toc202853962 \h </w:instrText>
      </w:r>
      <w:r>
        <w:rPr>
          <w:noProof/>
          <w:webHidden/>
        </w:rPr>
        <w:fldChar w:fldCharType="separate"/>
      </w:r>
      <w:r>
        <w:rPr>
          <w:noProof/>
          <w:webHidden/>
        </w:rPr>
        <w:t>3</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"_Toc202853963" </w:instrText>
      </w:r>
      <w:r>
        <w:rPr/>
        <w:fldChar w:fldCharType="separate"/>
      </w:r>
      <w:r>
        <w:rPr>
          <w:rStyle w:val="style85"/>
          <w:rFonts w:ascii="宋体" w:hAnsi="宋体"/>
          <w:noProof/>
        </w:rPr>
        <w:t>1.3 Aim of Study</w:t>
      </w:r>
      <w:r>
        <w:rPr>
          <w:noProof/>
          <w:webHidden/>
        </w:rPr>
        <w:tab/>
      </w:r>
      <w:r>
        <w:rPr>
          <w:noProof/>
          <w:webHidden/>
        </w:rPr>
        <w:fldChar w:fldCharType="begin"/>
      </w:r>
      <w:r>
        <w:rPr>
          <w:noProof/>
          <w:webHidden/>
        </w:rPr>
        <w:instrText xml:space="preserve"> PAGEREF _Toc202853963 \h </w:instrText>
      </w:r>
      <w:r>
        <w:rPr>
          <w:noProof/>
          <w:webHidden/>
        </w:rPr>
        <w:fldChar w:fldCharType="separate"/>
      </w:r>
      <w:r>
        <w:rPr>
          <w:noProof/>
          <w:webHidden/>
        </w:rPr>
        <w:t>3</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"_Toc202853964" </w:instrText>
      </w:r>
      <w:r>
        <w:rPr/>
        <w:fldChar w:fldCharType="separate"/>
      </w:r>
      <w:r>
        <w:rPr>
          <w:rStyle w:val="style85"/>
          <w:rFonts w:ascii="宋体" w:eastAsia="Calibri" w:hAnsi="宋体"/>
          <w:b/>
          <w:bCs/>
          <w:noProof/>
        </w:rPr>
        <w:t>CHAPTER TWO</w:t>
      </w:r>
      <w:r>
        <w:rPr>
          <w:noProof/>
          <w:webHidden/>
        </w:rPr>
        <w:tab/>
      </w:r>
      <w:r>
        <w:rPr>
          <w:noProof/>
          <w:webHidden/>
        </w:rPr>
        <w:fldChar w:fldCharType="begin"/>
      </w:r>
      <w:r>
        <w:rPr>
          <w:noProof/>
          <w:webHidden/>
        </w:rPr>
        <w:instrText xml:space="preserve"> PAGEREF _Toc202853964 \h </w:instrText>
      </w:r>
      <w:r>
        <w:rPr>
          <w:noProof/>
          <w:webHidden/>
        </w:rPr>
        <w:fldChar w:fldCharType="separate"/>
      </w:r>
      <w:r>
        <w:rPr>
          <w:noProof/>
          <w:webHidden/>
        </w:rPr>
        <w:t>4</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"_Toc202853965" </w:instrText>
      </w:r>
      <w:r>
        <w:rPr/>
        <w:fldChar w:fldCharType="separate"/>
      </w:r>
      <w:r>
        <w:rPr>
          <w:rStyle w:val="style85"/>
          <w:rFonts w:ascii="宋体" w:hAnsi="宋体"/>
          <w:noProof/>
        </w:rPr>
        <w:t>2.0 LITERATURE REVIEW</w:t>
      </w:r>
      <w:r>
        <w:rPr>
          <w:noProof/>
          <w:webHidden/>
        </w:rPr>
        <w:tab/>
      </w:r>
      <w:r>
        <w:rPr>
          <w:noProof/>
          <w:webHidden/>
        </w:rPr>
        <w:fldChar w:fldCharType="begin"/>
      </w:r>
      <w:r>
        <w:rPr>
          <w:noProof/>
          <w:webHidden/>
        </w:rPr>
        <w:instrText xml:space="preserve"> PAGEREF _Toc202853965 \h </w:instrText>
      </w:r>
      <w:r>
        <w:rPr>
          <w:noProof/>
          <w:webHidden/>
        </w:rPr>
        <w:fldChar w:fldCharType="separate"/>
      </w:r>
      <w:r>
        <w:rPr>
          <w:noProof/>
          <w:webHidden/>
        </w:rPr>
        <w:t>4</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"_Toc202853966" </w:instrText>
      </w:r>
      <w:r>
        <w:rPr/>
        <w:fldChar w:fldCharType="separate"/>
      </w:r>
      <w:r>
        <w:rPr>
          <w:rStyle w:val="style85"/>
          <w:rFonts w:ascii="宋体" w:hAnsi="宋体"/>
          <w:noProof/>
        </w:rPr>
        <w:t>2.1 Overview of Antimicrobial Resistance</w:t>
      </w:r>
      <w:r>
        <w:rPr>
          <w:noProof/>
          <w:webHidden/>
        </w:rPr>
        <w:tab/>
      </w:r>
      <w:r>
        <w:rPr>
          <w:noProof/>
          <w:webHidden/>
        </w:rPr>
        <w:fldChar w:fldCharType="begin"/>
      </w:r>
      <w:r>
        <w:rPr>
          <w:noProof/>
          <w:webHidden/>
        </w:rPr>
        <w:instrText xml:space="preserve"> PAGEREF _Toc202853966 \h </w:instrText>
      </w:r>
      <w:r>
        <w:rPr>
          <w:noProof/>
          <w:webHidden/>
        </w:rPr>
        <w:fldChar w:fldCharType="separate"/>
      </w:r>
      <w:r>
        <w:rPr>
          <w:noProof/>
          <w:webHidden/>
        </w:rPr>
        <w:t>4</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"_Toc202853967" </w:instrText>
      </w:r>
      <w:r>
        <w:rPr/>
        <w:fldChar w:fldCharType="separate"/>
      </w:r>
      <w:r>
        <w:rPr>
          <w:rStyle w:val="style85"/>
          <w:noProof/>
        </w:rPr>
        <w:t>2.1.1 Global Burden of Antibiotic Resistance</w:t>
      </w:r>
      <w:r>
        <w:rPr>
          <w:noProof/>
          <w:webHidden/>
        </w:rPr>
        <w:tab/>
      </w:r>
      <w:r>
        <w:rPr>
          <w:noProof/>
          <w:webHidden/>
        </w:rPr>
        <w:fldChar w:fldCharType="begin"/>
      </w:r>
      <w:r>
        <w:rPr>
          <w:noProof/>
          <w:webHidden/>
        </w:rPr>
        <w:instrText xml:space="preserve"> PAGEREF _Toc202853967 \h </w:instrText>
      </w:r>
      <w:r>
        <w:rPr>
          <w:noProof/>
          <w:webHidden/>
        </w:rPr>
        <w:fldChar w:fldCharType="separate"/>
      </w:r>
      <w:r>
        <w:rPr>
          <w:noProof/>
          <w:webHidden/>
        </w:rPr>
        <w:t>4</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"_Toc202853968" </w:instrText>
      </w:r>
      <w:r>
        <w:rPr/>
        <w:fldChar w:fldCharType="separate"/>
      </w:r>
      <w:r>
        <w:rPr>
          <w:rStyle w:val="style85"/>
          <w:noProof/>
        </w:rPr>
        <w:t>2.1.2 Emergence of Multidrug-Resistant Bacteria</w:t>
      </w:r>
      <w:r>
        <w:rPr>
          <w:noProof/>
          <w:webHidden/>
        </w:rPr>
        <w:tab/>
      </w:r>
      <w:r>
        <w:rPr>
          <w:noProof/>
          <w:webHidden/>
        </w:rPr>
        <w:fldChar w:fldCharType="begin"/>
      </w:r>
      <w:r>
        <w:rPr>
          <w:noProof/>
          <w:webHidden/>
        </w:rPr>
        <w:instrText xml:space="preserve"> PAGEREF _Toc202853968 \h </w:instrText>
      </w:r>
      <w:r>
        <w:rPr>
          <w:noProof/>
          <w:webHidden/>
        </w:rPr>
        <w:fldChar w:fldCharType="separate"/>
      </w:r>
      <w:r>
        <w:rPr>
          <w:noProof/>
          <w:webHidden/>
        </w:rPr>
        <w:t>4</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"_Toc202853969" </w:instrText>
      </w:r>
      <w:r>
        <w:rPr/>
        <w:fldChar w:fldCharType="separate"/>
      </w:r>
      <w:r>
        <w:rPr>
          <w:rStyle w:val="style85"/>
          <w:noProof/>
        </w:rPr>
        <w:t>2.1.3 Need for Alternative Therapies</w:t>
      </w:r>
      <w:r>
        <w:rPr>
          <w:noProof/>
          <w:webHidden/>
        </w:rPr>
        <w:tab/>
      </w:r>
      <w:r>
        <w:rPr>
          <w:noProof/>
          <w:webHidden/>
        </w:rPr>
        <w:fldChar w:fldCharType="begin"/>
      </w:r>
      <w:r>
        <w:rPr>
          <w:noProof/>
          <w:webHidden/>
        </w:rPr>
        <w:instrText xml:space="preserve"> PAGEREF _Toc202853969 \h </w:instrText>
      </w:r>
      <w:r>
        <w:rPr>
          <w:noProof/>
          <w:webHidden/>
        </w:rPr>
        <w:fldChar w:fldCharType="separate"/>
      </w:r>
      <w:r>
        <w:rPr>
          <w:noProof/>
          <w:webHidden/>
        </w:rPr>
        <w:t>4</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"_Toc202853970" </w:instrText>
      </w:r>
      <w:r>
        <w:rPr/>
        <w:fldChar w:fldCharType="separate"/>
      </w:r>
      <w:r>
        <w:rPr>
          <w:rStyle w:val="style85"/>
          <w:rFonts w:ascii="宋体" w:hAnsi="宋体"/>
          <w:noProof/>
        </w:rPr>
        <w:t>2.2 Clinical Relevance of the Test Organisms</w:t>
      </w:r>
      <w:r>
        <w:rPr>
          <w:noProof/>
          <w:webHidden/>
        </w:rPr>
        <w:tab/>
      </w:r>
      <w:r>
        <w:rPr>
          <w:noProof/>
          <w:webHidden/>
        </w:rPr>
        <w:fldChar w:fldCharType="begin"/>
      </w:r>
      <w:r>
        <w:rPr>
          <w:noProof/>
          <w:webHidden/>
        </w:rPr>
        <w:instrText xml:space="preserve"> PAGEREF _Toc202853970 \h </w:instrText>
      </w:r>
      <w:r>
        <w:rPr>
          <w:noProof/>
          <w:webHidden/>
        </w:rPr>
        <w:fldChar w:fldCharType="separate"/>
      </w:r>
      <w:r>
        <w:rPr>
          <w:noProof/>
          <w:webHidden/>
        </w:rPr>
        <w:t>4</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"_Toc202853971" </w:instrText>
      </w:r>
      <w:r>
        <w:rPr/>
        <w:fldChar w:fldCharType="separate"/>
      </w:r>
      <w:r>
        <w:rPr>
          <w:rStyle w:val="style85"/>
          <w:noProof/>
        </w:rPr>
        <w:t>2.2.1 Staphylococcus aureus (MRSA and MSSA)</w:t>
      </w:r>
      <w:r>
        <w:rPr>
          <w:noProof/>
          <w:webHidden/>
        </w:rPr>
        <w:tab/>
      </w:r>
      <w:r>
        <w:rPr>
          <w:noProof/>
          <w:webHidden/>
        </w:rPr>
        <w:fldChar w:fldCharType="begin"/>
      </w:r>
      <w:r>
        <w:rPr>
          <w:noProof/>
          <w:webHidden/>
        </w:rPr>
        <w:instrText xml:space="preserve"> PAGEREF _Toc202853971 \h </w:instrText>
      </w:r>
      <w:r>
        <w:rPr>
          <w:noProof/>
          <w:webHidden/>
        </w:rPr>
        <w:fldChar w:fldCharType="separate"/>
      </w:r>
      <w:r>
        <w:rPr>
          <w:noProof/>
          <w:webHidden/>
        </w:rPr>
        <w:t>4</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"_Toc202853972" </w:instrText>
      </w:r>
      <w:r>
        <w:rPr/>
        <w:fldChar w:fldCharType="separate"/>
      </w:r>
      <w:r>
        <w:rPr>
          <w:rStyle w:val="style85"/>
          <w:noProof/>
        </w:rPr>
        <w:t>2.2.2 Escherichia coli</w:t>
      </w:r>
      <w:r>
        <w:rPr>
          <w:noProof/>
          <w:webHidden/>
        </w:rPr>
        <w:tab/>
      </w:r>
      <w:r>
        <w:rPr>
          <w:noProof/>
          <w:webHidden/>
        </w:rPr>
        <w:fldChar w:fldCharType="begin"/>
      </w:r>
      <w:r>
        <w:rPr>
          <w:noProof/>
          <w:webHidden/>
        </w:rPr>
        <w:instrText xml:space="preserve"> PAGEREF _Toc202853972 \h </w:instrText>
      </w:r>
      <w:r>
        <w:rPr>
          <w:noProof/>
          <w:webHidden/>
        </w:rPr>
        <w:fldChar w:fldCharType="separate"/>
      </w:r>
      <w:r>
        <w:rPr>
          <w:noProof/>
          <w:webHidden/>
        </w:rPr>
        <w:t>5</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"_Toc202853973" </w:instrText>
      </w:r>
      <w:r>
        <w:rPr/>
        <w:fldChar w:fldCharType="separate"/>
      </w:r>
      <w:r>
        <w:rPr>
          <w:rStyle w:val="style85"/>
          <w:noProof/>
        </w:rPr>
        <w:t>2.2.3 Pseudomonas aeruginosa</w:t>
      </w:r>
      <w:r>
        <w:rPr>
          <w:noProof/>
          <w:webHidden/>
        </w:rPr>
        <w:tab/>
      </w:r>
      <w:r>
        <w:rPr>
          <w:noProof/>
          <w:webHidden/>
        </w:rPr>
        <w:fldChar w:fldCharType="begin"/>
      </w:r>
      <w:r>
        <w:rPr>
          <w:noProof/>
          <w:webHidden/>
        </w:rPr>
        <w:instrText xml:space="preserve"> PAGEREF _Toc202853973 \h </w:instrText>
      </w:r>
      <w:r>
        <w:rPr>
          <w:noProof/>
          <w:webHidden/>
        </w:rPr>
        <w:fldChar w:fldCharType="separate"/>
      </w:r>
      <w:r>
        <w:rPr>
          <w:noProof/>
          <w:webHidden/>
        </w:rPr>
        <w:t>6</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"_Toc202853974" </w:instrText>
      </w:r>
      <w:r>
        <w:rPr/>
        <w:fldChar w:fldCharType="separate"/>
      </w:r>
      <w:r>
        <w:rPr>
          <w:rStyle w:val="style85"/>
          <w:noProof/>
        </w:rPr>
        <w:t>2.2.4 Klebsiella pneumoniae</w:t>
      </w:r>
      <w:r>
        <w:rPr>
          <w:noProof/>
          <w:webHidden/>
        </w:rPr>
        <w:tab/>
      </w:r>
      <w:r>
        <w:rPr>
          <w:noProof/>
          <w:webHidden/>
        </w:rPr>
        <w:fldChar w:fldCharType="begin"/>
      </w:r>
      <w:r>
        <w:rPr>
          <w:noProof/>
          <w:webHidden/>
        </w:rPr>
        <w:instrText xml:space="preserve"> PAGEREF _Toc202853974 \h </w:instrText>
      </w:r>
      <w:r>
        <w:rPr>
          <w:noProof/>
          <w:webHidden/>
        </w:rPr>
        <w:fldChar w:fldCharType="separate"/>
      </w:r>
      <w:r>
        <w:rPr>
          <w:noProof/>
          <w:webHidden/>
        </w:rPr>
        <w:t>6</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"_Toc202853975" </w:instrText>
      </w:r>
      <w:r>
        <w:rPr/>
        <w:fldChar w:fldCharType="separate"/>
      </w:r>
      <w:r>
        <w:rPr>
          <w:rStyle w:val="style85"/>
          <w:noProof/>
        </w:rPr>
        <w:t>2.2.5 Salmonella typhi</w:t>
      </w:r>
      <w:r>
        <w:rPr>
          <w:noProof/>
          <w:webHidden/>
        </w:rPr>
        <w:tab/>
      </w:r>
      <w:r>
        <w:rPr>
          <w:noProof/>
          <w:webHidden/>
        </w:rPr>
        <w:fldChar w:fldCharType="begin"/>
      </w:r>
      <w:r>
        <w:rPr>
          <w:noProof/>
          <w:webHidden/>
        </w:rPr>
        <w:instrText xml:space="preserve"> PAGEREF _Toc202853975 \h </w:instrText>
      </w:r>
      <w:r>
        <w:rPr>
          <w:noProof/>
          <w:webHidden/>
        </w:rPr>
        <w:fldChar w:fldCharType="separate"/>
      </w:r>
      <w:r>
        <w:rPr>
          <w:noProof/>
          <w:webHidden/>
        </w:rPr>
        <w:t>7</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"_Toc202853976" </w:instrText>
      </w:r>
      <w:r>
        <w:rPr/>
        <w:fldChar w:fldCharType="separate"/>
      </w:r>
      <w:r>
        <w:rPr>
          <w:rStyle w:val="style85"/>
          <w:rFonts w:ascii="宋体" w:hAnsi="宋体"/>
          <w:noProof/>
        </w:rPr>
        <w:t>2.3 Overview of Clove</w:t>
      </w:r>
      <w:r>
        <w:rPr>
          <w:noProof/>
          <w:webHidden/>
        </w:rPr>
        <w:tab/>
      </w:r>
      <w:r>
        <w:rPr>
          <w:noProof/>
          <w:webHidden/>
        </w:rPr>
        <w:fldChar w:fldCharType="begin"/>
      </w:r>
      <w:r>
        <w:rPr>
          <w:noProof/>
          <w:webHidden/>
        </w:rPr>
        <w:instrText xml:space="preserve"> PAGEREF _Toc202853976 \h </w:instrText>
      </w:r>
      <w:r>
        <w:rPr>
          <w:noProof/>
          <w:webHidden/>
        </w:rPr>
        <w:fldChar w:fldCharType="separate"/>
      </w:r>
      <w:r>
        <w:rPr>
          <w:noProof/>
          <w:webHidden/>
        </w:rPr>
        <w:t>7</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"_Toc202853977" </w:instrText>
      </w:r>
      <w:r>
        <w:rPr/>
        <w:fldChar w:fldCharType="separate"/>
      </w:r>
      <w:r>
        <w:rPr>
          <w:rStyle w:val="style85"/>
          <w:rFonts w:ascii="宋体" w:hAnsi="宋体"/>
          <w:noProof/>
        </w:rPr>
        <w:t>2.4 Bioactive Compounds of Clove Extract</w:t>
      </w:r>
      <w:r>
        <w:rPr>
          <w:noProof/>
          <w:webHidden/>
        </w:rPr>
        <w:tab/>
      </w:r>
      <w:r>
        <w:rPr>
          <w:noProof/>
          <w:webHidden/>
        </w:rPr>
        <w:fldChar w:fldCharType="begin"/>
      </w:r>
      <w:r>
        <w:rPr>
          <w:noProof/>
          <w:webHidden/>
        </w:rPr>
        <w:instrText xml:space="preserve"> PAGEREF _Toc202853977 \h </w:instrText>
      </w:r>
      <w:r>
        <w:rPr>
          <w:noProof/>
          <w:webHidden/>
        </w:rPr>
        <w:fldChar w:fldCharType="separate"/>
      </w:r>
      <w:r>
        <w:rPr>
          <w:noProof/>
          <w:webHidden/>
        </w:rPr>
        <w:t>8</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"_Toc202853978" </w:instrText>
      </w:r>
      <w:r>
        <w:rPr/>
        <w:fldChar w:fldCharType="separate"/>
      </w:r>
      <w:r>
        <w:rPr>
          <w:rStyle w:val="style85"/>
          <w:noProof/>
        </w:rPr>
        <w:t>2.4.1 Eugenol</w:t>
      </w:r>
      <w:r>
        <w:rPr>
          <w:noProof/>
          <w:webHidden/>
        </w:rPr>
        <w:tab/>
      </w:r>
      <w:r>
        <w:rPr>
          <w:noProof/>
          <w:webHidden/>
        </w:rPr>
        <w:fldChar w:fldCharType="begin"/>
      </w:r>
      <w:r>
        <w:rPr>
          <w:noProof/>
          <w:webHidden/>
        </w:rPr>
        <w:instrText xml:space="preserve"> PAGEREF _Toc202853978 \h </w:instrText>
      </w:r>
      <w:r>
        <w:rPr>
          <w:noProof/>
          <w:webHidden/>
        </w:rPr>
        <w:fldChar w:fldCharType="separate"/>
      </w:r>
      <w:r>
        <w:rPr>
          <w:noProof/>
          <w:webHidden/>
        </w:rPr>
        <w:t>9</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"_Toc202853979" </w:instrText>
      </w:r>
      <w:r>
        <w:rPr/>
        <w:fldChar w:fldCharType="separate"/>
      </w:r>
      <w:r>
        <w:rPr>
          <w:rStyle w:val="style85"/>
          <w:noProof/>
        </w:rPr>
        <w:t>2.4.2 Acetyl Eugenol</w:t>
      </w:r>
      <w:r>
        <w:rPr>
          <w:noProof/>
          <w:webHidden/>
        </w:rPr>
        <w:tab/>
      </w:r>
      <w:r>
        <w:rPr>
          <w:noProof/>
          <w:webHidden/>
        </w:rPr>
        <w:fldChar w:fldCharType="begin"/>
      </w:r>
      <w:r>
        <w:rPr>
          <w:noProof/>
          <w:webHidden/>
        </w:rPr>
        <w:instrText xml:space="preserve"> PAGEREF _Toc202853979 \h </w:instrText>
      </w:r>
      <w:r>
        <w:rPr>
          <w:noProof/>
          <w:webHidden/>
        </w:rPr>
        <w:fldChar w:fldCharType="separate"/>
      </w:r>
      <w:r>
        <w:rPr>
          <w:noProof/>
          <w:webHidden/>
        </w:rPr>
        <w:t>10</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"_Toc202853980" </w:instrText>
      </w:r>
      <w:r>
        <w:rPr/>
        <w:fldChar w:fldCharType="separate"/>
      </w:r>
      <w:r>
        <w:rPr>
          <w:rStyle w:val="style85"/>
          <w:noProof/>
        </w:rPr>
        <w:t>2.4.3 β-Caryophyllene</w:t>
      </w:r>
      <w:r>
        <w:rPr>
          <w:noProof/>
          <w:webHidden/>
        </w:rPr>
        <w:tab/>
      </w:r>
      <w:r>
        <w:rPr>
          <w:noProof/>
          <w:webHidden/>
        </w:rPr>
        <w:fldChar w:fldCharType="begin"/>
      </w:r>
      <w:r>
        <w:rPr>
          <w:noProof/>
          <w:webHidden/>
        </w:rPr>
        <w:instrText xml:space="preserve"> PAGEREF _Toc202853980 \h </w:instrText>
      </w:r>
      <w:r>
        <w:rPr>
          <w:noProof/>
          <w:webHidden/>
        </w:rPr>
        <w:fldChar w:fldCharType="separate"/>
      </w:r>
      <w:r>
        <w:rPr>
          <w:noProof/>
          <w:webHidden/>
        </w:rPr>
        <w:t>11</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"_Toc202853981" </w:instrText>
      </w:r>
      <w:r>
        <w:rPr/>
        <w:fldChar w:fldCharType="separate"/>
      </w:r>
      <w:r>
        <w:rPr>
          <w:rStyle w:val="style85"/>
          <w:noProof/>
        </w:rPr>
        <w:t>2.4.4 α-Humulene</w:t>
      </w:r>
      <w:r>
        <w:rPr>
          <w:noProof/>
          <w:webHidden/>
        </w:rPr>
        <w:tab/>
      </w:r>
      <w:r>
        <w:rPr>
          <w:noProof/>
          <w:webHidden/>
        </w:rPr>
        <w:fldChar w:fldCharType="begin"/>
      </w:r>
      <w:r>
        <w:rPr>
          <w:noProof/>
          <w:webHidden/>
        </w:rPr>
        <w:instrText xml:space="preserve"> PAGEREF _Toc202853981 \h </w:instrText>
      </w:r>
      <w:r>
        <w:rPr>
          <w:noProof/>
          <w:webHidden/>
        </w:rPr>
        <w:fldChar w:fldCharType="separate"/>
      </w:r>
      <w:r>
        <w:rPr>
          <w:noProof/>
          <w:webHidden/>
        </w:rPr>
        <w:t>11</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"_Toc202853982" </w:instrText>
      </w:r>
      <w:r>
        <w:rPr/>
        <w:fldChar w:fldCharType="separate"/>
      </w:r>
      <w:r>
        <w:rPr>
          <w:rStyle w:val="style85"/>
          <w:noProof/>
        </w:rPr>
        <w:t>2.4.5 α-Caryophyllene Oxide</w:t>
      </w:r>
      <w:r>
        <w:rPr>
          <w:noProof/>
          <w:webHidden/>
        </w:rPr>
        <w:tab/>
      </w:r>
      <w:r>
        <w:rPr>
          <w:noProof/>
          <w:webHidden/>
        </w:rPr>
        <w:fldChar w:fldCharType="begin"/>
      </w:r>
      <w:r>
        <w:rPr>
          <w:noProof/>
          <w:webHidden/>
        </w:rPr>
        <w:instrText xml:space="preserve"> PAGEREF _Toc202853982 \h </w:instrText>
      </w:r>
      <w:r>
        <w:rPr>
          <w:noProof/>
          <w:webHidden/>
        </w:rPr>
        <w:fldChar w:fldCharType="separate"/>
      </w:r>
      <w:r>
        <w:rPr>
          <w:noProof/>
          <w:webHidden/>
        </w:rPr>
        <w:t>11</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"_Toc202853983" </w:instrText>
      </w:r>
      <w:r>
        <w:rPr/>
        <w:fldChar w:fldCharType="separate"/>
      </w:r>
      <w:r>
        <w:rPr>
          <w:rStyle w:val="style85"/>
          <w:noProof/>
        </w:rPr>
        <w:t>2.4.6 α-Murolene and γ-Murolene</w:t>
      </w:r>
      <w:r>
        <w:rPr>
          <w:noProof/>
          <w:webHidden/>
        </w:rPr>
        <w:tab/>
      </w:r>
      <w:r>
        <w:rPr>
          <w:noProof/>
          <w:webHidden/>
        </w:rPr>
        <w:fldChar w:fldCharType="begin"/>
      </w:r>
      <w:r>
        <w:rPr>
          <w:noProof/>
          <w:webHidden/>
        </w:rPr>
        <w:instrText xml:space="preserve"> PAGEREF _Toc202853983 \h </w:instrText>
      </w:r>
      <w:r>
        <w:rPr>
          <w:noProof/>
          <w:webHidden/>
        </w:rPr>
        <w:fldChar w:fldCharType="separate"/>
      </w:r>
      <w:r>
        <w:rPr>
          <w:noProof/>
          <w:webHidden/>
        </w:rPr>
        <w:t>11</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"_Toc202853984" </w:instrText>
      </w:r>
      <w:r>
        <w:rPr/>
        <w:fldChar w:fldCharType="separate"/>
      </w:r>
      <w:r>
        <w:rPr>
          <w:rStyle w:val="style85"/>
          <w:noProof/>
        </w:rPr>
        <w:t>2.4.7 α-Selinene and β-Selinene</w:t>
      </w:r>
      <w:r>
        <w:rPr>
          <w:noProof/>
          <w:webHidden/>
        </w:rPr>
        <w:tab/>
      </w:r>
      <w:r>
        <w:rPr>
          <w:noProof/>
          <w:webHidden/>
        </w:rPr>
        <w:fldChar w:fldCharType="begin"/>
      </w:r>
      <w:r>
        <w:rPr>
          <w:noProof/>
          <w:webHidden/>
        </w:rPr>
        <w:instrText xml:space="preserve"> PAGEREF _Toc202853984 \h </w:instrText>
      </w:r>
      <w:r>
        <w:rPr>
          <w:noProof/>
          <w:webHidden/>
        </w:rPr>
        <w:fldChar w:fldCharType="separate"/>
      </w:r>
      <w:r>
        <w:rPr>
          <w:noProof/>
          <w:webHidden/>
        </w:rPr>
        <w:t>12</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"_Toc202853985" </w:instrText>
      </w:r>
      <w:r>
        <w:rPr/>
        <w:fldChar w:fldCharType="separate"/>
      </w:r>
      <w:r>
        <w:rPr>
          <w:rStyle w:val="style85"/>
          <w:noProof/>
        </w:rPr>
        <w:t>2.4.8 δ-cadinene</w:t>
      </w:r>
      <w:r>
        <w:rPr>
          <w:noProof/>
          <w:webHidden/>
        </w:rPr>
        <w:tab/>
      </w:r>
      <w:r>
        <w:rPr>
          <w:noProof/>
          <w:webHidden/>
        </w:rPr>
        <w:fldChar w:fldCharType="begin"/>
      </w:r>
      <w:r>
        <w:rPr>
          <w:noProof/>
          <w:webHidden/>
        </w:rPr>
        <w:instrText xml:space="preserve"> PAGEREF _Toc202853985 \h </w:instrText>
      </w:r>
      <w:r>
        <w:rPr>
          <w:noProof/>
          <w:webHidden/>
        </w:rPr>
        <w:fldChar w:fldCharType="separate"/>
      </w:r>
      <w:r>
        <w:rPr>
          <w:noProof/>
          <w:webHidden/>
        </w:rPr>
        <w:t>12</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"_Toc202853986" </w:instrText>
      </w:r>
      <w:r>
        <w:rPr/>
        <w:fldChar w:fldCharType="separate"/>
      </w:r>
      <w:r>
        <w:rPr>
          <w:rStyle w:val="style85"/>
          <w:rFonts w:ascii="宋体" w:hAnsi="宋体"/>
          <w:noProof/>
        </w:rPr>
        <w:t>2.5 Biological Activities of Clove</w:t>
      </w:r>
      <w:r>
        <w:rPr>
          <w:noProof/>
          <w:webHidden/>
        </w:rPr>
        <w:tab/>
      </w:r>
      <w:r>
        <w:rPr>
          <w:noProof/>
          <w:webHidden/>
        </w:rPr>
        <w:fldChar w:fldCharType="begin"/>
      </w:r>
      <w:r>
        <w:rPr>
          <w:noProof/>
          <w:webHidden/>
        </w:rPr>
        <w:instrText xml:space="preserve"> PAGEREF _Toc202853986 \h </w:instrText>
      </w:r>
      <w:r>
        <w:rPr>
          <w:noProof/>
          <w:webHidden/>
        </w:rPr>
        <w:fldChar w:fldCharType="separate"/>
      </w:r>
      <w:r>
        <w:rPr>
          <w:noProof/>
          <w:webHidden/>
        </w:rPr>
        <w:t>12</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"_Toc202853987" </w:instrText>
      </w:r>
      <w:r>
        <w:rPr/>
        <w:fldChar w:fldCharType="separate"/>
      </w:r>
      <w:r>
        <w:rPr>
          <w:rStyle w:val="style85"/>
          <w:noProof/>
        </w:rPr>
        <w:t>2.5.1 Anti-Diabetic Activity</w:t>
      </w:r>
      <w:r>
        <w:rPr>
          <w:noProof/>
          <w:webHidden/>
        </w:rPr>
        <w:tab/>
      </w:r>
      <w:r>
        <w:rPr>
          <w:noProof/>
          <w:webHidden/>
        </w:rPr>
        <w:fldChar w:fldCharType="begin"/>
      </w:r>
      <w:r>
        <w:rPr>
          <w:noProof/>
          <w:webHidden/>
        </w:rPr>
        <w:instrText xml:space="preserve"> PAGEREF _Toc202853987 \h </w:instrText>
      </w:r>
      <w:r>
        <w:rPr>
          <w:noProof/>
          <w:webHidden/>
        </w:rPr>
        <w:fldChar w:fldCharType="separate"/>
      </w:r>
      <w:r>
        <w:rPr>
          <w:noProof/>
          <w:webHidden/>
        </w:rPr>
        <w:t>13</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"_Toc202853988" </w:instrText>
      </w:r>
      <w:r>
        <w:rPr/>
        <w:fldChar w:fldCharType="separate"/>
      </w:r>
      <w:r>
        <w:rPr>
          <w:rStyle w:val="style85"/>
          <w:noProof/>
        </w:rPr>
        <w:t>2.5.2 Antioxidant Activity</w:t>
      </w:r>
      <w:r>
        <w:rPr>
          <w:noProof/>
          <w:webHidden/>
        </w:rPr>
        <w:tab/>
      </w:r>
      <w:r>
        <w:rPr>
          <w:noProof/>
          <w:webHidden/>
        </w:rPr>
        <w:fldChar w:fldCharType="begin"/>
      </w:r>
      <w:r>
        <w:rPr>
          <w:noProof/>
          <w:webHidden/>
        </w:rPr>
        <w:instrText xml:space="preserve"> PAGEREF _Toc202853988 \h </w:instrText>
      </w:r>
      <w:r>
        <w:rPr>
          <w:noProof/>
          <w:webHidden/>
        </w:rPr>
        <w:fldChar w:fldCharType="separate"/>
      </w:r>
      <w:r>
        <w:rPr>
          <w:noProof/>
          <w:webHidden/>
        </w:rPr>
        <w:t>13</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"_Toc202853989" </w:instrText>
      </w:r>
      <w:r>
        <w:rPr/>
        <w:fldChar w:fldCharType="separate"/>
      </w:r>
      <w:r>
        <w:rPr>
          <w:rStyle w:val="style85"/>
          <w:noProof/>
        </w:rPr>
        <w:t>2.5.3 Antimicrobial Activity</w:t>
      </w:r>
      <w:r>
        <w:rPr>
          <w:noProof/>
          <w:webHidden/>
        </w:rPr>
        <w:tab/>
      </w:r>
      <w:r>
        <w:rPr>
          <w:noProof/>
          <w:webHidden/>
        </w:rPr>
        <w:fldChar w:fldCharType="begin"/>
      </w:r>
      <w:r>
        <w:rPr>
          <w:noProof/>
          <w:webHidden/>
        </w:rPr>
        <w:instrText xml:space="preserve"> PAGEREF _Toc202853989 \h </w:instrText>
      </w:r>
      <w:r>
        <w:rPr>
          <w:noProof/>
          <w:webHidden/>
        </w:rPr>
        <w:fldChar w:fldCharType="separate"/>
      </w:r>
      <w:r>
        <w:rPr>
          <w:noProof/>
          <w:webHidden/>
        </w:rPr>
        <w:t>16</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"_Toc202853990" </w:instrText>
      </w:r>
      <w:r>
        <w:rPr/>
        <w:fldChar w:fldCharType="separate"/>
      </w:r>
      <w:r>
        <w:rPr>
          <w:rStyle w:val="style85"/>
          <w:noProof/>
        </w:rPr>
        <w:t>2.5.4 Antinociceptive</w:t>
      </w:r>
      <w:r>
        <w:rPr>
          <w:noProof/>
          <w:webHidden/>
        </w:rPr>
        <w:tab/>
      </w:r>
      <w:r>
        <w:rPr>
          <w:noProof/>
          <w:webHidden/>
        </w:rPr>
        <w:fldChar w:fldCharType="begin"/>
      </w:r>
      <w:r>
        <w:rPr>
          <w:noProof/>
          <w:webHidden/>
        </w:rPr>
        <w:instrText xml:space="preserve"> PAGEREF _Toc202853990 \h </w:instrText>
      </w:r>
      <w:r>
        <w:rPr>
          <w:noProof/>
          <w:webHidden/>
        </w:rPr>
        <w:fldChar w:fldCharType="separate"/>
      </w:r>
      <w:r>
        <w:rPr>
          <w:noProof/>
          <w:webHidden/>
        </w:rPr>
        <w:t>18</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"_Toc202853991" </w:instrText>
      </w:r>
      <w:r>
        <w:rPr/>
        <w:fldChar w:fldCharType="separate"/>
      </w:r>
      <w:r>
        <w:rPr>
          <w:rStyle w:val="style85"/>
          <w:noProof/>
        </w:rPr>
        <w:t>2.5.5 Antiviral Activity</w:t>
      </w:r>
      <w:r>
        <w:rPr>
          <w:noProof/>
          <w:webHidden/>
        </w:rPr>
        <w:tab/>
      </w:r>
      <w:r>
        <w:rPr>
          <w:noProof/>
          <w:webHidden/>
        </w:rPr>
        <w:fldChar w:fldCharType="begin"/>
      </w:r>
      <w:r>
        <w:rPr>
          <w:noProof/>
          <w:webHidden/>
        </w:rPr>
        <w:instrText xml:space="preserve"> PAGEREF _Toc202853991 \h </w:instrText>
      </w:r>
      <w:r>
        <w:rPr>
          <w:noProof/>
          <w:webHidden/>
        </w:rPr>
        <w:fldChar w:fldCharType="separate"/>
      </w:r>
      <w:r>
        <w:rPr>
          <w:noProof/>
          <w:webHidden/>
        </w:rPr>
        <w:t>18</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"_Toc202853992" </w:instrText>
      </w:r>
      <w:r>
        <w:rPr/>
        <w:fldChar w:fldCharType="separate"/>
      </w:r>
      <w:r>
        <w:rPr>
          <w:rStyle w:val="style85"/>
          <w:rFonts w:ascii="宋体" w:eastAsia="Calibri" w:hAnsi="宋体"/>
          <w:b/>
          <w:bCs/>
          <w:noProof/>
        </w:rPr>
        <w:t>CHAPTER THREE</w:t>
      </w:r>
      <w:r>
        <w:rPr>
          <w:noProof/>
          <w:webHidden/>
        </w:rPr>
        <w:tab/>
      </w:r>
      <w:r>
        <w:rPr>
          <w:noProof/>
          <w:webHidden/>
        </w:rPr>
        <w:fldChar w:fldCharType="begin"/>
      </w:r>
      <w:r>
        <w:rPr>
          <w:noProof/>
          <w:webHidden/>
        </w:rPr>
        <w:instrText xml:space="preserve"> PAGEREF _Toc202853992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"_Toc202853993" </w:instrText>
      </w:r>
      <w:r>
        <w:rPr/>
        <w:fldChar w:fldCharType="separate"/>
      </w:r>
      <w:r>
        <w:rPr>
          <w:rStyle w:val="style85"/>
          <w:rFonts w:ascii="宋体" w:hAnsi="宋体"/>
          <w:noProof/>
        </w:rPr>
        <w:t>3.0 MATERIALS AND METHODS</w:t>
      </w:r>
      <w:r>
        <w:rPr>
          <w:noProof/>
          <w:webHidden/>
        </w:rPr>
        <w:tab/>
      </w:r>
      <w:r>
        <w:rPr>
          <w:noProof/>
          <w:webHidden/>
        </w:rPr>
        <w:fldChar w:fldCharType="begin"/>
      </w:r>
      <w:r>
        <w:rPr>
          <w:noProof/>
          <w:webHidden/>
        </w:rPr>
        <w:instrText xml:space="preserve"> PAGEREF _Toc202853993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"_Toc202853994" </w:instrText>
      </w:r>
      <w:r>
        <w:rPr/>
        <w:fldChar w:fldCharType="separate"/>
      </w:r>
      <w:r>
        <w:rPr>
          <w:rStyle w:val="style85"/>
          <w:rFonts w:ascii="宋体" w:hAnsi="宋体"/>
          <w:noProof/>
        </w:rPr>
        <w:t>3.1 Collection and Preparation of Clove Flower Buds</w:t>
      </w:r>
      <w:r>
        <w:rPr>
          <w:noProof/>
          <w:webHidden/>
        </w:rPr>
        <w:tab/>
      </w:r>
      <w:r>
        <w:rPr>
          <w:noProof/>
          <w:webHidden/>
        </w:rPr>
        <w:fldChar w:fldCharType="begin"/>
      </w:r>
      <w:r>
        <w:rPr>
          <w:noProof/>
          <w:webHidden/>
        </w:rPr>
        <w:instrText xml:space="preserve"> PAGEREF _Toc202853994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"_Toc202853995" </w:instrText>
      </w:r>
      <w:r>
        <w:rPr/>
        <w:fldChar w:fldCharType="separate"/>
      </w:r>
      <w:r>
        <w:rPr>
          <w:rStyle w:val="style85"/>
          <w:rFonts w:ascii="宋体" w:hAnsi="宋体"/>
          <w:noProof/>
        </w:rPr>
        <w:t>3.2 Preparation of Clove Extracts</w:t>
      </w:r>
      <w:r>
        <w:rPr>
          <w:noProof/>
          <w:webHidden/>
        </w:rPr>
        <w:tab/>
      </w:r>
      <w:r>
        <w:rPr>
          <w:noProof/>
          <w:webHidden/>
        </w:rPr>
        <w:fldChar w:fldCharType="begin"/>
      </w:r>
      <w:r>
        <w:rPr>
          <w:noProof/>
          <w:webHidden/>
        </w:rPr>
        <w:instrText xml:space="preserve"> PAGEREF _Toc202853995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"_Toc202853996" </w:instrText>
      </w:r>
      <w:r>
        <w:rPr/>
        <w:fldChar w:fldCharType="separate"/>
      </w:r>
      <w:r>
        <w:rPr>
          <w:rStyle w:val="style85"/>
          <w:rFonts w:ascii="宋体" w:hAnsi="宋体"/>
          <w:noProof/>
        </w:rPr>
        <w:t>3.3 Collection of Test Organisms</w:t>
      </w:r>
      <w:r>
        <w:rPr>
          <w:noProof/>
          <w:webHidden/>
        </w:rPr>
        <w:tab/>
      </w:r>
      <w:r>
        <w:rPr>
          <w:noProof/>
          <w:webHidden/>
        </w:rPr>
        <w:fldChar w:fldCharType="begin"/>
      </w:r>
      <w:r>
        <w:rPr>
          <w:noProof/>
          <w:webHidden/>
        </w:rPr>
        <w:instrText xml:space="preserve"> PAGEREF _Toc202853996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"_Toc202853997" </w:instrText>
      </w:r>
      <w:r>
        <w:rPr/>
        <w:fldChar w:fldCharType="separate"/>
      </w:r>
      <w:r>
        <w:rPr>
          <w:rStyle w:val="style85"/>
          <w:rFonts w:ascii="宋体" w:hAnsi="宋体"/>
          <w:noProof/>
        </w:rPr>
        <w:t>3.4 Standardization of Test Organisms</w:t>
      </w:r>
      <w:r>
        <w:rPr>
          <w:noProof/>
          <w:webHidden/>
        </w:rPr>
        <w:tab/>
      </w:r>
      <w:r>
        <w:rPr>
          <w:noProof/>
          <w:webHidden/>
        </w:rPr>
        <w:fldChar w:fldCharType="begin"/>
      </w:r>
      <w:r>
        <w:rPr>
          <w:noProof/>
          <w:webHidden/>
        </w:rPr>
        <w:instrText xml:space="preserve"> PAGEREF _Toc202853997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"_Toc202853998" </w:instrText>
      </w:r>
      <w:r>
        <w:rPr/>
        <w:fldChar w:fldCharType="separate"/>
      </w:r>
      <w:r>
        <w:rPr>
          <w:rStyle w:val="style85"/>
          <w:rFonts w:ascii="宋体" w:hAnsi="宋体"/>
          <w:noProof/>
        </w:rPr>
        <w:t>3.5 Antibacterial Activity Assay</w:t>
      </w:r>
      <w:r>
        <w:rPr>
          <w:noProof/>
          <w:webHidden/>
        </w:rPr>
        <w:tab/>
      </w:r>
      <w:r>
        <w:rPr>
          <w:noProof/>
          <w:webHidden/>
        </w:rPr>
        <w:fldChar w:fldCharType="begin"/>
      </w:r>
      <w:r>
        <w:rPr>
          <w:noProof/>
          <w:webHidden/>
        </w:rPr>
        <w:instrText xml:space="preserve"> PAGEREF _Toc202853998 \h </w:instrText>
      </w:r>
      <w:r>
        <w:rPr>
          <w:noProof/>
          <w:webHidden/>
        </w:rPr>
        <w:fldChar w:fldCharType="separate"/>
      </w:r>
      <w:r>
        <w:rPr>
          <w:noProof/>
          <w:webHidden/>
        </w:rPr>
        <w:t>20</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"_Toc202853999" </w:instrText>
      </w:r>
      <w:r>
        <w:rPr/>
        <w:fldChar w:fldCharType="separate"/>
      </w:r>
      <w:r>
        <w:rPr>
          <w:rStyle w:val="style85"/>
          <w:rFonts w:ascii="宋体" w:hAnsi="宋体"/>
          <w:noProof/>
        </w:rPr>
        <w:t>3.6 Determination of Minimum Inhibitory Concentration (MIC)</w:t>
      </w:r>
      <w:r>
        <w:rPr>
          <w:noProof/>
          <w:webHidden/>
        </w:rPr>
        <w:tab/>
      </w:r>
      <w:r>
        <w:rPr>
          <w:noProof/>
          <w:webHidden/>
        </w:rPr>
        <w:fldChar w:fldCharType="begin"/>
      </w:r>
      <w:r>
        <w:rPr>
          <w:noProof/>
          <w:webHidden/>
        </w:rPr>
        <w:instrText xml:space="preserve"> PAGEREF _Toc202853999 \h </w:instrText>
      </w:r>
      <w:r>
        <w:rPr>
          <w:noProof/>
          <w:webHidden/>
        </w:rPr>
        <w:fldChar w:fldCharType="separate"/>
      </w:r>
      <w:r>
        <w:rPr>
          <w:noProof/>
          <w:webHidden/>
        </w:rPr>
        <w:t>20</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"_Toc202854000" </w:instrText>
      </w:r>
      <w:r>
        <w:rPr/>
        <w:fldChar w:fldCharType="separate"/>
      </w:r>
      <w:r>
        <w:rPr>
          <w:rStyle w:val="style85"/>
          <w:rFonts w:ascii="宋体" w:hAnsi="宋体"/>
          <w:noProof/>
        </w:rPr>
        <w:t>3.7 Determination of Minimum Bactericidal Concentration (MBC)</w:t>
      </w:r>
      <w:r>
        <w:rPr>
          <w:noProof/>
          <w:webHidden/>
        </w:rPr>
        <w:tab/>
      </w:r>
      <w:r>
        <w:rPr>
          <w:noProof/>
          <w:webHidden/>
        </w:rPr>
        <w:fldChar w:fldCharType="begin"/>
      </w:r>
      <w:r>
        <w:rPr>
          <w:noProof/>
          <w:webHidden/>
        </w:rPr>
        <w:instrText xml:space="preserve"> PAGEREF _Toc202854000 \h </w:instrText>
      </w:r>
      <w:r>
        <w:rPr>
          <w:noProof/>
          <w:webHidden/>
        </w:rPr>
        <w:fldChar w:fldCharType="separate"/>
      </w:r>
      <w:r>
        <w:rPr>
          <w:noProof/>
          <w:webHidden/>
        </w:rPr>
        <w:t>21</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"_Toc202854001" </w:instrText>
      </w:r>
      <w:r>
        <w:rPr/>
        <w:fldChar w:fldCharType="separate"/>
      </w:r>
      <w:r>
        <w:rPr>
          <w:rStyle w:val="style85"/>
          <w:rFonts w:ascii="宋体" w:eastAsia="Calibri" w:hAnsi="宋体"/>
          <w:b/>
          <w:bCs/>
          <w:noProof/>
        </w:rPr>
        <w:t>CHAPTER FOUR</w:t>
      </w:r>
      <w:r>
        <w:rPr>
          <w:noProof/>
          <w:webHidden/>
        </w:rPr>
        <w:tab/>
      </w:r>
      <w:r>
        <w:rPr>
          <w:noProof/>
          <w:webHidden/>
        </w:rPr>
        <w:fldChar w:fldCharType="begin"/>
      </w:r>
      <w:r>
        <w:rPr>
          <w:noProof/>
          <w:webHidden/>
        </w:rPr>
        <w:instrText xml:space="preserve"> PAGEREF _Toc202854001 \h </w:instrText>
      </w:r>
      <w:r>
        <w:rPr>
          <w:noProof/>
          <w:webHidden/>
        </w:rPr>
        <w:fldChar w:fldCharType="separate"/>
      </w:r>
      <w:r>
        <w:rPr>
          <w:noProof/>
          <w:webHidden/>
        </w:rPr>
        <w:t>22</w:t>
      </w:r>
      <w:r>
        <w:rPr>
          <w:noProof/>
          <w:webHidden/>
        </w:rPr>
        <w:fldChar w:fldCharType="end"/>
      </w:r>
      <w:r>
        <w:rPr/>
        <w:fldChar w:fldCharType="end"/>
      </w:r>
    </w:p>
    <w:p>
      <w:pPr>
        <w:pStyle w:val="style20"/>
        <w:tabs>
          <w:tab w:val="left" w:leader="none" w:pos="880"/>
          <w:tab w:val="right" w:leader="dot" w:pos="9350"/>
        </w:tabs>
        <w:rPr>
          <w:rFonts w:eastAsia="宋体"/>
          <w:noProof/>
        </w:rPr>
      </w:pPr>
      <w:r>
        <w:rPr/>
        <w:fldChar w:fldCharType="begin"/>
      </w:r>
      <w:r>
        <w:instrText xml:space="preserve"> HYPERLINK \l "_Toc202854002" </w:instrText>
      </w:r>
      <w:r>
        <w:rPr/>
        <w:fldChar w:fldCharType="separate"/>
      </w:r>
      <w:r>
        <w:rPr>
          <w:rStyle w:val="style85"/>
          <w:rFonts w:ascii="宋体" w:hAnsi="宋体"/>
          <w:noProof/>
        </w:rPr>
        <w:t>4.0</w:t>
      </w:r>
      <w:r>
        <w:rPr>
          <w:rFonts w:eastAsia="宋体"/>
          <w:noProof/>
        </w:rPr>
        <w:tab/>
      </w:r>
      <w:r>
        <w:rPr>
          <w:rStyle w:val="style85"/>
          <w:rFonts w:ascii="宋体" w:hAnsi="宋体"/>
          <w:noProof/>
        </w:rPr>
        <w:t>RESULTS</w:t>
      </w:r>
      <w:r>
        <w:rPr>
          <w:noProof/>
          <w:webHidden/>
        </w:rPr>
        <w:tab/>
      </w:r>
      <w:r>
        <w:rPr>
          <w:noProof/>
          <w:webHidden/>
        </w:rPr>
        <w:fldChar w:fldCharType="begin"/>
      </w:r>
      <w:r>
        <w:rPr>
          <w:noProof/>
          <w:webHidden/>
        </w:rPr>
        <w:instrText xml:space="preserve"> PAGEREF _Toc202854002 \h </w:instrText>
      </w:r>
      <w:r>
        <w:rPr>
          <w:noProof/>
          <w:webHidden/>
        </w:rPr>
        <w:fldChar w:fldCharType="separate"/>
      </w:r>
      <w:r>
        <w:rPr>
          <w:noProof/>
          <w:webHidden/>
        </w:rPr>
        <w:t>22</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"_Toc202854003" </w:instrText>
      </w:r>
      <w:r>
        <w:rPr/>
        <w:fldChar w:fldCharType="separate"/>
      </w:r>
      <w:r>
        <w:rPr>
          <w:rStyle w:val="style85"/>
          <w:rFonts w:ascii="宋体" w:hAnsi="宋体"/>
          <w:noProof/>
        </w:rPr>
        <w:t>4.1 Antibacterial Activity of Clove Extracts</w:t>
      </w:r>
      <w:r>
        <w:rPr>
          <w:noProof/>
          <w:webHidden/>
        </w:rPr>
        <w:tab/>
      </w:r>
      <w:r>
        <w:rPr>
          <w:noProof/>
          <w:webHidden/>
        </w:rPr>
        <w:fldChar w:fldCharType="begin"/>
      </w:r>
      <w:r>
        <w:rPr>
          <w:noProof/>
          <w:webHidden/>
        </w:rPr>
        <w:instrText xml:space="preserve"> PAGEREF _Toc202854003 \h </w:instrText>
      </w:r>
      <w:r>
        <w:rPr>
          <w:noProof/>
          <w:webHidden/>
        </w:rPr>
        <w:fldChar w:fldCharType="separate"/>
      </w:r>
      <w:r>
        <w:rPr>
          <w:noProof/>
          <w:webHidden/>
        </w:rPr>
        <w:t>22</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"_Toc202854004" </w:instrText>
      </w:r>
      <w:r>
        <w:rPr/>
        <w:fldChar w:fldCharType="separate"/>
      </w:r>
      <w:r>
        <w:rPr>
          <w:rStyle w:val="style85"/>
          <w:rFonts w:ascii="宋体" w:hAnsi="宋体"/>
          <w:noProof/>
        </w:rPr>
        <w:t>4.2 Minimum Inhibitory Concentration (MIC) and Minimum Bactericidal Concentration</w:t>
      </w:r>
      <w:r>
        <w:rPr>
          <w:noProof/>
          <w:webHidden/>
        </w:rPr>
        <w:tab/>
      </w:r>
      <w:r>
        <w:rPr>
          <w:noProof/>
          <w:webHidden/>
        </w:rPr>
        <w:fldChar w:fldCharType="begin"/>
      </w:r>
      <w:r>
        <w:rPr>
          <w:noProof/>
          <w:webHidden/>
        </w:rPr>
        <w:instrText xml:space="preserve"> PAGEREF _Toc202854004 \h </w:instrText>
      </w:r>
      <w:r>
        <w:rPr>
          <w:noProof/>
          <w:webHidden/>
        </w:rPr>
        <w:fldChar w:fldCharType="separate"/>
      </w:r>
      <w:r>
        <w:rPr>
          <w:noProof/>
          <w:webHidden/>
        </w:rPr>
        <w:t>22</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"_Toc202854005" </w:instrText>
      </w:r>
      <w:r>
        <w:rPr/>
        <w:fldChar w:fldCharType="separate"/>
      </w:r>
      <w:r>
        <w:rPr>
          <w:rStyle w:val="style85"/>
          <w:rFonts w:ascii="宋体" w:eastAsia="Calibri" w:hAnsi="宋体"/>
          <w:b/>
          <w:bCs/>
          <w:noProof/>
        </w:rPr>
        <w:t>CHAPTER FIVE</w:t>
      </w:r>
      <w:r>
        <w:rPr>
          <w:noProof/>
          <w:webHidden/>
        </w:rPr>
        <w:tab/>
      </w:r>
      <w:r>
        <w:rPr>
          <w:noProof/>
          <w:webHidden/>
        </w:rPr>
        <w:fldChar w:fldCharType="begin"/>
      </w:r>
      <w:r>
        <w:rPr>
          <w:noProof/>
          <w:webHidden/>
        </w:rPr>
        <w:instrText xml:space="preserve"> PAGEREF _Toc202854005 \h </w:instrText>
      </w:r>
      <w:r>
        <w:rPr>
          <w:noProof/>
          <w:webHidden/>
        </w:rPr>
        <w:fldChar w:fldCharType="separate"/>
      </w:r>
      <w:r>
        <w:rPr>
          <w:noProof/>
          <w:webHidden/>
        </w:rPr>
        <w:t>25</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"_Toc202854006" </w:instrText>
      </w:r>
      <w:r>
        <w:rPr/>
        <w:fldChar w:fldCharType="separate"/>
      </w:r>
      <w:r>
        <w:rPr>
          <w:rStyle w:val="style85"/>
          <w:rFonts w:ascii="宋体" w:hAnsi="宋体"/>
          <w:noProof/>
        </w:rPr>
        <w:t>5.0 Discussion</w:t>
      </w:r>
      <w:r>
        <w:rPr>
          <w:noProof/>
          <w:webHidden/>
        </w:rPr>
        <w:tab/>
      </w:r>
      <w:r>
        <w:rPr>
          <w:noProof/>
          <w:webHidden/>
        </w:rPr>
        <w:fldChar w:fldCharType="begin"/>
      </w:r>
      <w:r>
        <w:rPr>
          <w:noProof/>
          <w:webHidden/>
        </w:rPr>
        <w:instrText xml:space="preserve"> PAGEREF _Toc202854006 \h </w:instrText>
      </w:r>
      <w:r>
        <w:rPr>
          <w:noProof/>
          <w:webHidden/>
        </w:rPr>
        <w:fldChar w:fldCharType="separate"/>
      </w:r>
      <w:r>
        <w:rPr>
          <w:noProof/>
          <w:webHidden/>
        </w:rPr>
        <w:t>25</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"_Toc202854007" </w:instrText>
      </w:r>
      <w:r>
        <w:rPr/>
        <w:fldChar w:fldCharType="separate"/>
      </w:r>
      <w:r>
        <w:rPr>
          <w:rStyle w:val="style85"/>
          <w:rFonts w:ascii="宋体" w:hAnsi="宋体"/>
          <w:noProof/>
        </w:rPr>
        <w:t>5.1 Conclusion</w:t>
      </w:r>
      <w:r>
        <w:rPr>
          <w:noProof/>
          <w:webHidden/>
        </w:rPr>
        <w:tab/>
      </w:r>
      <w:r>
        <w:rPr>
          <w:noProof/>
          <w:webHidden/>
        </w:rPr>
        <w:fldChar w:fldCharType="begin"/>
      </w:r>
      <w:r>
        <w:rPr>
          <w:noProof/>
          <w:webHidden/>
        </w:rPr>
        <w:instrText xml:space="preserve"> PAGEREF _Toc202854007 \h </w:instrText>
      </w:r>
      <w:r>
        <w:rPr>
          <w:noProof/>
          <w:webHidden/>
        </w:rPr>
        <w:fldChar w:fldCharType="separate"/>
      </w:r>
      <w:r>
        <w:rPr>
          <w:noProof/>
          <w:webHidden/>
        </w:rPr>
        <w:t>28</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"_Toc202854008" </w:instrText>
      </w:r>
      <w:r>
        <w:rPr/>
        <w:fldChar w:fldCharType="separate"/>
      </w:r>
      <w:r>
        <w:rPr>
          <w:rStyle w:val="style85"/>
          <w:rFonts w:ascii="宋体" w:hAnsi="宋体"/>
          <w:noProof/>
        </w:rPr>
        <w:t>5.2 Recommendations</w:t>
      </w:r>
      <w:r>
        <w:rPr>
          <w:noProof/>
          <w:webHidden/>
        </w:rPr>
        <w:tab/>
      </w:r>
      <w:r>
        <w:rPr>
          <w:noProof/>
          <w:webHidden/>
        </w:rPr>
        <w:fldChar w:fldCharType="begin"/>
      </w:r>
      <w:r>
        <w:rPr>
          <w:noProof/>
          <w:webHidden/>
        </w:rPr>
        <w:instrText xml:space="preserve"> PAGEREF _Toc202854008 \h </w:instrText>
      </w:r>
      <w:r>
        <w:rPr>
          <w:noProof/>
          <w:webHidden/>
        </w:rPr>
        <w:fldChar w:fldCharType="separate"/>
      </w:r>
      <w:r>
        <w:rPr>
          <w:noProof/>
          <w:webHidden/>
        </w:rPr>
        <w:t>29</w:t>
      </w:r>
      <w:r>
        <w:rPr>
          <w:noProof/>
          <w:webHidden/>
        </w:rPr>
        <w:fldChar w:fldCharType="end"/>
      </w:r>
      <w:r>
        <w:rPr/>
        <w:fldChar w:fldCharType="end"/>
      </w:r>
    </w:p>
    <w:p>
      <w:pPr>
        <w:pStyle w:val="style0"/>
        <w:rPr/>
      </w:pPr>
      <w:r>
        <w:rPr>
          <w:b/>
          <w:bCs/>
          <w:noProof/>
        </w:rPr>
        <w:fldChar w:fldCharType="end"/>
      </w:r>
    </w:p>
    <w:p>
      <w:pPr>
        <w:pStyle w:val="style0"/>
        <w:rPr/>
      </w:pPr>
    </w:p>
    <w:p>
      <w:pPr>
        <w:pStyle w:val="style0"/>
        <w:rPr/>
      </w:pPr>
    </w:p>
    <w:p>
      <w:pPr>
        <w:pStyle w:val="style0"/>
        <w:rPr/>
      </w:pPr>
    </w:p>
    <w:p>
      <w:pPr>
        <w:pStyle w:val="style0"/>
        <w:spacing w:before="100" w:beforeAutospacing="true" w:after="100" w:afterAutospacing="true" w:lineRule="auto" w:line="480"/>
        <w:jc w:val="both"/>
        <w:rPr>
          <w:rFonts w:ascii="宋体" w:cs="宋体" w:eastAsia="Times New Roman" w:hAnsi="宋体"/>
          <w:sz w:val="24"/>
          <w:szCs w:val="24"/>
        </w:rPr>
      </w:pPr>
    </w:p>
    <w:bookmarkStart w:id="10" w:name="_Toc201509692"/>
    <w:bookmarkStart w:id="11" w:name="_Toc202853957"/>
    <w:p>
      <w:pPr>
        <w:pStyle w:val="style1"/>
        <w:jc w:val="center"/>
        <w:rPr>
          <w:rFonts w:ascii="宋体" w:eastAsia="Calibri" w:hAnsi="宋体"/>
          <w:b/>
          <w:bCs/>
          <w:color w:val="auto"/>
          <w:sz w:val="28"/>
          <w:szCs w:val="28"/>
        </w:rPr>
      </w:pPr>
      <w:r>
        <w:rPr>
          <w:rFonts w:ascii="宋体" w:eastAsia="Calibri" w:hAnsi="宋体"/>
          <w:b/>
          <w:bCs/>
          <w:color w:val="auto"/>
          <w:sz w:val="28"/>
          <w:szCs w:val="28"/>
        </w:rPr>
        <w:t>ABSTRACT</w:t>
      </w:r>
      <w:bookmarkEnd w:id="10"/>
      <w:bookmarkEnd w:id="11"/>
    </w:p>
    <w:p>
      <w:pPr>
        <w:pStyle w:val="style0"/>
        <w:keepNext/>
        <w:keepLines/>
        <w:spacing w:before="240" w:after="0"/>
        <w:jc w:val="center"/>
        <w:outlineLvl w:val="0"/>
        <w:rPr>
          <w:rFonts w:ascii="Times New Roman" w:cs="Times New Roman" w:eastAsia="宋体" w:hAnsi="Times New Roman"/>
          <w:b/>
          <w:sz w:val="28"/>
          <w:szCs w:val="28"/>
        </w:rPr>
      </w:pPr>
    </w:p>
    <w:bookmarkStart w:id="12" w:name="_Toc202853958"/>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r>
        <w:rPr>
          <w:rFonts w:ascii="Times New Roman" w:cs="Times New Roman" w:hAnsi="Times New Roman"/>
          <w:sz w:val="24"/>
          <w:szCs w:val="24"/>
        </w:rPr>
        <w:t xml:space="preserve">The increasing prevalence of methicillin-resistant </w:t>
      </w:r>
      <w:r>
        <w:rPr>
          <w:rStyle w:val="style88"/>
          <w:rFonts w:ascii="Times New Roman" w:cs="Times New Roman" w:hAnsi="Times New Roman"/>
          <w:sz w:val="24"/>
          <w:szCs w:val="24"/>
        </w:rPr>
        <w:t>Staphylococcus aureus</w:t>
      </w:r>
      <w:r>
        <w:rPr>
          <w:rFonts w:ascii="Times New Roman" w:cs="Times New Roman" w:hAnsi="Times New Roman"/>
          <w:sz w:val="24"/>
          <w:szCs w:val="24"/>
        </w:rPr>
        <w:t xml:space="preserve"> (MRSA) poses a significant public health concern. This study investigated the antibacterial activity of aqueous, ethanolic, and methanolic extracts of </w:t>
      </w:r>
      <w:r>
        <w:rPr>
          <w:rStyle w:val="style88"/>
          <w:rFonts w:ascii="Times New Roman" w:cs="Times New Roman" w:hAnsi="Times New Roman"/>
          <w:sz w:val="24"/>
          <w:szCs w:val="24"/>
        </w:rPr>
        <w:t>Syzygium</w:t>
      </w:r>
      <w:r>
        <w:rPr>
          <w:rStyle w:val="style88"/>
          <w:rFonts w:ascii="Times New Roman" w:cs="Times New Roman" w:hAnsi="Times New Roman"/>
          <w:sz w:val="24"/>
          <w:szCs w:val="24"/>
        </w:rPr>
        <w:t xml:space="preserve"> </w:t>
      </w:r>
      <w:r>
        <w:rPr>
          <w:rStyle w:val="style88"/>
          <w:rFonts w:ascii="Times New Roman" w:cs="Times New Roman" w:hAnsi="Times New Roman"/>
          <w:sz w:val="24"/>
          <w:szCs w:val="24"/>
        </w:rPr>
        <w:t>aromaticum</w:t>
      </w:r>
      <w:r>
        <w:rPr>
          <w:rFonts w:ascii="Times New Roman" w:cs="Times New Roman" w:hAnsi="Times New Roman"/>
          <w:sz w:val="24"/>
          <w:szCs w:val="24"/>
        </w:rPr>
        <w:t xml:space="preserve"> (clove) against MRSA and methicillin-susceptible </w:t>
      </w:r>
      <w:r>
        <w:rPr>
          <w:rStyle w:val="style88"/>
          <w:rFonts w:ascii="Times New Roman" w:cs="Times New Roman" w:hAnsi="Times New Roman"/>
          <w:sz w:val="24"/>
          <w:szCs w:val="24"/>
        </w:rPr>
        <w:t>S. aureus</w:t>
      </w:r>
      <w:r>
        <w:rPr>
          <w:rFonts w:ascii="Times New Roman" w:cs="Times New Roman" w:hAnsi="Times New Roman"/>
          <w:sz w:val="24"/>
          <w:szCs w:val="24"/>
        </w:rPr>
        <w:t xml:space="preserve"> (MSSA). Extracts were obtained through solvent maceration and tested using the agar well diffusion method, while MIC and MBC were determined by standard broth dilution. All extracts showed concentration-dependent antibacterial effects, with ethanolic and methanolic extracts being more potent than the aqueous extract. Maximum inhibition zones reached 22.23 mm for MRSA and 22.14 mm for MSSA. MIC and MBC values for both strains were 80 mg/mL and 100 mg/mL, respectively. The findings highlight the effectiveness of clove extracts, particularly organic-solvent-based ones, in combating resistant </w:t>
      </w:r>
      <w:r>
        <w:rPr>
          <w:rStyle w:val="style88"/>
          <w:rFonts w:ascii="Times New Roman" w:cs="Times New Roman" w:hAnsi="Times New Roman"/>
          <w:sz w:val="24"/>
          <w:szCs w:val="24"/>
        </w:rPr>
        <w:t>S. aureus</w:t>
      </w:r>
      <w:r>
        <w:rPr>
          <w:rFonts w:ascii="Times New Roman" w:cs="Times New Roman" w:hAnsi="Times New Roman"/>
          <w:sz w:val="24"/>
          <w:szCs w:val="24"/>
        </w:rPr>
        <w:t xml:space="preserve"> strains.</w:t>
      </w:r>
      <w:bookmarkEnd w:id="12"/>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bookmarkStart w:id="13" w:name="_Toc201509693"/>
    <w:bookmarkStart w:id="14" w:name="_Toc85116914"/>
    <w:p>
      <w:pPr>
        <w:pStyle w:val="style1"/>
        <w:spacing w:after="100" w:afterAutospacing="true"/>
        <w:jc w:val="center"/>
        <w:rPr>
          <w:rFonts w:ascii="宋体" w:eastAsia="Calibri" w:hAnsi="宋体"/>
          <w:b/>
          <w:bCs/>
          <w:color w:val="auto"/>
          <w:sz w:val="28"/>
          <w:szCs w:val="28"/>
        </w:rPr>
        <w:sectPr>
          <w:footerReference w:type="default" r:id="rId3"/>
          <w:type w:val="continuous"/>
          <w:pgSz w:w="11906" w:h="16838" w:orient="portrait" w:code="9"/>
          <w:pgMar w:top="1440" w:right="1440" w:bottom="1440" w:left="1440" w:header="720" w:footer="720" w:gutter="0"/>
          <w:pgNumType w:fmt="lowerRoman" w:start="1"/>
          <w:cols w:space="720"/>
          <w:titlePg/>
          <w:docGrid w:linePitch="360"/>
        </w:sectPr>
      </w:pPr>
    </w:p>
    <w:bookmarkStart w:id="15" w:name="_Toc202853959"/>
    <w:p>
      <w:pPr>
        <w:pStyle w:val="style1"/>
        <w:spacing w:after="100" w:afterAutospacing="true"/>
        <w:jc w:val="center"/>
        <w:rPr>
          <w:rFonts w:ascii="宋体" w:eastAsia="Calibri" w:hAnsi="宋体"/>
          <w:b/>
          <w:bCs/>
          <w:color w:val="auto"/>
          <w:sz w:val="28"/>
          <w:szCs w:val="28"/>
        </w:rPr>
      </w:pPr>
      <w:r>
        <w:rPr>
          <w:rFonts w:ascii="宋体" w:eastAsia="Calibri" w:hAnsi="宋体"/>
          <w:b/>
          <w:bCs/>
          <w:color w:val="auto"/>
          <w:sz w:val="28"/>
          <w:szCs w:val="28"/>
        </w:rPr>
        <w:t>CHAPTER ONE</w:t>
      </w:r>
      <w:bookmarkEnd w:id="13"/>
      <w:bookmarkEnd w:id="15"/>
    </w:p>
    <w:bookmarkStart w:id="16" w:name="_Toc201509694"/>
    <w:bookmarkStart w:id="17" w:name="_Toc202853960"/>
    <w:p>
      <w:pPr>
        <w:pStyle w:val="style2"/>
        <w:rPr>
          <w:rFonts w:ascii="宋体" w:hAnsi="宋体"/>
          <w:b w:val="false"/>
          <w:bCs w:val="false"/>
          <w:sz w:val="24"/>
          <w:szCs w:val="24"/>
        </w:rPr>
      </w:pPr>
      <w:r>
        <w:rPr>
          <w:rFonts w:ascii="宋体" w:hAnsi="宋体"/>
          <w:sz w:val="24"/>
          <w:szCs w:val="24"/>
        </w:rPr>
        <w:t>1.0 Introduction</w:t>
      </w:r>
      <w:bookmarkEnd w:id="14"/>
      <w:bookmarkEnd w:id="16"/>
      <w:bookmarkEnd w:id="17"/>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burden of infectious diseases remains a major global health concern, especially in developing nations, where poor hygiene, limited access to quality healthcare, and the misuse of antibiotics contribute significantly to the spread of bacterial pathogens. Antibiotics have been central to modern medicine for the treatment of bacterial infections; however, over the past few decades, the world has witnessed an alarming increase in the incidence of multidrug-resistant (MDR) bacteria. This phenomenon has rendered many commonly used antibiotics less effective, leading to prolonged illnesses, increased mortality rates, and higher medical costs (WHO, 2023).</w:t>
      </w:r>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One of the most troubling examples of antibiotic resistance is observed in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especially the methicillin-resistant strain (MRSA), which is known to cause a range of infections, including wound infections, sepsis, and pneumonia. Similarly, </w:t>
      </w:r>
      <w:r>
        <w:rPr>
          <w:rFonts w:ascii="Times New Roman" w:cs="Times New Roman" w:eastAsia="Times New Roman" w:hAnsi="Times New Roman"/>
          <w:i/>
          <w:iCs/>
          <w:sz w:val="24"/>
          <w:szCs w:val="24"/>
        </w:rPr>
        <w:t>Escherichia coli</w:t>
      </w:r>
      <w:r>
        <w:rPr>
          <w:rFonts w:ascii="Times New Roman" w:cs="Times New Roman" w:eastAsia="Times New Roman" w:hAnsi="Times New Roman"/>
          <w:i/>
          <w:sz w:val="24"/>
          <w:szCs w:val="24"/>
        </w:rPr>
        <w:t xml:space="preserve">, </w:t>
      </w:r>
      <w:r>
        <w:rPr>
          <w:rFonts w:ascii="Times New Roman" w:cs="Times New Roman" w:eastAsia="Times New Roman" w:hAnsi="Times New Roman"/>
          <w:i/>
          <w:iCs/>
          <w:sz w:val="24"/>
          <w:szCs w:val="24"/>
        </w:rPr>
        <w:t>Klebsiella</w:t>
      </w:r>
      <w:r>
        <w:rPr>
          <w:rFonts w:ascii="Times New Roman" w:cs="Times New Roman" w:eastAsia="Times New Roman" w:hAnsi="Times New Roman"/>
          <w:i/>
          <w:iCs/>
          <w:sz w:val="24"/>
          <w:szCs w:val="24"/>
        </w:rPr>
        <w:t xml:space="preserve"> pneumoniae</w:t>
      </w:r>
      <w:r>
        <w:rPr>
          <w:rFonts w:ascii="Times New Roman" w:cs="Times New Roman" w:eastAsia="Times New Roman" w:hAnsi="Times New Roman"/>
          <w:i/>
          <w:sz w:val="24"/>
          <w:szCs w:val="24"/>
        </w:rPr>
        <w:t xml:space="preserve">, </w:t>
      </w:r>
      <w:r>
        <w:rPr>
          <w:rFonts w:ascii="Times New Roman" w:cs="Times New Roman" w:eastAsia="Times New Roman" w:hAnsi="Times New Roman"/>
          <w:i/>
          <w:iCs/>
          <w:sz w:val="24"/>
          <w:szCs w:val="24"/>
        </w:rPr>
        <w:t>Pseudomonas aeruginosa</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Salmonella typhi</w:t>
      </w:r>
      <w:r>
        <w:rPr>
          <w:rFonts w:ascii="Times New Roman" w:cs="Times New Roman" w:eastAsia="Times New Roman" w:hAnsi="Times New Roman"/>
          <w:sz w:val="24"/>
          <w:szCs w:val="24"/>
        </w:rPr>
        <w:t xml:space="preserve"> have developed resistance to multiple antibiotics, posing a challenge to clinicians and microbiologists alike (Aslam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2022; </w:t>
      </w:r>
      <w:r>
        <w:rPr>
          <w:rFonts w:ascii="Times New Roman" w:cs="Times New Roman" w:eastAsia="Times New Roman" w:hAnsi="Times New Roman"/>
          <w:sz w:val="24"/>
          <w:szCs w:val="24"/>
        </w:rPr>
        <w:t>Nirwati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2022).</w:t>
      </w:r>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response to the growing threat of antimicrobial resistance, there has been renewed interest in exploring natural products, especially medicinal plants, for their therapeutic potential. Medicinal plants are rich sources of bioactive compounds such as alkaloids, flavonoids, tannins, terpenoids, phenolics, and essential oils, many of which possess antimicrobial properties (</w:t>
      </w:r>
      <w:r>
        <w:rPr>
          <w:rFonts w:ascii="Times New Roman" w:cs="Times New Roman" w:eastAsia="Times New Roman" w:hAnsi="Times New Roman"/>
          <w:sz w:val="24"/>
          <w:szCs w:val="24"/>
        </w:rPr>
        <w:t>Tahsiri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2023). These natural products have historically contributed to drug discovery and are gaining popularity for their availability, low toxicity, and cost-effectiveness.</w:t>
      </w:r>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(clove), an aromatic flower bud of the </w:t>
      </w:r>
      <w:r>
        <w:rPr>
          <w:rFonts w:ascii="Times New Roman" w:cs="Times New Roman" w:eastAsia="Times New Roman" w:hAnsi="Times New Roman"/>
          <w:sz w:val="24"/>
          <w:szCs w:val="24"/>
        </w:rPr>
        <w:t>Myrtaceae</w:t>
      </w:r>
      <w:r>
        <w:rPr>
          <w:rFonts w:ascii="Times New Roman" w:cs="Times New Roman" w:eastAsia="Times New Roman" w:hAnsi="Times New Roman"/>
          <w:sz w:val="24"/>
          <w:szCs w:val="24"/>
        </w:rPr>
        <w:t xml:space="preserve"> family, has long been used in traditional medicine for treating toothache, gastrointestinal disorders, and microbial infections. Clove is particularly rich in eugenol, a compound known for its potent antibacterial, antifungal, antiviral, and antioxidant properties. Studies have shown that clove extracts can damage bacterial cell walls, inhibit nucleic acid synthesis, and interfere with microbial metabolism (Singh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Aziz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2023).</w:t>
      </w:r>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solvent used for extracting plant bioactive compounds plays a critical role in determining the yield and potency of the extract. Polar solvents like ethanol and methanol often extract more phenolic compounds, while water, though safer and more environmentally friendly, may be less efficient (Saleh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2022). Hence, comparative evaluations of different solvents are important to identify the most effective extraction method for antibacterial activity.</w:t>
      </w:r>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Clove extracts prepared with various solvents have been investigated for their activity against both Gram-positive and Gram-negative bacteria. Gram-positive bacteria like </w:t>
      </w:r>
      <w:r>
        <w:rPr>
          <w:rFonts w:ascii="Times New Roman" w:cs="Times New Roman" w:eastAsia="Times New Roman" w:hAnsi="Times New Roman"/>
          <w:iCs/>
          <w:sz w:val="24"/>
          <w:szCs w:val="24"/>
        </w:rPr>
        <w:t>Staphylococcus aureus</w:t>
      </w:r>
      <w:r>
        <w:rPr>
          <w:rFonts w:ascii="Times New Roman" w:cs="Times New Roman" w:eastAsia="Times New Roman" w:hAnsi="Times New Roman"/>
          <w:sz w:val="24"/>
          <w:szCs w:val="24"/>
        </w:rPr>
        <w:t xml:space="preserve"> have a thick peptidoglycan cell wall that can be penetrated by certain phytochemicals, while Gram-negative bacteria like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P. aeruginosa</w:t>
      </w:r>
      <w:r>
        <w:rPr>
          <w:rFonts w:ascii="Times New Roman" w:cs="Times New Roman" w:eastAsia="Times New Roman" w:hAnsi="Times New Roman"/>
          <w:sz w:val="24"/>
          <w:szCs w:val="24"/>
        </w:rPr>
        <w:t xml:space="preserve"> possess an outer membrane that can act as a barrier to many antimicrobial agents. Evaluating how clove extracts affect these diverse bacterial groups can provide valuable insights into their potential application as natural antibacterial agents (Adeyemi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2021).</w:t>
      </w:r>
    </w:p>
    <w:bookmarkStart w:id="18" w:name="_Toc202853961"/>
    <w:p>
      <w:pPr>
        <w:pStyle w:val="style2"/>
        <w:rPr>
          <w:rFonts w:ascii="宋体" w:hAnsi="宋体"/>
          <w:sz w:val="24"/>
          <w:szCs w:val="24"/>
        </w:rPr>
      </w:pPr>
      <w:r>
        <w:rPr>
          <w:rFonts w:ascii="宋体" w:hAnsi="宋体"/>
          <w:sz w:val="24"/>
          <w:szCs w:val="24"/>
        </w:rPr>
        <w:t>1.1 Statement of the Problem</w:t>
      </w:r>
      <w:bookmarkEnd w:id="18"/>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global rise in antibiotic-resistant bacterial infections, has rendered many conventional antibiotics ineffective, increasing disease burden and treatment costs. The declining pipeline of new antibiotics and the continued misuse of existing ones have made it necessary to search for alternative antimicrobial agents. Despite the known medicinal value of clove, there is limited local data on the influence of different extraction solvents on its </w:t>
      </w:r>
      <w:r>
        <w:rPr>
          <w:rFonts w:ascii="Times New Roman" w:cs="Times New Roman" w:eastAsia="Times New Roman" w:hAnsi="Times New Roman"/>
          <w:sz w:val="24"/>
          <w:szCs w:val="24"/>
        </w:rPr>
        <w:t xml:space="preserve">antibacterial efficacy against clinically relevant bacterial strains (WHO, 2023; Aslam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2022).</w:t>
      </w:r>
    </w:p>
    <w:bookmarkStart w:id="19" w:name="_Toc202853962"/>
    <w:p>
      <w:pPr>
        <w:pStyle w:val="style2"/>
        <w:rPr>
          <w:rFonts w:ascii="宋体" w:hAnsi="宋体"/>
          <w:sz w:val="24"/>
          <w:szCs w:val="24"/>
        </w:rPr>
      </w:pPr>
      <w:r>
        <w:rPr>
          <w:rFonts w:ascii="宋体" w:hAnsi="宋体"/>
          <w:sz w:val="24"/>
          <w:szCs w:val="24"/>
        </w:rPr>
        <w:t>1.2 Justification of the Study</w:t>
      </w:r>
      <w:bookmarkEnd w:id="19"/>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is significant because it explores the antibacterial potential of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against resistant clinical pathogens using solvents of varying polarity. Understanding how different solvents affect extract potency may support the development of standardized herbal formulations. The findings could also provide a foundation for phytomedicine-based interventions in managing antibiotic-resistant infections.</w:t>
      </w:r>
    </w:p>
    <w:bookmarkStart w:id="20" w:name="_Toc202853963"/>
    <w:p>
      <w:pPr>
        <w:pStyle w:val="style2"/>
        <w:rPr>
          <w:rFonts w:ascii="宋体" w:hAnsi="宋体"/>
          <w:b w:val="false"/>
          <w:bCs w:val="false"/>
          <w:sz w:val="24"/>
          <w:szCs w:val="24"/>
        </w:rPr>
      </w:pPr>
      <w:r>
        <w:rPr>
          <w:rFonts w:ascii="宋体" w:hAnsi="宋体"/>
          <w:sz w:val="24"/>
          <w:szCs w:val="24"/>
        </w:rPr>
        <w:t>1.3 Aim of Study</w:t>
      </w:r>
      <w:bookmarkEnd w:id="20"/>
    </w:p>
    <w:p>
      <w:pPr>
        <w:pStyle w:val="style0"/>
        <w:spacing w:before="100" w:beforeAutospacing="true" w:after="100" w:afterAutospacing="true" w:lineRule="auto" w:line="480"/>
        <w:ind w:firstLine="720"/>
        <w:jc w:val="both"/>
        <w:rPr>
          <w:rFonts w:ascii="Times New Roman" w:cs="Times New Roman" w:hAnsi="Times New Roman"/>
          <w:i/>
          <w:sz w:val="24"/>
          <w:szCs w:val="24"/>
        </w:rPr>
      </w:pPr>
      <w:r>
        <w:rPr>
          <w:rFonts w:ascii="宋体" w:cs="宋体" w:eastAsia="SimSun" w:hAnsi="宋体"/>
          <w:kern w:val="2"/>
          <w:sz w:val="24"/>
          <w:szCs w:val="24"/>
          <w:lang w:eastAsia="zh-CN"/>
        </w:rPr>
        <w:t xml:space="preserve">The major aims of this study </w:t>
      </w:r>
      <w:r>
        <w:rPr>
          <w:rFonts w:ascii="宋体" w:cs="宋体" w:eastAsia="SimSun" w:hAnsi="宋体"/>
          <w:kern w:val="2"/>
          <w:sz w:val="24"/>
          <w:szCs w:val="24"/>
          <w:lang w:eastAsia="zh-CN"/>
        </w:rPr>
        <w:t>were</w:t>
      </w:r>
      <w:r>
        <w:rPr>
          <w:rFonts w:ascii="宋体" w:cs="宋体" w:eastAsia="SimSun" w:hAnsi="宋体"/>
          <w:kern w:val="2"/>
          <w:sz w:val="24"/>
          <w:szCs w:val="24"/>
          <w:lang w:eastAsia="zh-CN"/>
        </w:rPr>
        <w:t xml:space="preserve"> to</w:t>
      </w:r>
      <w:r>
        <w:rPr>
          <w:rFonts w:ascii="宋体" w:cs="宋体" w:eastAsia="Times New Roman" w:hAnsi="宋体"/>
          <w:sz w:val="24"/>
          <w:szCs w:val="24"/>
        </w:rPr>
        <w:t xml:space="preserve"> </w:t>
      </w:r>
      <w:r>
        <w:rPr>
          <w:rFonts w:ascii="Times New Roman" w:cs="Times New Roman" w:hAnsi="Times New Roman"/>
          <w:sz w:val="24"/>
          <w:szCs w:val="24"/>
        </w:rPr>
        <w:t xml:space="preserve">evaluate </w:t>
      </w:r>
      <w:r>
        <w:rPr>
          <w:rFonts w:ascii="Times New Roman" w:cs="Times New Roman" w:hAnsi="Times New Roman"/>
          <w:sz w:val="24"/>
          <w:szCs w:val="24"/>
        </w:rPr>
        <w:t xml:space="preserve">the antibacterial effects of ethanol, methanol, and aqueous extracts of </w:t>
      </w:r>
      <w:r>
        <w:rPr>
          <w:rStyle w:val="style88"/>
          <w:rFonts w:ascii="Times New Roman" w:cs="Times New Roman" w:hAnsi="Times New Roman"/>
          <w:sz w:val="24"/>
          <w:szCs w:val="24"/>
        </w:rPr>
        <w:t>Syzygium</w:t>
      </w:r>
      <w:r>
        <w:rPr>
          <w:rStyle w:val="style88"/>
          <w:rFonts w:ascii="Times New Roman" w:cs="Times New Roman" w:hAnsi="Times New Roman"/>
          <w:sz w:val="24"/>
          <w:szCs w:val="24"/>
        </w:rPr>
        <w:t xml:space="preserve"> </w:t>
      </w:r>
      <w:r>
        <w:rPr>
          <w:rStyle w:val="style88"/>
          <w:rFonts w:ascii="Times New Roman" w:cs="Times New Roman" w:hAnsi="Times New Roman"/>
          <w:sz w:val="24"/>
          <w:szCs w:val="24"/>
        </w:rPr>
        <w:t>aromaticum</w:t>
      </w:r>
      <w:r>
        <w:rPr>
          <w:rFonts w:ascii="Times New Roman" w:cs="Times New Roman" w:hAnsi="Times New Roman"/>
          <w:sz w:val="24"/>
          <w:szCs w:val="24"/>
        </w:rPr>
        <w:t xml:space="preserve"> (clove) </w:t>
      </w:r>
      <w:r>
        <w:rPr>
          <w:rFonts w:ascii="Times New Roman" w:cs="Times New Roman" w:hAnsi="Times New Roman"/>
          <w:sz w:val="24"/>
          <w:szCs w:val="24"/>
        </w:rPr>
        <w:t xml:space="preserve">against </w:t>
      </w:r>
      <w:r>
        <w:rPr>
          <w:rFonts w:ascii="Times New Roman" w:cs="Times New Roman" w:hAnsi="Times New Roman"/>
          <w:sz w:val="24"/>
          <w:szCs w:val="24"/>
        </w:rPr>
        <w:t>methicillin-resistant and methicillin-susceptible</w:t>
      </w:r>
      <w:r>
        <w:rPr>
          <w:rFonts w:ascii="Times New Roman" w:cs="Times New Roman" w:hAnsi="Times New Roman"/>
          <w:i/>
          <w:sz w:val="24"/>
          <w:szCs w:val="24"/>
        </w:rPr>
        <w:t xml:space="preserve"> Staphylococcus aureus </w:t>
      </w:r>
    </w:p>
    <w:p>
      <w:pPr>
        <w:pStyle w:val="style0"/>
        <w:spacing w:before="100" w:beforeAutospacing="true" w:after="100" w:afterAutospacing="true" w:lineRule="auto" w:line="480"/>
        <w:jc w:val="both"/>
        <w:rPr>
          <w:rFonts w:ascii="宋体" w:hAnsi="宋体"/>
          <w:b/>
          <w:bCs/>
          <w:sz w:val="24"/>
          <w:szCs w:val="24"/>
        </w:rPr>
      </w:pPr>
      <w:r>
        <w:rPr>
          <w:rFonts w:ascii="宋体" w:hAnsi="宋体"/>
          <w:b/>
          <w:bCs/>
          <w:sz w:val="24"/>
          <w:szCs w:val="24"/>
        </w:rPr>
        <w:t>1.4 Objectives of Study</w:t>
      </w:r>
    </w:p>
    <w:p>
      <w:pPr>
        <w:pStyle w:val="style0"/>
        <w:widowControl w:val="false"/>
        <w:spacing w:after="0" w:lineRule="auto" w:line="480"/>
        <w:ind w:firstLine="360"/>
        <w:jc w:val="both"/>
        <w:rPr>
          <w:rFonts w:ascii="宋体" w:cs="宋体" w:eastAsia="SimSun" w:hAnsi="宋体"/>
          <w:kern w:val="2"/>
          <w:sz w:val="24"/>
          <w:szCs w:val="24"/>
          <w:lang w:eastAsia="zh-CN"/>
        </w:rPr>
      </w:pPr>
      <w:r>
        <w:rPr>
          <w:rFonts w:ascii="宋体" w:cs="宋体" w:eastAsia="SimSun" w:hAnsi="宋体"/>
          <w:kern w:val="2"/>
          <w:sz w:val="24"/>
          <w:szCs w:val="24"/>
          <w:lang w:eastAsia="zh-CN"/>
        </w:rPr>
        <w:t>The specific objectives of this study were to:</w:t>
      </w:r>
    </w:p>
    <w:p>
      <w:pPr>
        <w:pStyle w:val="style94"/>
        <w:numPr>
          <w:ilvl w:val="0"/>
          <w:numId w:val="1"/>
        </w:numPr>
        <w:spacing w:lineRule="auto" w:line="480"/>
        <w:rPr/>
      </w:pPr>
      <w:r>
        <w:t xml:space="preserve">prepare </w:t>
      </w:r>
      <w:r>
        <w:t>three different</w:t>
      </w:r>
      <w:r>
        <w:t xml:space="preserve"> extract</w:t>
      </w:r>
      <w:r>
        <w:t>s (</w:t>
      </w:r>
      <w:r>
        <w:t>ethanol, methanol, and aqueous</w:t>
      </w:r>
      <w:r>
        <w:t>)</w:t>
      </w:r>
      <w:r>
        <w:t xml:space="preserve"> of clove</w:t>
      </w:r>
      <w:r>
        <w:t>;</w:t>
      </w:r>
    </w:p>
    <w:p>
      <w:pPr>
        <w:pStyle w:val="style94"/>
        <w:numPr>
          <w:ilvl w:val="0"/>
          <w:numId w:val="1"/>
        </w:numPr>
        <w:spacing w:lineRule="auto" w:line="480"/>
        <w:rPr/>
      </w:pPr>
      <w:r>
        <w:t xml:space="preserve">collect </w:t>
      </w:r>
      <w:r>
        <w:rPr>
          <w:rStyle w:val="style88"/>
          <w:i w:val="false"/>
        </w:rPr>
        <w:t>methicillin-resistant and methicillin-susceptible</w:t>
      </w:r>
      <w:r>
        <w:rPr>
          <w:rStyle w:val="style88"/>
        </w:rPr>
        <w:t xml:space="preserve"> Staphylococcus aureus </w:t>
      </w:r>
      <w:r>
        <w:t xml:space="preserve">from </w:t>
      </w:r>
      <w:r>
        <w:t>microbiology lab;</w:t>
      </w:r>
    </w:p>
    <w:p>
      <w:pPr>
        <w:pStyle w:val="style94"/>
        <w:numPr>
          <w:ilvl w:val="0"/>
          <w:numId w:val="1"/>
        </w:numPr>
        <w:spacing w:lineRule="auto" w:line="480"/>
        <w:rPr/>
      </w:pPr>
      <w:r>
        <w:t>determine the antibacterial activity of the extract</w:t>
      </w:r>
      <w:r>
        <w:t>s on clinical pathogen;</w:t>
      </w:r>
    </w:p>
    <w:p>
      <w:pPr>
        <w:pStyle w:val="style179"/>
        <w:numPr>
          <w:ilvl w:val="0"/>
          <w:numId w:val="1"/>
        </w:numPr>
        <w:spacing w:lineRule="auto" w:line="480"/>
        <w:jc w:val="both"/>
        <w:rPr>
          <w:rFonts w:ascii="宋体" w:cs="宋体" w:hAnsi="宋体"/>
          <w:sz w:val="24"/>
          <w:szCs w:val="24"/>
        </w:rPr>
      </w:pPr>
      <w:r>
        <w:rPr>
          <w:rFonts w:ascii="宋体" w:cs="宋体" w:hAnsi="宋体"/>
          <w:sz w:val="24"/>
          <w:szCs w:val="24"/>
        </w:rPr>
        <w:t>d</w:t>
      </w:r>
      <w:r>
        <w:rPr>
          <w:rFonts w:ascii="宋体" w:cs="宋体" w:hAnsi="宋体"/>
          <w:sz w:val="24"/>
          <w:szCs w:val="24"/>
        </w:rPr>
        <w:t>etermin</w:t>
      </w:r>
      <w:r>
        <w:rPr>
          <w:rFonts w:ascii="宋体" w:cs="宋体" w:hAnsi="宋体"/>
          <w:sz w:val="24"/>
          <w:szCs w:val="24"/>
        </w:rPr>
        <w:t>e</w:t>
      </w:r>
      <w:r>
        <w:rPr>
          <w:rFonts w:ascii="宋体" w:cs="宋体" w:hAnsi="宋体"/>
          <w:sz w:val="24"/>
          <w:szCs w:val="24"/>
        </w:rPr>
        <w:t xml:space="preserve"> </w:t>
      </w:r>
      <w:r>
        <w:rPr>
          <w:rFonts w:ascii="宋体" w:cs="宋体" w:hAnsi="宋体"/>
          <w:sz w:val="24"/>
          <w:szCs w:val="24"/>
        </w:rPr>
        <w:t>the m</w:t>
      </w:r>
      <w:r>
        <w:rPr>
          <w:rFonts w:ascii="宋体" w:cs="宋体" w:hAnsi="宋体"/>
          <w:sz w:val="24"/>
          <w:szCs w:val="24"/>
        </w:rPr>
        <w:t xml:space="preserve">inimum </w:t>
      </w:r>
      <w:r>
        <w:rPr>
          <w:rFonts w:ascii="宋体" w:cs="宋体" w:hAnsi="宋体"/>
          <w:sz w:val="24"/>
          <w:szCs w:val="24"/>
        </w:rPr>
        <w:t>i</w:t>
      </w:r>
      <w:r>
        <w:rPr>
          <w:rFonts w:ascii="宋体" w:cs="宋体" w:hAnsi="宋体"/>
          <w:sz w:val="24"/>
          <w:szCs w:val="24"/>
        </w:rPr>
        <w:t xml:space="preserve">nhibitory </w:t>
      </w:r>
      <w:r>
        <w:rPr>
          <w:rFonts w:ascii="宋体" w:cs="宋体" w:hAnsi="宋体"/>
          <w:sz w:val="24"/>
          <w:szCs w:val="24"/>
        </w:rPr>
        <w:t>c</w:t>
      </w:r>
      <w:r>
        <w:rPr>
          <w:rFonts w:ascii="宋体" w:cs="宋体" w:hAnsi="宋体"/>
          <w:sz w:val="24"/>
          <w:szCs w:val="24"/>
        </w:rPr>
        <w:t xml:space="preserve">oncentration </w:t>
      </w:r>
      <w:r>
        <w:rPr>
          <w:rFonts w:ascii="宋体" w:cs="宋体" w:hAnsi="宋体"/>
          <w:sz w:val="24"/>
          <w:szCs w:val="24"/>
        </w:rPr>
        <w:t>and</w:t>
      </w:r>
    </w:p>
    <w:p>
      <w:pPr>
        <w:pStyle w:val="style179"/>
        <w:numPr>
          <w:ilvl w:val="0"/>
          <w:numId w:val="1"/>
        </w:numPr>
        <w:spacing w:lineRule="auto" w:line="480"/>
        <w:jc w:val="both"/>
        <w:rPr>
          <w:rFonts w:ascii="宋体" w:cs="宋体" w:hAnsi="宋体"/>
          <w:sz w:val="24"/>
          <w:szCs w:val="24"/>
        </w:rPr>
      </w:pPr>
      <w:r>
        <w:rPr>
          <w:rFonts w:ascii="宋体" w:cs="宋体" w:hAnsi="宋体"/>
          <w:sz w:val="24"/>
          <w:szCs w:val="24"/>
        </w:rPr>
        <w:t xml:space="preserve">determine </w:t>
      </w:r>
      <w:r>
        <w:rPr>
          <w:rFonts w:ascii="宋体" w:cs="宋体" w:hAnsi="宋体"/>
          <w:sz w:val="24"/>
          <w:szCs w:val="24"/>
        </w:rPr>
        <w:t>the m</w:t>
      </w:r>
      <w:r>
        <w:rPr>
          <w:rFonts w:ascii="宋体" w:cs="宋体" w:hAnsi="宋体"/>
          <w:sz w:val="24"/>
          <w:szCs w:val="24"/>
        </w:rPr>
        <w:t xml:space="preserve">inimum </w:t>
      </w:r>
      <w:r>
        <w:rPr>
          <w:rFonts w:ascii="宋体" w:cs="宋体" w:hAnsi="宋体"/>
          <w:sz w:val="24"/>
          <w:szCs w:val="24"/>
        </w:rPr>
        <w:t>b</w:t>
      </w:r>
      <w:r>
        <w:rPr>
          <w:rFonts w:ascii="宋体" w:cs="宋体" w:hAnsi="宋体"/>
          <w:sz w:val="24"/>
          <w:szCs w:val="24"/>
        </w:rPr>
        <w:t>actericidal</w:t>
      </w:r>
      <w:r>
        <w:rPr>
          <w:rFonts w:ascii="宋体" w:cs="宋体" w:hAnsi="宋体"/>
          <w:sz w:val="24"/>
          <w:szCs w:val="24"/>
        </w:rPr>
        <w:t xml:space="preserve"> c</w:t>
      </w:r>
      <w:r>
        <w:rPr>
          <w:rFonts w:ascii="宋体" w:cs="宋体" w:hAnsi="宋体"/>
          <w:sz w:val="24"/>
          <w:szCs w:val="24"/>
        </w:rPr>
        <w:t>oncentration</w:t>
      </w:r>
    </w:p>
    <w:p>
      <w:pPr>
        <w:pStyle w:val="style4"/>
        <w:spacing w:lineRule="auto" w:line="480"/>
        <w:rPr>
          <w:rStyle w:val="style87"/>
          <w:rFonts w:ascii="Times New Roman" w:cs="Times New Roman" w:hAnsi="Times New Roman"/>
          <w:b w:val="false"/>
          <w:bCs w:val="false"/>
          <w:i w:val="false"/>
          <w:color w:val="auto"/>
          <w:sz w:val="24"/>
          <w:szCs w:val="24"/>
        </w:rPr>
      </w:pPr>
    </w:p>
    <w:p>
      <w:pPr>
        <w:pStyle w:val="style94"/>
        <w:jc w:val="both"/>
        <w:rPr/>
      </w:pPr>
    </w:p>
    <w:bookmarkStart w:id="21" w:name="_Toc201509699"/>
    <w:bookmarkStart w:id="22" w:name="_Toc202853964"/>
    <w:p>
      <w:pPr>
        <w:pStyle w:val="style1"/>
        <w:spacing w:after="100" w:afterAutospacing="true"/>
        <w:jc w:val="center"/>
        <w:rPr>
          <w:rFonts w:ascii="宋体" w:eastAsia="Calibri" w:hAnsi="宋体"/>
          <w:b/>
          <w:bCs/>
          <w:color w:val="auto"/>
          <w:sz w:val="28"/>
          <w:szCs w:val="28"/>
        </w:rPr>
      </w:pPr>
      <w:r>
        <w:rPr>
          <w:rFonts w:ascii="宋体" w:eastAsia="Calibri" w:hAnsi="宋体"/>
          <w:b/>
          <w:bCs/>
          <w:color w:val="auto"/>
          <w:sz w:val="28"/>
          <w:szCs w:val="28"/>
        </w:rPr>
        <w:t>CHAPTER TWO</w:t>
      </w:r>
      <w:bookmarkEnd w:id="21"/>
      <w:bookmarkEnd w:id="22"/>
    </w:p>
    <w:bookmarkStart w:id="23" w:name="_Toc201509700"/>
    <w:bookmarkStart w:id="24" w:name="_Toc202853965"/>
    <w:p>
      <w:pPr>
        <w:pStyle w:val="style2"/>
        <w:tabs>
          <w:tab w:val="center" w:leader="none" w:pos="4513"/>
        </w:tabs>
        <w:rPr>
          <w:rFonts w:ascii="宋体" w:hAnsi="宋体"/>
          <w:b w:val="false"/>
          <w:bCs w:val="false"/>
          <w:sz w:val="24"/>
          <w:szCs w:val="24"/>
        </w:rPr>
      </w:pPr>
      <w:r>
        <w:rPr>
          <w:rFonts w:ascii="宋体" w:hAnsi="宋体"/>
          <w:sz w:val="24"/>
          <w:szCs w:val="24"/>
        </w:rPr>
        <w:t xml:space="preserve">2.0 </w:t>
      </w:r>
      <w:r>
        <w:rPr>
          <w:rFonts w:ascii="宋体" w:hAnsi="宋体"/>
          <w:sz w:val="24"/>
          <w:szCs w:val="24"/>
        </w:rPr>
        <w:t>LITERATURE REVIEW</w:t>
      </w:r>
      <w:bookmarkEnd w:id="23"/>
      <w:bookmarkEnd w:id="24"/>
    </w:p>
    <w:bookmarkStart w:id="25" w:name="_Toc202853966"/>
    <w:p>
      <w:pPr>
        <w:pStyle w:val="style2"/>
        <w:tabs>
          <w:tab w:val="center" w:leader="none" w:pos="4513"/>
        </w:tabs>
        <w:rPr>
          <w:rFonts w:ascii="宋体" w:hAnsi="宋体"/>
          <w:sz w:val="24"/>
          <w:szCs w:val="24"/>
        </w:rPr>
      </w:pPr>
      <w:r>
        <w:rPr>
          <w:rFonts w:ascii="宋体" w:hAnsi="宋体"/>
          <w:sz w:val="24"/>
          <w:szCs w:val="24"/>
        </w:rPr>
        <w:t>2.1 Overview of Antimicrobial Resistance</w:t>
      </w:r>
      <w:bookmarkEnd w:id="25"/>
    </w:p>
    <w:bookmarkStart w:id="26" w:name="_Toc202853967"/>
    <w:p>
      <w:pPr>
        <w:pStyle w:val="style3"/>
        <w:rPr>
          <w:sz w:val="24"/>
          <w:szCs w:val="24"/>
        </w:rPr>
      </w:pPr>
      <w:r>
        <w:rPr>
          <w:sz w:val="24"/>
          <w:szCs w:val="24"/>
        </w:rPr>
        <w:t>2.1.1 Global Burden of Antibiotic Resistance</w:t>
      </w:r>
      <w:bookmarkEnd w:id="26"/>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Antimicrobial resistance (AMR) has been declared one of the top 10 global public health threats by the World Health Organization (WHO, 2023). Resistant infections are responsible for prolonged illnesses, increased mortality, and greater financial burden on healthcare systems. According to recent estimates, drug-resistant infections cause over 1.27 million deaths annually worldwide, with a disproportionately high burden in Africa and Southeast Asia (Aslam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2022).</w:t>
      </w:r>
    </w:p>
    <w:bookmarkStart w:id="27" w:name="_Toc202853968"/>
    <w:p>
      <w:pPr>
        <w:pStyle w:val="style3"/>
        <w:rPr>
          <w:sz w:val="24"/>
          <w:szCs w:val="24"/>
        </w:rPr>
      </w:pPr>
      <w:r>
        <w:rPr>
          <w:sz w:val="24"/>
          <w:szCs w:val="24"/>
        </w:rPr>
        <w:t>2.1.2 Emergence of Multidrug-Resistant Bacteria</w:t>
      </w:r>
      <w:bookmarkEnd w:id="27"/>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Bacterial pathogens have evolved various mechanisms of resistance, including the production of β-lactamases, modification of drug targets, and efflux pump expression. Notably,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(MRSA), extended-spectrum β-lactamase (ESBL)-producing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Klebsiella</w:t>
      </w:r>
      <w:r>
        <w:rPr>
          <w:rFonts w:ascii="Times New Roman" w:cs="Times New Roman" w:eastAsia="Times New Roman" w:hAnsi="Times New Roman"/>
          <w:i/>
          <w:iCs/>
          <w:sz w:val="24"/>
          <w:szCs w:val="24"/>
        </w:rPr>
        <w:t xml:space="preserve"> pneumoniae</w:t>
      </w:r>
      <w:r>
        <w:rPr>
          <w:rFonts w:ascii="Times New Roman" w:cs="Times New Roman" w:eastAsia="Times New Roman" w:hAnsi="Times New Roman"/>
          <w:sz w:val="24"/>
          <w:szCs w:val="24"/>
        </w:rPr>
        <w:t xml:space="preserve"> are now resistant to multiple classes of antibiotics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The continued evolution of these strains highlights the urgent need for novel antimicrobial solutions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Nirwati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2022).</w:t>
      </w:r>
    </w:p>
    <w:bookmarkStart w:id="28" w:name="_Toc202853969"/>
    <w:p>
      <w:pPr>
        <w:pStyle w:val="style3"/>
        <w:rPr>
          <w:sz w:val="24"/>
          <w:szCs w:val="24"/>
        </w:rPr>
      </w:pPr>
      <w:r>
        <w:rPr>
          <w:sz w:val="24"/>
          <w:szCs w:val="24"/>
        </w:rPr>
        <w:t>2.1.3 Need for Alternative Therapies</w:t>
      </w:r>
      <w:bookmarkEnd w:id="28"/>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Due to the slow pace of new antibiotic discovery and the increasing resistance to existing drugs, there is growing interest in complementary approaches such as </w:t>
      </w:r>
      <w:r>
        <w:rPr>
          <w:rFonts w:ascii="Times New Roman" w:cs="Times New Roman" w:eastAsia="Times New Roman" w:hAnsi="Times New Roman"/>
          <w:sz w:val="24"/>
          <w:szCs w:val="24"/>
        </w:rPr>
        <w:t>phytotherapy</w:t>
      </w:r>
      <w:r>
        <w:rPr>
          <w:rFonts w:ascii="Times New Roman" w:cs="Times New Roman" w:eastAsia="Times New Roman" w:hAnsi="Times New Roman"/>
          <w:sz w:val="24"/>
          <w:szCs w:val="24"/>
        </w:rPr>
        <w:t xml:space="preserve">. Plant-based antimicrobials are being explored for their ability to target bacteria through multiple mechanisms while posing a lower risk of resistance development (Aziz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2023).</w:t>
      </w:r>
    </w:p>
    <w:bookmarkStart w:id="29" w:name="_Toc202853970"/>
    <w:p>
      <w:pPr>
        <w:pStyle w:val="style2"/>
        <w:tabs>
          <w:tab w:val="center" w:leader="none" w:pos="4513"/>
        </w:tabs>
        <w:rPr>
          <w:rFonts w:ascii="宋体" w:hAnsi="宋体"/>
          <w:sz w:val="24"/>
          <w:szCs w:val="24"/>
        </w:rPr>
      </w:pPr>
      <w:r>
        <w:rPr>
          <w:rFonts w:ascii="宋体" w:hAnsi="宋体"/>
          <w:sz w:val="24"/>
          <w:szCs w:val="24"/>
        </w:rPr>
        <w:t>2.2 Clinical Relevance of the Test Organisms</w:t>
      </w:r>
      <w:bookmarkEnd w:id="29"/>
    </w:p>
    <w:bookmarkStart w:id="30" w:name="_Toc202853971"/>
    <w:p>
      <w:pPr>
        <w:pStyle w:val="style3"/>
        <w:rPr>
          <w:sz w:val="24"/>
          <w:szCs w:val="24"/>
        </w:rPr>
      </w:pPr>
      <w:r>
        <w:rPr>
          <w:sz w:val="24"/>
          <w:szCs w:val="24"/>
        </w:rPr>
        <w:t>2.2.1 Staphylococcus aureus (MRSA and MSSA)</w:t>
      </w:r>
      <w:bookmarkEnd w:id="30"/>
    </w:p>
    <w:p>
      <w:pPr>
        <w:pStyle w:val="style0"/>
        <w:spacing w:lineRule="auto" w:line="480"/>
        <w:ind w:firstLine="720"/>
        <w:jc w:val="both"/>
        <w:rPr>
          <w:rFonts w:ascii="Times New Roman" w:cs="Times New Roman" w:hAnsi="Times New Roman"/>
          <w:sz w:val="24"/>
          <w:szCs w:val="24"/>
        </w:rPr>
      </w:pPr>
      <w:r>
        <w:rPr>
          <w:rStyle w:val="style88"/>
          <w:rFonts w:ascii="Times New Roman" w:cs="Times New Roman" w:hAnsi="Times New Roman"/>
          <w:sz w:val="24"/>
          <w:szCs w:val="24"/>
        </w:rPr>
        <w:t>Staphylococcus aureus</w:t>
      </w:r>
      <w:r>
        <w:rPr>
          <w:rFonts w:ascii="Times New Roman" w:cs="Times New Roman" w:hAnsi="Times New Roman"/>
          <w:sz w:val="24"/>
          <w:szCs w:val="24"/>
        </w:rPr>
        <w:t xml:space="preserve"> is a Gram-positive </w:t>
      </w:r>
      <w:r>
        <w:rPr>
          <w:rFonts w:ascii="Times New Roman" w:cs="Times New Roman" w:hAnsi="Times New Roman"/>
          <w:sz w:val="24"/>
          <w:szCs w:val="24"/>
        </w:rPr>
        <w:t>coccal</w:t>
      </w:r>
      <w:r>
        <w:rPr>
          <w:rFonts w:ascii="Times New Roman" w:cs="Times New Roman" w:hAnsi="Times New Roman"/>
          <w:sz w:val="24"/>
          <w:szCs w:val="24"/>
        </w:rPr>
        <w:t xml:space="preserve"> bacterium commonly found in the human nasal passages and skin (Tong </w:t>
      </w:r>
      <w:r>
        <w:rPr>
          <w:rFonts w:ascii="Times New Roman" w:cs="Times New Roman" w:hAnsi="Times New Roman"/>
          <w:i/>
          <w:sz w:val="24"/>
          <w:szCs w:val="24"/>
        </w:rPr>
        <w:t>et al</w:t>
      </w:r>
      <w:r>
        <w:rPr>
          <w:rFonts w:ascii="Times New Roman" w:cs="Times New Roman" w:hAnsi="Times New Roman"/>
          <w:sz w:val="24"/>
          <w:szCs w:val="24"/>
        </w:rPr>
        <w:t xml:space="preserve">., 2015). It is an opportunistic pathogen capable of causing a wide range of diseases including skin infections, pneumonia, osteomyelitis, endocarditis, and toxic shock syndrome (Lowy, 2019). Methicillin-resistant </w:t>
      </w:r>
      <w:r>
        <w:rPr>
          <w:rStyle w:val="style88"/>
          <w:rFonts w:ascii="Times New Roman" w:cs="Times New Roman" w:hAnsi="Times New Roman"/>
          <w:sz w:val="24"/>
          <w:szCs w:val="24"/>
        </w:rPr>
        <w:t>S. aureus</w:t>
      </w:r>
      <w:r>
        <w:rPr>
          <w:rFonts w:ascii="Times New Roman" w:cs="Times New Roman" w:hAnsi="Times New Roman"/>
          <w:sz w:val="24"/>
          <w:szCs w:val="24"/>
        </w:rPr>
        <w:t xml:space="preserve"> (MRSA) is a particularly virulent and drug-resistant strain that has become endemic in hospitals and increasingly prevalent in community settings (Lee </w:t>
      </w:r>
      <w:r>
        <w:rPr>
          <w:rFonts w:ascii="Times New Roman" w:cs="Times New Roman" w:hAnsi="Times New Roman"/>
          <w:i/>
          <w:sz w:val="24"/>
          <w:szCs w:val="24"/>
        </w:rPr>
        <w:t>et al</w:t>
      </w:r>
      <w:r>
        <w:rPr>
          <w:rFonts w:ascii="Times New Roman" w:cs="Times New Roman" w:hAnsi="Times New Roman"/>
          <w:sz w:val="24"/>
          <w:szCs w:val="24"/>
        </w:rPr>
        <w:t xml:space="preserve">., 2018). MRSA is resistant to all β-lactam antibiotics, which complicates treatment and increases morbidity, mortality, and healthcare costs (David &amp; </w:t>
      </w:r>
      <w:r>
        <w:rPr>
          <w:rFonts w:ascii="Times New Roman" w:cs="Times New Roman" w:hAnsi="Times New Roman"/>
          <w:sz w:val="24"/>
          <w:szCs w:val="24"/>
        </w:rPr>
        <w:t>Daum</w:t>
      </w:r>
      <w:r>
        <w:rPr>
          <w:rFonts w:ascii="Times New Roman" w:cs="Times New Roman" w:hAnsi="Times New Roman"/>
          <w:sz w:val="24"/>
          <w:szCs w:val="24"/>
        </w:rPr>
        <w:t xml:space="preserve">, 2010). In contrast, methicillin-susceptible </w:t>
      </w:r>
      <w:r>
        <w:rPr>
          <w:rStyle w:val="style88"/>
          <w:rFonts w:ascii="Times New Roman" w:cs="Times New Roman" w:hAnsi="Times New Roman"/>
          <w:sz w:val="24"/>
          <w:szCs w:val="24"/>
        </w:rPr>
        <w:t>S. aureus</w:t>
      </w:r>
      <w:r>
        <w:rPr>
          <w:rFonts w:ascii="Times New Roman" w:cs="Times New Roman" w:hAnsi="Times New Roman"/>
          <w:sz w:val="24"/>
          <w:szCs w:val="24"/>
        </w:rPr>
        <w:t xml:space="preserve"> (MSSA) remains responsive to a wider range of antibiotics but can still cause severe infections in immunocompromised individuals (Otto, 2013). Both MRSA and MSSA produce a host of virulence factors including toxins, enzymes, and biofilm-forming proteins which contribute to their pathogenicity and persistence in host tissues (Gordon &amp; Lowy, 2008). Plant-derived antimicrobials such as clove extracts have been reported to inhibit biofilm formation and bacterial adhesion in </w:t>
      </w:r>
      <w:r>
        <w:rPr>
          <w:rStyle w:val="style88"/>
          <w:rFonts w:ascii="Times New Roman" w:cs="Times New Roman" w:hAnsi="Times New Roman"/>
          <w:sz w:val="24"/>
          <w:szCs w:val="24"/>
        </w:rPr>
        <w:t>S. aureus</w:t>
      </w:r>
      <w:r>
        <w:rPr>
          <w:rFonts w:ascii="Times New Roman" w:cs="Times New Roman" w:hAnsi="Times New Roman"/>
          <w:sz w:val="24"/>
          <w:szCs w:val="24"/>
        </w:rPr>
        <w:t xml:space="preserve">, indicating potential use as adjunct therapies (Nassar </w:t>
      </w:r>
      <w:r>
        <w:rPr>
          <w:rFonts w:ascii="Times New Roman" w:cs="Times New Roman" w:hAnsi="Times New Roman"/>
          <w:i/>
          <w:sz w:val="24"/>
          <w:szCs w:val="24"/>
        </w:rPr>
        <w:t>et al</w:t>
      </w:r>
      <w:r>
        <w:rPr>
          <w:rFonts w:ascii="Times New Roman" w:cs="Times New Roman" w:hAnsi="Times New Roman"/>
          <w:sz w:val="24"/>
          <w:szCs w:val="24"/>
        </w:rPr>
        <w:t>., 2017).</w:t>
      </w:r>
    </w:p>
    <w:bookmarkStart w:id="31" w:name="_Toc202853972"/>
    <w:p>
      <w:pPr>
        <w:pStyle w:val="style3"/>
        <w:rPr>
          <w:sz w:val="24"/>
          <w:szCs w:val="24"/>
        </w:rPr>
      </w:pPr>
      <w:r>
        <w:rPr>
          <w:sz w:val="24"/>
          <w:szCs w:val="24"/>
        </w:rPr>
        <w:t>2.2.2 Escherichia coli</w:t>
      </w:r>
      <w:bookmarkEnd w:id="31"/>
    </w:p>
    <w:p>
      <w:pPr>
        <w:pStyle w:val="style0"/>
        <w:spacing w:lineRule="auto" w:line="480"/>
        <w:ind w:firstLine="720"/>
        <w:jc w:val="both"/>
        <w:rPr>
          <w:rFonts w:ascii="Times New Roman" w:cs="Times New Roman" w:hAnsi="Times New Roman"/>
          <w:sz w:val="24"/>
          <w:szCs w:val="24"/>
        </w:rPr>
      </w:pPr>
      <w:r>
        <w:rPr>
          <w:rStyle w:val="style88"/>
          <w:rFonts w:ascii="Times New Roman" w:cs="Times New Roman" w:hAnsi="Times New Roman"/>
          <w:sz w:val="24"/>
          <w:szCs w:val="24"/>
        </w:rPr>
        <w:t>Escherichia coli</w:t>
      </w:r>
      <w:r>
        <w:rPr>
          <w:rFonts w:ascii="Times New Roman" w:cs="Times New Roman" w:hAnsi="Times New Roman"/>
          <w:sz w:val="24"/>
          <w:szCs w:val="24"/>
        </w:rPr>
        <w:t xml:space="preserve"> is a Gram-negative, rod-shaped facultative anaerobe that is commonly found in the lower intestine of warm-blooded organisms. While most strains are harmless and part of the normal gut microbiota, pathogenic strains such as Enteropathogenic </w:t>
      </w:r>
      <w:r>
        <w:rPr>
          <w:rStyle w:val="style88"/>
          <w:rFonts w:ascii="Times New Roman" w:cs="Times New Roman" w:hAnsi="Times New Roman"/>
          <w:sz w:val="24"/>
          <w:szCs w:val="24"/>
        </w:rPr>
        <w:t>E. coli</w:t>
      </w:r>
      <w:r>
        <w:rPr>
          <w:rFonts w:ascii="Times New Roman" w:cs="Times New Roman" w:hAnsi="Times New Roman"/>
          <w:sz w:val="24"/>
          <w:szCs w:val="24"/>
        </w:rPr>
        <w:t xml:space="preserve"> (EPEC), Enterotoxigenic </w:t>
      </w:r>
      <w:r>
        <w:rPr>
          <w:rStyle w:val="style88"/>
          <w:rFonts w:ascii="Times New Roman" w:cs="Times New Roman" w:hAnsi="Times New Roman"/>
          <w:sz w:val="24"/>
          <w:szCs w:val="24"/>
        </w:rPr>
        <w:t>E. coli</w:t>
      </w:r>
      <w:r>
        <w:rPr>
          <w:rFonts w:ascii="Times New Roman" w:cs="Times New Roman" w:hAnsi="Times New Roman"/>
          <w:sz w:val="24"/>
          <w:szCs w:val="24"/>
        </w:rPr>
        <w:t xml:space="preserve"> (ETEC), and </w:t>
      </w:r>
      <w:r>
        <w:rPr>
          <w:rFonts w:ascii="Times New Roman" w:cs="Times New Roman" w:hAnsi="Times New Roman"/>
          <w:sz w:val="24"/>
          <w:szCs w:val="24"/>
        </w:rPr>
        <w:t>Uropathogenic</w:t>
      </w:r>
      <w:r>
        <w:rPr>
          <w:rFonts w:ascii="Times New Roman" w:cs="Times New Roman" w:hAnsi="Times New Roman"/>
          <w:sz w:val="24"/>
          <w:szCs w:val="24"/>
        </w:rPr>
        <w:t xml:space="preserve"> </w:t>
      </w:r>
      <w:r>
        <w:rPr>
          <w:rStyle w:val="style88"/>
          <w:rFonts w:ascii="Times New Roman" w:cs="Times New Roman" w:hAnsi="Times New Roman"/>
          <w:sz w:val="24"/>
          <w:szCs w:val="24"/>
        </w:rPr>
        <w:t>E. coli</w:t>
      </w:r>
      <w:r>
        <w:rPr>
          <w:rFonts w:ascii="Times New Roman" w:cs="Times New Roman" w:hAnsi="Times New Roman"/>
          <w:sz w:val="24"/>
          <w:szCs w:val="24"/>
        </w:rPr>
        <w:t xml:space="preserve"> (UPEC) are significant causes of diarrhea, urinary tract infections, and sepsis, respectively (</w:t>
      </w:r>
      <w:r>
        <w:rPr>
          <w:rFonts w:ascii="Times New Roman" w:cs="Times New Roman" w:hAnsi="Times New Roman"/>
          <w:sz w:val="24"/>
          <w:szCs w:val="24"/>
        </w:rPr>
        <w:t>Kaper</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2004). The rise of extended-spectrum beta-lactamase (ESBL)-producing </w:t>
      </w:r>
      <w:r>
        <w:rPr>
          <w:rStyle w:val="style88"/>
          <w:rFonts w:ascii="Times New Roman" w:cs="Times New Roman" w:hAnsi="Times New Roman"/>
          <w:sz w:val="24"/>
          <w:szCs w:val="24"/>
        </w:rPr>
        <w:t>E. coli</w:t>
      </w:r>
      <w:r>
        <w:rPr>
          <w:rFonts w:ascii="Times New Roman" w:cs="Times New Roman" w:hAnsi="Times New Roman"/>
          <w:sz w:val="24"/>
          <w:szCs w:val="24"/>
        </w:rPr>
        <w:t xml:space="preserve"> has severely limited the efficacy of first-line antibiotics, prompting the need for novel antimicrobial agents (Paterson &amp; </w:t>
      </w:r>
      <w:r>
        <w:rPr>
          <w:rFonts w:ascii="Times New Roman" w:cs="Times New Roman" w:hAnsi="Times New Roman"/>
          <w:sz w:val="24"/>
          <w:szCs w:val="24"/>
        </w:rPr>
        <w:t>Bonomo</w:t>
      </w:r>
      <w:r>
        <w:rPr>
          <w:rFonts w:ascii="Times New Roman" w:cs="Times New Roman" w:hAnsi="Times New Roman"/>
          <w:sz w:val="24"/>
          <w:szCs w:val="24"/>
        </w:rPr>
        <w:t xml:space="preserve">, 2005). Clove extracts, particularly those containing high concentrations of eugenol, </w:t>
      </w:r>
      <w:r>
        <w:rPr>
          <w:rFonts w:ascii="Times New Roman" w:cs="Times New Roman" w:hAnsi="Times New Roman"/>
          <w:sz w:val="24"/>
          <w:szCs w:val="24"/>
        </w:rPr>
        <w:t xml:space="preserve">have demonstrated significant antibacterial activity against both susceptible and resistant strains of </w:t>
      </w:r>
      <w:r>
        <w:rPr>
          <w:rStyle w:val="style88"/>
          <w:rFonts w:ascii="Times New Roman" w:cs="Times New Roman" w:hAnsi="Times New Roman"/>
          <w:sz w:val="24"/>
          <w:szCs w:val="24"/>
        </w:rPr>
        <w:t>E. coli</w:t>
      </w:r>
      <w:r>
        <w:rPr>
          <w:rFonts w:ascii="Times New Roman" w:cs="Times New Roman" w:hAnsi="Times New Roman"/>
          <w:sz w:val="24"/>
          <w:szCs w:val="24"/>
        </w:rPr>
        <w:t xml:space="preserve"> in vitro (Marchese </w:t>
      </w:r>
      <w:r>
        <w:rPr>
          <w:rFonts w:ascii="Times New Roman" w:cs="Times New Roman" w:hAnsi="Times New Roman"/>
          <w:i/>
          <w:sz w:val="24"/>
          <w:szCs w:val="24"/>
        </w:rPr>
        <w:t>et al</w:t>
      </w:r>
      <w:r>
        <w:rPr>
          <w:rFonts w:ascii="Times New Roman" w:cs="Times New Roman" w:hAnsi="Times New Roman"/>
          <w:sz w:val="24"/>
          <w:szCs w:val="24"/>
        </w:rPr>
        <w:t xml:space="preserve">., 2017). </w:t>
      </w:r>
    </w:p>
    <w:bookmarkStart w:id="32" w:name="_Toc202853973"/>
    <w:p>
      <w:pPr>
        <w:pStyle w:val="style3"/>
        <w:rPr>
          <w:sz w:val="24"/>
          <w:szCs w:val="24"/>
        </w:rPr>
      </w:pPr>
      <w:r>
        <w:rPr>
          <w:sz w:val="24"/>
          <w:szCs w:val="24"/>
        </w:rPr>
        <w:t>2.2.3 Pseudomonas aeruginosa</w:t>
      </w:r>
      <w:bookmarkEnd w:id="32"/>
    </w:p>
    <w:p>
      <w:pPr>
        <w:pStyle w:val="style0"/>
        <w:spacing w:lineRule="auto" w:line="480"/>
        <w:ind w:firstLine="720"/>
        <w:jc w:val="both"/>
        <w:rPr>
          <w:rFonts w:ascii="Times New Roman" w:cs="Times New Roman" w:hAnsi="Times New Roman"/>
          <w:sz w:val="24"/>
          <w:szCs w:val="24"/>
        </w:rPr>
      </w:pPr>
      <w:r>
        <w:rPr>
          <w:rStyle w:val="style88"/>
          <w:rFonts w:ascii="Times New Roman" w:cs="Times New Roman" w:hAnsi="Times New Roman"/>
          <w:sz w:val="24"/>
          <w:szCs w:val="24"/>
        </w:rPr>
        <w:t>Pseudomonas aeruginosa</w:t>
      </w:r>
      <w:r>
        <w:rPr>
          <w:rFonts w:ascii="Times New Roman" w:cs="Times New Roman" w:hAnsi="Times New Roman"/>
          <w:sz w:val="24"/>
          <w:szCs w:val="24"/>
        </w:rPr>
        <w:t xml:space="preserve"> is an aerobic Gram-negative bacterium that is recognized for its ability to cause severe infections, especially in immunocompromised patients. It is a leading cause of hospital-acquired infections such as ventilator-associated pneumonia, catheter-associated urinary tract infections, and wound infections (Lister </w:t>
      </w:r>
      <w:r>
        <w:rPr>
          <w:rFonts w:ascii="Times New Roman" w:cs="Times New Roman" w:hAnsi="Times New Roman"/>
          <w:i/>
          <w:sz w:val="24"/>
          <w:szCs w:val="24"/>
        </w:rPr>
        <w:t>et al</w:t>
      </w:r>
      <w:r>
        <w:rPr>
          <w:rFonts w:ascii="Times New Roman" w:cs="Times New Roman" w:hAnsi="Times New Roman"/>
          <w:sz w:val="24"/>
          <w:szCs w:val="24"/>
        </w:rPr>
        <w:t xml:space="preserve">., 2009). The organism’s intrinsic resistance to many antibiotics, combined with its ability to form biofilms and acquire resistance genes, makes treatment highly challenging (Oliver </w:t>
      </w:r>
      <w:r>
        <w:rPr>
          <w:rFonts w:ascii="Times New Roman" w:cs="Times New Roman" w:hAnsi="Times New Roman"/>
          <w:i/>
          <w:sz w:val="24"/>
          <w:szCs w:val="24"/>
        </w:rPr>
        <w:t>et al</w:t>
      </w:r>
      <w:r>
        <w:rPr>
          <w:rFonts w:ascii="Times New Roman" w:cs="Times New Roman" w:hAnsi="Times New Roman"/>
          <w:sz w:val="24"/>
          <w:szCs w:val="24"/>
        </w:rPr>
        <w:t xml:space="preserve">., 2015). In addition, </w:t>
      </w:r>
      <w:r>
        <w:rPr>
          <w:rStyle w:val="style88"/>
          <w:rFonts w:ascii="Times New Roman" w:cs="Times New Roman" w:hAnsi="Times New Roman"/>
          <w:sz w:val="24"/>
          <w:szCs w:val="24"/>
        </w:rPr>
        <w:t>P. aeruginosa</w:t>
      </w:r>
      <w:r>
        <w:rPr>
          <w:rFonts w:ascii="Times New Roman" w:cs="Times New Roman" w:hAnsi="Times New Roman"/>
          <w:sz w:val="24"/>
          <w:szCs w:val="24"/>
        </w:rPr>
        <w:t xml:space="preserve"> employs quorum sensing to regulate virulence factor production and biofilm formation, both of which contribute to chronic infection and antibiotic tolerance (</w:t>
      </w:r>
      <w:r>
        <w:rPr>
          <w:rFonts w:ascii="Times New Roman" w:cs="Times New Roman" w:hAnsi="Times New Roman"/>
          <w:sz w:val="24"/>
          <w:szCs w:val="24"/>
        </w:rPr>
        <w:t>Jeyakumar</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2020). Clove extracts have been shown to disrupt quorum sensing pathways, inhibit biofilm formation, and reduce the growth of </w:t>
      </w:r>
      <w:r>
        <w:rPr>
          <w:rStyle w:val="style88"/>
          <w:rFonts w:ascii="Times New Roman" w:cs="Times New Roman" w:hAnsi="Times New Roman"/>
          <w:sz w:val="24"/>
          <w:szCs w:val="24"/>
        </w:rPr>
        <w:t>P. aeruginosa</w:t>
      </w:r>
      <w:r>
        <w:rPr>
          <w:rFonts w:ascii="Times New Roman" w:cs="Times New Roman" w:hAnsi="Times New Roman"/>
          <w:sz w:val="24"/>
          <w:szCs w:val="24"/>
        </w:rPr>
        <w:t xml:space="preserve"> in laboratory settings, highlighting their potential in the management of persistent infections (</w:t>
      </w:r>
      <w:r>
        <w:rPr>
          <w:rFonts w:ascii="Times New Roman" w:cs="Times New Roman" w:hAnsi="Times New Roman"/>
          <w:sz w:val="24"/>
          <w:szCs w:val="24"/>
        </w:rPr>
        <w:t>Jeyakumar</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2020).</w:t>
      </w:r>
    </w:p>
    <w:bookmarkStart w:id="33" w:name="_Toc202853974"/>
    <w:p>
      <w:pPr>
        <w:pStyle w:val="style3"/>
        <w:rPr>
          <w:sz w:val="24"/>
          <w:szCs w:val="24"/>
        </w:rPr>
      </w:pPr>
      <w:r>
        <w:rPr>
          <w:sz w:val="24"/>
          <w:szCs w:val="24"/>
        </w:rPr>
        <w:t xml:space="preserve">2.2.4 </w:t>
      </w:r>
      <w:r>
        <w:rPr>
          <w:sz w:val="24"/>
          <w:szCs w:val="24"/>
        </w:rPr>
        <w:t>Klebsiella</w:t>
      </w:r>
      <w:r>
        <w:rPr>
          <w:sz w:val="24"/>
          <w:szCs w:val="24"/>
        </w:rPr>
        <w:t xml:space="preserve"> pneumoniae</w:t>
      </w:r>
      <w:bookmarkEnd w:id="33"/>
    </w:p>
    <w:p>
      <w:pPr>
        <w:pStyle w:val="style0"/>
        <w:spacing w:lineRule="auto" w:line="480"/>
        <w:ind w:firstLine="720"/>
        <w:jc w:val="both"/>
        <w:rPr>
          <w:rFonts w:ascii="Times New Roman" w:cs="Times New Roman" w:hAnsi="Times New Roman"/>
          <w:sz w:val="24"/>
          <w:szCs w:val="24"/>
        </w:rPr>
      </w:pPr>
      <w:r>
        <w:rPr>
          <w:rStyle w:val="style88"/>
          <w:rFonts w:ascii="Times New Roman" w:cs="Times New Roman" w:hAnsi="Times New Roman"/>
          <w:sz w:val="24"/>
          <w:szCs w:val="24"/>
        </w:rPr>
        <w:t>Klebsiella</w:t>
      </w:r>
      <w:r>
        <w:rPr>
          <w:rStyle w:val="style88"/>
          <w:rFonts w:ascii="Times New Roman" w:cs="Times New Roman" w:hAnsi="Times New Roman"/>
          <w:sz w:val="24"/>
          <w:szCs w:val="24"/>
        </w:rPr>
        <w:t xml:space="preserve"> pneumoniae</w:t>
      </w:r>
      <w:r>
        <w:rPr>
          <w:rFonts w:ascii="Times New Roman" w:cs="Times New Roman" w:hAnsi="Times New Roman"/>
          <w:sz w:val="24"/>
          <w:szCs w:val="24"/>
        </w:rPr>
        <w:t xml:space="preserve"> is a Gram-negative, non-motile bacterium that is commonly implicated in hospital-acquired infections, including pneumonia, bloodstream infections, surgical wound infections, and urinary tract infections (</w:t>
      </w:r>
      <w:r>
        <w:rPr>
          <w:rFonts w:ascii="Times New Roman" w:cs="Times New Roman" w:hAnsi="Times New Roman"/>
          <w:sz w:val="24"/>
          <w:szCs w:val="24"/>
        </w:rPr>
        <w:t>Podschun</w:t>
      </w:r>
      <w:r>
        <w:rPr>
          <w:rFonts w:ascii="Times New Roman" w:cs="Times New Roman" w:hAnsi="Times New Roman"/>
          <w:sz w:val="24"/>
          <w:szCs w:val="24"/>
        </w:rPr>
        <w:t xml:space="preserve"> &amp; Ullmann, 2018). It is known for its polysaccharide capsule, which serves as a major virulence factor by inhibiting phagocytosis (Navon-Venezia </w:t>
      </w:r>
      <w:r>
        <w:rPr>
          <w:rFonts w:ascii="Times New Roman" w:cs="Times New Roman" w:hAnsi="Times New Roman"/>
          <w:i/>
          <w:sz w:val="24"/>
          <w:szCs w:val="24"/>
        </w:rPr>
        <w:t>et al</w:t>
      </w:r>
      <w:r>
        <w:rPr>
          <w:rFonts w:ascii="Times New Roman" w:cs="Times New Roman" w:hAnsi="Times New Roman"/>
          <w:sz w:val="24"/>
          <w:szCs w:val="24"/>
        </w:rPr>
        <w:t xml:space="preserve">., 2017). The recent emergence of carbapenem-resistant </w:t>
      </w:r>
      <w:r>
        <w:rPr>
          <w:rStyle w:val="style88"/>
          <w:rFonts w:ascii="Times New Roman" w:cs="Times New Roman" w:hAnsi="Times New Roman"/>
          <w:sz w:val="24"/>
          <w:szCs w:val="24"/>
        </w:rPr>
        <w:t>K. pneumoniae</w:t>
      </w:r>
      <w:r>
        <w:rPr>
          <w:rFonts w:ascii="Times New Roman" w:cs="Times New Roman" w:hAnsi="Times New Roman"/>
          <w:sz w:val="24"/>
          <w:szCs w:val="24"/>
        </w:rPr>
        <w:t xml:space="preserve"> (CRKP) has posed a major public health threat due to limited treatment options and high mortality rates (</w:t>
      </w:r>
      <w:r>
        <w:rPr>
          <w:rFonts w:ascii="Times New Roman" w:cs="Times New Roman" w:hAnsi="Times New Roman"/>
          <w:sz w:val="24"/>
          <w:szCs w:val="24"/>
        </w:rPr>
        <w:t>Pitout</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2015). In vitro studies have demonstrated that clove extracts possess inhibitory effects against </w:t>
      </w:r>
      <w:r>
        <w:rPr>
          <w:rStyle w:val="style88"/>
          <w:rFonts w:ascii="Times New Roman" w:cs="Times New Roman" w:hAnsi="Times New Roman"/>
          <w:sz w:val="24"/>
          <w:szCs w:val="24"/>
        </w:rPr>
        <w:t>K. pneumoniae</w:t>
      </w:r>
      <w:r>
        <w:rPr>
          <w:rFonts w:ascii="Times New Roman" w:cs="Times New Roman" w:hAnsi="Times New Roman"/>
          <w:sz w:val="24"/>
          <w:szCs w:val="24"/>
        </w:rPr>
        <w:t>, possibly through membrane disruption and inhibition of essential metabolic pathways. These findings suggest that plant-</w:t>
      </w:r>
      <w:r>
        <w:rPr>
          <w:rFonts w:ascii="Times New Roman" w:cs="Times New Roman" w:hAnsi="Times New Roman"/>
          <w:sz w:val="24"/>
          <w:szCs w:val="24"/>
        </w:rPr>
        <w:t>based antimicrobials could be beneficial in combating infections caused by resistant strains (</w:t>
      </w:r>
      <w:r>
        <w:rPr>
          <w:rFonts w:ascii="Times New Roman" w:cs="Times New Roman" w:hAnsi="Times New Roman"/>
          <w:sz w:val="24"/>
          <w:szCs w:val="24"/>
        </w:rPr>
        <w:t>Nabavi</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2015).</w:t>
      </w:r>
    </w:p>
    <w:bookmarkStart w:id="34" w:name="_Toc202853975"/>
    <w:p>
      <w:pPr>
        <w:pStyle w:val="style3"/>
        <w:rPr>
          <w:sz w:val="24"/>
          <w:szCs w:val="24"/>
        </w:rPr>
      </w:pPr>
      <w:r>
        <w:rPr>
          <w:sz w:val="24"/>
          <w:szCs w:val="24"/>
        </w:rPr>
        <w:t>2.2.5 Salmonella typhi</w:t>
      </w:r>
      <w:bookmarkEnd w:id="34"/>
    </w:p>
    <w:p>
      <w:pPr>
        <w:pStyle w:val="style0"/>
        <w:spacing w:lineRule="auto" w:line="480"/>
        <w:ind w:firstLine="720"/>
        <w:jc w:val="both"/>
        <w:rPr>
          <w:rFonts w:ascii="Times New Roman" w:cs="Times New Roman" w:hAnsi="Times New Roman"/>
          <w:sz w:val="24"/>
          <w:szCs w:val="24"/>
        </w:rPr>
      </w:pPr>
      <w:r>
        <w:rPr>
          <w:rStyle w:val="style88"/>
          <w:rFonts w:ascii="Times New Roman" w:cs="Times New Roman" w:hAnsi="Times New Roman"/>
          <w:sz w:val="24"/>
          <w:szCs w:val="24"/>
        </w:rPr>
        <w:t>Salmonella enterica</w:t>
      </w:r>
      <w:r>
        <w:rPr>
          <w:rFonts w:ascii="Times New Roman" w:cs="Times New Roman" w:hAnsi="Times New Roman"/>
          <w:sz w:val="24"/>
          <w:szCs w:val="24"/>
        </w:rPr>
        <w:t xml:space="preserve"> </w:t>
      </w:r>
      <w:r>
        <w:rPr>
          <w:rFonts w:ascii="Times New Roman" w:cs="Times New Roman" w:hAnsi="Times New Roman"/>
          <w:sz w:val="24"/>
          <w:szCs w:val="24"/>
        </w:rPr>
        <w:t>serovar</w:t>
      </w:r>
      <w:r>
        <w:rPr>
          <w:rFonts w:ascii="Times New Roman" w:cs="Times New Roman" w:hAnsi="Times New Roman"/>
          <w:sz w:val="24"/>
          <w:szCs w:val="24"/>
        </w:rPr>
        <w:t xml:space="preserve"> Typhi is a human-restricted pathogen that causes typhoid fever, a systemic illness characterized by high fever, abdominal pain, and diarrhea. The bacterium is transmitted through contaminated food and water and is prevalent in developing countries with poor sanitation and hygiene practices (Crump &amp; </w:t>
      </w:r>
      <w:r>
        <w:rPr>
          <w:rFonts w:ascii="Times New Roman" w:cs="Times New Roman" w:hAnsi="Times New Roman"/>
          <w:sz w:val="24"/>
          <w:szCs w:val="24"/>
        </w:rPr>
        <w:t>Mintz</w:t>
      </w:r>
      <w:r>
        <w:rPr>
          <w:rFonts w:ascii="Times New Roman" w:cs="Times New Roman" w:hAnsi="Times New Roman"/>
          <w:sz w:val="24"/>
          <w:szCs w:val="24"/>
        </w:rPr>
        <w:t xml:space="preserve">, 2010). The emergence of multidrug-resistant (MDR) </w:t>
      </w:r>
      <w:r>
        <w:rPr>
          <w:rStyle w:val="style88"/>
          <w:rFonts w:ascii="Times New Roman" w:cs="Times New Roman" w:hAnsi="Times New Roman"/>
          <w:sz w:val="24"/>
          <w:szCs w:val="24"/>
        </w:rPr>
        <w:t>S. typhi</w:t>
      </w:r>
      <w:r>
        <w:rPr>
          <w:rFonts w:ascii="Times New Roman" w:cs="Times New Roman" w:hAnsi="Times New Roman"/>
          <w:sz w:val="24"/>
          <w:szCs w:val="24"/>
        </w:rPr>
        <w:t xml:space="preserve"> strains has greatly complicated the management of typhoid fever, especially with resistance to chloramphenicol, ampicillin, and trimethoprim-sulfamethoxazole (Parry </w:t>
      </w:r>
      <w:r>
        <w:rPr>
          <w:rFonts w:ascii="Times New Roman" w:cs="Times New Roman" w:hAnsi="Times New Roman"/>
          <w:i/>
          <w:sz w:val="24"/>
          <w:szCs w:val="24"/>
        </w:rPr>
        <w:t>et al</w:t>
      </w:r>
      <w:r>
        <w:rPr>
          <w:rFonts w:ascii="Times New Roman" w:cs="Times New Roman" w:hAnsi="Times New Roman"/>
          <w:sz w:val="24"/>
          <w:szCs w:val="24"/>
        </w:rPr>
        <w:t xml:space="preserve">., 2002). Clove extracts have been observed to exert strong antibacterial activity against </w:t>
      </w:r>
      <w:r>
        <w:rPr>
          <w:rStyle w:val="style88"/>
          <w:rFonts w:ascii="Times New Roman" w:cs="Times New Roman" w:hAnsi="Times New Roman"/>
          <w:sz w:val="24"/>
          <w:szCs w:val="24"/>
        </w:rPr>
        <w:t>S. typhi</w:t>
      </w:r>
      <w:r>
        <w:rPr>
          <w:rFonts w:ascii="Times New Roman" w:cs="Times New Roman" w:hAnsi="Times New Roman"/>
          <w:sz w:val="24"/>
          <w:szCs w:val="24"/>
        </w:rPr>
        <w:t xml:space="preserve"> in vitro, particularly when extracted with methanol or ethanol (</w:t>
      </w:r>
      <w:r>
        <w:rPr>
          <w:rFonts w:ascii="Times New Roman" w:cs="Times New Roman" w:hAnsi="Times New Roman"/>
          <w:sz w:val="24"/>
          <w:szCs w:val="24"/>
        </w:rPr>
        <w:t>Akinpelu</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2015). This suggests a valuable role for clove-based formulations in areas where conventional antibiotic therapy may be ineffective or inaccessible.</w:t>
      </w:r>
    </w:p>
    <w:bookmarkStart w:id="35" w:name="_Toc202853976"/>
    <w:p>
      <w:pPr>
        <w:pStyle w:val="style2"/>
        <w:tabs>
          <w:tab w:val="center" w:leader="none" w:pos="4513"/>
        </w:tabs>
        <w:rPr>
          <w:rFonts w:ascii="宋体" w:hAnsi="宋体"/>
          <w:sz w:val="24"/>
          <w:szCs w:val="24"/>
        </w:rPr>
      </w:pPr>
      <w:r>
        <w:rPr>
          <w:rFonts w:ascii="宋体" w:hAnsi="宋体"/>
          <w:sz w:val="24"/>
          <w:szCs w:val="24"/>
        </w:rPr>
        <w:t>2.</w:t>
      </w:r>
      <w:r>
        <w:rPr>
          <w:rFonts w:ascii="宋体" w:hAnsi="宋体"/>
          <w:sz w:val="24"/>
          <w:szCs w:val="24"/>
        </w:rPr>
        <w:t>3</w:t>
      </w:r>
      <w:r>
        <w:rPr>
          <w:rFonts w:ascii="宋体" w:hAnsi="宋体"/>
          <w:sz w:val="24"/>
          <w:szCs w:val="24"/>
        </w:rPr>
        <w:t xml:space="preserve"> Overview of Clove</w:t>
      </w:r>
      <w:bookmarkEnd w:id="35"/>
    </w:p>
    <w:p>
      <w:pPr>
        <w:pStyle w:val="style0"/>
        <w:spacing w:lineRule="auto" w:line="480"/>
        <w:ind w:firstLine="720"/>
        <w:jc w:val="both"/>
        <w:rPr>
          <w:rFonts w:ascii="宋体" w:cs="宋体" w:hAnsi="宋体"/>
          <w:sz w:val="24"/>
          <w:szCs w:val="24"/>
        </w:rPr>
      </w:pPr>
      <w:r>
        <w:rPr>
          <w:rFonts w:ascii="宋体" w:cs="宋体" w:hAnsi="宋体"/>
          <w:sz w:val="24"/>
          <w:szCs w:val="24"/>
        </w:rPr>
        <w:t>Spices as clove, oregano, mint, thyme and cinnamon, have been employed for centuries as</w:t>
      </w:r>
      <w:r>
        <w:rPr>
          <w:rFonts w:ascii="宋体" w:cs="宋体" w:hAnsi="宋体"/>
          <w:sz w:val="24"/>
          <w:szCs w:val="24"/>
        </w:rPr>
        <w:t xml:space="preserve"> </w:t>
      </w:r>
      <w:r>
        <w:rPr>
          <w:rFonts w:ascii="宋体" w:cs="宋体" w:hAnsi="宋体"/>
          <w:sz w:val="24"/>
          <w:szCs w:val="24"/>
        </w:rPr>
        <w:t>food preservatives and as medicinal plants mainly due to its antioxidant and antimicrobial activities. Nowadays, many reports confirm the antibacterial, antifungal, antiviral and anticarcinogenic properties of spice plants. Clove in particular has attracted the attention due to the potent antioxidant and antimicrobial activities standing out among the other spices</w:t>
      </w:r>
      <w:r>
        <w:rPr>
          <w:rFonts w:ascii="宋体" w:cs="宋体" w:hAnsi="宋体"/>
          <w:sz w:val="24"/>
          <w:szCs w:val="24"/>
        </w:rPr>
        <w:t xml:space="preserve"> (</w:t>
      </w:r>
      <w:r>
        <w:rPr>
          <w:rFonts w:ascii="宋体" w:cs="宋体" w:hAnsi="宋体"/>
          <w:sz w:val="24"/>
          <w:szCs w:val="24"/>
        </w:rPr>
        <w:t xml:space="preserve">Shan </w:t>
      </w:r>
      <w:r>
        <w:rPr>
          <w:rFonts w:ascii="宋体" w:cs="宋体" w:hAnsi="宋体"/>
          <w:i/>
          <w:iCs/>
          <w:sz w:val="24"/>
          <w:szCs w:val="24"/>
        </w:rPr>
        <w:t>et al</w:t>
      </w:r>
      <w:r>
        <w:rPr>
          <w:rFonts w:ascii="宋体" w:cs="宋体" w:hAnsi="宋体"/>
          <w:sz w:val="24"/>
          <w:szCs w:val="24"/>
        </w:rPr>
        <w:t>., 2015)</w:t>
      </w:r>
      <w:r>
        <w:rPr>
          <w:rFonts w:ascii="宋体" w:cs="宋体" w:hAnsi="宋体"/>
          <w:sz w:val="24"/>
          <w:szCs w:val="24"/>
        </w:rPr>
        <w:t>.</w:t>
      </w:r>
    </w:p>
    <w:p>
      <w:pPr>
        <w:pStyle w:val="style0"/>
        <w:spacing w:lineRule="auto" w:line="480"/>
        <w:ind w:firstLine="720"/>
        <w:jc w:val="both"/>
        <w:rPr>
          <w:rFonts w:ascii="宋体" w:cs="宋体" w:hAnsi="宋体"/>
          <w:sz w:val="24"/>
          <w:szCs w:val="24"/>
        </w:rPr>
      </w:pPr>
      <w:r>
        <w:rPr>
          <w:rFonts w:ascii="宋体" w:cs="宋体" w:hAnsi="宋体"/>
          <w:sz w:val="24"/>
          <w:szCs w:val="24"/>
        </w:rPr>
        <w:t xml:space="preserve"> </w:t>
      </w:r>
      <w:r>
        <w:rPr>
          <w:rFonts w:ascii="宋体" w:cs="宋体" w:hAnsi="宋体"/>
          <w:i/>
          <w:iCs/>
          <w:sz w:val="24"/>
          <w:szCs w:val="24"/>
        </w:rPr>
        <w:t>Syzygium</w:t>
      </w:r>
      <w:r>
        <w:rPr>
          <w:rFonts w:ascii="宋体" w:cs="宋体" w:hAnsi="宋体"/>
          <w:i/>
          <w:iCs/>
          <w:sz w:val="24"/>
          <w:szCs w:val="24"/>
        </w:rPr>
        <w:t xml:space="preserve"> </w:t>
      </w:r>
      <w:r>
        <w:rPr>
          <w:rFonts w:ascii="宋体" w:cs="宋体" w:hAnsi="宋体"/>
          <w:i/>
          <w:iCs/>
          <w:sz w:val="24"/>
          <w:szCs w:val="24"/>
        </w:rPr>
        <w:t>aromaticum</w:t>
      </w:r>
      <w:r>
        <w:rPr>
          <w:rFonts w:ascii="宋体" w:cs="宋体" w:hAnsi="宋体"/>
          <w:i/>
          <w:iCs/>
          <w:sz w:val="24"/>
          <w:szCs w:val="24"/>
        </w:rPr>
        <w:t xml:space="preserve"> (S. </w:t>
      </w:r>
      <w:r>
        <w:rPr>
          <w:rFonts w:ascii="宋体" w:cs="宋体" w:hAnsi="宋体"/>
          <w:i/>
          <w:iCs/>
          <w:sz w:val="24"/>
          <w:szCs w:val="24"/>
        </w:rPr>
        <w:t>aromaticum</w:t>
      </w:r>
      <w:r>
        <w:rPr>
          <w:rFonts w:ascii="宋体" w:cs="宋体" w:hAnsi="宋体"/>
          <w:sz w:val="24"/>
          <w:szCs w:val="24"/>
        </w:rPr>
        <w:t xml:space="preserve">) (synonym: </w:t>
      </w:r>
      <w:r>
        <w:rPr>
          <w:rFonts w:ascii="宋体" w:cs="宋体" w:hAnsi="宋体"/>
          <w:i/>
          <w:iCs/>
          <w:sz w:val="24"/>
          <w:szCs w:val="24"/>
        </w:rPr>
        <w:t xml:space="preserve">Eugenia </w:t>
      </w:r>
      <w:r>
        <w:rPr>
          <w:rFonts w:ascii="宋体" w:cs="宋体" w:hAnsi="宋体"/>
          <w:i/>
          <w:iCs/>
          <w:sz w:val="24"/>
          <w:szCs w:val="24"/>
        </w:rPr>
        <w:t>cariophylata</w:t>
      </w:r>
      <w:r>
        <w:rPr>
          <w:rFonts w:ascii="宋体" w:cs="宋体" w:hAnsi="宋体"/>
          <w:sz w:val="24"/>
          <w:szCs w:val="24"/>
        </w:rPr>
        <w:t xml:space="preserve">) commonly known as clove, is a median size tree (8-12 m) from the </w:t>
      </w:r>
      <w:r>
        <w:rPr>
          <w:rFonts w:ascii="宋体" w:cs="宋体" w:hAnsi="宋体"/>
          <w:sz w:val="24"/>
          <w:szCs w:val="24"/>
        </w:rPr>
        <w:t>Mirtaceae</w:t>
      </w:r>
      <w:r>
        <w:rPr>
          <w:rFonts w:ascii="宋体" w:cs="宋体" w:hAnsi="宋体"/>
          <w:sz w:val="24"/>
          <w:szCs w:val="24"/>
        </w:rPr>
        <w:t xml:space="preserve"> family native from the Maluku islands in east Indonesia. For centuries the trade of clove and the search of this valuable spice stimulated the economic development of this Asiatic region</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Kamatou</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2012)</w:t>
      </w:r>
      <w:r>
        <w:rPr>
          <w:rFonts w:ascii="宋体" w:cs="宋体" w:hAnsi="宋体"/>
          <w:sz w:val="24"/>
          <w:szCs w:val="24"/>
        </w:rPr>
        <w:t xml:space="preserve">. </w:t>
      </w:r>
      <w:r>
        <w:rPr>
          <w:rFonts w:ascii="宋体" w:cs="宋体" w:hAnsi="宋体"/>
          <w:sz w:val="24"/>
          <w:szCs w:val="24"/>
        </w:rPr>
        <w:t xml:space="preserve">The </w:t>
      </w:r>
      <w:r>
        <w:rPr>
          <w:rFonts w:ascii="宋体" w:cs="宋体" w:hAnsi="宋体"/>
          <w:sz w:val="24"/>
          <w:szCs w:val="24"/>
        </w:rPr>
        <w:t>clove tree is frequently cultivated in coastal areas at maximum altitudes of 200 m above the sea level. The production of flower buds, which is the commercialized part of this tree, starts after 4 years of plantation. Flower buds are collected in the maturation phase before flowering. The collection could be done manually or chemically-mediated</w:t>
      </w:r>
      <w:r>
        <w:rPr>
          <w:rFonts w:ascii="宋体" w:cs="宋体" w:hAnsi="宋体"/>
          <w:sz w:val="24"/>
          <w:szCs w:val="24"/>
        </w:rPr>
        <w:t xml:space="preserve"> </w:t>
      </w:r>
      <w:r>
        <w:rPr>
          <w:rFonts w:ascii="宋体" w:cs="宋体" w:hAnsi="宋体"/>
          <w:sz w:val="24"/>
          <w:szCs w:val="24"/>
        </w:rPr>
        <w:t>using a natural phytohormone which liberates ethylene in the vegetal tissue, producing precocious maturation</w:t>
      </w:r>
      <w:r>
        <w:rPr>
          <w:rFonts w:ascii="宋体" w:cs="宋体" w:hAnsi="宋体"/>
          <w:sz w:val="24"/>
          <w:szCs w:val="24"/>
        </w:rPr>
        <w:t xml:space="preserve"> </w:t>
      </w:r>
      <w:r>
        <w:rPr>
          <w:rFonts w:ascii="宋体" w:cs="宋体" w:hAnsi="宋体"/>
          <w:sz w:val="24"/>
          <w:szCs w:val="24"/>
        </w:rPr>
        <w:t xml:space="preserve">(Filho </w:t>
      </w:r>
      <w:r>
        <w:rPr>
          <w:rFonts w:ascii="宋体" w:cs="宋体" w:hAnsi="宋体"/>
          <w:i/>
          <w:iCs/>
          <w:sz w:val="24"/>
          <w:szCs w:val="24"/>
        </w:rPr>
        <w:t>et al</w:t>
      </w:r>
      <w:r>
        <w:rPr>
          <w:rFonts w:ascii="宋体" w:cs="宋体" w:hAnsi="宋体"/>
          <w:sz w:val="24"/>
          <w:szCs w:val="24"/>
        </w:rPr>
        <w:t>., 2013)</w:t>
      </w:r>
      <w:r>
        <w:rPr>
          <w:rFonts w:ascii="宋体" w:cs="宋体" w:hAnsi="宋体"/>
          <w:sz w:val="24"/>
          <w:szCs w:val="24"/>
        </w:rPr>
        <w:t>.</w:t>
      </w:r>
    </w:p>
    <w:p>
      <w:pPr>
        <w:pStyle w:val="style0"/>
        <w:spacing w:lineRule="auto" w:line="480"/>
        <w:jc w:val="both"/>
        <w:rPr>
          <w:rFonts w:ascii="宋体" w:cs="宋体" w:hAnsi="宋体"/>
          <w:sz w:val="24"/>
          <w:szCs w:val="24"/>
        </w:rPr>
      </w:pPr>
      <w:r>
        <w:rPr>
          <w:rFonts w:ascii="宋体" w:cs="宋体" w:hAnsi="宋体"/>
          <w:sz w:val="24"/>
          <w:szCs w:val="24"/>
        </w:rPr>
        <w:t xml:space="preserve"> </w:t>
      </w:r>
      <w:r>
        <w:rPr>
          <w:rFonts w:ascii="宋体" w:cs="宋体" w:hAnsi="宋体"/>
          <w:sz w:val="24"/>
          <w:szCs w:val="24"/>
        </w:rPr>
        <w:tab/>
      </w:r>
      <w:r>
        <w:rPr>
          <w:rFonts w:ascii="宋体" w:cs="宋体" w:hAnsi="宋体"/>
          <w:sz w:val="24"/>
          <w:szCs w:val="24"/>
        </w:rPr>
        <w:t xml:space="preserve">Nowadays, the larger producer countries of clove are Indonesia, India, Malaysia, Sri Lanka, Madagascar and Tanzania specially the Zanzibar island. In Brazil, clove is cultured in the northeast region, in the state of Bahia in the regions of </w:t>
      </w:r>
      <w:r>
        <w:rPr>
          <w:rFonts w:ascii="宋体" w:cs="宋体" w:hAnsi="宋体"/>
          <w:sz w:val="24"/>
          <w:szCs w:val="24"/>
        </w:rPr>
        <w:t>Valença</w:t>
      </w:r>
      <w:r>
        <w:rPr>
          <w:rFonts w:ascii="宋体" w:cs="宋体" w:hAnsi="宋体"/>
          <w:sz w:val="24"/>
          <w:szCs w:val="24"/>
        </w:rPr>
        <w:t xml:space="preserve">, </w:t>
      </w:r>
      <w:r>
        <w:rPr>
          <w:rFonts w:ascii="宋体" w:cs="宋体" w:hAnsi="宋体"/>
          <w:sz w:val="24"/>
          <w:szCs w:val="24"/>
        </w:rPr>
        <w:t>Ituberá</w:t>
      </w:r>
      <w:r>
        <w:rPr>
          <w:rFonts w:ascii="宋体" w:cs="宋体" w:hAnsi="宋体"/>
          <w:sz w:val="24"/>
          <w:szCs w:val="24"/>
        </w:rPr>
        <w:t xml:space="preserve">, </w:t>
      </w:r>
      <w:r>
        <w:rPr>
          <w:rFonts w:ascii="宋体" w:cs="宋体" w:hAnsi="宋体"/>
          <w:sz w:val="24"/>
          <w:szCs w:val="24"/>
        </w:rPr>
        <w:t>Taperoá</w:t>
      </w:r>
      <w:r>
        <w:rPr>
          <w:rFonts w:ascii="宋体" w:cs="宋体" w:hAnsi="宋体"/>
          <w:sz w:val="24"/>
          <w:szCs w:val="24"/>
        </w:rPr>
        <w:t xml:space="preserve">, </w:t>
      </w:r>
      <w:r>
        <w:rPr>
          <w:rFonts w:ascii="宋体" w:cs="宋体" w:hAnsi="宋体"/>
          <w:sz w:val="24"/>
          <w:szCs w:val="24"/>
        </w:rPr>
        <w:t>Camamu</w:t>
      </w:r>
      <w:r>
        <w:rPr>
          <w:rFonts w:ascii="宋体" w:cs="宋体" w:hAnsi="宋体"/>
          <w:sz w:val="24"/>
          <w:szCs w:val="24"/>
        </w:rPr>
        <w:t xml:space="preserve"> and </w:t>
      </w:r>
      <w:r>
        <w:rPr>
          <w:rFonts w:ascii="宋体" w:cs="宋体" w:hAnsi="宋体"/>
          <w:sz w:val="24"/>
          <w:szCs w:val="24"/>
        </w:rPr>
        <w:t>Nilo</w:t>
      </w:r>
      <w:r>
        <w:rPr>
          <w:rFonts w:ascii="宋体" w:cs="宋体" w:hAnsi="宋体"/>
          <w:sz w:val="24"/>
          <w:szCs w:val="24"/>
        </w:rPr>
        <w:t xml:space="preserve"> </w:t>
      </w:r>
      <w:r>
        <w:rPr>
          <w:rFonts w:ascii="宋体" w:cs="宋体" w:hAnsi="宋体"/>
          <w:sz w:val="24"/>
          <w:szCs w:val="24"/>
        </w:rPr>
        <w:t>Peçanha</w:t>
      </w:r>
      <w:r>
        <w:rPr>
          <w:rFonts w:ascii="宋体" w:cs="宋体" w:hAnsi="宋体"/>
          <w:sz w:val="24"/>
          <w:szCs w:val="24"/>
        </w:rPr>
        <w:t>, where approximately 8 000 hectares are cultivated, producing near 2 500 tons per year</w:t>
      </w:r>
      <w:r>
        <w:rPr>
          <w:rFonts w:ascii="宋体" w:cs="宋体" w:hAnsi="宋体"/>
          <w:sz w:val="24"/>
          <w:szCs w:val="24"/>
        </w:rPr>
        <w:t xml:space="preserve"> </w:t>
      </w:r>
      <w:r>
        <w:rPr>
          <w:rFonts w:ascii="宋体" w:cs="宋体" w:hAnsi="宋体"/>
          <w:sz w:val="24"/>
          <w:szCs w:val="24"/>
        </w:rPr>
        <w:t xml:space="preserve">(Oliveira </w:t>
      </w:r>
      <w:r>
        <w:rPr>
          <w:rFonts w:ascii="宋体" w:cs="宋体" w:hAnsi="宋体"/>
          <w:i/>
          <w:iCs/>
          <w:sz w:val="24"/>
          <w:szCs w:val="24"/>
        </w:rPr>
        <w:t>et al</w:t>
      </w:r>
      <w:r>
        <w:rPr>
          <w:rFonts w:ascii="宋体" w:cs="宋体" w:hAnsi="宋体"/>
          <w:sz w:val="24"/>
          <w:szCs w:val="24"/>
        </w:rPr>
        <w:t>., 201</w:t>
      </w:r>
      <w:r>
        <w:rPr>
          <w:rFonts w:ascii="宋体" w:cs="宋体" w:hAnsi="宋体"/>
          <w:sz w:val="24"/>
          <w:szCs w:val="24"/>
        </w:rPr>
        <w:t>7</w:t>
      </w:r>
      <w:r>
        <w:rPr>
          <w:rFonts w:ascii="宋体" w:cs="宋体" w:hAnsi="宋体"/>
          <w:sz w:val="24"/>
          <w:szCs w:val="24"/>
        </w:rPr>
        <w:t>)</w:t>
      </w:r>
      <w:r>
        <w:rPr>
          <w:rFonts w:ascii="宋体" w:cs="宋体" w:hAnsi="宋体"/>
          <w:sz w:val="24"/>
          <w:szCs w:val="24"/>
        </w:rPr>
        <w:t xml:space="preserve">. </w:t>
      </w:r>
    </w:p>
    <w:bookmarkStart w:id="36" w:name="_Toc202853977"/>
    <w:p>
      <w:pPr>
        <w:pStyle w:val="style2"/>
        <w:tabs>
          <w:tab w:val="center" w:leader="none" w:pos="4513"/>
        </w:tabs>
        <w:rPr>
          <w:rFonts w:ascii="宋体" w:hAnsi="宋体"/>
          <w:sz w:val="24"/>
          <w:szCs w:val="24"/>
        </w:rPr>
      </w:pPr>
      <w:r>
        <w:rPr>
          <w:rFonts w:ascii="宋体" w:hAnsi="宋体"/>
          <w:sz w:val="24"/>
          <w:szCs w:val="24"/>
        </w:rPr>
        <w:t>2.</w:t>
      </w:r>
      <w:r>
        <w:rPr>
          <w:rFonts w:ascii="宋体" w:hAnsi="宋体"/>
          <w:sz w:val="24"/>
          <w:szCs w:val="24"/>
        </w:rPr>
        <w:t>4</w:t>
      </w:r>
      <w:r>
        <w:rPr>
          <w:rFonts w:ascii="宋体" w:hAnsi="宋体"/>
          <w:sz w:val="24"/>
          <w:szCs w:val="24"/>
        </w:rPr>
        <w:t xml:space="preserve"> Bioactive Compounds of Clove Extract</w:t>
      </w:r>
      <w:bookmarkEnd w:id="36"/>
      <w:r>
        <w:rPr>
          <w:rFonts w:ascii="宋体" w:hAnsi="宋体"/>
          <w:sz w:val="24"/>
          <w:szCs w:val="24"/>
        </w:rPr>
        <w:t xml:space="preserve"> </w:t>
      </w:r>
    </w:p>
    <w:p>
      <w:pPr>
        <w:pStyle w:val="style0"/>
        <w:spacing w:lineRule="auto" w:line="480"/>
        <w:ind w:firstLine="360"/>
        <w:jc w:val="both"/>
        <w:rPr>
          <w:rFonts w:ascii="宋体" w:cs="宋体" w:hAnsi="宋体"/>
          <w:sz w:val="24"/>
          <w:szCs w:val="24"/>
        </w:rPr>
      </w:pPr>
      <w:r>
        <w:rPr>
          <w:rFonts w:ascii="宋体" w:cs="宋体" w:hAnsi="宋体"/>
          <w:sz w:val="24"/>
          <w:szCs w:val="24"/>
        </w:rPr>
        <w:t xml:space="preserve"> Clove represents one of the major vegetal sources of phenolic compounds</w:t>
      </w:r>
      <w:r>
        <w:rPr>
          <w:rFonts w:ascii="宋体" w:cs="宋体" w:hAnsi="宋体"/>
          <w:sz w:val="24"/>
          <w:szCs w:val="24"/>
        </w:rPr>
        <w:t xml:space="preserve"> such</w:t>
      </w:r>
      <w:r>
        <w:rPr>
          <w:rFonts w:ascii="宋体" w:cs="宋体" w:hAnsi="宋体"/>
          <w:sz w:val="24"/>
          <w:szCs w:val="24"/>
        </w:rPr>
        <w:t xml:space="preserve"> as flavonoids, </w:t>
      </w:r>
      <w:r>
        <w:rPr>
          <w:rFonts w:ascii="宋体" w:cs="宋体" w:hAnsi="宋体"/>
          <w:sz w:val="24"/>
          <w:szCs w:val="24"/>
        </w:rPr>
        <w:t>hidroxibenzoic</w:t>
      </w:r>
      <w:r>
        <w:rPr>
          <w:rFonts w:ascii="宋体" w:cs="宋体" w:hAnsi="宋体"/>
          <w:sz w:val="24"/>
          <w:szCs w:val="24"/>
        </w:rPr>
        <w:t xml:space="preserve"> acids, </w:t>
      </w:r>
      <w:r>
        <w:rPr>
          <w:rFonts w:ascii="宋体" w:cs="宋体" w:hAnsi="宋体"/>
          <w:sz w:val="24"/>
          <w:szCs w:val="24"/>
        </w:rPr>
        <w:t>hidroxicinamic</w:t>
      </w:r>
      <w:r>
        <w:rPr>
          <w:rFonts w:ascii="宋体" w:cs="宋体" w:hAnsi="宋体"/>
          <w:sz w:val="24"/>
          <w:szCs w:val="24"/>
        </w:rPr>
        <w:t xml:space="preserve"> acids and </w:t>
      </w:r>
      <w:r>
        <w:rPr>
          <w:rFonts w:ascii="宋体" w:cs="宋体" w:hAnsi="宋体"/>
          <w:sz w:val="24"/>
          <w:szCs w:val="24"/>
        </w:rPr>
        <w:t>hidroxiphenyl</w:t>
      </w:r>
      <w:r>
        <w:rPr>
          <w:rFonts w:ascii="宋体" w:cs="宋体" w:hAnsi="宋体"/>
          <w:sz w:val="24"/>
          <w:szCs w:val="24"/>
        </w:rPr>
        <w:t xml:space="preserve"> </w:t>
      </w:r>
      <w:r>
        <w:rPr>
          <w:rFonts w:ascii="宋体" w:cs="宋体" w:hAnsi="宋体"/>
          <w:sz w:val="24"/>
          <w:szCs w:val="24"/>
        </w:rPr>
        <w:t>propens</w:t>
      </w:r>
      <w:r>
        <w:rPr>
          <w:rFonts w:ascii="宋体" w:cs="宋体" w:hAnsi="宋体"/>
          <w:sz w:val="24"/>
          <w:szCs w:val="24"/>
        </w:rPr>
        <w:t xml:space="preserve">. </w:t>
      </w:r>
      <w:r>
        <w:rPr>
          <w:rFonts w:ascii="宋体" w:cs="宋体" w:hAnsi="宋体"/>
          <w:sz w:val="24"/>
          <w:szCs w:val="24"/>
        </w:rPr>
        <w:t>Eugenol is the main bioactive compound of clove, which is found in concentrations ranging from 9 381.70 to 14 650.00 mg per 100 g of fresh plant material</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Jirovetz</w:t>
      </w:r>
      <w:r>
        <w:rPr>
          <w:rFonts w:ascii="宋体" w:cs="宋体" w:hAnsi="宋体"/>
          <w:sz w:val="24"/>
          <w:szCs w:val="24"/>
        </w:rPr>
        <w:t xml:space="preserve">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2016)</w:t>
      </w:r>
      <w:r>
        <w:rPr>
          <w:rFonts w:ascii="宋体" w:cs="宋体" w:hAnsi="宋体"/>
          <w:sz w:val="24"/>
          <w:szCs w:val="24"/>
        </w:rPr>
        <w:t>.</w:t>
      </w:r>
      <w:r>
        <w:rPr>
          <w:rFonts w:ascii="宋体" w:cs="宋体" w:hAnsi="宋体"/>
          <w:sz w:val="24"/>
          <w:szCs w:val="24"/>
        </w:rPr>
        <w:t xml:space="preserve"> With regard to the phenolic acids, gallic acid is the compound found in higher concentration (783.50 mg/100g fresh weight)</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Cooke</w:t>
      </w:r>
      <w:r>
        <w:rPr>
          <w:rFonts w:ascii="宋体" w:cs="宋体" w:hAnsi="宋体"/>
          <w:sz w:val="24"/>
          <w:szCs w:val="24"/>
        </w:rPr>
        <w:t xml:space="preserve"> and</w:t>
      </w:r>
      <w:r>
        <w:rPr>
          <w:rFonts w:ascii="宋体" w:cs="宋体" w:hAnsi="宋体"/>
          <w:sz w:val="24"/>
          <w:szCs w:val="24"/>
        </w:rPr>
        <w:t xml:space="preserve"> Plot nick</w:t>
      </w:r>
      <w:r>
        <w:rPr>
          <w:rFonts w:ascii="宋体" w:cs="宋体" w:hAnsi="宋体"/>
          <w:sz w:val="24"/>
          <w:szCs w:val="24"/>
        </w:rPr>
        <w:t>, 2018)</w:t>
      </w:r>
      <w:r>
        <w:rPr>
          <w:rFonts w:ascii="宋体" w:cs="宋体" w:hAnsi="宋体"/>
          <w:sz w:val="24"/>
          <w:szCs w:val="24"/>
        </w:rPr>
        <w:t>. However, other gallic acid derivates</w:t>
      </w:r>
      <w:r>
        <w:rPr>
          <w:rFonts w:ascii="宋体" w:cs="宋体" w:hAnsi="宋体"/>
          <w:sz w:val="24"/>
          <w:szCs w:val="24"/>
        </w:rPr>
        <w:t xml:space="preserve"> such</w:t>
      </w:r>
      <w:r>
        <w:rPr>
          <w:rFonts w:ascii="宋体" w:cs="宋体" w:hAnsi="宋体"/>
          <w:sz w:val="24"/>
          <w:szCs w:val="24"/>
        </w:rPr>
        <w:t xml:space="preserve"> as </w:t>
      </w:r>
      <w:r>
        <w:rPr>
          <w:rFonts w:ascii="宋体" w:cs="宋体" w:hAnsi="宋体"/>
          <w:sz w:val="24"/>
          <w:szCs w:val="24"/>
        </w:rPr>
        <w:t>h</w:t>
      </w:r>
      <w:r>
        <w:rPr>
          <w:rFonts w:ascii="宋体" w:cs="宋体" w:hAnsi="宋体"/>
          <w:sz w:val="24"/>
          <w:szCs w:val="24"/>
        </w:rPr>
        <w:t>i</w:t>
      </w:r>
      <w:r>
        <w:rPr>
          <w:rFonts w:ascii="宋体" w:cs="宋体" w:hAnsi="宋体"/>
          <w:sz w:val="24"/>
          <w:szCs w:val="24"/>
        </w:rPr>
        <w:t>drolizable</w:t>
      </w:r>
      <w:r>
        <w:rPr>
          <w:rFonts w:ascii="宋体" w:cs="宋体" w:hAnsi="宋体"/>
          <w:sz w:val="24"/>
          <w:szCs w:val="24"/>
        </w:rPr>
        <w:t xml:space="preserve"> tannins are present in higher concentrations (2 375.8 mg/100 g). Other phenolic acids found in clove are the caffeic, ferulic, </w:t>
      </w:r>
      <w:r>
        <w:rPr>
          <w:rFonts w:ascii="宋体" w:cs="宋体" w:hAnsi="宋体"/>
          <w:sz w:val="24"/>
          <w:szCs w:val="24"/>
        </w:rPr>
        <w:t>elagic</w:t>
      </w:r>
      <w:r>
        <w:rPr>
          <w:rFonts w:ascii="宋体" w:cs="宋体" w:hAnsi="宋体"/>
          <w:sz w:val="24"/>
          <w:szCs w:val="24"/>
        </w:rPr>
        <w:t xml:space="preserve"> and salicylic acids. Flavonoids as kaempferol, quercetin and its derivates (</w:t>
      </w:r>
      <w:r>
        <w:rPr>
          <w:rFonts w:ascii="宋体" w:cs="宋体" w:hAnsi="宋体"/>
          <w:sz w:val="24"/>
          <w:szCs w:val="24"/>
        </w:rPr>
        <w:t>glycosilated</w:t>
      </w:r>
      <w:r>
        <w:rPr>
          <w:rFonts w:ascii="宋体" w:cs="宋体" w:hAnsi="宋体"/>
          <w:sz w:val="24"/>
          <w:szCs w:val="24"/>
        </w:rPr>
        <w:t>) are also found in clove in lower concentrations</w:t>
      </w:r>
      <w:r>
        <w:rPr>
          <w:rFonts w:ascii="宋体" w:cs="宋体" w:hAnsi="宋体"/>
          <w:sz w:val="24"/>
          <w:szCs w:val="24"/>
        </w:rPr>
        <w:t xml:space="preserve"> (</w:t>
      </w:r>
      <w:r>
        <w:rPr>
          <w:rFonts w:ascii="宋体" w:cs="宋体" w:hAnsi="宋体"/>
          <w:sz w:val="24"/>
          <w:szCs w:val="24"/>
        </w:rPr>
        <w:t xml:space="preserve">Tahir </w:t>
      </w:r>
      <w:r>
        <w:rPr>
          <w:rFonts w:ascii="宋体" w:cs="宋体" w:hAnsi="宋体"/>
          <w:i/>
          <w:iCs/>
          <w:sz w:val="24"/>
          <w:szCs w:val="24"/>
        </w:rPr>
        <w:t>et al</w:t>
      </w:r>
      <w:r>
        <w:rPr>
          <w:rFonts w:ascii="宋体" w:cs="宋体" w:hAnsi="宋体"/>
          <w:sz w:val="24"/>
          <w:szCs w:val="24"/>
        </w:rPr>
        <w:t>., 2016)</w:t>
      </w:r>
      <w:r>
        <w:rPr>
          <w:rFonts w:ascii="宋体" w:cs="宋体" w:hAnsi="宋体"/>
          <w:sz w:val="24"/>
          <w:szCs w:val="24"/>
        </w:rPr>
        <w:t>.  Concentrations up to 18% of essential oil can be found in the clove flower buds. Roughly, 89% of the clove essential oil is eugenol and 5% to 15% is eugenol acetate and β-</w:t>
      </w:r>
      <w:r>
        <w:rPr>
          <w:rFonts w:ascii="宋体" w:cs="宋体" w:hAnsi="宋体"/>
          <w:sz w:val="24"/>
          <w:szCs w:val="24"/>
        </w:rPr>
        <w:t>cariofileno</w:t>
      </w:r>
      <w:r>
        <w:rPr>
          <w:rFonts w:ascii="宋体" w:cs="宋体" w:hAnsi="宋体"/>
          <w:sz w:val="24"/>
          <w:szCs w:val="24"/>
        </w:rPr>
        <w:t xml:space="preserve"> </w:t>
      </w:r>
      <w:r>
        <w:rPr>
          <w:rFonts w:ascii="宋体" w:cs="宋体" w:hAnsi="宋体"/>
          <w:sz w:val="24"/>
          <w:szCs w:val="24"/>
        </w:rPr>
        <w:t xml:space="preserve">(Pérez-Jiménez </w:t>
      </w:r>
      <w:r>
        <w:rPr>
          <w:rFonts w:ascii="宋体" w:cs="宋体" w:hAnsi="宋体"/>
          <w:i/>
          <w:iCs/>
          <w:sz w:val="24"/>
          <w:szCs w:val="24"/>
        </w:rPr>
        <w:t>et al</w:t>
      </w:r>
      <w:r>
        <w:rPr>
          <w:rFonts w:ascii="宋体" w:cs="宋体" w:hAnsi="宋体"/>
          <w:sz w:val="24"/>
          <w:szCs w:val="24"/>
        </w:rPr>
        <w:t>., 2010)</w:t>
      </w:r>
      <w:r>
        <w:rPr>
          <w:rFonts w:ascii="宋体" w:cs="宋体" w:hAnsi="宋体"/>
          <w:sz w:val="24"/>
          <w:szCs w:val="24"/>
        </w:rPr>
        <w:t xml:space="preserve">. </w:t>
      </w:r>
      <w:r>
        <w:rPr>
          <w:rFonts w:ascii="宋体" w:cs="宋体" w:hAnsi="宋体"/>
          <w:sz w:val="24"/>
          <w:szCs w:val="24"/>
        </w:rPr>
        <w:t xml:space="preserve">Another important compound </w:t>
      </w:r>
      <w:r>
        <w:rPr>
          <w:rFonts w:ascii="宋体" w:cs="宋体" w:hAnsi="宋体"/>
          <w:sz w:val="24"/>
          <w:szCs w:val="24"/>
        </w:rPr>
        <w:t>found in the essential oil of clove in concentrations up to 2.1%</w:t>
      </w:r>
      <w:r>
        <w:rPr>
          <w:rFonts w:ascii="宋体" w:cs="宋体" w:hAnsi="宋体"/>
          <w:sz w:val="24"/>
          <w:szCs w:val="24"/>
        </w:rPr>
        <w:t xml:space="preserve"> </w:t>
      </w:r>
      <w:r>
        <w:rPr>
          <w:rFonts w:ascii="宋体" w:cs="宋体" w:hAnsi="宋体"/>
          <w:sz w:val="24"/>
          <w:szCs w:val="24"/>
        </w:rPr>
        <w:t>is α-</w:t>
      </w:r>
      <w:r>
        <w:rPr>
          <w:rFonts w:ascii="宋体" w:cs="宋体" w:hAnsi="宋体"/>
          <w:sz w:val="24"/>
          <w:szCs w:val="24"/>
        </w:rPr>
        <w:t>humulen</w:t>
      </w:r>
      <w:r>
        <w:rPr>
          <w:rFonts w:ascii="宋体" w:cs="宋体" w:hAnsi="宋体"/>
          <w:sz w:val="24"/>
          <w:szCs w:val="24"/>
        </w:rPr>
        <w:t xml:space="preserve">. Other volatile compounds present in lower concentrations in clove essential oil are β-pinene, limonene, </w:t>
      </w:r>
      <w:r>
        <w:rPr>
          <w:rFonts w:ascii="宋体" w:cs="宋体" w:hAnsi="宋体"/>
          <w:sz w:val="24"/>
          <w:szCs w:val="24"/>
        </w:rPr>
        <w:t>farnesol</w:t>
      </w:r>
      <w:r>
        <w:rPr>
          <w:rFonts w:ascii="宋体" w:cs="宋体" w:hAnsi="宋体"/>
          <w:sz w:val="24"/>
          <w:szCs w:val="24"/>
        </w:rPr>
        <w:t>, benzaldehyde, 2-heptanone and ethyl hexanoate</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Bamdad</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2016)</w:t>
      </w:r>
      <w:r>
        <w:rPr>
          <w:rFonts w:ascii="宋体" w:cs="宋体" w:hAnsi="宋体"/>
          <w:sz w:val="24"/>
          <w:szCs w:val="24"/>
        </w:rPr>
        <w:t>.</w:t>
      </w:r>
    </w:p>
    <w:bookmarkStart w:id="37" w:name="_Toc202853978"/>
    <w:p>
      <w:pPr>
        <w:pStyle w:val="style3"/>
        <w:rPr>
          <w:sz w:val="24"/>
          <w:szCs w:val="24"/>
        </w:rPr>
      </w:pPr>
      <w:r>
        <w:rPr>
          <w:sz w:val="24"/>
          <w:szCs w:val="24"/>
        </w:rPr>
        <w:t>2.</w:t>
      </w:r>
      <w:r>
        <w:rPr>
          <w:sz w:val="24"/>
          <w:szCs w:val="24"/>
        </w:rPr>
        <w:t>4</w:t>
      </w:r>
      <w:r>
        <w:rPr>
          <w:sz w:val="24"/>
          <w:szCs w:val="24"/>
        </w:rPr>
        <w:t>.1 Eugenol</w:t>
      </w:r>
      <w:bookmarkEnd w:id="37"/>
      <w:r>
        <w:rPr>
          <w:sz w:val="24"/>
          <w:szCs w:val="24"/>
        </w:rPr>
        <w:t xml:space="preserve"> </w:t>
      </w:r>
    </w:p>
    <w:p>
      <w:pPr>
        <w:pStyle w:val="style0"/>
        <w:spacing w:lineRule="auto" w:line="480"/>
        <w:ind w:firstLine="720"/>
        <w:jc w:val="both"/>
        <w:rPr>
          <w:rFonts w:ascii="宋体" w:cs="宋体" w:hAnsi="宋体"/>
          <w:sz w:val="24"/>
          <w:szCs w:val="24"/>
        </w:rPr>
      </w:pPr>
      <w:r>
        <w:rPr>
          <w:rFonts w:ascii="宋体" w:cs="宋体" w:hAnsi="宋体"/>
          <w:sz w:val="24"/>
          <w:szCs w:val="24"/>
        </w:rPr>
        <w:t>Eugenol appears as clear colorless pale yellow or amber-colored liquid. Odor of cloves. Spicy pungent taste. The compound eugenol is responsible for most of the characteristic aroma of cloves.</w:t>
      </w:r>
      <w:r>
        <w:rPr>
          <w:rFonts w:ascii="宋体" w:cs="宋体" w:hAnsi="宋体"/>
          <w:sz w:val="24"/>
          <w:szCs w:val="24"/>
        </w:rPr>
        <w:t xml:space="preserve"> </w:t>
      </w:r>
      <w:r>
        <w:rPr>
          <w:rFonts w:ascii="宋体" w:cs="宋体" w:hAnsi="宋体"/>
          <w:sz w:val="24"/>
          <w:szCs w:val="24"/>
        </w:rPr>
        <w:t xml:space="preserve">Eugenol comprises 72–90% of the essential oil extracted from </w:t>
      </w:r>
      <w:r>
        <w:rPr>
          <w:rFonts w:ascii="宋体" w:cs="宋体" w:hAnsi="宋体"/>
          <w:sz w:val="24"/>
          <w:szCs w:val="24"/>
        </w:rPr>
        <w:t>cloves, and</w:t>
      </w:r>
      <w:r>
        <w:rPr>
          <w:rFonts w:ascii="宋体" w:cs="宋体" w:hAnsi="宋体"/>
          <w:sz w:val="24"/>
          <w:szCs w:val="24"/>
        </w:rPr>
        <w:t xml:space="preserve"> is the compound most responsible for clove aroma. Complete extraction occurs at 80 minutes in pressurized water at 125 °C (257 °F)</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 xml:space="preserve">Chen </w:t>
      </w:r>
      <w:r>
        <w:rPr>
          <w:rFonts w:ascii="宋体" w:cs="宋体" w:hAnsi="宋体"/>
          <w:i/>
          <w:iCs/>
          <w:sz w:val="24"/>
          <w:szCs w:val="24"/>
        </w:rPr>
        <w:t>et al</w:t>
      </w:r>
      <w:r>
        <w:rPr>
          <w:rFonts w:ascii="宋体" w:cs="宋体" w:hAnsi="宋体"/>
          <w:sz w:val="24"/>
          <w:szCs w:val="24"/>
        </w:rPr>
        <w:t>., 2017)</w:t>
      </w:r>
      <w:r>
        <w:rPr>
          <w:rFonts w:ascii="宋体" w:cs="宋体" w:hAnsi="宋体"/>
          <w:sz w:val="24"/>
          <w:szCs w:val="24"/>
        </w:rPr>
        <w:t>.</w:t>
      </w:r>
      <w:r>
        <w:rPr>
          <w:rFonts w:ascii="宋体" w:cs="宋体" w:hAnsi="宋体"/>
          <w:sz w:val="24"/>
          <w:szCs w:val="24"/>
        </w:rPr>
        <w:t xml:space="preserve"> </w:t>
      </w:r>
      <w:r>
        <w:rPr>
          <w:rFonts w:ascii="宋体" w:cs="宋体" w:hAnsi="宋体"/>
          <w:sz w:val="24"/>
          <w:szCs w:val="24"/>
        </w:rPr>
        <w:t>Eugenol is a naturally occurring phenolic molecule found in several plants such as cinnamon, clove, and bay leaves. It has been used as a topical antiseptic as a counter-irritant and in dental preparations with zinc oxide for root canal sealing and pain control. Although not currently available in any FDA-approved products (including OTC), eugenol has been found to have anti-inflammatory, neuroprotective, antipyretic, antioxidant, antifungal and analgesic properties</w:t>
      </w:r>
      <w:r>
        <w:rPr>
          <w:rFonts w:ascii="宋体" w:cs="宋体" w:hAnsi="宋体"/>
          <w:sz w:val="24"/>
          <w:szCs w:val="24"/>
        </w:rPr>
        <w:t xml:space="preserve"> </w:t>
      </w:r>
      <w:bookmarkStart w:id="38" w:name="_Hlk185407426"/>
      <w:r>
        <w:rPr>
          <w:rFonts w:ascii="宋体" w:cs="宋体" w:hAnsi="宋体"/>
          <w:sz w:val="24"/>
          <w:szCs w:val="24"/>
        </w:rPr>
        <w:t xml:space="preserve">(Aguilar-González </w:t>
      </w:r>
      <w:r>
        <w:rPr>
          <w:rFonts w:ascii="宋体" w:cs="宋体" w:hAnsi="宋体"/>
          <w:i/>
          <w:iCs/>
          <w:sz w:val="24"/>
          <w:szCs w:val="24"/>
        </w:rPr>
        <w:t>et al</w:t>
      </w:r>
      <w:r>
        <w:rPr>
          <w:rFonts w:ascii="宋体" w:cs="宋体" w:hAnsi="宋体"/>
          <w:sz w:val="24"/>
          <w:szCs w:val="24"/>
        </w:rPr>
        <w:t>., 2015)</w:t>
      </w:r>
      <w:r>
        <w:rPr>
          <w:rFonts w:ascii="宋体" w:cs="宋体" w:hAnsi="宋体"/>
          <w:sz w:val="24"/>
          <w:szCs w:val="24"/>
        </w:rPr>
        <w:t xml:space="preserve">. </w:t>
      </w:r>
      <w:bookmarkEnd w:id="38"/>
      <w:r>
        <w:rPr>
          <w:rFonts w:ascii="宋体" w:cs="宋体" w:hAnsi="宋体"/>
          <w:sz w:val="24"/>
          <w:szCs w:val="24"/>
        </w:rPr>
        <w:t>Its exact mechanism of action is unknown; however, it has been shown to interfere with action potential conduction. There is a number of unapproved over-the-counter (OTC) products available containing eugenol that advertises its use for the treatment of toothache</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Donsì</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w:t>
      </w:r>
      <w:r>
        <w:rPr>
          <w:rFonts w:ascii="宋体" w:cs="宋体" w:hAnsi="宋体"/>
          <w:sz w:val="24"/>
          <w:szCs w:val="24"/>
        </w:rPr>
        <w:t>1</w:t>
      </w:r>
      <w:r>
        <w:rPr>
          <w:rFonts w:ascii="宋体" w:cs="宋体" w:hAnsi="宋体"/>
          <w:sz w:val="24"/>
          <w:szCs w:val="24"/>
        </w:rPr>
        <w:t>)</w:t>
      </w:r>
      <w:r>
        <w:rPr>
          <w:rFonts w:ascii="宋体" w:cs="宋体" w:hAnsi="宋体"/>
          <w:sz w:val="24"/>
          <w:szCs w:val="24"/>
        </w:rPr>
        <w:t>. Eugenol, also called clove oil, is aromatic oil extracted from cloves that is used widely as a flavoring for foods and teas and as herbal oil used topically to treat toothache and more rarely to be taken orally to treat gastrointestinal and respiratory complaints. Eugenol in therapeutic doses has not been implicated in causing serum enzyme elevations or clinically apparent liver injury, but ingestions of high doses, as with an overdose, can cause severe liver injury</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Sebaaly</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2015)</w:t>
      </w:r>
      <w:r>
        <w:rPr>
          <w:rFonts w:ascii="宋体" w:cs="宋体" w:hAnsi="宋体"/>
          <w:sz w:val="24"/>
          <w:szCs w:val="24"/>
        </w:rPr>
        <w:t>. Eugenol is an allyl chain</w:t>
      </w:r>
      <w:r>
        <w:rPr>
          <w:rFonts w:ascii="宋体" w:cs="宋体" w:hAnsi="宋体"/>
          <w:sz w:val="24"/>
          <w:szCs w:val="24"/>
        </w:rPr>
        <w:t>-</w:t>
      </w:r>
      <w:r>
        <w:rPr>
          <w:rFonts w:ascii="宋体" w:cs="宋体" w:hAnsi="宋体"/>
          <w:sz w:val="24"/>
          <w:szCs w:val="24"/>
        </w:rPr>
        <w:t>substituted guaiacol, i.e. 2-methoxy-4-(2-propenyl)</w:t>
      </w:r>
      <w:r>
        <w:rPr>
          <w:rFonts w:ascii="宋体" w:cs="宋体" w:hAnsi="宋体"/>
          <w:sz w:val="24"/>
          <w:szCs w:val="24"/>
        </w:rPr>
        <w:t xml:space="preserve"> </w:t>
      </w:r>
      <w:r>
        <w:rPr>
          <w:rFonts w:ascii="宋体" w:cs="宋体" w:hAnsi="宋体"/>
          <w:sz w:val="24"/>
          <w:szCs w:val="24"/>
        </w:rPr>
        <w:t xml:space="preserve">phenol. Eugenol is a member of the allylbenzene class of chemical compounds. It is a clear to pale yellow oily liquid extracted from certain essential oils especially from clove </w:t>
      </w:r>
      <w:r>
        <w:rPr>
          <w:rFonts w:ascii="宋体" w:cs="宋体" w:hAnsi="宋体"/>
          <w:sz w:val="24"/>
          <w:szCs w:val="24"/>
        </w:rPr>
        <w:t>oil, nutmeg, cinnamon, and bay leaf. It is slightly soluble in water and soluble in organic solvents. It has a pleasant, spicy, clove-like odor</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Vahedikia</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2019)</w:t>
      </w:r>
      <w:r>
        <w:rPr>
          <w:rFonts w:ascii="宋体" w:cs="宋体" w:hAnsi="宋体"/>
          <w:sz w:val="24"/>
          <w:szCs w:val="24"/>
        </w:rPr>
        <w:t xml:space="preserve">. Eugenol is used in perfumeries, flavorings, essential oils and in medicine as a local antiseptic and anesthetic. It was used in the production of isoeugenol for the manufacture of vanillin, though most vanillin is now produced from petrochemicals or from by-products of paper manufactures </w:t>
      </w:r>
      <w:bookmarkStart w:id="39" w:name="_Hlk185408121"/>
      <w:r>
        <w:rPr>
          <w:rFonts w:ascii="宋体" w:cs="宋体" w:hAnsi="宋体"/>
          <w:sz w:val="24"/>
          <w:szCs w:val="24"/>
        </w:rPr>
        <w:t>(</w:t>
      </w:r>
      <w:r>
        <w:rPr>
          <w:rFonts w:ascii="宋体" w:cs="宋体" w:hAnsi="宋体"/>
          <w:sz w:val="24"/>
          <w:szCs w:val="24"/>
        </w:rPr>
        <w:t>Assadpour</w:t>
      </w:r>
      <w:r>
        <w:rPr>
          <w:rFonts w:ascii="宋体" w:cs="宋体" w:hAnsi="宋体"/>
          <w:sz w:val="24"/>
          <w:szCs w:val="24"/>
        </w:rPr>
        <w:t xml:space="preserve"> and Mahdi, 2019)</w:t>
      </w:r>
      <w:r>
        <w:rPr>
          <w:rFonts w:ascii="宋体" w:cs="宋体" w:hAnsi="宋体"/>
          <w:sz w:val="24"/>
          <w:szCs w:val="24"/>
        </w:rPr>
        <w:t>.</w:t>
      </w:r>
    </w:p>
    <w:bookmarkEnd w:id="39"/>
    <w:p>
      <w:pPr>
        <w:pStyle w:val="style0"/>
        <w:spacing w:lineRule="auto" w:line="480"/>
        <w:ind w:firstLine="720"/>
        <w:jc w:val="both"/>
        <w:rPr>
          <w:rFonts w:ascii="宋体" w:cs="宋体" w:hAnsi="宋体"/>
          <w:sz w:val="24"/>
          <w:szCs w:val="24"/>
        </w:rPr>
      </w:pPr>
      <w:r>
        <w:rPr>
          <w:rFonts w:ascii="宋体" w:cs="宋体" w:hAnsi="宋体"/>
          <w:sz w:val="24"/>
          <w:szCs w:val="24"/>
        </w:rPr>
        <w:t>Eugenol is a phenylpropanoid formally derived from guaiacol with an allyl chain substituted para to the hydroxy group. It is a major component of clove essential oil, and exhibits antibacterial, analgesic and antioxidant properties. It has been widely used in dentistry to treat toothache and pulpitis</w:t>
      </w:r>
      <w:r>
        <w:rPr>
          <w:rFonts w:ascii="宋体" w:cs="宋体" w:hAnsi="宋体"/>
          <w:sz w:val="24"/>
          <w:szCs w:val="24"/>
        </w:rPr>
        <w:t xml:space="preserve"> </w:t>
      </w:r>
      <w:r>
        <w:rPr>
          <w:rFonts w:ascii="宋体" w:cs="宋体" w:hAnsi="宋体"/>
          <w:sz w:val="24"/>
          <w:szCs w:val="24"/>
        </w:rPr>
        <w:t xml:space="preserve">(Ribeiro-Santos </w:t>
      </w:r>
      <w:r>
        <w:rPr>
          <w:rFonts w:ascii="宋体" w:cs="宋体" w:hAnsi="宋体"/>
          <w:i/>
          <w:iCs/>
          <w:sz w:val="24"/>
          <w:szCs w:val="24"/>
        </w:rPr>
        <w:t>et al</w:t>
      </w:r>
      <w:r>
        <w:rPr>
          <w:rFonts w:ascii="宋体" w:cs="宋体" w:hAnsi="宋体"/>
          <w:sz w:val="24"/>
          <w:szCs w:val="24"/>
        </w:rPr>
        <w:t>., 2017)</w:t>
      </w:r>
      <w:r>
        <w:rPr>
          <w:rFonts w:ascii="宋体" w:cs="宋体" w:hAnsi="宋体"/>
          <w:sz w:val="24"/>
          <w:szCs w:val="24"/>
        </w:rPr>
        <w:t xml:space="preserve">. </w:t>
      </w:r>
      <w:r>
        <w:rPr>
          <w:rFonts w:ascii="宋体" w:cs="宋体" w:hAnsi="宋体"/>
          <w:sz w:val="24"/>
          <w:szCs w:val="24"/>
        </w:rPr>
        <w:t xml:space="preserve"> It has a role as an allergen, a human blood serum metabolite, a </w:t>
      </w:r>
      <w:r>
        <w:rPr>
          <w:rFonts w:ascii="宋体" w:cs="宋体" w:hAnsi="宋体"/>
          <w:sz w:val="24"/>
          <w:szCs w:val="24"/>
        </w:rPr>
        <w:t>sensitiser</w:t>
      </w:r>
      <w:r>
        <w:rPr>
          <w:rFonts w:ascii="宋体" w:cs="宋体" w:hAnsi="宋体"/>
          <w:sz w:val="24"/>
          <w:szCs w:val="24"/>
        </w:rPr>
        <w:t xml:space="preserve">, a volatile oil component, a </w:t>
      </w:r>
      <w:r>
        <w:rPr>
          <w:rFonts w:ascii="宋体" w:cs="宋体" w:hAnsi="宋体"/>
          <w:sz w:val="24"/>
          <w:szCs w:val="24"/>
        </w:rPr>
        <w:t>flavouring</w:t>
      </w:r>
      <w:r>
        <w:rPr>
          <w:rFonts w:ascii="宋体" w:cs="宋体" w:hAnsi="宋体"/>
          <w:sz w:val="24"/>
          <w:szCs w:val="24"/>
        </w:rPr>
        <w:t xml:space="preserve"> agent, an EC 1.4.3.4 (monoamine oxidase) inhibitor, a radical scavenger, an antibacterial agent, an antineoplastic agent, an apoptosis inducer, an anesthetic, an analgesic, a voltage-gated sodium channel blocker, a NF-</w:t>
      </w:r>
      <w:r>
        <w:rPr>
          <w:rFonts w:ascii="宋体" w:cs="宋体" w:hAnsi="宋体"/>
          <w:sz w:val="24"/>
          <w:szCs w:val="24"/>
        </w:rPr>
        <w:t>kappaB</w:t>
      </w:r>
      <w:r>
        <w:rPr>
          <w:rFonts w:ascii="宋体" w:cs="宋体" w:hAnsi="宋体"/>
          <w:sz w:val="24"/>
          <w:szCs w:val="24"/>
        </w:rPr>
        <w:t xml:space="preserve"> inhibitor and an anti-inflammatory agent. It is a phenylpropanoid, a </w:t>
      </w:r>
      <w:r>
        <w:rPr>
          <w:rFonts w:ascii="宋体" w:cs="宋体" w:hAnsi="宋体"/>
          <w:sz w:val="24"/>
          <w:szCs w:val="24"/>
        </w:rPr>
        <w:t>monomethoxybenzene</w:t>
      </w:r>
      <w:r>
        <w:rPr>
          <w:rFonts w:ascii="宋体" w:cs="宋体" w:hAnsi="宋体"/>
          <w:sz w:val="24"/>
          <w:szCs w:val="24"/>
        </w:rPr>
        <w:t xml:space="preserve">, a member of phenols and an </w:t>
      </w:r>
      <w:r>
        <w:rPr>
          <w:rFonts w:ascii="宋体" w:cs="宋体" w:hAnsi="宋体"/>
          <w:sz w:val="24"/>
          <w:szCs w:val="24"/>
        </w:rPr>
        <w:t>alkenylbenzene</w:t>
      </w:r>
      <w:r>
        <w:rPr>
          <w:rFonts w:ascii="宋体" w:cs="宋体" w:hAnsi="宋体"/>
          <w:sz w:val="24"/>
          <w:szCs w:val="24"/>
        </w:rPr>
        <w:t xml:space="preserve">. It is functionally related to a guaiacol </w:t>
      </w:r>
      <w:r>
        <w:rPr>
          <w:rFonts w:ascii="宋体" w:cs="宋体" w:hAnsi="宋体"/>
          <w:sz w:val="24"/>
          <w:szCs w:val="24"/>
        </w:rPr>
        <w:t>(</w:t>
      </w:r>
      <w:r>
        <w:rPr>
          <w:rFonts w:ascii="宋体" w:cs="宋体" w:hAnsi="宋体"/>
          <w:sz w:val="24"/>
          <w:szCs w:val="24"/>
        </w:rPr>
        <w:t>Zhelyazkov</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2022)</w:t>
      </w:r>
      <w:r>
        <w:rPr>
          <w:rFonts w:ascii="宋体" w:cs="宋体" w:hAnsi="宋体"/>
          <w:sz w:val="24"/>
          <w:szCs w:val="24"/>
        </w:rPr>
        <w:t>.</w:t>
      </w:r>
    </w:p>
    <w:bookmarkStart w:id="40" w:name="_Toc202853979"/>
    <w:p>
      <w:pPr>
        <w:pStyle w:val="style3"/>
        <w:rPr>
          <w:sz w:val="24"/>
          <w:szCs w:val="24"/>
        </w:rPr>
      </w:pPr>
      <w:r>
        <w:rPr>
          <w:sz w:val="24"/>
          <w:szCs w:val="24"/>
        </w:rPr>
        <w:t>2.</w:t>
      </w:r>
      <w:r>
        <w:rPr>
          <w:sz w:val="24"/>
          <w:szCs w:val="24"/>
        </w:rPr>
        <w:t>4</w:t>
      </w:r>
      <w:r>
        <w:rPr>
          <w:sz w:val="24"/>
          <w:szCs w:val="24"/>
        </w:rPr>
        <w:t>.2 Acetyl Eugenol</w:t>
      </w:r>
      <w:bookmarkEnd w:id="40"/>
    </w:p>
    <w:p>
      <w:pPr>
        <w:pStyle w:val="style0"/>
        <w:spacing w:lineRule="auto" w:line="480"/>
        <w:ind w:firstLine="720"/>
        <w:jc w:val="both"/>
        <w:rPr>
          <w:rFonts w:ascii="宋体" w:cs="宋体" w:hAnsi="宋体"/>
          <w:sz w:val="24"/>
          <w:szCs w:val="24"/>
        </w:rPr>
      </w:pPr>
      <w:r>
        <w:rPr>
          <w:rFonts w:ascii="宋体" w:cs="宋体" w:hAnsi="宋体"/>
          <w:sz w:val="24"/>
          <w:szCs w:val="24"/>
        </w:rPr>
        <w:t>Acetyl</w:t>
      </w:r>
      <w:r>
        <w:rPr>
          <w:rFonts w:ascii="宋体" w:cs="宋体" w:hAnsi="宋体"/>
          <w:sz w:val="24"/>
          <w:szCs w:val="24"/>
        </w:rPr>
        <w:t xml:space="preserve"> </w:t>
      </w:r>
      <w:r>
        <w:rPr>
          <w:rFonts w:ascii="宋体" w:cs="宋体" w:hAnsi="宋体"/>
          <w:sz w:val="24"/>
          <w:szCs w:val="24"/>
        </w:rPr>
        <w:t>eugenol is a phenylpropanoid compound found in cloves. It is the second in abundance to the related compound eugenol in certain extract preparations.</w:t>
      </w:r>
      <w:r>
        <w:t xml:space="preserve"> </w:t>
      </w:r>
      <w:r>
        <w:rPr>
          <w:rFonts w:ascii="宋体" w:cs="宋体" w:hAnsi="宋体"/>
          <w:sz w:val="24"/>
          <w:szCs w:val="24"/>
        </w:rPr>
        <w:t>Eugenol acetate (</w:t>
      </w:r>
      <w:r>
        <w:rPr>
          <w:rFonts w:ascii="宋体" w:cs="宋体" w:hAnsi="宋体"/>
          <w:sz w:val="24"/>
          <w:szCs w:val="24"/>
        </w:rPr>
        <w:t>Eugenyl</w:t>
      </w:r>
      <w:r>
        <w:rPr>
          <w:rFonts w:ascii="宋体" w:cs="宋体" w:hAnsi="宋体"/>
          <w:sz w:val="24"/>
          <w:szCs w:val="24"/>
        </w:rPr>
        <w:t xml:space="preserve"> acetate), a major phytochemical constituent of the essential oil exhibits antibacterial, antioxidant, and anti</w:t>
      </w:r>
      <w:r>
        <w:rPr>
          <w:rFonts w:ascii="宋体" w:cs="宋体" w:hAnsi="宋体"/>
          <w:sz w:val="24"/>
          <w:szCs w:val="24"/>
        </w:rPr>
        <w:t>-</w:t>
      </w:r>
      <w:r>
        <w:rPr>
          <w:rFonts w:ascii="宋体" w:cs="宋体" w:hAnsi="宋体"/>
          <w:sz w:val="24"/>
          <w:szCs w:val="24"/>
        </w:rPr>
        <w:t>virulence activities</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Haro</w:t>
      </w:r>
      <w:r>
        <w:rPr>
          <w:rFonts w:ascii="宋体" w:cs="宋体" w:hAnsi="宋体"/>
          <w:sz w:val="24"/>
          <w:szCs w:val="24"/>
        </w:rPr>
        <w:t xml:space="preserve">-González </w:t>
      </w:r>
      <w:r>
        <w:rPr>
          <w:rFonts w:ascii="宋体" w:cs="宋体" w:hAnsi="宋体"/>
          <w:i/>
          <w:iCs/>
          <w:sz w:val="24"/>
          <w:szCs w:val="24"/>
        </w:rPr>
        <w:t>et al</w:t>
      </w:r>
      <w:r>
        <w:rPr>
          <w:rFonts w:ascii="宋体" w:cs="宋体" w:hAnsi="宋体"/>
          <w:sz w:val="24"/>
          <w:szCs w:val="24"/>
        </w:rPr>
        <w:t>., 2021)</w:t>
      </w:r>
      <w:r>
        <w:rPr>
          <w:rFonts w:ascii="宋体" w:cs="宋体" w:hAnsi="宋体"/>
          <w:sz w:val="24"/>
          <w:szCs w:val="24"/>
        </w:rPr>
        <w:t>. Eugenol acetate (</w:t>
      </w:r>
      <w:r>
        <w:rPr>
          <w:rFonts w:ascii="宋体" w:cs="宋体" w:hAnsi="宋体"/>
          <w:sz w:val="24"/>
          <w:szCs w:val="24"/>
        </w:rPr>
        <w:t>Eugenyl</w:t>
      </w:r>
      <w:r>
        <w:rPr>
          <w:rFonts w:ascii="宋体" w:cs="宋体" w:hAnsi="宋体"/>
          <w:sz w:val="24"/>
          <w:szCs w:val="24"/>
        </w:rPr>
        <w:t xml:space="preserve"> acetate), a phytochemical in clove essential oil, against clinical isolates of Candida </w:t>
      </w:r>
      <w:r>
        <w:rPr>
          <w:rFonts w:ascii="宋体" w:cs="宋体" w:hAnsi="宋体"/>
          <w:sz w:val="24"/>
          <w:szCs w:val="24"/>
        </w:rPr>
        <w:t>albicans</w:t>
      </w:r>
      <w:r>
        <w:rPr>
          <w:rFonts w:ascii="宋体" w:cs="宋体" w:hAnsi="宋体"/>
          <w:sz w:val="24"/>
          <w:szCs w:val="24"/>
        </w:rPr>
        <w:t xml:space="preserve">, Candida </w:t>
      </w:r>
      <w:r>
        <w:rPr>
          <w:rFonts w:ascii="宋体" w:cs="宋体" w:hAnsi="宋体"/>
          <w:sz w:val="24"/>
          <w:szCs w:val="24"/>
        </w:rPr>
        <w:t>parapsilosis</w:t>
      </w:r>
      <w:r>
        <w:rPr>
          <w:rFonts w:ascii="宋体" w:cs="宋体" w:hAnsi="宋体"/>
          <w:sz w:val="24"/>
          <w:szCs w:val="24"/>
        </w:rPr>
        <w:t>, Candida tropicalis, and Candida glabrata. It inhibits aggregation and alters arachidonic acid metabolism in human blood platelets</w:t>
      </w:r>
      <w:r>
        <w:rPr>
          <w:rFonts w:ascii="宋体" w:cs="宋体" w:hAnsi="宋体"/>
          <w:sz w:val="24"/>
          <w:szCs w:val="24"/>
        </w:rPr>
        <w:t xml:space="preserve"> </w:t>
      </w:r>
      <w:r>
        <w:rPr>
          <w:rFonts w:ascii="宋体" w:cs="宋体" w:hAnsi="宋体"/>
          <w:sz w:val="24"/>
          <w:szCs w:val="24"/>
        </w:rPr>
        <w:t xml:space="preserve">(Cortés-Rojas </w:t>
      </w:r>
      <w:r>
        <w:rPr>
          <w:rFonts w:ascii="宋体" w:cs="宋体" w:hAnsi="宋体"/>
          <w:i/>
          <w:iCs/>
          <w:sz w:val="24"/>
          <w:szCs w:val="24"/>
        </w:rPr>
        <w:t>et al</w:t>
      </w:r>
      <w:r>
        <w:rPr>
          <w:rFonts w:ascii="宋体" w:cs="宋体" w:hAnsi="宋体"/>
          <w:sz w:val="24"/>
          <w:szCs w:val="24"/>
        </w:rPr>
        <w:t>., 2014)</w:t>
      </w:r>
      <w:r>
        <w:rPr>
          <w:rFonts w:ascii="宋体" w:cs="宋体" w:hAnsi="宋体"/>
          <w:sz w:val="24"/>
          <w:szCs w:val="24"/>
        </w:rPr>
        <w:t xml:space="preserve">. In </w:t>
      </w:r>
      <w:r>
        <w:rPr>
          <w:rFonts w:ascii="宋体" w:cs="宋体" w:hAnsi="宋体"/>
          <w:sz w:val="24"/>
          <w:szCs w:val="24"/>
        </w:rPr>
        <w:t xml:space="preserve">high doses, however, eugenol appears to be a direct cytotoxin and several instances of severe acute liver and kidney injury have been reported after accidental overdose of eugenol containing herbal products, largely in children </w:t>
      </w:r>
      <w:r>
        <w:rPr>
          <w:rFonts w:ascii="宋体" w:cs="宋体" w:hAnsi="宋体"/>
          <w:sz w:val="24"/>
          <w:szCs w:val="24"/>
        </w:rPr>
        <w:t>(</w:t>
      </w:r>
      <w:r>
        <w:rPr>
          <w:rFonts w:ascii="宋体" w:cs="宋体" w:hAnsi="宋体"/>
          <w:sz w:val="24"/>
          <w:szCs w:val="24"/>
        </w:rPr>
        <w:t>Assadpour</w:t>
      </w:r>
      <w:r>
        <w:rPr>
          <w:rFonts w:ascii="宋体" w:cs="宋体" w:hAnsi="宋体"/>
          <w:sz w:val="24"/>
          <w:szCs w:val="24"/>
        </w:rPr>
        <w:t xml:space="preserve"> and Mahdi, 2019).</w:t>
      </w:r>
    </w:p>
    <w:bookmarkStart w:id="41" w:name="_Toc202853980"/>
    <w:p>
      <w:pPr>
        <w:pStyle w:val="style3"/>
        <w:rPr>
          <w:sz w:val="24"/>
          <w:szCs w:val="24"/>
        </w:rPr>
      </w:pPr>
      <w:r>
        <w:rPr>
          <w:sz w:val="24"/>
          <w:szCs w:val="24"/>
        </w:rPr>
        <w:t>2.</w:t>
      </w:r>
      <w:r>
        <w:rPr>
          <w:sz w:val="24"/>
          <w:szCs w:val="24"/>
        </w:rPr>
        <w:t>4</w:t>
      </w:r>
      <w:r>
        <w:rPr>
          <w:sz w:val="24"/>
          <w:szCs w:val="24"/>
        </w:rPr>
        <w:t>.3 β-Caryophyllene</w:t>
      </w:r>
      <w:bookmarkEnd w:id="41"/>
    </w:p>
    <w:p>
      <w:pPr>
        <w:pStyle w:val="style0"/>
        <w:spacing w:lineRule="auto" w:line="480"/>
        <w:ind w:firstLine="720"/>
        <w:jc w:val="both"/>
        <w:rPr>
          <w:rFonts w:ascii="宋体" w:cs="宋体" w:hAnsi="宋体"/>
          <w:sz w:val="24"/>
          <w:szCs w:val="24"/>
        </w:rPr>
      </w:pPr>
      <w:r>
        <w:rPr>
          <w:rFonts w:ascii="宋体" w:cs="宋体" w:hAnsi="宋体"/>
          <w:sz w:val="24"/>
          <w:szCs w:val="24"/>
        </w:rPr>
        <w:t xml:space="preserve">Caryophyllene, more formally-β-caryophyllene, is a natural bicyclic sesquiterpene that is a constituent of many essential oils, especially clove oil, the oil from the stems and flowers of </w:t>
      </w:r>
      <w:r>
        <w:rPr>
          <w:rFonts w:ascii="宋体" w:cs="宋体" w:hAnsi="宋体"/>
          <w:i/>
          <w:iCs/>
          <w:sz w:val="24"/>
          <w:szCs w:val="24"/>
        </w:rPr>
        <w:t>Syzygium</w:t>
      </w:r>
      <w:r>
        <w:rPr>
          <w:rFonts w:ascii="宋体" w:cs="宋体" w:hAnsi="宋体"/>
          <w:i/>
          <w:iCs/>
          <w:sz w:val="24"/>
          <w:szCs w:val="24"/>
        </w:rPr>
        <w:t xml:space="preserve"> </w:t>
      </w:r>
      <w:r>
        <w:rPr>
          <w:rFonts w:ascii="宋体" w:cs="宋体" w:hAnsi="宋体"/>
          <w:i/>
          <w:iCs/>
          <w:sz w:val="24"/>
          <w:szCs w:val="24"/>
        </w:rPr>
        <w:t>aromaticum</w:t>
      </w:r>
      <w:r>
        <w:rPr>
          <w:rFonts w:ascii="宋体" w:cs="宋体" w:hAnsi="宋体"/>
          <w:sz w:val="24"/>
          <w:szCs w:val="24"/>
        </w:rPr>
        <w:t>, the essential oil of Cannabis sativa, copaiba, rosemary, and hops. Beta-caryophyllene is found in a variety of different spices and herbs. It's an effective anti-inflammatory, antimicrobial, and mood enhancer. You can find this particular terpene in basil, rosemary, cinnamon, oregano, cloves, lavender, and black pepper. Surprisingly, this terpene can also be found in broccoli</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Nuñez</w:t>
      </w:r>
      <w:r>
        <w:rPr>
          <w:rFonts w:ascii="宋体" w:cs="宋体" w:hAnsi="宋体"/>
          <w:sz w:val="24"/>
          <w:szCs w:val="24"/>
        </w:rPr>
        <w:t xml:space="preserve"> </w:t>
      </w:r>
      <w:r>
        <w:rPr>
          <w:rFonts w:ascii="宋体" w:cs="宋体" w:hAnsi="宋体"/>
          <w:sz w:val="24"/>
          <w:szCs w:val="24"/>
        </w:rPr>
        <w:t>and</w:t>
      </w:r>
      <w:r>
        <w:rPr>
          <w:rFonts w:ascii="宋体" w:cs="宋体" w:hAnsi="宋体"/>
          <w:sz w:val="24"/>
          <w:szCs w:val="24"/>
        </w:rPr>
        <w:t xml:space="preserve"> </w:t>
      </w:r>
      <w:r>
        <w:rPr>
          <w:rFonts w:ascii="宋体" w:cs="宋体" w:hAnsi="宋体"/>
          <w:sz w:val="24"/>
          <w:szCs w:val="24"/>
        </w:rPr>
        <w:t>D'Aquino</w:t>
      </w:r>
      <w:r>
        <w:rPr>
          <w:rFonts w:ascii="宋体" w:cs="宋体" w:hAnsi="宋体"/>
          <w:sz w:val="24"/>
          <w:szCs w:val="24"/>
        </w:rPr>
        <w:t>, 2012)</w:t>
      </w:r>
      <w:r>
        <w:rPr>
          <w:rFonts w:ascii="宋体" w:cs="宋体" w:hAnsi="宋体"/>
          <w:sz w:val="24"/>
          <w:szCs w:val="24"/>
        </w:rPr>
        <w:t>.</w:t>
      </w:r>
    </w:p>
    <w:bookmarkStart w:id="42" w:name="_Toc202853981"/>
    <w:p>
      <w:pPr>
        <w:pStyle w:val="style3"/>
        <w:rPr>
          <w:sz w:val="24"/>
          <w:szCs w:val="24"/>
        </w:rPr>
      </w:pPr>
      <w:r>
        <w:rPr>
          <w:sz w:val="24"/>
          <w:szCs w:val="24"/>
        </w:rPr>
        <w:t>2.</w:t>
      </w:r>
      <w:r>
        <w:rPr>
          <w:sz w:val="24"/>
          <w:szCs w:val="24"/>
        </w:rPr>
        <w:t>4</w:t>
      </w:r>
      <w:r>
        <w:rPr>
          <w:sz w:val="24"/>
          <w:szCs w:val="24"/>
        </w:rPr>
        <w:t>.4 α-Humulene</w:t>
      </w:r>
      <w:bookmarkEnd w:id="42"/>
    </w:p>
    <w:p>
      <w:pPr>
        <w:pStyle w:val="style0"/>
        <w:spacing w:lineRule="auto" w:line="480"/>
        <w:ind w:firstLine="720"/>
        <w:jc w:val="both"/>
        <w:rPr>
          <w:rFonts w:ascii="宋体" w:cs="宋体" w:hAnsi="宋体"/>
          <w:sz w:val="24"/>
          <w:szCs w:val="24"/>
        </w:rPr>
      </w:pPr>
      <w:r>
        <w:rPr>
          <w:rFonts w:ascii="宋体" w:cs="宋体" w:hAnsi="宋体"/>
          <w:sz w:val="24"/>
          <w:szCs w:val="24"/>
        </w:rPr>
        <w:t>Humulene, also known as α-humulene or α-caryophyllene, is a naturally occurring monocyclic sesquiterpene, containing an 11-membered ring and consisting of 3 isoprene units containing three non</w:t>
      </w:r>
      <w:r>
        <w:rPr>
          <w:rFonts w:ascii="宋体" w:cs="宋体" w:hAnsi="宋体"/>
          <w:sz w:val="24"/>
          <w:szCs w:val="24"/>
        </w:rPr>
        <w:t>-</w:t>
      </w:r>
      <w:r>
        <w:rPr>
          <w:rFonts w:ascii="宋体" w:cs="宋体" w:hAnsi="宋体"/>
          <w:sz w:val="24"/>
          <w:szCs w:val="24"/>
        </w:rPr>
        <w:t>conjugated C=C double bonds, two of them being triply substituted and one being doubly substituted. Humulene is found in the flowering cone of the hops plant. It is also present in marsh elders and a wide array of herbs and spices, including; sage, basil, clove, black pepper, coriander, and balsam fir tree</w:t>
      </w:r>
      <w:r>
        <w:rPr>
          <w:rFonts w:ascii="宋体" w:cs="宋体" w:hAnsi="宋体"/>
          <w:sz w:val="24"/>
          <w:szCs w:val="24"/>
        </w:rPr>
        <w:t xml:space="preserve"> </w:t>
      </w:r>
      <w:r>
        <w:rPr>
          <w:rFonts w:ascii="宋体" w:cs="宋体" w:hAnsi="宋体"/>
          <w:sz w:val="24"/>
          <w:szCs w:val="24"/>
        </w:rPr>
        <w:t xml:space="preserve">(Matan </w:t>
      </w:r>
      <w:r>
        <w:rPr>
          <w:rFonts w:ascii="宋体" w:cs="宋体" w:hAnsi="宋体"/>
          <w:i/>
          <w:iCs/>
          <w:sz w:val="24"/>
          <w:szCs w:val="24"/>
        </w:rPr>
        <w:t>et al</w:t>
      </w:r>
      <w:r>
        <w:rPr>
          <w:rFonts w:ascii="宋体" w:cs="宋体" w:hAnsi="宋体"/>
          <w:sz w:val="24"/>
          <w:szCs w:val="24"/>
        </w:rPr>
        <w:t>., 2016)</w:t>
      </w:r>
      <w:r>
        <w:rPr>
          <w:rFonts w:ascii="宋体" w:cs="宋体" w:hAnsi="宋体"/>
          <w:sz w:val="24"/>
          <w:szCs w:val="24"/>
        </w:rPr>
        <w:t xml:space="preserve">. </w:t>
      </w:r>
    </w:p>
    <w:bookmarkStart w:id="43" w:name="_Toc202853982"/>
    <w:p>
      <w:pPr>
        <w:pStyle w:val="style3"/>
        <w:rPr>
          <w:sz w:val="24"/>
          <w:szCs w:val="24"/>
        </w:rPr>
      </w:pPr>
      <w:r>
        <w:rPr>
          <w:sz w:val="24"/>
          <w:szCs w:val="24"/>
        </w:rPr>
        <w:t>2.</w:t>
      </w:r>
      <w:r>
        <w:rPr>
          <w:sz w:val="24"/>
          <w:szCs w:val="24"/>
        </w:rPr>
        <w:t>4</w:t>
      </w:r>
      <w:r>
        <w:rPr>
          <w:sz w:val="24"/>
          <w:szCs w:val="24"/>
        </w:rPr>
        <w:t>.5 α-Caryophyllene Oxide</w:t>
      </w:r>
      <w:bookmarkEnd w:id="43"/>
    </w:p>
    <w:p>
      <w:pPr>
        <w:pStyle w:val="style0"/>
        <w:spacing w:lineRule="auto" w:line="480"/>
        <w:ind w:firstLine="720"/>
        <w:jc w:val="both"/>
        <w:rPr>
          <w:rFonts w:ascii="宋体" w:cs="宋体" w:hAnsi="宋体"/>
          <w:sz w:val="24"/>
          <w:szCs w:val="24"/>
        </w:rPr>
      </w:pPr>
      <w:r>
        <w:rPr>
          <w:rFonts w:ascii="宋体" w:cs="宋体" w:hAnsi="宋体"/>
          <w:sz w:val="24"/>
          <w:szCs w:val="24"/>
        </w:rPr>
        <w:t>Caryophyllene oxide is a sesquiterpene that results from the oxidation of β-caryophyllene, which can occur during the harvest's cure. It is also considered non-toxic, non-sensitizing, and has been indicated as an anticoagulant with platelets</w:t>
      </w:r>
      <w:r>
        <w:rPr>
          <w:rFonts w:ascii="宋体" w:cs="宋体" w:hAnsi="宋体"/>
          <w:sz w:val="24"/>
          <w:szCs w:val="24"/>
        </w:rPr>
        <w:t xml:space="preserve"> </w:t>
      </w:r>
      <w:r>
        <w:rPr>
          <w:rFonts w:ascii="宋体" w:cs="宋体" w:hAnsi="宋体"/>
          <w:sz w:val="24"/>
          <w:szCs w:val="24"/>
        </w:rPr>
        <w:t xml:space="preserve">(Bajpai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2012)</w:t>
      </w:r>
      <w:r>
        <w:rPr>
          <w:rFonts w:ascii="宋体" w:cs="宋体" w:hAnsi="宋体"/>
          <w:sz w:val="24"/>
          <w:szCs w:val="24"/>
        </w:rPr>
        <w:t>.</w:t>
      </w:r>
    </w:p>
    <w:bookmarkStart w:id="44" w:name="_Toc202853983"/>
    <w:p>
      <w:pPr>
        <w:pStyle w:val="style3"/>
        <w:rPr>
          <w:sz w:val="24"/>
          <w:szCs w:val="24"/>
        </w:rPr>
      </w:pPr>
      <w:r>
        <w:rPr>
          <w:sz w:val="24"/>
          <w:szCs w:val="24"/>
        </w:rPr>
        <w:t>2.</w:t>
      </w:r>
      <w:r>
        <w:rPr>
          <w:sz w:val="24"/>
          <w:szCs w:val="24"/>
        </w:rPr>
        <w:t>4</w:t>
      </w:r>
      <w:r>
        <w:rPr>
          <w:sz w:val="24"/>
          <w:szCs w:val="24"/>
        </w:rPr>
        <w:t>.6 α-Murolene and γ-Murolene</w:t>
      </w:r>
      <w:bookmarkEnd w:id="44"/>
    </w:p>
    <w:p>
      <w:pPr>
        <w:pStyle w:val="style0"/>
        <w:spacing w:lineRule="auto" w:line="480"/>
        <w:ind w:firstLine="720"/>
        <w:jc w:val="both"/>
        <w:rPr>
          <w:rFonts w:ascii="宋体" w:cs="宋体" w:hAnsi="宋体"/>
          <w:sz w:val="24"/>
          <w:szCs w:val="24"/>
        </w:rPr>
      </w:pPr>
      <w:r>
        <w:rPr>
          <w:rFonts w:ascii="宋体" w:cs="宋体" w:hAnsi="宋体"/>
          <w:sz w:val="24"/>
          <w:szCs w:val="24"/>
        </w:rPr>
        <w:t>These have been shown to have effects on health, including antioxidant and anti-inflammatory activities. Murolene has also been shown to inhibit protein targets involved in cancer cell proliferation. The compound may be used as an additive for flavorings, fragrances, and other cosmetics</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Li</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2012)</w:t>
      </w:r>
      <w:r>
        <w:rPr>
          <w:rFonts w:ascii="宋体" w:cs="宋体" w:hAnsi="宋体"/>
          <w:sz w:val="24"/>
          <w:szCs w:val="24"/>
        </w:rPr>
        <w:t>.</w:t>
      </w:r>
    </w:p>
    <w:bookmarkStart w:id="45" w:name="_Toc202853984"/>
    <w:p>
      <w:pPr>
        <w:pStyle w:val="style3"/>
        <w:rPr>
          <w:sz w:val="24"/>
          <w:szCs w:val="24"/>
        </w:rPr>
      </w:pPr>
      <w:r>
        <w:rPr>
          <w:sz w:val="24"/>
          <w:szCs w:val="24"/>
        </w:rPr>
        <w:t>2.</w:t>
      </w:r>
      <w:r>
        <w:rPr>
          <w:sz w:val="24"/>
          <w:szCs w:val="24"/>
        </w:rPr>
        <w:t>4</w:t>
      </w:r>
      <w:r>
        <w:rPr>
          <w:sz w:val="24"/>
          <w:szCs w:val="24"/>
        </w:rPr>
        <w:t>.7 α-Selinene and β-Selinene</w:t>
      </w:r>
      <w:bookmarkEnd w:id="45"/>
    </w:p>
    <w:p>
      <w:pPr>
        <w:pStyle w:val="style0"/>
        <w:spacing w:lineRule="auto" w:line="480"/>
        <w:ind w:firstLine="720"/>
        <w:jc w:val="both"/>
        <w:rPr>
          <w:rFonts w:ascii="宋体" w:cs="宋体" w:hAnsi="宋体"/>
          <w:sz w:val="24"/>
          <w:szCs w:val="24"/>
        </w:rPr>
      </w:pPr>
      <w:r>
        <w:rPr>
          <w:rFonts w:ascii="宋体" w:cs="宋体" w:hAnsi="宋体"/>
          <w:sz w:val="24"/>
          <w:szCs w:val="24"/>
        </w:rPr>
        <w:t>α -Selinene and β-selinene are the most common and are two of the principal components of the oil from celery seeds and clove. γ</w:t>
      </w:r>
      <w:r>
        <w:rPr>
          <w:rFonts w:ascii="宋体" w:cs="宋体" w:hAnsi="宋体"/>
          <w:sz w:val="24"/>
          <w:szCs w:val="24"/>
        </w:rPr>
        <w:t>-</w:t>
      </w:r>
      <w:r>
        <w:rPr>
          <w:rFonts w:ascii="宋体" w:cs="宋体" w:hAnsi="宋体"/>
          <w:sz w:val="24"/>
          <w:szCs w:val="24"/>
        </w:rPr>
        <w:t>Selinene and δ-selinene are less common. Any eukaryotic</w:t>
      </w:r>
      <w:r>
        <w:rPr>
          <w:rFonts w:ascii="宋体" w:cs="宋体" w:hAnsi="宋体"/>
          <w:sz w:val="24"/>
          <w:szCs w:val="24"/>
        </w:rPr>
        <w:t xml:space="preserve"> </w:t>
      </w:r>
      <w:r>
        <w:rPr>
          <w:rFonts w:ascii="宋体" w:cs="宋体" w:hAnsi="宋体"/>
          <w:sz w:val="24"/>
          <w:szCs w:val="24"/>
        </w:rPr>
        <w:t>metabolite produced during a metabolic reaction in plants, the kingdom that include flowering plants, conifers and other gymnosperms</w:t>
      </w:r>
      <w:r>
        <w:rPr>
          <w:rFonts w:ascii="宋体" w:cs="宋体" w:hAnsi="宋体"/>
          <w:sz w:val="24"/>
          <w:szCs w:val="24"/>
        </w:rPr>
        <w:t xml:space="preserve"> </w:t>
      </w:r>
      <w:r>
        <w:rPr>
          <w:rFonts w:ascii="宋体" w:cs="宋体" w:hAnsi="宋体"/>
          <w:sz w:val="24"/>
          <w:szCs w:val="24"/>
        </w:rPr>
        <w:t>(Delgado-</w:t>
      </w:r>
      <w:r>
        <w:rPr>
          <w:rFonts w:ascii="宋体" w:cs="宋体" w:hAnsi="宋体"/>
          <w:sz w:val="24"/>
          <w:szCs w:val="24"/>
        </w:rPr>
        <w:t>Adámez</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2012)</w:t>
      </w:r>
      <w:r>
        <w:rPr>
          <w:rFonts w:ascii="宋体" w:cs="宋体" w:hAnsi="宋体"/>
          <w:sz w:val="24"/>
          <w:szCs w:val="24"/>
        </w:rPr>
        <w:t>.</w:t>
      </w:r>
      <w:r>
        <w:rPr>
          <w:rFonts w:ascii="宋体" w:cs="宋体" w:hAnsi="宋体"/>
          <w:sz w:val="24"/>
          <w:szCs w:val="24"/>
        </w:rPr>
        <w:t xml:space="preserve"> </w:t>
      </w:r>
      <w:r>
        <w:rPr>
          <w:rFonts w:ascii="宋体" w:cs="宋体" w:hAnsi="宋体"/>
          <w:sz w:val="24"/>
          <w:szCs w:val="24"/>
        </w:rPr>
        <w:t>Selinenes</w:t>
      </w:r>
      <w:r>
        <w:rPr>
          <w:rFonts w:ascii="宋体" w:cs="宋体" w:hAnsi="宋体"/>
          <w:sz w:val="24"/>
          <w:szCs w:val="24"/>
        </w:rPr>
        <w:t xml:space="preserve"> </w:t>
      </w:r>
      <w:r>
        <w:rPr>
          <w:rFonts w:ascii="宋体" w:cs="宋体" w:hAnsi="宋体"/>
          <w:sz w:val="24"/>
          <w:szCs w:val="24"/>
        </w:rPr>
        <w:t>are a group of closely related isomeric chemical compounds which are classified as sesquiterpenes. The selinenes all have the molecular formula C15H24 and they have been isolated from a variety of plant sources. α-Selinene and β-selinene are the most common and are two of the principal components of the oil from clove. γ-Selinene and δ-selinene are less common</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Voon</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2012)</w:t>
      </w:r>
      <w:r>
        <w:rPr>
          <w:rFonts w:ascii="宋体" w:cs="宋体" w:hAnsi="宋体"/>
          <w:sz w:val="24"/>
          <w:szCs w:val="24"/>
        </w:rPr>
        <w:t xml:space="preserve">. </w:t>
      </w:r>
      <w:r>
        <w:rPr>
          <w:rFonts w:ascii="宋体" w:cs="宋体" w:hAnsi="宋体"/>
          <w:sz w:val="24"/>
          <w:szCs w:val="24"/>
        </w:rPr>
        <w:t xml:space="preserve">Alpha-selinene is an isomer of selinene where the double bond in the </w:t>
      </w:r>
      <w:r>
        <w:rPr>
          <w:rFonts w:ascii="宋体" w:cs="宋体" w:hAnsi="宋体"/>
          <w:sz w:val="24"/>
          <w:szCs w:val="24"/>
        </w:rPr>
        <w:t>octahydronaphthalene</w:t>
      </w:r>
      <w:r>
        <w:rPr>
          <w:rFonts w:ascii="宋体" w:cs="宋体" w:hAnsi="宋体"/>
          <w:sz w:val="24"/>
          <w:szCs w:val="24"/>
        </w:rPr>
        <w:t xml:space="preserve"> ring system is endocyclic (2R,4aR,8aR)-configuration. It has a role as a plant metabolite. It is a selinene and a member of </w:t>
      </w:r>
      <w:r>
        <w:rPr>
          <w:rFonts w:ascii="宋体" w:cs="宋体" w:hAnsi="宋体"/>
          <w:sz w:val="24"/>
          <w:szCs w:val="24"/>
        </w:rPr>
        <w:t>octahydronaphthalenes</w:t>
      </w:r>
      <w:r>
        <w:rPr>
          <w:rFonts w:ascii="宋体" w:cs="宋体" w:hAnsi="宋体"/>
          <w:sz w:val="24"/>
          <w:szCs w:val="24"/>
        </w:rPr>
        <w:t xml:space="preserve"> </w:t>
      </w:r>
      <w:r>
        <w:rPr>
          <w:rFonts w:ascii="宋体" w:cs="宋体" w:hAnsi="宋体"/>
          <w:sz w:val="24"/>
          <w:szCs w:val="24"/>
        </w:rPr>
        <w:t xml:space="preserve">(Matan </w:t>
      </w:r>
      <w:r>
        <w:rPr>
          <w:rFonts w:ascii="宋体" w:cs="宋体" w:hAnsi="宋体"/>
          <w:i/>
          <w:iCs/>
          <w:sz w:val="24"/>
          <w:szCs w:val="24"/>
        </w:rPr>
        <w:t>et al</w:t>
      </w:r>
      <w:r>
        <w:rPr>
          <w:rFonts w:ascii="宋体" w:cs="宋体" w:hAnsi="宋体"/>
          <w:sz w:val="24"/>
          <w:szCs w:val="24"/>
        </w:rPr>
        <w:t>., 2016)</w:t>
      </w:r>
      <w:r>
        <w:rPr>
          <w:rFonts w:ascii="宋体" w:cs="宋体" w:hAnsi="宋体"/>
          <w:sz w:val="24"/>
          <w:szCs w:val="24"/>
        </w:rPr>
        <w:t>.</w:t>
      </w:r>
    </w:p>
    <w:bookmarkStart w:id="46" w:name="_Toc202853985"/>
    <w:p>
      <w:pPr>
        <w:pStyle w:val="style3"/>
        <w:rPr>
          <w:sz w:val="24"/>
          <w:szCs w:val="24"/>
        </w:rPr>
      </w:pPr>
      <w:r>
        <w:rPr>
          <w:sz w:val="24"/>
          <w:szCs w:val="24"/>
        </w:rPr>
        <w:t>2.</w:t>
      </w:r>
      <w:r>
        <w:rPr>
          <w:sz w:val="24"/>
          <w:szCs w:val="24"/>
        </w:rPr>
        <w:t>4</w:t>
      </w:r>
      <w:r>
        <w:rPr>
          <w:sz w:val="24"/>
          <w:szCs w:val="24"/>
        </w:rPr>
        <w:t>.8 δ-cadinene</w:t>
      </w:r>
      <w:bookmarkEnd w:id="46"/>
    </w:p>
    <w:p>
      <w:pPr>
        <w:pStyle w:val="style0"/>
        <w:spacing w:lineRule="auto" w:line="480"/>
        <w:ind w:firstLine="720"/>
        <w:jc w:val="both"/>
        <w:rPr>
          <w:rFonts w:ascii="宋体" w:cs="宋体" w:hAnsi="宋体"/>
          <w:sz w:val="24"/>
          <w:szCs w:val="24"/>
        </w:rPr>
      </w:pPr>
      <w:r>
        <w:rPr>
          <w:rFonts w:ascii="宋体" w:cs="宋体" w:hAnsi="宋体"/>
          <w:sz w:val="24"/>
          <w:szCs w:val="24"/>
        </w:rPr>
        <w:t>A member of the cadinene family of sesquiterpenes in which the double bonds are located at the 4-4a and 7-8 positions, and in which the isopropyl group at position 1 is cis to the hydrogen at the adjacent bridgehead carbon (the 1R,8aS-enantiomer). δ-cadinene shows potent</w:t>
      </w:r>
      <w:r>
        <w:rPr>
          <w:rFonts w:ascii="宋体" w:cs="宋体" w:hAnsi="宋体"/>
          <w:sz w:val="24"/>
          <w:szCs w:val="24"/>
        </w:rPr>
        <w:t xml:space="preserve"> </w:t>
      </w:r>
      <w:r>
        <w:rPr>
          <w:rFonts w:ascii="宋体" w:cs="宋体" w:hAnsi="宋体"/>
          <w:sz w:val="24"/>
          <w:szCs w:val="24"/>
        </w:rPr>
        <w:t xml:space="preserve">anticancer effects against human ovary cancer cells through the mediation of apoptosis, nuclear membrane rupture, cell cycle arrest and caspase activation </w:t>
      </w:r>
      <w:r>
        <w:rPr>
          <w:rFonts w:ascii="宋体" w:cs="宋体" w:hAnsi="宋体"/>
          <w:sz w:val="24"/>
          <w:szCs w:val="24"/>
        </w:rPr>
        <w:t>(</w:t>
      </w:r>
      <w:r>
        <w:rPr>
          <w:rFonts w:ascii="宋体" w:cs="宋体" w:hAnsi="宋体"/>
          <w:sz w:val="24"/>
          <w:szCs w:val="24"/>
        </w:rPr>
        <w:t>Li</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2012)</w:t>
      </w:r>
      <w:r>
        <w:rPr>
          <w:rFonts w:ascii="宋体" w:cs="宋体" w:hAnsi="宋体"/>
          <w:sz w:val="24"/>
          <w:szCs w:val="24"/>
        </w:rPr>
        <w:t>.</w:t>
      </w:r>
    </w:p>
    <w:bookmarkStart w:id="47" w:name="_Toc202853986"/>
    <w:p>
      <w:pPr>
        <w:pStyle w:val="style2"/>
        <w:tabs>
          <w:tab w:val="center" w:leader="none" w:pos="4513"/>
        </w:tabs>
        <w:rPr>
          <w:rFonts w:ascii="宋体" w:hAnsi="宋体"/>
          <w:sz w:val="24"/>
          <w:szCs w:val="24"/>
        </w:rPr>
      </w:pPr>
      <w:r>
        <w:rPr>
          <w:rFonts w:ascii="宋体" w:hAnsi="宋体"/>
          <w:sz w:val="24"/>
          <w:szCs w:val="24"/>
        </w:rPr>
        <w:t>2.</w:t>
      </w:r>
      <w:r>
        <w:rPr>
          <w:rFonts w:ascii="宋体" w:hAnsi="宋体"/>
          <w:sz w:val="24"/>
          <w:szCs w:val="24"/>
        </w:rPr>
        <w:t>5</w:t>
      </w:r>
      <w:r>
        <w:rPr>
          <w:rFonts w:ascii="宋体" w:hAnsi="宋体"/>
          <w:sz w:val="24"/>
          <w:szCs w:val="24"/>
        </w:rPr>
        <w:t xml:space="preserve"> Biological Activities of Clove</w:t>
      </w:r>
      <w:bookmarkEnd w:id="47"/>
    </w:p>
    <w:p>
      <w:pPr>
        <w:pStyle w:val="style0"/>
        <w:spacing w:lineRule="auto" w:line="480"/>
        <w:jc w:val="both"/>
        <w:rPr>
          <w:rFonts w:ascii="宋体" w:cs="宋体" w:hAnsi="宋体"/>
          <w:sz w:val="24"/>
          <w:szCs w:val="24"/>
        </w:rPr>
      </w:pPr>
      <w:r>
        <w:rPr>
          <w:rFonts w:ascii="宋体" w:cs="宋体" w:hAnsi="宋体"/>
          <w:sz w:val="24"/>
          <w:szCs w:val="24"/>
        </w:rPr>
        <w:t xml:space="preserve"> </w:t>
      </w:r>
      <w:r>
        <w:rPr>
          <w:rFonts w:ascii="宋体" w:cs="宋体" w:hAnsi="宋体"/>
          <w:sz w:val="24"/>
          <w:szCs w:val="24"/>
        </w:rPr>
        <w:tab/>
      </w:r>
      <w:r>
        <w:rPr>
          <w:rFonts w:ascii="宋体" w:cs="宋体" w:hAnsi="宋体"/>
          <w:sz w:val="24"/>
          <w:szCs w:val="24"/>
        </w:rPr>
        <w:t>Clove is an important medicinal plant due to the wide range of pharmacological effects consolidated from traditional use for centuries and reported in literature. A</w:t>
      </w:r>
      <w:r>
        <w:rPr>
          <w:rFonts w:ascii="宋体" w:cs="宋体" w:hAnsi="宋体"/>
          <w:sz w:val="24"/>
          <w:szCs w:val="24"/>
        </w:rPr>
        <w:t xml:space="preserve"> </w:t>
      </w:r>
      <w:r>
        <w:rPr>
          <w:rFonts w:ascii="宋体" w:cs="宋体" w:hAnsi="宋体"/>
          <w:sz w:val="24"/>
          <w:szCs w:val="24"/>
        </w:rPr>
        <w:t>review of several scientific reports of the most important biological activities of clove</w:t>
      </w:r>
      <w:r>
        <w:rPr>
          <w:rFonts w:ascii="宋体" w:cs="宋体" w:hAnsi="宋体"/>
          <w:sz w:val="24"/>
          <w:szCs w:val="24"/>
        </w:rPr>
        <w:t xml:space="preserve"> </w:t>
      </w:r>
      <w:r>
        <w:rPr>
          <w:rFonts w:ascii="宋体" w:cs="宋体" w:hAnsi="宋体"/>
          <w:sz w:val="24"/>
          <w:szCs w:val="24"/>
        </w:rPr>
        <w:t xml:space="preserve">is presented in the following paragraphs. </w:t>
      </w:r>
    </w:p>
    <w:bookmarkStart w:id="48" w:name="_Toc202853987"/>
    <w:p>
      <w:pPr>
        <w:pStyle w:val="style3"/>
        <w:rPr>
          <w:sz w:val="24"/>
          <w:szCs w:val="24"/>
        </w:rPr>
      </w:pPr>
      <w:r>
        <w:rPr>
          <w:sz w:val="24"/>
          <w:szCs w:val="24"/>
        </w:rPr>
        <w:t>2.</w:t>
      </w:r>
      <w:r>
        <w:rPr>
          <w:sz w:val="24"/>
          <w:szCs w:val="24"/>
        </w:rPr>
        <w:t>5</w:t>
      </w:r>
      <w:r>
        <w:rPr>
          <w:sz w:val="24"/>
          <w:szCs w:val="24"/>
        </w:rPr>
        <w:t>.1 Anti-Diabetic Activity</w:t>
      </w:r>
      <w:bookmarkEnd w:id="48"/>
    </w:p>
    <w:p>
      <w:pPr>
        <w:pStyle w:val="style0"/>
        <w:spacing w:lineRule="auto" w:line="480"/>
        <w:ind w:firstLine="720"/>
        <w:jc w:val="both"/>
        <w:rPr>
          <w:rFonts w:ascii="宋体" w:cs="宋体" w:hAnsi="宋体"/>
          <w:sz w:val="24"/>
          <w:szCs w:val="24"/>
        </w:rPr>
      </w:pPr>
      <w:r>
        <w:rPr>
          <w:rFonts w:ascii="宋体" w:cs="宋体" w:hAnsi="宋体"/>
          <w:sz w:val="24"/>
          <w:szCs w:val="24"/>
        </w:rPr>
        <w:t>Clove extract acts like insulin in hepatocytes and hepatoma cells by reducing</w:t>
      </w:r>
      <w:r>
        <w:rPr>
          <w:rFonts w:ascii="宋体" w:cs="宋体" w:hAnsi="宋体"/>
          <w:sz w:val="24"/>
          <w:szCs w:val="24"/>
        </w:rPr>
        <w:t xml:space="preserve"> </w:t>
      </w:r>
      <w:r>
        <w:rPr>
          <w:rFonts w:ascii="宋体" w:cs="宋体" w:hAnsi="宋体"/>
          <w:sz w:val="24"/>
          <w:szCs w:val="24"/>
        </w:rPr>
        <w:t>phosphoenolpyruvate</w:t>
      </w:r>
      <w:r>
        <w:rPr>
          <w:rFonts w:ascii="宋体" w:cs="宋体" w:hAnsi="宋体"/>
          <w:sz w:val="24"/>
          <w:szCs w:val="24"/>
        </w:rPr>
        <w:t xml:space="preserve"> </w:t>
      </w:r>
      <w:r>
        <w:rPr>
          <w:rFonts w:ascii="宋体" w:cs="宋体" w:hAnsi="宋体"/>
          <w:sz w:val="24"/>
          <w:szCs w:val="24"/>
        </w:rPr>
        <w:t>carboxykinase</w:t>
      </w:r>
      <w:r>
        <w:rPr>
          <w:rFonts w:ascii="宋体" w:cs="宋体" w:hAnsi="宋体"/>
          <w:sz w:val="24"/>
          <w:szCs w:val="24"/>
        </w:rPr>
        <w:t xml:space="preserve"> (PEPCK) and glucose 6-phosphatase (G6Pase) gene expression. Much like insulin, clove</w:t>
      </w:r>
      <w:r>
        <w:rPr>
          <w:rFonts w:ascii="宋体" w:cs="宋体" w:hAnsi="宋体"/>
          <w:sz w:val="24"/>
          <w:szCs w:val="24"/>
        </w:rPr>
        <w:t xml:space="preserve"> </w:t>
      </w:r>
      <w:r>
        <w:rPr>
          <w:rFonts w:ascii="宋体" w:cs="宋体" w:hAnsi="宋体"/>
          <w:sz w:val="24"/>
          <w:szCs w:val="24"/>
        </w:rPr>
        <w:t>mediated repression is reversed by PI3K inhibitors and</w:t>
      </w:r>
      <w:r>
        <w:rPr>
          <w:rFonts w:ascii="宋体" w:cs="宋体" w:hAnsi="宋体"/>
          <w:sz w:val="24"/>
          <w:szCs w:val="24"/>
        </w:rPr>
        <w:t xml:space="preserve"> </w:t>
      </w:r>
      <w:r>
        <w:rPr>
          <w:rFonts w:ascii="宋体" w:cs="宋体" w:hAnsi="宋体"/>
          <w:sz w:val="24"/>
          <w:szCs w:val="24"/>
        </w:rPr>
        <w:t>N</w:t>
      </w:r>
      <w:r>
        <w:rPr>
          <w:rFonts w:ascii="宋体" w:cs="宋体" w:hAnsi="宋体"/>
          <w:sz w:val="24"/>
          <w:szCs w:val="24"/>
        </w:rPr>
        <w:t>-</w:t>
      </w:r>
      <w:r>
        <w:rPr>
          <w:rFonts w:ascii="宋体" w:cs="宋体" w:hAnsi="宋体"/>
          <w:sz w:val="24"/>
          <w:szCs w:val="24"/>
        </w:rPr>
        <w:t>acetylcysteine (NAC). A more global analysis of gene expression by DNA microarray analysis revealed that clove and insulin regulated the expression of many of the</w:t>
      </w:r>
      <w:r>
        <w:rPr>
          <w:rFonts w:ascii="宋体" w:cs="宋体" w:hAnsi="宋体"/>
          <w:sz w:val="24"/>
          <w:szCs w:val="24"/>
        </w:rPr>
        <w:t xml:space="preserve"> </w:t>
      </w:r>
      <w:r>
        <w:rPr>
          <w:rFonts w:ascii="宋体" w:cs="宋体" w:hAnsi="宋体"/>
          <w:sz w:val="24"/>
          <w:szCs w:val="24"/>
        </w:rPr>
        <w:t>same genes in a similar manner</w:t>
      </w:r>
      <w:r>
        <w:rPr>
          <w:rFonts w:ascii="宋体" w:cs="宋体" w:hAnsi="宋体"/>
          <w:sz w:val="24"/>
          <w:szCs w:val="24"/>
        </w:rPr>
        <w:t xml:space="preserve"> (Cimino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2021)</w:t>
      </w:r>
    </w:p>
    <w:bookmarkStart w:id="49" w:name="_Toc202853988"/>
    <w:p>
      <w:pPr>
        <w:pStyle w:val="style3"/>
        <w:rPr>
          <w:sz w:val="24"/>
          <w:szCs w:val="24"/>
        </w:rPr>
      </w:pPr>
      <w:r>
        <w:rPr>
          <w:sz w:val="24"/>
          <w:szCs w:val="24"/>
        </w:rPr>
        <w:t>2.</w:t>
      </w:r>
      <w:r>
        <w:rPr>
          <w:sz w:val="24"/>
          <w:szCs w:val="24"/>
        </w:rPr>
        <w:t>5</w:t>
      </w:r>
      <w:r>
        <w:rPr>
          <w:sz w:val="24"/>
          <w:szCs w:val="24"/>
        </w:rPr>
        <w:t>.2 Antioxidant Activity</w:t>
      </w:r>
      <w:bookmarkEnd w:id="49"/>
    </w:p>
    <w:p>
      <w:pPr>
        <w:pStyle w:val="style0"/>
        <w:spacing w:lineRule="auto" w:line="480"/>
        <w:ind w:firstLine="720"/>
        <w:jc w:val="both"/>
        <w:rPr>
          <w:rFonts w:ascii="宋体" w:cs="宋体" w:hAnsi="宋体"/>
          <w:sz w:val="24"/>
          <w:szCs w:val="24"/>
        </w:rPr>
      </w:pPr>
      <w:r>
        <w:rPr>
          <w:rFonts w:ascii="宋体" w:cs="宋体" w:hAnsi="宋体"/>
          <w:sz w:val="24"/>
          <w:szCs w:val="24"/>
        </w:rPr>
        <w:t xml:space="preserve">Recently, the United States Department of Agriculture in collaboration with Universities and private companies create a database with the polyphenol content and antioxidant activity of different kind of foods. Based on this database, Pérez-Jiménez </w:t>
      </w:r>
      <w:r>
        <w:rPr>
          <w:rFonts w:ascii="宋体" w:cs="宋体" w:hAnsi="宋体"/>
          <w:i/>
          <w:sz w:val="24"/>
          <w:szCs w:val="24"/>
        </w:rPr>
        <w:t>et al</w:t>
      </w:r>
      <w:r>
        <w:rPr>
          <w:rFonts w:ascii="宋体" w:cs="宋体" w:hAnsi="宋体"/>
          <w:sz w:val="24"/>
          <w:szCs w:val="24"/>
        </w:rPr>
        <w:t>.</w:t>
      </w:r>
      <w:r>
        <w:rPr>
          <w:rFonts w:ascii="宋体" w:cs="宋体" w:hAnsi="宋体"/>
          <w:sz w:val="24"/>
          <w:szCs w:val="24"/>
        </w:rPr>
        <w:t xml:space="preserve"> (2010)</w:t>
      </w:r>
      <w:r>
        <w:rPr>
          <w:rFonts w:ascii="宋体" w:cs="宋体" w:hAnsi="宋体"/>
          <w:sz w:val="24"/>
          <w:szCs w:val="24"/>
        </w:rPr>
        <w:t xml:space="preserve"> classified the 100 richest dietary sources of polyphenols. Results indicate that the spice plants are the kind of food with higher polyphenol content followed by</w:t>
      </w:r>
      <w:r>
        <w:rPr>
          <w:rFonts w:ascii="宋体" w:cs="宋体" w:hAnsi="宋体"/>
          <w:sz w:val="24"/>
          <w:szCs w:val="24"/>
        </w:rPr>
        <w:t xml:space="preserve"> </w:t>
      </w:r>
      <w:r>
        <w:rPr>
          <w:rFonts w:ascii="宋体" w:cs="宋体" w:hAnsi="宋体"/>
          <w:sz w:val="24"/>
          <w:szCs w:val="24"/>
        </w:rPr>
        <w:t>fruits, seeds a</w:t>
      </w:r>
      <w:r>
        <w:rPr>
          <w:rFonts w:ascii="宋体" w:cs="宋体" w:hAnsi="宋体"/>
          <w:sz w:val="24"/>
          <w:szCs w:val="24"/>
        </w:rPr>
        <w:t>nd</w:t>
      </w:r>
      <w:r>
        <w:rPr>
          <w:rFonts w:ascii="宋体" w:cs="宋体" w:hAnsi="宋体"/>
          <w:sz w:val="24"/>
          <w:szCs w:val="24"/>
        </w:rPr>
        <w:t xml:space="preserve"> vegetables. Among spices,</w:t>
      </w:r>
      <w:r>
        <w:rPr>
          <w:rFonts w:ascii="宋体" w:cs="宋体" w:hAnsi="宋体"/>
          <w:sz w:val="24"/>
          <w:szCs w:val="24"/>
        </w:rPr>
        <w:t xml:space="preserve"> </w:t>
      </w:r>
      <w:r>
        <w:rPr>
          <w:rFonts w:ascii="宋体" w:cs="宋体" w:hAnsi="宋体"/>
          <w:sz w:val="24"/>
          <w:szCs w:val="24"/>
        </w:rPr>
        <w:t xml:space="preserve">clove showed the higher content of polyphenols and antioxidant compounds. In another work published by Shan </w:t>
      </w:r>
      <w:r>
        <w:rPr>
          <w:rFonts w:ascii="宋体" w:cs="宋体" w:hAnsi="宋体"/>
          <w:i/>
          <w:sz w:val="24"/>
          <w:szCs w:val="24"/>
        </w:rPr>
        <w:t>et al</w:t>
      </w:r>
      <w:r>
        <w:rPr>
          <w:rFonts w:ascii="宋体" w:cs="宋体" w:hAnsi="宋体"/>
          <w:sz w:val="24"/>
          <w:szCs w:val="24"/>
        </w:rPr>
        <w:t>.</w:t>
      </w:r>
      <w:r>
        <w:rPr>
          <w:rFonts w:ascii="宋体" w:cs="宋体" w:hAnsi="宋体"/>
          <w:sz w:val="24"/>
          <w:szCs w:val="24"/>
        </w:rPr>
        <w:t xml:space="preserve"> (2015)</w:t>
      </w:r>
      <w:r>
        <w:rPr>
          <w:rFonts w:ascii="宋体" w:cs="宋体" w:hAnsi="宋体"/>
          <w:sz w:val="24"/>
          <w:szCs w:val="24"/>
        </w:rPr>
        <w:t>, the main phenolic compounds in 26 spices were identified and quantified by high performance liquid chromatography, followed by the in vitro antioxidant activity analysis by the ABTS method. Results showed the high correlation between the polyphenols content and the antioxidant activity. Clove (buds) was the spice presenting higher antioxidant activity and polyphenol content, (168.660</w:t>
      </w:r>
      <w:r>
        <w:rPr>
          <w:rFonts w:ascii="MS Gothic" w:cs="MS Gothic" w:eastAsia="MS Gothic" w:hAnsi="MS Gothic" w:hint="eastAsia"/>
          <w:sz w:val="24"/>
          <w:szCs w:val="24"/>
        </w:rPr>
        <w:t>±</w:t>
      </w:r>
      <w:r>
        <w:rPr>
          <w:rFonts w:ascii="宋体" w:cs="宋体" w:hAnsi="宋体"/>
          <w:sz w:val="24"/>
          <w:szCs w:val="24"/>
        </w:rPr>
        <w:t>0.024) tetraethylammonium chloride (mmol of Trolox/100g dried weight) and (14.380</w:t>
      </w:r>
      <w:r>
        <w:rPr>
          <w:rFonts w:ascii="MS Gothic" w:cs="MS Gothic" w:eastAsia="MS Gothic" w:hAnsi="MS Gothic" w:hint="eastAsia"/>
          <w:sz w:val="24"/>
          <w:szCs w:val="24"/>
        </w:rPr>
        <w:t>±</w:t>
      </w:r>
      <w:r>
        <w:rPr>
          <w:rFonts w:ascii="宋体" w:cs="宋体" w:hAnsi="宋体"/>
          <w:sz w:val="24"/>
          <w:szCs w:val="24"/>
        </w:rPr>
        <w:t xml:space="preserve">0.006) g of </w:t>
      </w:r>
      <w:r>
        <w:rPr>
          <w:rFonts w:ascii="宋体" w:cs="宋体" w:hAnsi="宋体"/>
          <w:sz w:val="24"/>
          <w:szCs w:val="24"/>
        </w:rPr>
        <w:t>gallic acid (equivalents/100g of dried weight)</w:t>
      </w:r>
      <w:r>
        <w:rPr>
          <w:rFonts w:ascii="宋体" w:cs="宋体" w:hAnsi="宋体"/>
          <w:sz w:val="24"/>
          <w:szCs w:val="24"/>
        </w:rPr>
        <w:t xml:space="preserve"> </w:t>
      </w:r>
      <w:r>
        <w:rPr>
          <w:rFonts w:ascii="宋体" w:cs="宋体" w:hAnsi="宋体"/>
          <w:sz w:val="24"/>
          <w:szCs w:val="24"/>
        </w:rPr>
        <w:t xml:space="preserve">respectively. The major types of phenolic compounds found were phenolic acids (gallic acid), </w:t>
      </w:r>
      <w:r>
        <w:rPr>
          <w:rFonts w:ascii="宋体" w:cs="宋体" w:hAnsi="宋体"/>
          <w:sz w:val="24"/>
          <w:szCs w:val="24"/>
        </w:rPr>
        <w:t>flavonol</w:t>
      </w:r>
      <w:r>
        <w:rPr>
          <w:rFonts w:ascii="宋体" w:cs="宋体" w:hAnsi="宋体"/>
          <w:sz w:val="24"/>
          <w:szCs w:val="24"/>
        </w:rPr>
        <w:t xml:space="preserve"> glucosides, phenolic volatile oils (eugenol, acetyl eugenol) and tannins. It was highlighted the huge potential of clove as radical</w:t>
      </w:r>
      <w:r>
        <w:rPr>
          <w:rFonts w:ascii="宋体" w:cs="宋体" w:hAnsi="宋体"/>
          <w:sz w:val="24"/>
          <w:szCs w:val="24"/>
        </w:rPr>
        <w:t xml:space="preserve"> </w:t>
      </w:r>
      <w:r>
        <w:rPr>
          <w:rFonts w:ascii="宋体" w:cs="宋体" w:hAnsi="宋体"/>
          <w:sz w:val="24"/>
          <w:szCs w:val="24"/>
        </w:rPr>
        <w:t>scavenger and as a commercial source of polyphenols.  The antioxidant activity of clove and caraway were screened using various in vitro models, such as b-</w:t>
      </w:r>
      <w:r>
        <w:rPr>
          <w:rFonts w:ascii="宋体" w:cs="宋体" w:hAnsi="宋体"/>
          <w:sz w:val="24"/>
          <w:szCs w:val="24"/>
        </w:rPr>
        <w:t>carotenelinoleate</w:t>
      </w:r>
      <w:r>
        <w:rPr>
          <w:rFonts w:ascii="宋体" w:cs="宋体" w:hAnsi="宋体"/>
          <w:sz w:val="24"/>
          <w:szCs w:val="24"/>
        </w:rPr>
        <w:t xml:space="preserve">, ferric thiocyanate, 1,1-diphenyl-2-picryl hydroxyl (DPPH) radical, hydroxyl radical and reducing power model systems concluding that the antioxidant activity of clove and caraway is comparable with butylated hydroxytoluene (BHT), a synthetic compound commonly employed as food preservative </w:t>
      </w:r>
      <w:r>
        <w:rPr>
          <w:rFonts w:ascii="宋体" w:cs="宋体" w:hAnsi="宋体"/>
          <w:sz w:val="24"/>
          <w:szCs w:val="24"/>
        </w:rPr>
        <w:t>(</w:t>
      </w:r>
      <w:r>
        <w:rPr>
          <w:rFonts w:ascii="宋体" w:cs="宋体" w:hAnsi="宋体"/>
          <w:sz w:val="24"/>
          <w:szCs w:val="24"/>
        </w:rPr>
        <w:t>Bamdad</w:t>
      </w:r>
      <w:r>
        <w:rPr>
          <w:rFonts w:ascii="宋体" w:cs="宋体" w:hAnsi="宋体"/>
          <w:sz w:val="24"/>
          <w:szCs w:val="24"/>
        </w:rPr>
        <w:t xml:space="preserve">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2016)</w:t>
      </w:r>
      <w:r>
        <w:rPr>
          <w:rFonts w:ascii="宋体" w:cs="宋体" w:hAnsi="宋体"/>
          <w:sz w:val="24"/>
          <w:szCs w:val="24"/>
        </w:rPr>
        <w:t xml:space="preserve">. According to </w:t>
      </w:r>
      <w:r>
        <w:rPr>
          <w:rFonts w:ascii="宋体" w:cs="宋体" w:hAnsi="宋体"/>
          <w:sz w:val="24"/>
          <w:szCs w:val="24"/>
        </w:rPr>
        <w:t>Gülçin</w:t>
      </w:r>
      <w:r>
        <w:rPr>
          <w:rFonts w:ascii="宋体" w:cs="宋体" w:hAnsi="宋体"/>
          <w:sz w:val="24"/>
          <w:szCs w:val="24"/>
        </w:rPr>
        <w:t xml:space="preserve"> </w:t>
      </w:r>
      <w:r>
        <w:rPr>
          <w:rFonts w:ascii="宋体" w:cs="宋体" w:hAnsi="宋体"/>
          <w:i/>
          <w:sz w:val="24"/>
          <w:szCs w:val="24"/>
        </w:rPr>
        <w:t>et al</w:t>
      </w:r>
      <w:r>
        <w:rPr>
          <w:rFonts w:ascii="宋体" w:cs="宋体" w:hAnsi="宋体"/>
          <w:sz w:val="24"/>
          <w:szCs w:val="24"/>
        </w:rPr>
        <w:t>.</w:t>
      </w:r>
      <w:r>
        <w:rPr>
          <w:rFonts w:ascii="宋体" w:cs="宋体" w:hAnsi="宋体"/>
          <w:sz w:val="24"/>
          <w:szCs w:val="24"/>
        </w:rPr>
        <w:t xml:space="preserve"> (2012)</w:t>
      </w:r>
      <w:r>
        <w:rPr>
          <w:rFonts w:ascii="宋体" w:cs="宋体" w:hAnsi="宋体"/>
          <w:sz w:val="24"/>
          <w:szCs w:val="24"/>
        </w:rPr>
        <w:t>, the antioxidant activity of clove oil compared with synthetic antioxidants measured as the scavenging of the DPPH radical decreased in the following order: clove oil&gt;BHT&gt;</w:t>
      </w:r>
      <w:r>
        <w:rPr>
          <w:rFonts w:ascii="宋体" w:cs="宋体" w:hAnsi="宋体"/>
          <w:sz w:val="24"/>
          <w:szCs w:val="24"/>
        </w:rPr>
        <w:t>alfatocopherol</w:t>
      </w:r>
      <w:r>
        <w:rPr>
          <w:rFonts w:ascii="宋体" w:cs="宋体" w:hAnsi="宋体"/>
          <w:sz w:val="24"/>
          <w:szCs w:val="24"/>
        </w:rPr>
        <w:t xml:space="preserve">&gt;butylated </w:t>
      </w:r>
      <w:r>
        <w:rPr>
          <w:rFonts w:ascii="宋体" w:cs="宋体" w:hAnsi="宋体"/>
          <w:sz w:val="24"/>
          <w:szCs w:val="24"/>
        </w:rPr>
        <w:t>hydroxyanisole</w:t>
      </w:r>
      <w:r>
        <w:rPr>
          <w:rFonts w:ascii="宋体" w:cs="宋体" w:hAnsi="宋体"/>
          <w:sz w:val="24"/>
          <w:szCs w:val="24"/>
        </w:rPr>
        <w:t>&gt;Trolox.</w:t>
      </w:r>
      <w:r>
        <w:rPr>
          <w:rFonts w:ascii="宋体" w:cs="宋体" w:hAnsi="宋体"/>
          <w:sz w:val="24"/>
          <w:szCs w:val="24"/>
        </w:rPr>
        <w:t xml:space="preserve"> </w:t>
      </w:r>
      <w:r>
        <w:rPr>
          <w:rFonts w:ascii="宋体" w:cs="宋体" w:hAnsi="宋体"/>
          <w:sz w:val="24"/>
          <w:szCs w:val="24"/>
        </w:rPr>
        <w:t>The antioxidant activity of aqueous extracts of clove has been tested by different in vitro methods as 2,2-diphenyl-1-picrylhydrazyl (DPPH); 2,2’-azino-bis (3-ethylbenzothiazoline-6-sulphonic acid) (ABTS), ox</w:t>
      </w:r>
      <w:r>
        <w:rPr>
          <w:rFonts w:ascii="宋体" w:cs="宋体" w:hAnsi="宋体"/>
          <w:sz w:val="24"/>
          <w:szCs w:val="24"/>
        </w:rPr>
        <w:t>y</w:t>
      </w:r>
      <w:r>
        <w:rPr>
          <w:rFonts w:ascii="宋体" w:cs="宋体" w:hAnsi="宋体"/>
          <w:sz w:val="24"/>
          <w:szCs w:val="24"/>
        </w:rPr>
        <w:t>gen radical absorbance capacity, ferric reducing antioxidant power, xanthine oxidase and 2-deoxiguanosine. Clove and plants as pine, cinnamon, and mate proved its enormous potential as food preservative among the other 30 plants analyzed</w:t>
      </w:r>
      <w:r>
        <w:rPr>
          <w:rFonts w:ascii="宋体" w:cs="宋体" w:hAnsi="宋体"/>
          <w:sz w:val="24"/>
          <w:szCs w:val="24"/>
        </w:rPr>
        <w:t xml:space="preserve"> (</w:t>
      </w:r>
      <w:r>
        <w:rPr>
          <w:rFonts w:ascii="宋体" w:cs="宋体" w:hAnsi="宋体"/>
          <w:sz w:val="24"/>
          <w:szCs w:val="24"/>
        </w:rPr>
        <w:t>Dudonné</w:t>
      </w:r>
      <w:r>
        <w:rPr>
          <w:rFonts w:ascii="宋体" w:cs="宋体" w:hAnsi="宋体"/>
          <w:sz w:val="24"/>
          <w:szCs w:val="24"/>
        </w:rPr>
        <w:t xml:space="preserve">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2019)</w:t>
      </w:r>
      <w:r>
        <w:rPr>
          <w:rFonts w:ascii="宋体" w:cs="宋体" w:hAnsi="宋体"/>
          <w:sz w:val="24"/>
          <w:szCs w:val="24"/>
        </w:rPr>
        <w:t xml:space="preserve">.  Ethanol and aqueous extracts of clove and lavender at concentrations of 20, 40 and 60 µg/mL showed inhibitions up to 95% when tested as metal </w:t>
      </w:r>
      <w:r>
        <w:rPr>
          <w:rFonts w:ascii="宋体" w:cs="宋体" w:hAnsi="宋体"/>
          <w:sz w:val="24"/>
          <w:szCs w:val="24"/>
        </w:rPr>
        <w:t>quelants</w:t>
      </w:r>
      <w:r>
        <w:rPr>
          <w:rFonts w:ascii="宋体" w:cs="宋体" w:hAnsi="宋体"/>
          <w:sz w:val="24"/>
          <w:szCs w:val="24"/>
        </w:rPr>
        <w:t xml:space="preserve">, superoxide radical capture and scavenging of the DPPH radical. The powerful antioxidant activity of both extracts may be attributed to the strong hydrogen donating ability, metal chelating ability and </w:t>
      </w:r>
      <w:r>
        <w:rPr>
          <w:rFonts w:ascii="宋体" w:cs="宋体" w:hAnsi="宋体"/>
          <w:sz w:val="24"/>
          <w:szCs w:val="24"/>
        </w:rPr>
        <w:t>scavanging</w:t>
      </w:r>
      <w:r>
        <w:rPr>
          <w:rFonts w:ascii="宋体" w:cs="宋体" w:hAnsi="宋体"/>
          <w:sz w:val="24"/>
          <w:szCs w:val="24"/>
        </w:rPr>
        <w:t xml:space="preserve"> of free radicals, hydrogen peroxide and superoxide</w:t>
      </w:r>
      <w:r>
        <w:rPr>
          <w:rFonts w:ascii="宋体" w:cs="宋体" w:hAnsi="宋体"/>
          <w:sz w:val="24"/>
          <w:szCs w:val="24"/>
        </w:rPr>
        <w:t xml:space="preserve"> (</w:t>
      </w:r>
      <w:r>
        <w:rPr>
          <w:rFonts w:ascii="宋体" w:cs="宋体" w:hAnsi="宋体"/>
          <w:sz w:val="24"/>
          <w:szCs w:val="24"/>
        </w:rPr>
        <w:t>Gülçin</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w:t>
      </w:r>
      <w:r>
        <w:rPr>
          <w:rFonts w:ascii="宋体" w:cs="宋体" w:hAnsi="宋体"/>
          <w:sz w:val="24"/>
          <w:szCs w:val="24"/>
        </w:rPr>
        <w:t>, 2012).</w:t>
      </w:r>
    </w:p>
    <w:p>
      <w:pPr>
        <w:pStyle w:val="style0"/>
        <w:spacing w:lineRule="auto" w:line="480"/>
        <w:ind w:firstLine="720"/>
        <w:jc w:val="both"/>
        <w:rPr>
          <w:rFonts w:ascii="宋体" w:cs="宋体" w:hAnsi="宋体"/>
          <w:sz w:val="24"/>
          <w:szCs w:val="24"/>
        </w:rPr>
      </w:pPr>
      <w:r>
        <w:rPr>
          <w:rFonts w:ascii="宋体" w:cs="宋体" w:hAnsi="宋体"/>
          <w:sz w:val="24"/>
          <w:szCs w:val="24"/>
        </w:rPr>
        <w:t>Gülcin</w:t>
      </w:r>
      <w:r>
        <w:rPr>
          <w:rFonts w:ascii="宋体" w:cs="宋体" w:hAnsi="宋体"/>
          <w:sz w:val="24"/>
          <w:szCs w:val="24"/>
        </w:rPr>
        <w:t xml:space="preserve"> </w:t>
      </w:r>
      <w:r>
        <w:rPr>
          <w:rFonts w:ascii="宋体" w:cs="宋体" w:hAnsi="宋体"/>
          <w:sz w:val="24"/>
          <w:szCs w:val="24"/>
        </w:rPr>
        <w:t xml:space="preserve">(2011) </w:t>
      </w:r>
      <w:r>
        <w:rPr>
          <w:rFonts w:ascii="宋体" w:cs="宋体" w:hAnsi="宋体"/>
          <w:sz w:val="24"/>
          <w:szCs w:val="24"/>
        </w:rPr>
        <w:t xml:space="preserve">studied the antioxidant activity of eugenol by several in vitro methods and discusses the structure-activity relationship. Compared to butylated </w:t>
      </w:r>
      <w:r>
        <w:rPr>
          <w:rFonts w:ascii="宋体" w:cs="宋体" w:hAnsi="宋体"/>
          <w:sz w:val="24"/>
          <w:szCs w:val="24"/>
        </w:rPr>
        <w:t>hydroxyanisole</w:t>
      </w:r>
      <w:r>
        <w:rPr>
          <w:rFonts w:ascii="宋体" w:cs="宋体" w:hAnsi="宋体"/>
          <w:sz w:val="24"/>
          <w:szCs w:val="24"/>
        </w:rPr>
        <w:t xml:space="preserve">, BHT, Trolox and α-tocopherol, eugenol presented higher antioxidant activity in most of the methods </w:t>
      </w:r>
      <w:r>
        <w:rPr>
          <w:rFonts w:ascii="宋体" w:cs="宋体" w:hAnsi="宋体"/>
          <w:sz w:val="24"/>
          <w:szCs w:val="24"/>
        </w:rPr>
        <w:t>tested, DPPH, ABTS, N,</w:t>
      </w:r>
      <w:r>
        <w:rPr>
          <w:rFonts w:ascii="宋体" w:cs="宋体" w:hAnsi="宋体"/>
          <w:sz w:val="24"/>
          <w:szCs w:val="24"/>
        </w:rPr>
        <w:t xml:space="preserve"> </w:t>
      </w:r>
      <w:r>
        <w:rPr>
          <w:rFonts w:ascii="宋体" w:cs="宋体" w:hAnsi="宋体"/>
          <w:sz w:val="24"/>
          <w:szCs w:val="24"/>
        </w:rPr>
        <w:t>N-dimethyl-p-phenylenediamine, CUPRAC</w:t>
      </w:r>
      <w:r>
        <w:rPr>
          <w:rFonts w:ascii="宋体" w:cs="宋体" w:hAnsi="宋体"/>
          <w:sz w:val="24"/>
          <w:szCs w:val="24"/>
        </w:rPr>
        <w:t xml:space="preserve"> </w:t>
      </w:r>
      <w:r>
        <w:rPr>
          <w:rFonts w:ascii="宋体" w:cs="宋体" w:hAnsi="宋体"/>
          <w:sz w:val="24"/>
          <w:szCs w:val="24"/>
        </w:rPr>
        <w:t>and ferric reducing assay. It was remarked that plant polyphenols are multifunctional in the sense that they can act as reducing agents, hydrogen atom donators, and singlet</w:t>
      </w:r>
      <w:r>
        <w:rPr>
          <w:rFonts w:ascii="宋体" w:cs="宋体" w:hAnsi="宋体"/>
          <w:sz w:val="24"/>
          <w:szCs w:val="24"/>
        </w:rPr>
        <w:t xml:space="preserve"> </w:t>
      </w:r>
      <w:r>
        <w:rPr>
          <w:rFonts w:ascii="宋体" w:cs="宋体" w:hAnsi="宋体"/>
          <w:sz w:val="24"/>
          <w:szCs w:val="24"/>
        </w:rPr>
        <w:t xml:space="preserve">oxygen scavengers. Eugenol allows the donation of </w:t>
      </w:r>
      <w:r>
        <w:rPr>
          <w:rFonts w:ascii="宋体" w:cs="宋体" w:hAnsi="宋体"/>
          <w:sz w:val="24"/>
          <w:szCs w:val="24"/>
        </w:rPr>
        <w:t>an</w:t>
      </w:r>
      <w:r>
        <w:rPr>
          <w:rFonts w:ascii="宋体" w:cs="宋体" w:hAnsi="宋体"/>
          <w:sz w:val="24"/>
          <w:szCs w:val="24"/>
        </w:rPr>
        <w:t xml:space="preserve"> </w:t>
      </w:r>
      <w:r>
        <w:rPr>
          <w:rFonts w:ascii="宋体" w:cs="宋体" w:hAnsi="宋体"/>
          <w:sz w:val="24"/>
          <w:szCs w:val="24"/>
        </w:rPr>
        <w:t xml:space="preserve">hydrogen atom and subsequent stabilization of the </w:t>
      </w:r>
      <w:r>
        <w:rPr>
          <w:rFonts w:ascii="宋体" w:cs="宋体" w:hAnsi="宋体"/>
          <w:sz w:val="24"/>
          <w:szCs w:val="24"/>
        </w:rPr>
        <w:t>phenoxil</w:t>
      </w:r>
      <w:r>
        <w:rPr>
          <w:rFonts w:ascii="宋体" w:cs="宋体" w:hAnsi="宋体"/>
          <w:sz w:val="24"/>
          <w:szCs w:val="24"/>
        </w:rPr>
        <w:t xml:space="preserve"> radical generated forming stable compounds that do not start or propagate oxidation. The eugenol molecule possesses an interesting conjugation of the carbon chain with the aromatic ring which could participate in the stabilization of the </w:t>
      </w:r>
      <w:r>
        <w:rPr>
          <w:rFonts w:ascii="宋体" w:cs="宋体" w:hAnsi="宋体"/>
          <w:sz w:val="24"/>
          <w:szCs w:val="24"/>
        </w:rPr>
        <w:t>phenoxyl</w:t>
      </w:r>
      <w:r>
        <w:rPr>
          <w:rFonts w:ascii="宋体" w:cs="宋体" w:hAnsi="宋体"/>
          <w:sz w:val="24"/>
          <w:szCs w:val="24"/>
        </w:rPr>
        <w:t xml:space="preserve"> radical by resonance. This </w:t>
      </w:r>
      <w:r>
        <w:rPr>
          <w:rFonts w:ascii="宋体" w:cs="宋体" w:hAnsi="宋体"/>
          <w:sz w:val="24"/>
          <w:szCs w:val="24"/>
        </w:rPr>
        <w:t>chromophoric</w:t>
      </w:r>
      <w:r>
        <w:rPr>
          <w:rFonts w:ascii="宋体" w:cs="宋体" w:hAnsi="宋体"/>
          <w:sz w:val="24"/>
          <w:szCs w:val="24"/>
        </w:rPr>
        <w:t xml:space="preserve"> system is also present in molecule of resveratrol which is another important antioxidant. It has been proposed the hypothesis that eugenol reduces two or more DPPH radicals, despite the availability of only one hydrogen from a hydroxyl group. The formation of dimers of eugenol (</w:t>
      </w:r>
      <w:r>
        <w:rPr>
          <w:rFonts w:ascii="宋体" w:cs="宋体" w:hAnsi="宋体"/>
          <w:sz w:val="24"/>
          <w:szCs w:val="24"/>
        </w:rPr>
        <w:t>dehydrodieugenol</w:t>
      </w:r>
      <w:r>
        <w:rPr>
          <w:rFonts w:ascii="宋体" w:cs="宋体" w:hAnsi="宋体"/>
          <w:sz w:val="24"/>
          <w:szCs w:val="24"/>
        </w:rPr>
        <w:t>)</w:t>
      </w:r>
      <w:r>
        <w:rPr>
          <w:rFonts w:ascii="宋体" w:cs="宋体" w:hAnsi="宋体"/>
          <w:sz w:val="24"/>
          <w:szCs w:val="24"/>
        </w:rPr>
        <w:t xml:space="preserve"> </w:t>
      </w:r>
      <w:r>
        <w:rPr>
          <w:rFonts w:ascii="宋体" w:cs="宋体" w:hAnsi="宋体"/>
          <w:sz w:val="24"/>
          <w:szCs w:val="24"/>
        </w:rPr>
        <w:t xml:space="preserve">with two phenolic </w:t>
      </w:r>
      <w:r>
        <w:rPr>
          <w:rFonts w:ascii="宋体" w:cs="宋体" w:hAnsi="宋体"/>
          <w:sz w:val="24"/>
          <w:szCs w:val="24"/>
        </w:rPr>
        <w:t>hidroxyl</w:t>
      </w:r>
      <w:r>
        <w:rPr>
          <w:rFonts w:ascii="宋体" w:cs="宋体" w:hAnsi="宋体"/>
          <w:sz w:val="24"/>
          <w:szCs w:val="24"/>
        </w:rPr>
        <w:t xml:space="preserve"> groups originated from </w:t>
      </w:r>
      <w:r>
        <w:rPr>
          <w:rFonts w:ascii="宋体" w:cs="宋体" w:hAnsi="宋体"/>
          <w:sz w:val="24"/>
          <w:szCs w:val="24"/>
        </w:rPr>
        <w:t>eugenyl</w:t>
      </w:r>
      <w:r>
        <w:rPr>
          <w:rFonts w:ascii="宋体" w:cs="宋体" w:hAnsi="宋体"/>
          <w:sz w:val="24"/>
          <w:szCs w:val="24"/>
        </w:rPr>
        <w:t xml:space="preserve"> intermediate radicals has also been proposed as mechanism between eugenol and DPPH radicals.  In the same way, </w:t>
      </w:r>
      <w:r>
        <w:rPr>
          <w:rFonts w:ascii="宋体" w:cs="宋体" w:hAnsi="宋体"/>
          <w:i/>
          <w:iCs/>
          <w:sz w:val="24"/>
          <w:szCs w:val="24"/>
        </w:rPr>
        <w:t xml:space="preserve">S. </w:t>
      </w:r>
      <w:r>
        <w:rPr>
          <w:rFonts w:ascii="宋体" w:cs="宋体" w:hAnsi="宋体"/>
          <w:i/>
          <w:iCs/>
          <w:sz w:val="24"/>
          <w:szCs w:val="24"/>
        </w:rPr>
        <w:t>aromaticum</w:t>
      </w:r>
      <w:r>
        <w:rPr>
          <w:rFonts w:ascii="宋体" w:cs="宋体" w:hAnsi="宋体"/>
          <w:sz w:val="24"/>
          <w:szCs w:val="24"/>
        </w:rPr>
        <w:t xml:space="preserve"> oil and Nigella sativa oil significant protect male rats exposed to aflatoxins which caused </w:t>
      </w:r>
      <w:r>
        <w:rPr>
          <w:rFonts w:ascii="宋体" w:cs="宋体" w:hAnsi="宋体"/>
          <w:sz w:val="24"/>
          <w:szCs w:val="24"/>
        </w:rPr>
        <w:t>hepato</w:t>
      </w:r>
      <w:r>
        <w:rPr>
          <w:rFonts w:ascii="宋体" w:cs="宋体" w:hAnsi="宋体"/>
          <w:sz w:val="24"/>
          <w:szCs w:val="24"/>
        </w:rPr>
        <w:t xml:space="preserve"> and nephrotoxicity and oxidative stress. Regarding to the biochemical parameters, such as alanine aminotransferase, aspartate aminotransferase, alkaline </w:t>
      </w:r>
      <w:r>
        <w:rPr>
          <w:rFonts w:ascii="宋体" w:cs="宋体" w:hAnsi="宋体"/>
          <w:sz w:val="24"/>
          <w:szCs w:val="24"/>
        </w:rPr>
        <w:t>phospatase</w:t>
      </w:r>
      <w:r>
        <w:rPr>
          <w:rFonts w:ascii="宋体" w:cs="宋体" w:hAnsi="宋体"/>
          <w:sz w:val="24"/>
          <w:szCs w:val="24"/>
        </w:rPr>
        <w:t xml:space="preserve">, total </w:t>
      </w:r>
      <w:r>
        <w:rPr>
          <w:rFonts w:ascii="宋体" w:cs="宋体" w:hAnsi="宋体"/>
          <w:sz w:val="24"/>
          <w:szCs w:val="24"/>
        </w:rPr>
        <w:t>billirubin</w:t>
      </w:r>
      <w:r>
        <w:rPr>
          <w:rFonts w:ascii="宋体" w:cs="宋体" w:hAnsi="宋体"/>
          <w:sz w:val="24"/>
          <w:szCs w:val="24"/>
        </w:rPr>
        <w:t xml:space="preserve">, urea, total protein, cholesterol, the activity of both oils </w:t>
      </w:r>
      <w:r>
        <w:rPr>
          <w:rFonts w:ascii="宋体" w:cs="宋体" w:hAnsi="宋体"/>
          <w:sz w:val="24"/>
          <w:szCs w:val="24"/>
        </w:rPr>
        <w:t>were</w:t>
      </w:r>
      <w:r>
        <w:rPr>
          <w:rFonts w:ascii="宋体" w:cs="宋体" w:hAnsi="宋体"/>
          <w:sz w:val="24"/>
          <w:szCs w:val="24"/>
        </w:rPr>
        <w:t xml:space="preserve"> comparable with the controls</w:t>
      </w:r>
      <w:r>
        <w:rPr>
          <w:rFonts w:ascii="宋体" w:cs="宋体" w:hAnsi="宋体"/>
          <w:sz w:val="24"/>
          <w:szCs w:val="24"/>
        </w:rPr>
        <w:t xml:space="preserve"> </w:t>
      </w:r>
      <w:r>
        <w:rPr>
          <w:rFonts w:ascii="宋体" w:cs="宋体" w:hAnsi="宋体"/>
          <w:sz w:val="24"/>
          <w:szCs w:val="24"/>
        </w:rPr>
        <w:t>(Abdel-</w:t>
      </w:r>
      <w:r>
        <w:rPr>
          <w:rFonts w:ascii="宋体" w:cs="宋体" w:hAnsi="宋体"/>
          <w:sz w:val="24"/>
          <w:szCs w:val="24"/>
        </w:rPr>
        <w:t>Wahhab</w:t>
      </w:r>
      <w:r>
        <w:rPr>
          <w:rFonts w:ascii="宋体" w:cs="宋体" w:hAnsi="宋体"/>
          <w:sz w:val="24"/>
          <w:szCs w:val="24"/>
        </w:rPr>
        <w:t xml:space="preserve"> and Aly, 2015)</w:t>
      </w:r>
      <w:r>
        <w:rPr>
          <w:rFonts w:ascii="宋体" w:cs="宋体" w:hAnsi="宋体"/>
          <w:sz w:val="24"/>
          <w:szCs w:val="24"/>
        </w:rPr>
        <w:t>. Antioxidants are important compounds for treatment of memory deficits caused by oxidative stress. Pretreatment with clove essential oil decreases the oxidative stress assessed by malondialdehyde and reduced glutathione levels in mice’s brain. This study concluded that clove oil could revert memory and learning deficits caused by scopolamine in short and long term as a result of the reduction in the oxidative stress</w:t>
      </w:r>
      <w:r>
        <w:rPr>
          <w:rFonts w:ascii="宋体" w:cs="宋体" w:hAnsi="宋体"/>
          <w:sz w:val="24"/>
          <w:szCs w:val="24"/>
        </w:rPr>
        <w:t xml:space="preserve"> </w:t>
      </w:r>
      <w:r>
        <w:rPr>
          <w:rFonts w:ascii="宋体" w:cs="宋体" w:hAnsi="宋体"/>
          <w:sz w:val="24"/>
          <w:szCs w:val="24"/>
        </w:rPr>
        <w:t xml:space="preserve">(Mehta </w:t>
      </w:r>
      <w:r>
        <w:rPr>
          <w:rFonts w:ascii="宋体" w:cs="宋体" w:hAnsi="宋体"/>
          <w:i/>
          <w:iCs/>
          <w:sz w:val="24"/>
          <w:szCs w:val="24"/>
        </w:rPr>
        <w:t>et al</w:t>
      </w:r>
      <w:r>
        <w:rPr>
          <w:rFonts w:ascii="宋体" w:cs="宋体" w:hAnsi="宋体"/>
          <w:sz w:val="24"/>
          <w:szCs w:val="24"/>
        </w:rPr>
        <w:t>., 2010)</w:t>
      </w:r>
      <w:r>
        <w:rPr>
          <w:rFonts w:ascii="宋体" w:cs="宋体" w:hAnsi="宋体"/>
          <w:sz w:val="24"/>
          <w:szCs w:val="24"/>
        </w:rPr>
        <w:t xml:space="preserve">. </w:t>
      </w:r>
      <w:r>
        <w:rPr>
          <w:rFonts w:ascii="宋体" w:cs="宋体" w:hAnsi="宋体"/>
          <w:sz w:val="24"/>
          <w:szCs w:val="24"/>
        </w:rPr>
        <w:t xml:space="preserve">Memory and learning improvements of clove oil were observed in scopolamine-treated mice at doses of 0.025, 0.05, and 0.1 mL/kg when compared with saline solution control group in an elevated plus maze test. These works prove the benefits of the employment of clove as a rich source of antioxidants for the treatment of memory deficits </w:t>
      </w:r>
      <w:r>
        <w:rPr>
          <w:rFonts w:ascii="宋体" w:cs="宋体" w:hAnsi="宋体"/>
          <w:sz w:val="24"/>
          <w:szCs w:val="24"/>
        </w:rPr>
        <w:t xml:space="preserve">caused by oxidative stress.  Extracts from clove buds could also be used as food antioxidants. The shelf-life and frying stability of encapsulated and un-encapsulated eugenol-rich clove extracts were tested in soybean oil. Controlled release of antioxidants could be achieved by encapsulated clove powder obtained by spray drying using maltodextrin and </w:t>
      </w:r>
      <w:r>
        <w:rPr>
          <w:rFonts w:ascii="宋体" w:cs="宋体" w:hAnsi="宋体"/>
          <w:sz w:val="24"/>
          <w:szCs w:val="24"/>
        </w:rPr>
        <w:t>arabic</w:t>
      </w:r>
      <w:r>
        <w:rPr>
          <w:rFonts w:ascii="宋体" w:cs="宋体" w:hAnsi="宋体"/>
          <w:sz w:val="24"/>
          <w:szCs w:val="24"/>
        </w:rPr>
        <w:t xml:space="preserve"> gum as wall materials</w:t>
      </w:r>
      <w:r>
        <w:rPr>
          <w:rFonts w:ascii="宋体" w:cs="宋体" w:hAnsi="宋体"/>
          <w:sz w:val="24"/>
          <w:szCs w:val="24"/>
        </w:rPr>
        <w:t xml:space="preserve"> </w:t>
      </w:r>
      <w:r>
        <w:rPr>
          <w:rFonts w:ascii="宋体" w:cs="宋体" w:hAnsi="宋体"/>
          <w:sz w:val="24"/>
          <w:szCs w:val="24"/>
        </w:rPr>
        <w:t xml:space="preserve">(Halder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2014)</w:t>
      </w:r>
      <w:r>
        <w:rPr>
          <w:rFonts w:ascii="宋体" w:cs="宋体" w:hAnsi="宋体"/>
          <w:sz w:val="24"/>
          <w:szCs w:val="24"/>
        </w:rPr>
        <w:t xml:space="preserve">. </w:t>
      </w:r>
    </w:p>
    <w:bookmarkStart w:id="50" w:name="_Toc202853989"/>
    <w:p>
      <w:pPr>
        <w:pStyle w:val="style3"/>
        <w:rPr>
          <w:sz w:val="24"/>
          <w:szCs w:val="24"/>
        </w:rPr>
      </w:pPr>
      <w:r>
        <w:rPr>
          <w:sz w:val="24"/>
          <w:szCs w:val="24"/>
        </w:rPr>
        <w:t>2.</w:t>
      </w:r>
      <w:r>
        <w:rPr>
          <w:sz w:val="24"/>
          <w:szCs w:val="24"/>
        </w:rPr>
        <w:t>5</w:t>
      </w:r>
      <w:r>
        <w:rPr>
          <w:sz w:val="24"/>
          <w:szCs w:val="24"/>
        </w:rPr>
        <w:t>.3 Antimicrobial Activity</w:t>
      </w:r>
      <w:bookmarkEnd w:id="50"/>
    </w:p>
    <w:p>
      <w:pPr>
        <w:pStyle w:val="style0"/>
        <w:spacing w:lineRule="auto" w:line="480"/>
        <w:jc w:val="both"/>
        <w:rPr>
          <w:rFonts w:ascii="宋体" w:cs="宋体" w:hAnsi="宋体"/>
          <w:sz w:val="24"/>
          <w:szCs w:val="24"/>
        </w:rPr>
      </w:pPr>
      <w:r>
        <w:rPr>
          <w:rFonts w:ascii="宋体" w:cs="宋体" w:hAnsi="宋体"/>
          <w:sz w:val="24"/>
          <w:szCs w:val="24"/>
        </w:rPr>
        <w:t xml:space="preserve"> </w:t>
      </w:r>
      <w:r>
        <w:rPr>
          <w:rFonts w:ascii="宋体" w:cs="宋体" w:hAnsi="宋体"/>
          <w:sz w:val="24"/>
          <w:szCs w:val="24"/>
        </w:rPr>
        <w:tab/>
      </w:r>
      <w:r>
        <w:rPr>
          <w:rFonts w:ascii="宋体" w:cs="宋体" w:hAnsi="宋体"/>
          <w:sz w:val="24"/>
          <w:szCs w:val="24"/>
        </w:rPr>
        <w:t xml:space="preserve">The antimicrobial activities of clove have been proved against several </w:t>
      </w:r>
      <w:r>
        <w:rPr>
          <w:rFonts w:ascii="宋体" w:cs="宋体" w:hAnsi="宋体"/>
          <w:sz w:val="24"/>
          <w:szCs w:val="24"/>
        </w:rPr>
        <w:t>bacteria</w:t>
      </w:r>
      <w:r>
        <w:rPr>
          <w:rFonts w:ascii="宋体" w:cs="宋体" w:hAnsi="宋体"/>
          <w:sz w:val="24"/>
          <w:szCs w:val="24"/>
        </w:rPr>
        <w:t xml:space="preserve"> and fungal strains. Sofia </w:t>
      </w:r>
      <w:r>
        <w:rPr>
          <w:rFonts w:ascii="宋体" w:cs="宋体" w:hAnsi="宋体"/>
          <w:i/>
          <w:sz w:val="24"/>
          <w:szCs w:val="24"/>
        </w:rPr>
        <w:t>et al</w:t>
      </w:r>
      <w:r>
        <w:rPr>
          <w:rFonts w:ascii="宋体" w:cs="宋体" w:hAnsi="宋体"/>
          <w:sz w:val="24"/>
          <w:szCs w:val="24"/>
        </w:rPr>
        <w:t xml:space="preserve">. </w:t>
      </w:r>
      <w:r>
        <w:rPr>
          <w:rFonts w:ascii="宋体" w:cs="宋体" w:hAnsi="宋体"/>
          <w:sz w:val="24"/>
          <w:szCs w:val="24"/>
        </w:rPr>
        <w:t xml:space="preserve">(2017) </w:t>
      </w:r>
      <w:r>
        <w:rPr>
          <w:rFonts w:ascii="宋体" w:cs="宋体" w:hAnsi="宋体"/>
          <w:sz w:val="24"/>
          <w:szCs w:val="24"/>
        </w:rPr>
        <w:t>tested the antimicrobial activity of different Indian spice plants as mint, cinnamon, mustard, ginger, garlic and clove. The only sampled that showed complete bactericidal effect against all the food-borne pathogens tested Escherichia coli (</w:t>
      </w:r>
      <w:r>
        <w:rPr>
          <w:rFonts w:ascii="宋体" w:cs="宋体" w:hAnsi="宋体"/>
          <w:i/>
          <w:iCs/>
          <w:sz w:val="24"/>
          <w:szCs w:val="24"/>
        </w:rPr>
        <w:t>E. coli), Staphylococcus aureus and Bacillus cereus</w:t>
      </w:r>
      <w:r>
        <w:rPr>
          <w:rFonts w:ascii="宋体" w:cs="宋体" w:hAnsi="宋体"/>
          <w:sz w:val="24"/>
          <w:szCs w:val="24"/>
        </w:rPr>
        <w:t xml:space="preserve"> was the aqueous extract of clove at 3%. At the concentration of 1%clove extract also showed good inhibitory action.</w:t>
      </w:r>
      <w:r>
        <w:rPr>
          <w:rFonts w:ascii="宋体" w:cs="宋体" w:hAnsi="宋体"/>
          <w:sz w:val="24"/>
          <w:szCs w:val="24"/>
        </w:rPr>
        <w:t xml:space="preserve"> </w:t>
      </w:r>
      <w:r>
        <w:rPr>
          <w:rFonts w:ascii="宋体" w:cs="宋体" w:hAnsi="宋体"/>
          <w:sz w:val="24"/>
          <w:szCs w:val="24"/>
        </w:rPr>
        <w:t>In another work published by Dorman and Deans</w:t>
      </w:r>
      <w:r>
        <w:rPr>
          <w:rFonts w:ascii="宋体" w:cs="宋体" w:hAnsi="宋体"/>
          <w:sz w:val="24"/>
          <w:szCs w:val="24"/>
        </w:rPr>
        <w:t xml:space="preserve"> (2010)</w:t>
      </w:r>
      <w:r>
        <w:rPr>
          <w:rFonts w:ascii="宋体" w:cs="宋体" w:hAnsi="宋体"/>
          <w:sz w:val="24"/>
          <w:szCs w:val="24"/>
        </w:rPr>
        <w:t>, the antibacterial activity of black pepper, geranium, nutmeg, oregano, thyme and clove was tested against 25 strains of Gram positive and Gram</w:t>
      </w:r>
      <w:r>
        <w:rPr>
          <w:rFonts w:ascii="宋体" w:cs="宋体" w:hAnsi="宋体"/>
          <w:sz w:val="24"/>
          <w:szCs w:val="24"/>
        </w:rPr>
        <w:t>-</w:t>
      </w:r>
      <w:r>
        <w:rPr>
          <w:rFonts w:ascii="宋体" w:cs="宋体" w:hAnsi="宋体"/>
          <w:sz w:val="24"/>
          <w:szCs w:val="24"/>
        </w:rPr>
        <w:t>negative bacteria. The oils with the widest spectrum of activity were thyme, oregano and clove respectively. The antibacterial activity of clove, oregano (</w:t>
      </w:r>
      <w:r>
        <w:rPr>
          <w:rFonts w:ascii="宋体" w:cs="宋体" w:hAnsi="宋体"/>
          <w:sz w:val="24"/>
          <w:szCs w:val="24"/>
        </w:rPr>
        <w:t>Origanum</w:t>
      </w:r>
      <w:r>
        <w:rPr>
          <w:rFonts w:ascii="宋体" w:cs="宋体" w:hAnsi="宋体"/>
          <w:sz w:val="24"/>
          <w:szCs w:val="24"/>
        </w:rPr>
        <w:t xml:space="preserve"> vulgare), bay (</w:t>
      </w:r>
      <w:r>
        <w:rPr>
          <w:rFonts w:ascii="宋体" w:cs="宋体" w:hAnsi="宋体"/>
          <w:sz w:val="24"/>
          <w:szCs w:val="24"/>
        </w:rPr>
        <w:t>Pimenta</w:t>
      </w:r>
      <w:r>
        <w:rPr>
          <w:rFonts w:ascii="宋体" w:cs="宋体" w:hAnsi="宋体"/>
          <w:sz w:val="24"/>
          <w:szCs w:val="24"/>
        </w:rPr>
        <w:t xml:space="preserve"> </w:t>
      </w:r>
      <w:r>
        <w:rPr>
          <w:rFonts w:ascii="宋体" w:cs="宋体" w:hAnsi="宋体"/>
          <w:sz w:val="24"/>
          <w:szCs w:val="24"/>
        </w:rPr>
        <w:t>racemosa</w:t>
      </w:r>
      <w:r>
        <w:rPr>
          <w:rFonts w:ascii="宋体" w:cs="宋体" w:hAnsi="宋体"/>
          <w:sz w:val="24"/>
          <w:szCs w:val="24"/>
        </w:rPr>
        <w:t xml:space="preserve">) and thyme (Thymus vulgaris) essential oil was tested against </w:t>
      </w:r>
      <w:r>
        <w:rPr>
          <w:rFonts w:ascii="宋体" w:cs="宋体" w:hAnsi="宋体"/>
          <w:i/>
          <w:iCs/>
          <w:sz w:val="24"/>
          <w:szCs w:val="24"/>
        </w:rPr>
        <w:t>E. coli</w:t>
      </w:r>
      <w:r>
        <w:rPr>
          <w:rFonts w:ascii="宋体" w:cs="宋体" w:hAnsi="宋体"/>
          <w:sz w:val="24"/>
          <w:szCs w:val="24"/>
        </w:rPr>
        <w:t xml:space="preserve"> O157:H7showing the different grades of inhibition of these essential oils</w:t>
      </w:r>
      <w:r>
        <w:rPr>
          <w:rFonts w:ascii="宋体" w:cs="宋体" w:hAnsi="宋体"/>
          <w:sz w:val="24"/>
          <w:szCs w:val="24"/>
        </w:rPr>
        <w:t xml:space="preserve"> </w:t>
      </w:r>
      <w:r>
        <w:rPr>
          <w:rFonts w:ascii="宋体" w:cs="宋体" w:hAnsi="宋体"/>
          <w:sz w:val="24"/>
          <w:szCs w:val="24"/>
        </w:rPr>
        <w:t>(Burt and Reinders, 2013)</w:t>
      </w:r>
      <w:r>
        <w:rPr>
          <w:rFonts w:ascii="宋体" w:cs="宋体" w:hAnsi="宋体"/>
          <w:sz w:val="24"/>
          <w:szCs w:val="24"/>
        </w:rPr>
        <w:t xml:space="preserve">. </w:t>
      </w:r>
      <w:r>
        <w:rPr>
          <w:rFonts w:ascii="宋体" w:cs="宋体" w:hAnsi="宋体"/>
          <w:sz w:val="24"/>
          <w:szCs w:val="24"/>
        </w:rPr>
        <w:t>Likewise</w:t>
      </w:r>
      <w:r>
        <w:rPr>
          <w:rFonts w:ascii="宋体" w:cs="宋体" w:hAnsi="宋体"/>
          <w:sz w:val="24"/>
          <w:szCs w:val="24"/>
        </w:rPr>
        <w:t>,</w:t>
      </w:r>
      <w:r>
        <w:rPr>
          <w:rFonts w:ascii="宋体" w:cs="宋体" w:hAnsi="宋体"/>
          <w:sz w:val="24"/>
          <w:szCs w:val="24"/>
        </w:rPr>
        <w:t xml:space="preserve"> formulations containing eugenol and carvacrol encapsulated in a non</w:t>
      </w:r>
      <w:r>
        <w:rPr>
          <w:rFonts w:ascii="宋体" w:cs="宋体" w:hAnsi="宋体"/>
          <w:sz w:val="24"/>
          <w:szCs w:val="24"/>
        </w:rPr>
        <w:t>-</w:t>
      </w:r>
      <w:r>
        <w:rPr>
          <w:rFonts w:ascii="宋体" w:cs="宋体" w:hAnsi="宋体"/>
          <w:sz w:val="24"/>
          <w:szCs w:val="24"/>
        </w:rPr>
        <w:t xml:space="preserve">ionic surfactant were tested against four strains of two important foodborne pathogens, </w:t>
      </w:r>
      <w:r>
        <w:rPr>
          <w:rFonts w:ascii="宋体" w:cs="宋体" w:hAnsi="宋体"/>
          <w:i/>
          <w:iCs/>
          <w:sz w:val="24"/>
          <w:szCs w:val="24"/>
        </w:rPr>
        <w:t>E. coli</w:t>
      </w:r>
      <w:r>
        <w:rPr>
          <w:rFonts w:ascii="宋体" w:cs="宋体" w:hAnsi="宋体"/>
          <w:sz w:val="24"/>
          <w:szCs w:val="24"/>
        </w:rPr>
        <w:t xml:space="preserve"> O157:H7 and </w:t>
      </w:r>
      <w:r>
        <w:rPr>
          <w:rFonts w:ascii="宋体" w:cs="宋体" w:hAnsi="宋体"/>
          <w:i/>
          <w:iCs/>
          <w:sz w:val="24"/>
          <w:szCs w:val="24"/>
        </w:rPr>
        <w:t xml:space="preserve">Listeria </w:t>
      </w:r>
      <w:r>
        <w:rPr>
          <w:rFonts w:ascii="宋体" w:cs="宋体" w:hAnsi="宋体"/>
          <w:i/>
          <w:iCs/>
          <w:sz w:val="24"/>
          <w:szCs w:val="24"/>
        </w:rPr>
        <w:t>monocitogenes</w:t>
      </w:r>
      <w:r>
        <w:rPr>
          <w:rFonts w:ascii="宋体" w:cs="宋体" w:hAnsi="宋体"/>
          <w:sz w:val="24"/>
          <w:szCs w:val="24"/>
        </w:rPr>
        <w:t xml:space="preserve">, results </w:t>
      </w:r>
      <w:r>
        <w:rPr>
          <w:rFonts w:ascii="宋体" w:cs="宋体" w:hAnsi="宋体"/>
          <w:sz w:val="24"/>
          <w:szCs w:val="24"/>
        </w:rPr>
        <w:t>reinforces</w:t>
      </w:r>
      <w:r>
        <w:rPr>
          <w:rFonts w:ascii="宋体" w:cs="宋体" w:hAnsi="宋体"/>
          <w:sz w:val="24"/>
          <w:szCs w:val="24"/>
        </w:rPr>
        <w:t xml:space="preserve"> the employment of eugenol to inhibit the growth of these microorganisms in surfaces in contact with food</w:t>
      </w:r>
      <w:r>
        <w:rPr>
          <w:rFonts w:ascii="宋体" w:cs="宋体" w:hAnsi="宋体"/>
          <w:sz w:val="24"/>
          <w:szCs w:val="24"/>
        </w:rPr>
        <w:t xml:space="preserve"> </w:t>
      </w:r>
      <w:r>
        <w:rPr>
          <w:rFonts w:ascii="宋体" w:cs="宋体" w:hAnsi="宋体"/>
          <w:sz w:val="24"/>
          <w:szCs w:val="24"/>
        </w:rPr>
        <w:t xml:space="preserve">(Pérez-Conesa </w:t>
      </w:r>
      <w:r>
        <w:rPr>
          <w:rFonts w:ascii="宋体" w:cs="宋体" w:hAnsi="宋体"/>
          <w:i/>
          <w:iCs/>
          <w:sz w:val="24"/>
          <w:szCs w:val="24"/>
        </w:rPr>
        <w:t>et al</w:t>
      </w:r>
      <w:r>
        <w:rPr>
          <w:rFonts w:ascii="宋体" w:cs="宋体" w:hAnsi="宋体"/>
          <w:sz w:val="24"/>
          <w:szCs w:val="24"/>
        </w:rPr>
        <w:t>., 2016)</w:t>
      </w:r>
      <w:r>
        <w:rPr>
          <w:rFonts w:ascii="宋体" w:cs="宋体" w:hAnsi="宋体"/>
          <w:sz w:val="24"/>
          <w:szCs w:val="24"/>
        </w:rPr>
        <w:t xml:space="preserve">. </w:t>
      </w:r>
      <w:r>
        <w:rPr>
          <w:rFonts w:ascii="宋体" w:cs="宋体" w:hAnsi="宋体"/>
          <w:sz w:val="24"/>
          <w:szCs w:val="24"/>
        </w:rPr>
        <w:t xml:space="preserve">Rana </w:t>
      </w:r>
      <w:r>
        <w:rPr>
          <w:rFonts w:ascii="宋体" w:cs="宋体" w:hAnsi="宋体"/>
          <w:i/>
          <w:sz w:val="24"/>
          <w:szCs w:val="24"/>
        </w:rPr>
        <w:t>et al</w:t>
      </w:r>
      <w:r>
        <w:rPr>
          <w:rFonts w:ascii="宋体" w:cs="宋体" w:hAnsi="宋体"/>
          <w:sz w:val="24"/>
          <w:szCs w:val="24"/>
        </w:rPr>
        <w:t xml:space="preserve">. </w:t>
      </w:r>
      <w:r>
        <w:rPr>
          <w:rFonts w:ascii="宋体" w:cs="宋体" w:hAnsi="宋体"/>
          <w:sz w:val="24"/>
          <w:szCs w:val="24"/>
        </w:rPr>
        <w:t xml:space="preserve">(2011) </w:t>
      </w:r>
      <w:r>
        <w:rPr>
          <w:rFonts w:ascii="宋体" w:cs="宋体" w:hAnsi="宋体"/>
          <w:sz w:val="24"/>
          <w:szCs w:val="24"/>
        </w:rPr>
        <w:t>determined the</w:t>
      </w:r>
      <w:r>
        <w:rPr>
          <w:rFonts w:ascii="宋体" w:cs="宋体" w:hAnsi="宋体"/>
          <w:sz w:val="24"/>
          <w:szCs w:val="24"/>
        </w:rPr>
        <w:t xml:space="preserve"> </w:t>
      </w:r>
      <w:r>
        <w:rPr>
          <w:rFonts w:ascii="宋体" w:cs="宋体" w:hAnsi="宋体"/>
          <w:sz w:val="24"/>
          <w:szCs w:val="24"/>
        </w:rPr>
        <w:t>antifungic</w:t>
      </w:r>
      <w:r>
        <w:rPr>
          <w:rFonts w:ascii="宋体" w:cs="宋体" w:hAnsi="宋体"/>
          <w:sz w:val="24"/>
          <w:szCs w:val="24"/>
        </w:rPr>
        <w:t xml:space="preserve"> activity of clove oil in different strains and reported this scale of sensibility Mucor sp.&gt;</w:t>
      </w:r>
      <w:r>
        <w:rPr>
          <w:rFonts w:ascii="宋体" w:cs="宋体" w:hAnsi="宋体"/>
          <w:sz w:val="24"/>
          <w:szCs w:val="24"/>
        </w:rPr>
        <w:t>Microsporum</w:t>
      </w:r>
      <w:r>
        <w:rPr>
          <w:rFonts w:ascii="宋体" w:cs="宋体" w:hAnsi="宋体"/>
          <w:sz w:val="24"/>
          <w:szCs w:val="24"/>
        </w:rPr>
        <w:t xml:space="preserve"> </w:t>
      </w:r>
      <w:r>
        <w:rPr>
          <w:rFonts w:ascii="宋体" w:cs="宋体" w:hAnsi="宋体"/>
          <w:sz w:val="24"/>
          <w:szCs w:val="24"/>
        </w:rPr>
        <w:t>gypseum</w:t>
      </w:r>
      <w:r>
        <w:rPr>
          <w:rFonts w:ascii="宋体" w:cs="宋体" w:hAnsi="宋体"/>
          <w:sz w:val="24"/>
          <w:szCs w:val="24"/>
        </w:rPr>
        <w:t xml:space="preserve">&gt;Fusarium </w:t>
      </w:r>
      <w:r>
        <w:rPr>
          <w:rFonts w:ascii="宋体" w:cs="宋体" w:hAnsi="宋体"/>
          <w:sz w:val="24"/>
          <w:szCs w:val="24"/>
        </w:rPr>
        <w:t>monoliformeNCIM</w:t>
      </w:r>
      <w:r>
        <w:rPr>
          <w:rFonts w:ascii="宋体" w:cs="宋体" w:hAnsi="宋体"/>
          <w:sz w:val="24"/>
          <w:szCs w:val="24"/>
        </w:rPr>
        <w:t xml:space="preserve"> 1100&gt;</w:t>
      </w:r>
      <w:r>
        <w:rPr>
          <w:rFonts w:ascii="宋体" w:cs="宋体" w:hAnsi="宋体"/>
          <w:sz w:val="24"/>
          <w:szCs w:val="24"/>
        </w:rPr>
        <w:t>Trichophytum</w:t>
      </w:r>
      <w:r>
        <w:rPr>
          <w:rFonts w:ascii="宋体" w:cs="宋体" w:hAnsi="宋体"/>
          <w:sz w:val="24"/>
          <w:szCs w:val="24"/>
        </w:rPr>
        <w:t xml:space="preserve"> rubrum&gt;Aspergillus sp.&gt;Fusarium </w:t>
      </w:r>
      <w:r>
        <w:rPr>
          <w:rFonts w:ascii="宋体" w:cs="宋体" w:hAnsi="宋体"/>
          <w:sz w:val="24"/>
          <w:szCs w:val="24"/>
        </w:rPr>
        <w:t>oxysporum</w:t>
      </w:r>
      <w:r>
        <w:rPr>
          <w:rFonts w:ascii="宋体" w:cs="宋体" w:hAnsi="宋体"/>
          <w:sz w:val="24"/>
          <w:szCs w:val="24"/>
        </w:rPr>
        <w:t xml:space="preserve"> </w:t>
      </w:r>
      <w:r>
        <w:rPr>
          <w:rFonts w:ascii="宋体" w:cs="宋体" w:hAnsi="宋体"/>
          <w:sz w:val="24"/>
          <w:szCs w:val="24"/>
        </w:rPr>
        <w:t xml:space="preserve">MTCC 284. The chromatographic analyses showed that eugenol was the main compound responsible for the </w:t>
      </w:r>
      <w:r>
        <w:rPr>
          <w:rFonts w:ascii="宋体" w:cs="宋体" w:hAnsi="宋体"/>
          <w:sz w:val="24"/>
          <w:szCs w:val="24"/>
        </w:rPr>
        <w:t>antifungic</w:t>
      </w:r>
      <w:r>
        <w:rPr>
          <w:rFonts w:ascii="宋体" w:cs="宋体" w:hAnsi="宋体"/>
          <w:sz w:val="24"/>
          <w:szCs w:val="24"/>
        </w:rPr>
        <w:t xml:space="preserve"> activity due to lysis of the spores and micelles. A similar mechanism of action of membrane disruption and deformation of macromolecules produced by eugenol was reported by Devi </w:t>
      </w:r>
      <w:r>
        <w:rPr>
          <w:rFonts w:ascii="宋体" w:cs="宋体" w:hAnsi="宋体"/>
          <w:i/>
          <w:sz w:val="24"/>
          <w:szCs w:val="24"/>
        </w:rPr>
        <w:t>et al</w:t>
      </w:r>
      <w:r>
        <w:rPr>
          <w:rFonts w:ascii="宋体" w:cs="宋体" w:hAnsi="宋体"/>
          <w:sz w:val="24"/>
          <w:szCs w:val="24"/>
        </w:rPr>
        <w:t>. (2010)</w:t>
      </w:r>
      <w:r>
        <w:rPr>
          <w:rFonts w:ascii="宋体" w:cs="宋体" w:hAnsi="宋体"/>
          <w:sz w:val="24"/>
          <w:szCs w:val="24"/>
        </w:rPr>
        <w:t>.</w:t>
      </w:r>
      <w:r>
        <w:rPr>
          <w:rFonts w:ascii="宋体" w:cs="宋体" w:hAnsi="宋体"/>
          <w:sz w:val="24"/>
          <w:szCs w:val="24"/>
        </w:rPr>
        <w:t xml:space="preserve"> </w:t>
      </w:r>
      <w:r>
        <w:rPr>
          <w:rFonts w:ascii="宋体" w:cs="宋体" w:hAnsi="宋体"/>
          <w:sz w:val="24"/>
          <w:szCs w:val="24"/>
        </w:rPr>
        <w:t xml:space="preserve">The activities of clove oil against different dermatophytes as </w:t>
      </w:r>
      <w:r>
        <w:rPr>
          <w:rFonts w:ascii="宋体" w:cs="宋体" w:hAnsi="宋体"/>
          <w:i/>
          <w:iCs/>
          <w:sz w:val="24"/>
          <w:szCs w:val="24"/>
        </w:rPr>
        <w:t>Microsporum</w:t>
      </w:r>
      <w:r>
        <w:rPr>
          <w:rFonts w:ascii="宋体" w:cs="宋体" w:hAnsi="宋体"/>
          <w:i/>
          <w:iCs/>
          <w:sz w:val="24"/>
          <w:szCs w:val="24"/>
        </w:rPr>
        <w:t xml:space="preserve"> </w:t>
      </w:r>
      <w:r>
        <w:rPr>
          <w:rFonts w:ascii="宋体" w:cs="宋体" w:hAnsi="宋体"/>
          <w:i/>
          <w:iCs/>
          <w:sz w:val="24"/>
          <w:szCs w:val="24"/>
        </w:rPr>
        <w:t>canis</w:t>
      </w:r>
      <w:r>
        <w:rPr>
          <w:rFonts w:ascii="宋体" w:cs="宋体" w:hAnsi="宋体"/>
          <w:sz w:val="24"/>
          <w:szCs w:val="24"/>
        </w:rPr>
        <w:t xml:space="preserve"> (KCTC 6591), </w:t>
      </w:r>
      <w:r>
        <w:rPr>
          <w:rFonts w:ascii="宋体" w:cs="宋体" w:hAnsi="宋体"/>
          <w:i/>
          <w:iCs/>
          <w:sz w:val="24"/>
          <w:szCs w:val="24"/>
        </w:rPr>
        <w:t>Trichophyton mentagrophytes</w:t>
      </w:r>
      <w:r>
        <w:rPr>
          <w:rFonts w:ascii="宋体" w:cs="宋体" w:hAnsi="宋体"/>
          <w:sz w:val="24"/>
          <w:szCs w:val="24"/>
        </w:rPr>
        <w:t xml:space="preserve"> (KCTC 6077), </w:t>
      </w:r>
      <w:r>
        <w:rPr>
          <w:rFonts w:ascii="宋体" w:cs="宋体" w:hAnsi="宋体"/>
          <w:i/>
          <w:iCs/>
          <w:sz w:val="24"/>
          <w:szCs w:val="24"/>
        </w:rPr>
        <w:t>Trichophyton rubrum</w:t>
      </w:r>
      <w:r>
        <w:rPr>
          <w:rFonts w:ascii="宋体" w:cs="宋体" w:hAnsi="宋体"/>
          <w:sz w:val="24"/>
          <w:szCs w:val="24"/>
        </w:rPr>
        <w:t xml:space="preserve"> (KCCM</w:t>
      </w:r>
      <w:r>
        <w:rPr>
          <w:rFonts w:ascii="宋体" w:cs="宋体" w:hAnsi="宋体"/>
          <w:sz w:val="24"/>
          <w:szCs w:val="24"/>
        </w:rPr>
        <w:t xml:space="preserve"> </w:t>
      </w:r>
      <w:r>
        <w:rPr>
          <w:rFonts w:ascii="宋体" w:cs="宋体" w:hAnsi="宋体"/>
          <w:sz w:val="24"/>
          <w:szCs w:val="24"/>
        </w:rPr>
        <w:t xml:space="preserve">60443), </w:t>
      </w:r>
      <w:r>
        <w:rPr>
          <w:rFonts w:ascii="宋体" w:cs="宋体" w:hAnsi="宋体"/>
          <w:i/>
          <w:iCs/>
          <w:sz w:val="24"/>
          <w:szCs w:val="24"/>
        </w:rPr>
        <w:t>Epidermophyton</w:t>
      </w:r>
      <w:r>
        <w:rPr>
          <w:rFonts w:ascii="宋体" w:cs="宋体" w:hAnsi="宋体"/>
          <w:i/>
          <w:iCs/>
          <w:sz w:val="24"/>
          <w:szCs w:val="24"/>
        </w:rPr>
        <w:t xml:space="preserve"> </w:t>
      </w:r>
      <w:r>
        <w:rPr>
          <w:rFonts w:ascii="宋体" w:cs="宋体" w:hAnsi="宋体"/>
          <w:i/>
          <w:iCs/>
          <w:sz w:val="24"/>
          <w:szCs w:val="24"/>
        </w:rPr>
        <w:t>floccosum</w:t>
      </w:r>
      <w:r>
        <w:rPr>
          <w:rFonts w:ascii="宋体" w:cs="宋体" w:hAnsi="宋体"/>
          <w:sz w:val="24"/>
          <w:szCs w:val="24"/>
        </w:rPr>
        <w:t xml:space="preserve"> (KCCM 11667) and </w:t>
      </w:r>
      <w:r>
        <w:rPr>
          <w:rFonts w:ascii="宋体" w:cs="宋体" w:hAnsi="宋体"/>
          <w:i/>
          <w:iCs/>
          <w:sz w:val="24"/>
          <w:szCs w:val="24"/>
        </w:rPr>
        <w:t>Microsporum</w:t>
      </w:r>
      <w:r>
        <w:rPr>
          <w:rFonts w:ascii="宋体" w:cs="宋体" w:hAnsi="宋体"/>
          <w:i/>
          <w:iCs/>
          <w:sz w:val="24"/>
          <w:szCs w:val="24"/>
        </w:rPr>
        <w:t xml:space="preserve"> </w:t>
      </w:r>
      <w:r>
        <w:rPr>
          <w:rFonts w:ascii="宋体" w:cs="宋体" w:hAnsi="宋体"/>
          <w:i/>
          <w:iCs/>
          <w:sz w:val="24"/>
          <w:szCs w:val="24"/>
        </w:rPr>
        <w:t>gypseum</w:t>
      </w:r>
      <w:r>
        <w:rPr>
          <w:rFonts w:ascii="宋体" w:cs="宋体" w:hAnsi="宋体"/>
          <w:sz w:val="24"/>
          <w:szCs w:val="24"/>
        </w:rPr>
        <w:t xml:space="preserve"> were tested and results indicate a maximum activity at concentration of 0.2 mg/mL with an effectiveness of up to 60%</w:t>
      </w:r>
      <w:r>
        <w:rPr>
          <w:rFonts w:ascii="宋体" w:cs="宋体" w:hAnsi="宋体"/>
          <w:sz w:val="24"/>
          <w:szCs w:val="24"/>
        </w:rPr>
        <w:t xml:space="preserve"> </w:t>
      </w:r>
      <w:r>
        <w:rPr>
          <w:rFonts w:ascii="宋体" w:cs="宋体" w:hAnsi="宋体"/>
          <w:sz w:val="24"/>
          <w:szCs w:val="24"/>
        </w:rPr>
        <w:t xml:space="preserve">(Park </w:t>
      </w:r>
      <w:r>
        <w:rPr>
          <w:rFonts w:ascii="宋体" w:cs="宋体" w:hAnsi="宋体"/>
          <w:i/>
          <w:iCs/>
          <w:sz w:val="24"/>
          <w:szCs w:val="24"/>
        </w:rPr>
        <w:t>et al</w:t>
      </w:r>
      <w:r>
        <w:rPr>
          <w:rFonts w:ascii="宋体" w:cs="宋体" w:hAnsi="宋体"/>
          <w:sz w:val="24"/>
          <w:szCs w:val="24"/>
        </w:rPr>
        <w:t>., 2017)</w:t>
      </w:r>
      <w:r>
        <w:rPr>
          <w:rFonts w:ascii="宋体" w:cs="宋体" w:hAnsi="宋体"/>
          <w:sz w:val="24"/>
          <w:szCs w:val="24"/>
        </w:rPr>
        <w:t xml:space="preserve">. </w:t>
      </w:r>
      <w:r>
        <w:rPr>
          <w:rFonts w:ascii="宋体" w:cs="宋体" w:hAnsi="宋体"/>
          <w:sz w:val="24"/>
          <w:szCs w:val="24"/>
        </w:rPr>
        <w:t>Pure clove oil or mixes with rosemary (</w:t>
      </w:r>
      <w:r>
        <w:rPr>
          <w:rFonts w:ascii="宋体" w:cs="宋体" w:hAnsi="宋体"/>
          <w:i/>
          <w:iCs/>
          <w:sz w:val="24"/>
          <w:szCs w:val="24"/>
        </w:rPr>
        <w:t>Rosmarinus officinalis</w:t>
      </w:r>
      <w:r>
        <w:rPr>
          <w:rFonts w:ascii="宋体" w:cs="宋体" w:hAnsi="宋体"/>
          <w:sz w:val="24"/>
          <w:szCs w:val="24"/>
        </w:rPr>
        <w:t xml:space="preserve"> spp.) oil were tested against </w:t>
      </w:r>
      <w:r>
        <w:rPr>
          <w:rFonts w:ascii="宋体" w:cs="宋体" w:hAnsi="宋体"/>
          <w:i/>
          <w:iCs/>
          <w:sz w:val="24"/>
          <w:szCs w:val="24"/>
        </w:rPr>
        <w:t>Staphylococcus epidermidis, Staphylococcus aureus, Bacillus subtilis, E. coli, Proteus vulgaris, Pseudomonas aeruginosa</w:t>
      </w:r>
      <w:r>
        <w:rPr>
          <w:rFonts w:ascii="宋体" w:cs="宋体" w:hAnsi="宋体"/>
          <w:sz w:val="24"/>
          <w:szCs w:val="24"/>
        </w:rPr>
        <w:t xml:space="preserve"> and results showed minimum inhibitory concentrations between 0.062%</w:t>
      </w:r>
      <w:r>
        <w:rPr>
          <w:rFonts w:ascii="宋体" w:cs="宋体" w:hAnsi="宋体"/>
          <w:sz w:val="24"/>
          <w:szCs w:val="24"/>
        </w:rPr>
        <w:t xml:space="preserve"> </w:t>
      </w:r>
      <w:r>
        <w:rPr>
          <w:rFonts w:ascii="宋体" w:cs="宋体" w:hAnsi="宋体"/>
          <w:sz w:val="24"/>
          <w:szCs w:val="24"/>
        </w:rPr>
        <w:t>and 0.500% (v/v) which is promising as anti</w:t>
      </w:r>
      <w:r>
        <w:rPr>
          <w:rFonts w:ascii="宋体" w:cs="宋体" w:hAnsi="宋体"/>
          <w:sz w:val="24"/>
          <w:szCs w:val="24"/>
        </w:rPr>
        <w:t>-</w:t>
      </w:r>
      <w:r>
        <w:rPr>
          <w:rFonts w:ascii="宋体" w:cs="宋体" w:hAnsi="宋体"/>
          <w:sz w:val="24"/>
          <w:szCs w:val="24"/>
        </w:rPr>
        <w:t>infe</w:t>
      </w:r>
      <w:r>
        <w:rPr>
          <w:rFonts w:ascii="宋体" w:cs="宋体" w:hAnsi="宋体"/>
          <w:sz w:val="24"/>
          <w:szCs w:val="24"/>
        </w:rPr>
        <w:t>ctic</w:t>
      </w:r>
      <w:r>
        <w:rPr>
          <w:rFonts w:ascii="宋体" w:cs="宋体" w:hAnsi="宋体"/>
          <w:sz w:val="24"/>
          <w:szCs w:val="24"/>
        </w:rPr>
        <w:t>ious</w:t>
      </w:r>
      <w:r>
        <w:rPr>
          <w:rFonts w:ascii="宋体" w:cs="宋体" w:hAnsi="宋体"/>
          <w:sz w:val="24"/>
          <w:szCs w:val="24"/>
        </w:rPr>
        <w:t xml:space="preserve"> agents or as food preservative</w:t>
      </w:r>
      <w:r>
        <w:rPr>
          <w:rFonts w:ascii="宋体" w:cs="宋体" w:hAnsi="宋体"/>
          <w:sz w:val="24"/>
          <w:szCs w:val="24"/>
        </w:rPr>
        <w:t xml:space="preserve"> </w:t>
      </w:r>
      <w:bookmarkStart w:id="51" w:name="_Hlk185410869"/>
      <w:r>
        <w:rPr>
          <w:rFonts w:ascii="宋体" w:cs="宋体" w:hAnsi="宋体"/>
          <w:sz w:val="24"/>
          <w:szCs w:val="24"/>
        </w:rPr>
        <w:t>(</w:t>
      </w:r>
      <w:r>
        <w:rPr>
          <w:rFonts w:ascii="宋体" w:cs="宋体" w:hAnsi="宋体"/>
          <w:sz w:val="24"/>
          <w:szCs w:val="24"/>
        </w:rPr>
        <w:t>Fu</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2017)</w:t>
      </w:r>
      <w:r>
        <w:rPr>
          <w:rFonts w:ascii="宋体" w:cs="宋体" w:hAnsi="宋体"/>
          <w:sz w:val="24"/>
          <w:szCs w:val="24"/>
        </w:rPr>
        <w:t xml:space="preserve">. </w:t>
      </w:r>
      <w:bookmarkEnd w:id="51"/>
    </w:p>
    <w:p>
      <w:pPr>
        <w:pStyle w:val="style0"/>
        <w:spacing w:lineRule="auto" w:line="480"/>
        <w:ind w:firstLine="720"/>
        <w:jc w:val="both"/>
        <w:rPr>
          <w:rFonts w:ascii="宋体" w:cs="宋体" w:hAnsi="宋体"/>
          <w:sz w:val="24"/>
          <w:szCs w:val="24"/>
        </w:rPr>
      </w:pPr>
      <w:r>
        <w:rPr>
          <w:rFonts w:ascii="宋体" w:cs="宋体" w:hAnsi="宋体"/>
          <w:sz w:val="24"/>
          <w:szCs w:val="24"/>
        </w:rPr>
        <w:t>The anticandidal activity of eugenol and carvacrol was tested in a vaginal candidiasis model, microbial and histological techniques were employed to compare the samples with the controls. The results suggest that eugenol and carvacrol could be a promising antifungal agent for treatment and prophylaxis of vaginal candidiasis</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Chami</w:t>
      </w:r>
      <w:r>
        <w:rPr>
          <w:rFonts w:ascii="宋体" w:cs="宋体" w:hAnsi="宋体"/>
          <w:sz w:val="24"/>
          <w:szCs w:val="24"/>
        </w:rPr>
        <w:t xml:space="preserve">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w:t>
      </w:r>
      <w:r>
        <w:rPr>
          <w:rFonts w:ascii="宋体" w:cs="宋体" w:hAnsi="宋体"/>
          <w:sz w:val="24"/>
          <w:szCs w:val="24"/>
        </w:rPr>
        <w:t>4</w:t>
      </w:r>
      <w:r>
        <w:rPr>
          <w:rFonts w:ascii="宋体" w:cs="宋体" w:hAnsi="宋体"/>
          <w:sz w:val="24"/>
          <w:szCs w:val="24"/>
        </w:rPr>
        <w:t xml:space="preserve">). </w:t>
      </w:r>
      <w:r>
        <w:rPr>
          <w:rFonts w:ascii="宋体" w:cs="宋体" w:hAnsi="宋体"/>
          <w:sz w:val="24"/>
          <w:szCs w:val="24"/>
        </w:rPr>
        <w:t>In addition to the wide spectrum of activity of eugenol against bacteria, a study showed that eugenol and cinnamaldehyde at 2 µg/mL inhibited the growth of 31 strains of Helicobacter pylori, after 9 h and 12 h of incubation, respectively, being more potent that amoxicillin and without developing</w:t>
      </w:r>
      <w:r>
        <w:rPr>
          <w:rFonts w:ascii="宋体" w:cs="宋体" w:hAnsi="宋体"/>
          <w:sz w:val="24"/>
          <w:szCs w:val="24"/>
        </w:rPr>
        <w:t xml:space="preserve"> </w:t>
      </w:r>
      <w:r>
        <w:rPr>
          <w:rFonts w:ascii="宋体" w:cs="宋体" w:hAnsi="宋体"/>
          <w:sz w:val="24"/>
          <w:szCs w:val="24"/>
        </w:rPr>
        <w:t>resistance.</w:t>
      </w:r>
      <w:r>
        <w:rPr>
          <w:rFonts w:ascii="宋体" w:cs="宋体" w:hAnsi="宋体"/>
          <w:sz w:val="24"/>
          <w:szCs w:val="24"/>
        </w:rPr>
        <w:t xml:space="preserve"> </w:t>
      </w:r>
      <w:r>
        <w:rPr>
          <w:rFonts w:ascii="宋体" w:cs="宋体" w:hAnsi="宋体"/>
          <w:sz w:val="24"/>
          <w:szCs w:val="24"/>
        </w:rPr>
        <w:t xml:space="preserve">The activity and stability of those compounds was checked at low pH values since </w:t>
      </w:r>
      <w:r>
        <w:rPr>
          <w:rFonts w:ascii="宋体" w:cs="宋体" w:hAnsi="宋体"/>
          <w:i/>
          <w:iCs/>
          <w:sz w:val="24"/>
          <w:szCs w:val="24"/>
        </w:rPr>
        <w:t>Helicobacter pylori</w:t>
      </w:r>
      <w:r>
        <w:rPr>
          <w:rFonts w:ascii="宋体" w:cs="宋体" w:hAnsi="宋体"/>
          <w:sz w:val="24"/>
          <w:szCs w:val="24"/>
        </w:rPr>
        <w:t xml:space="preserve"> resides in the stomach</w:t>
      </w:r>
      <w:r>
        <w:rPr>
          <w:rFonts w:ascii="宋体" w:cs="宋体" w:hAnsi="宋体"/>
          <w:sz w:val="24"/>
          <w:szCs w:val="24"/>
        </w:rPr>
        <w:t xml:space="preserve"> (Ali </w:t>
      </w:r>
      <w:r>
        <w:rPr>
          <w:rFonts w:ascii="宋体" w:cs="宋体" w:hAnsi="宋体"/>
          <w:i/>
          <w:iCs/>
          <w:sz w:val="24"/>
          <w:szCs w:val="24"/>
        </w:rPr>
        <w:t>et al</w:t>
      </w:r>
      <w:r>
        <w:rPr>
          <w:rFonts w:ascii="宋体" w:cs="宋体" w:hAnsi="宋体"/>
          <w:sz w:val="24"/>
          <w:szCs w:val="24"/>
        </w:rPr>
        <w:t>., 2015)</w:t>
      </w:r>
      <w:r>
        <w:rPr>
          <w:rFonts w:ascii="宋体" w:cs="宋体" w:hAnsi="宋体"/>
          <w:sz w:val="24"/>
          <w:szCs w:val="24"/>
        </w:rPr>
        <w:t>. Solid lipid nanoparticles containing eugenol were</w:t>
      </w:r>
      <w:r>
        <w:rPr>
          <w:rFonts w:ascii="宋体" w:cs="宋体" w:hAnsi="宋体"/>
          <w:sz w:val="24"/>
          <w:szCs w:val="24"/>
        </w:rPr>
        <w:t xml:space="preserve"> </w:t>
      </w:r>
      <w:r>
        <w:rPr>
          <w:rFonts w:ascii="宋体" w:cs="宋体" w:hAnsi="宋体"/>
          <w:sz w:val="24"/>
          <w:szCs w:val="24"/>
        </w:rPr>
        <w:t xml:space="preserve">prepared employing stearic acid, caprylic triglyceride and Poloxamer 188 in different concentrations by a modified hot homogenization ultrasonication method. The particles formed were characterized by the particle size, </w:t>
      </w:r>
      <w:r>
        <w:rPr>
          <w:rFonts w:ascii="宋体" w:cs="宋体" w:hAnsi="宋体"/>
          <w:sz w:val="24"/>
          <w:szCs w:val="24"/>
        </w:rPr>
        <w:t>polydispersitivity</w:t>
      </w:r>
      <w:r>
        <w:rPr>
          <w:rFonts w:ascii="宋体" w:cs="宋体" w:hAnsi="宋体"/>
          <w:sz w:val="24"/>
          <w:szCs w:val="24"/>
        </w:rPr>
        <w:t xml:space="preserve"> index, morphology, zeta potential, crystalline state and encapsulation efficiency. The antifungal activity of solid </w:t>
      </w:r>
      <w:r>
        <w:rPr>
          <w:rFonts w:ascii="宋体" w:cs="宋体" w:hAnsi="宋体"/>
          <w:sz w:val="24"/>
          <w:szCs w:val="24"/>
        </w:rPr>
        <w:t xml:space="preserve">lipid nanoparticles was tested in vivo by using a model of oral candidiasis (Candida </w:t>
      </w:r>
      <w:r>
        <w:rPr>
          <w:rFonts w:ascii="宋体" w:cs="宋体" w:hAnsi="宋体"/>
          <w:sz w:val="24"/>
          <w:szCs w:val="24"/>
        </w:rPr>
        <w:t>albicans</w:t>
      </w:r>
      <w:r>
        <w:rPr>
          <w:rFonts w:ascii="宋体" w:cs="宋体" w:hAnsi="宋体"/>
          <w:sz w:val="24"/>
          <w:szCs w:val="24"/>
        </w:rPr>
        <w:t xml:space="preserve">) in </w:t>
      </w:r>
      <w:r>
        <w:rPr>
          <w:rFonts w:ascii="宋体" w:cs="宋体" w:hAnsi="宋体"/>
          <w:sz w:val="24"/>
          <w:szCs w:val="24"/>
        </w:rPr>
        <w:t>immunosupressed</w:t>
      </w:r>
      <w:r>
        <w:rPr>
          <w:rFonts w:ascii="宋体" w:cs="宋体" w:hAnsi="宋体"/>
          <w:sz w:val="24"/>
          <w:szCs w:val="24"/>
        </w:rPr>
        <w:t xml:space="preserve"> rats. The results showed the increase in the therapeutic effectiveness of eugenol and the modification of the release when administrated as solid lipid nanoparticles</w:t>
      </w:r>
      <w:r>
        <w:rPr>
          <w:rFonts w:ascii="宋体" w:cs="宋体" w:hAnsi="宋体"/>
          <w:sz w:val="24"/>
          <w:szCs w:val="24"/>
        </w:rPr>
        <w:t xml:space="preserve"> </w:t>
      </w:r>
      <w:r>
        <w:rPr>
          <w:rFonts w:ascii="宋体" w:cs="宋体" w:hAnsi="宋体"/>
          <w:sz w:val="24"/>
          <w:szCs w:val="24"/>
        </w:rPr>
        <w:t>(Garg and Singh, 2011)</w:t>
      </w:r>
      <w:r>
        <w:rPr>
          <w:rFonts w:ascii="宋体" w:cs="宋体" w:hAnsi="宋体"/>
          <w:sz w:val="24"/>
          <w:szCs w:val="24"/>
        </w:rPr>
        <w:t>.</w:t>
      </w:r>
    </w:p>
    <w:bookmarkStart w:id="52" w:name="_Toc202853990"/>
    <w:p>
      <w:pPr>
        <w:pStyle w:val="style3"/>
        <w:rPr>
          <w:sz w:val="24"/>
          <w:szCs w:val="24"/>
        </w:rPr>
      </w:pPr>
      <w:r>
        <w:rPr>
          <w:sz w:val="24"/>
          <w:szCs w:val="24"/>
        </w:rPr>
        <w:t>2.</w:t>
      </w:r>
      <w:r>
        <w:rPr>
          <w:sz w:val="24"/>
          <w:szCs w:val="24"/>
        </w:rPr>
        <w:t>5</w:t>
      </w:r>
      <w:r>
        <w:rPr>
          <w:sz w:val="24"/>
          <w:szCs w:val="24"/>
        </w:rPr>
        <w:t>.4 Antinociceptive</w:t>
      </w:r>
      <w:bookmarkEnd w:id="52"/>
    </w:p>
    <w:p>
      <w:pPr>
        <w:pStyle w:val="style0"/>
        <w:spacing w:lineRule="auto" w:line="480"/>
        <w:ind w:firstLine="720"/>
        <w:jc w:val="both"/>
        <w:rPr>
          <w:rFonts w:ascii="宋体" w:cs="宋体" w:hAnsi="宋体"/>
          <w:sz w:val="24"/>
          <w:szCs w:val="24"/>
        </w:rPr>
      </w:pPr>
      <w:r>
        <w:rPr>
          <w:rFonts w:ascii="宋体" w:cs="宋体" w:hAnsi="宋体"/>
          <w:sz w:val="24"/>
          <w:szCs w:val="24"/>
        </w:rPr>
        <w:t>The employment of clove as analgesic have been reported since the 13th century, for toothache, join pain and antispasmodic, being the eugenol the main compound respons</w:t>
      </w:r>
      <w:r>
        <w:rPr>
          <w:rFonts w:ascii="宋体" w:cs="宋体" w:hAnsi="宋体"/>
          <w:sz w:val="24"/>
          <w:szCs w:val="24"/>
        </w:rPr>
        <w:t>i</w:t>
      </w:r>
      <w:r>
        <w:rPr>
          <w:rFonts w:ascii="宋体" w:cs="宋体" w:hAnsi="宋体"/>
          <w:sz w:val="24"/>
          <w:szCs w:val="24"/>
        </w:rPr>
        <w:t xml:space="preserve">ble for this activity. The mechanism evolved has been attributed to the activation of calcium and chloride channels in </w:t>
      </w:r>
      <w:r>
        <w:rPr>
          <w:rFonts w:ascii="宋体" w:cs="宋体" w:hAnsi="宋体"/>
          <w:sz w:val="24"/>
          <w:szCs w:val="24"/>
        </w:rPr>
        <w:t>ganglionar</w:t>
      </w:r>
      <w:r>
        <w:rPr>
          <w:rFonts w:ascii="宋体" w:cs="宋体" w:hAnsi="宋体"/>
          <w:sz w:val="24"/>
          <w:szCs w:val="24"/>
        </w:rPr>
        <w:t xml:space="preserve"> cells</w:t>
      </w:r>
      <w:r>
        <w:rPr>
          <w:rFonts w:ascii="宋体" w:cs="宋体" w:hAnsi="宋体"/>
          <w:sz w:val="24"/>
          <w:szCs w:val="24"/>
        </w:rPr>
        <w:t xml:space="preserve"> </w:t>
      </w:r>
      <w:r>
        <w:rPr>
          <w:rFonts w:ascii="宋体" w:cs="宋体" w:hAnsi="宋体"/>
          <w:sz w:val="24"/>
          <w:szCs w:val="24"/>
        </w:rPr>
        <w:t>tree</w:t>
      </w:r>
      <w:r>
        <w:rPr>
          <w:rFonts w:ascii="宋体" w:cs="宋体" w:hAnsi="宋体"/>
          <w:sz w:val="24"/>
          <w:szCs w:val="24"/>
        </w:rPr>
        <w:t xml:space="preserve"> </w:t>
      </w:r>
      <w:r>
        <w:rPr>
          <w:rFonts w:ascii="宋体" w:cs="宋体" w:hAnsi="宋体"/>
          <w:sz w:val="24"/>
          <w:szCs w:val="24"/>
        </w:rPr>
        <w:t xml:space="preserve">(Matan </w:t>
      </w:r>
      <w:r>
        <w:rPr>
          <w:rFonts w:ascii="宋体" w:cs="宋体" w:hAnsi="宋体"/>
          <w:i/>
          <w:iCs/>
          <w:sz w:val="24"/>
          <w:szCs w:val="24"/>
        </w:rPr>
        <w:t>et al</w:t>
      </w:r>
      <w:r>
        <w:rPr>
          <w:rFonts w:ascii="宋体" w:cs="宋体" w:hAnsi="宋体"/>
          <w:sz w:val="24"/>
          <w:szCs w:val="24"/>
        </w:rPr>
        <w:t>., 2016)</w:t>
      </w:r>
      <w:r>
        <w:rPr>
          <w:rFonts w:ascii="宋体" w:cs="宋体" w:hAnsi="宋体"/>
          <w:sz w:val="24"/>
          <w:szCs w:val="24"/>
        </w:rPr>
        <w:t xml:space="preserve">. The voltage </w:t>
      </w:r>
      <w:r>
        <w:rPr>
          <w:rFonts w:ascii="宋体" w:cs="宋体" w:hAnsi="宋体"/>
          <w:sz w:val="24"/>
          <w:szCs w:val="24"/>
        </w:rPr>
        <w:t>dependant</w:t>
      </w:r>
      <w:r>
        <w:rPr>
          <w:rFonts w:ascii="宋体" w:cs="宋体" w:hAnsi="宋体"/>
          <w:sz w:val="24"/>
          <w:szCs w:val="24"/>
        </w:rPr>
        <w:t xml:space="preserve"> effects of eugenol in sodium and calcium channels and in receptors expressed in the trigeminal </w:t>
      </w:r>
      <w:r>
        <w:rPr>
          <w:rFonts w:ascii="宋体" w:cs="宋体" w:hAnsi="宋体"/>
          <w:sz w:val="24"/>
          <w:szCs w:val="24"/>
        </w:rPr>
        <w:t>ganglio</w:t>
      </w:r>
      <w:r>
        <w:rPr>
          <w:rFonts w:ascii="宋体" w:cs="宋体" w:hAnsi="宋体"/>
          <w:sz w:val="24"/>
          <w:szCs w:val="24"/>
        </w:rPr>
        <w:t xml:space="preserve"> also contributed to the analgesic effect of clove</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Li</w:t>
      </w:r>
      <w:r>
        <w:rPr>
          <w:rFonts w:ascii="宋体" w:cs="宋体" w:hAnsi="宋体"/>
          <w:sz w:val="24"/>
          <w:szCs w:val="24"/>
        </w:rPr>
        <w:t xml:space="preserve">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w:t>
      </w:r>
      <w:r>
        <w:rPr>
          <w:rFonts w:ascii="宋体" w:cs="宋体" w:hAnsi="宋体"/>
          <w:sz w:val="24"/>
          <w:szCs w:val="24"/>
        </w:rPr>
        <w:t>8</w:t>
      </w:r>
      <w:r>
        <w:rPr>
          <w:rFonts w:ascii="宋体" w:cs="宋体" w:hAnsi="宋体"/>
          <w:sz w:val="24"/>
          <w:szCs w:val="24"/>
        </w:rPr>
        <w:t>)</w:t>
      </w:r>
      <w:r>
        <w:rPr>
          <w:rFonts w:ascii="宋体" w:cs="宋体" w:hAnsi="宋体"/>
          <w:sz w:val="24"/>
          <w:szCs w:val="24"/>
        </w:rPr>
        <w:t>. Other results show that the analgesic effect of clove is due to the action as capsaicin agonist</w:t>
      </w:r>
      <w:r>
        <w:rPr>
          <w:rFonts w:ascii="宋体" w:cs="宋体" w:hAnsi="宋体"/>
          <w:sz w:val="24"/>
          <w:szCs w:val="24"/>
        </w:rPr>
        <w:t xml:space="preserve"> </w:t>
      </w:r>
      <w:r>
        <w:rPr>
          <w:rFonts w:ascii="宋体" w:cs="宋体" w:hAnsi="宋体"/>
          <w:sz w:val="24"/>
          <w:szCs w:val="24"/>
        </w:rPr>
        <w:t>(Ohkubo and Shibata, 2017)</w:t>
      </w:r>
      <w:r>
        <w:rPr>
          <w:rFonts w:ascii="宋体" w:cs="宋体" w:hAnsi="宋体"/>
          <w:sz w:val="24"/>
          <w:szCs w:val="24"/>
        </w:rPr>
        <w:t xml:space="preserve">. </w:t>
      </w:r>
      <w:r>
        <w:rPr>
          <w:rFonts w:ascii="宋体" w:cs="宋体" w:hAnsi="宋体"/>
          <w:sz w:val="24"/>
          <w:szCs w:val="24"/>
        </w:rPr>
        <w:t xml:space="preserve">The peripheral antinociceptive activity of eugenol was reported by Daniel </w:t>
      </w:r>
      <w:r>
        <w:rPr>
          <w:rFonts w:ascii="宋体" w:cs="宋体" w:hAnsi="宋体"/>
          <w:i/>
          <w:sz w:val="24"/>
          <w:szCs w:val="24"/>
        </w:rPr>
        <w:t>et al</w:t>
      </w:r>
      <w:r>
        <w:rPr>
          <w:rFonts w:ascii="宋体" w:cs="宋体" w:hAnsi="宋体"/>
          <w:sz w:val="24"/>
          <w:szCs w:val="24"/>
        </w:rPr>
        <w:t>.</w:t>
      </w:r>
      <w:r>
        <w:rPr>
          <w:rFonts w:ascii="宋体" w:cs="宋体" w:hAnsi="宋体"/>
          <w:sz w:val="24"/>
          <w:szCs w:val="24"/>
        </w:rPr>
        <w:t xml:space="preserve"> (2009) </w:t>
      </w:r>
      <w:r>
        <w:rPr>
          <w:rFonts w:ascii="宋体" w:cs="宋体" w:hAnsi="宋体"/>
          <w:sz w:val="24"/>
          <w:szCs w:val="24"/>
        </w:rPr>
        <w:t>showing significant activity at doses of 50, 75 and 100 mg/kg.</w:t>
      </w:r>
    </w:p>
    <w:bookmarkStart w:id="53" w:name="_Toc202853991"/>
    <w:p>
      <w:pPr>
        <w:pStyle w:val="style3"/>
        <w:rPr>
          <w:sz w:val="24"/>
          <w:szCs w:val="24"/>
        </w:rPr>
      </w:pPr>
      <w:r>
        <w:rPr>
          <w:sz w:val="24"/>
          <w:szCs w:val="24"/>
        </w:rPr>
        <w:t>2.</w:t>
      </w:r>
      <w:r>
        <w:rPr>
          <w:sz w:val="24"/>
          <w:szCs w:val="24"/>
        </w:rPr>
        <w:t>5</w:t>
      </w:r>
      <w:r>
        <w:rPr>
          <w:sz w:val="24"/>
          <w:szCs w:val="24"/>
        </w:rPr>
        <w:t>.5 Antiviral Activity</w:t>
      </w:r>
      <w:bookmarkEnd w:id="53"/>
    </w:p>
    <w:p>
      <w:pPr>
        <w:pStyle w:val="style0"/>
        <w:spacing w:lineRule="auto" w:line="480"/>
        <w:ind w:firstLine="720"/>
        <w:jc w:val="both"/>
        <w:rPr>
          <w:rFonts w:ascii="宋体" w:cs="宋体" w:hAnsi="宋体"/>
          <w:sz w:val="24"/>
          <w:szCs w:val="24"/>
        </w:rPr>
      </w:pPr>
      <w:r>
        <w:rPr>
          <w:rFonts w:ascii="宋体" w:cs="宋体" w:hAnsi="宋体"/>
          <w:sz w:val="24"/>
          <w:szCs w:val="24"/>
        </w:rPr>
        <w:t xml:space="preserve"> The antiviral activity of </w:t>
      </w:r>
      <w:r>
        <w:rPr>
          <w:rFonts w:ascii="宋体" w:cs="宋体" w:hAnsi="宋体"/>
          <w:sz w:val="24"/>
          <w:szCs w:val="24"/>
        </w:rPr>
        <w:t>eugeniin</w:t>
      </w:r>
      <w:r>
        <w:rPr>
          <w:rFonts w:ascii="宋体" w:cs="宋体" w:hAnsi="宋体"/>
          <w:sz w:val="24"/>
          <w:szCs w:val="24"/>
        </w:rPr>
        <w:t xml:space="preserve">, a compound isolated from </w:t>
      </w:r>
      <w:r>
        <w:rPr>
          <w:rFonts w:ascii="宋体" w:cs="宋体" w:hAnsi="宋体"/>
          <w:i/>
          <w:iCs/>
          <w:sz w:val="24"/>
          <w:szCs w:val="24"/>
        </w:rPr>
        <w:t xml:space="preserve">S. </w:t>
      </w:r>
      <w:r>
        <w:rPr>
          <w:rFonts w:ascii="宋体" w:cs="宋体" w:hAnsi="宋体"/>
          <w:i/>
          <w:iCs/>
          <w:sz w:val="24"/>
          <w:szCs w:val="24"/>
        </w:rPr>
        <w:t>aromaticum</w:t>
      </w:r>
      <w:r>
        <w:rPr>
          <w:rFonts w:ascii="宋体" w:cs="宋体" w:hAnsi="宋体"/>
          <w:sz w:val="24"/>
          <w:szCs w:val="24"/>
        </w:rPr>
        <w:t xml:space="preserve"> and from </w:t>
      </w:r>
      <w:r>
        <w:rPr>
          <w:rFonts w:ascii="宋体" w:cs="宋体" w:hAnsi="宋体"/>
          <w:i/>
          <w:iCs/>
          <w:sz w:val="24"/>
          <w:szCs w:val="24"/>
        </w:rPr>
        <w:t>Geum</w:t>
      </w:r>
      <w:r>
        <w:rPr>
          <w:rFonts w:ascii="宋体" w:cs="宋体" w:hAnsi="宋体"/>
          <w:i/>
          <w:iCs/>
          <w:sz w:val="24"/>
          <w:szCs w:val="24"/>
        </w:rPr>
        <w:t xml:space="preserve"> japonicum</w:t>
      </w:r>
      <w:r>
        <w:rPr>
          <w:rFonts w:ascii="宋体" w:cs="宋体" w:hAnsi="宋体"/>
          <w:sz w:val="24"/>
          <w:szCs w:val="24"/>
        </w:rPr>
        <w:t xml:space="preserve">, was tested against herpes virus strains being effective at 5 µg/mL, and it was deducted that one of the major targets of </w:t>
      </w:r>
      <w:r>
        <w:rPr>
          <w:rFonts w:ascii="宋体" w:cs="宋体" w:hAnsi="宋体"/>
          <w:sz w:val="24"/>
          <w:szCs w:val="24"/>
        </w:rPr>
        <w:t>eugeniin</w:t>
      </w:r>
      <w:r>
        <w:rPr>
          <w:rFonts w:ascii="宋体" w:cs="宋体" w:hAnsi="宋体"/>
          <w:sz w:val="24"/>
          <w:szCs w:val="24"/>
        </w:rPr>
        <w:t xml:space="preserve"> is the viral DNA synthesis by the inhibition of the viral DNA</w:t>
      </w:r>
      <w:r>
        <w:rPr>
          <w:rFonts w:ascii="宋体" w:cs="宋体" w:hAnsi="宋体"/>
          <w:sz w:val="24"/>
          <w:szCs w:val="24"/>
        </w:rPr>
        <w:t xml:space="preserve"> </w:t>
      </w:r>
      <w:r>
        <w:rPr>
          <w:rFonts w:ascii="宋体" w:cs="宋体" w:hAnsi="宋体"/>
          <w:sz w:val="24"/>
          <w:szCs w:val="24"/>
        </w:rPr>
        <w:t xml:space="preserve">polymerase </w:t>
      </w:r>
      <w:r>
        <w:rPr>
          <w:rFonts w:ascii="宋体" w:cs="宋体" w:hAnsi="宋体"/>
          <w:sz w:val="24"/>
          <w:szCs w:val="24"/>
        </w:rPr>
        <w:t>(</w:t>
      </w:r>
      <w:r>
        <w:rPr>
          <w:rFonts w:ascii="宋体" w:cs="宋体" w:hAnsi="宋体"/>
          <w:sz w:val="24"/>
          <w:szCs w:val="24"/>
        </w:rPr>
        <w:t>Li</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2012)</w:t>
      </w:r>
      <w:r>
        <w:rPr>
          <w:rFonts w:ascii="宋体" w:cs="宋体" w:hAnsi="宋体"/>
          <w:sz w:val="24"/>
          <w:szCs w:val="24"/>
        </w:rPr>
        <w:t xml:space="preserve">. </w:t>
      </w:r>
      <w:r>
        <w:rPr>
          <w:rFonts w:ascii="宋体" w:cs="宋体" w:hAnsi="宋体"/>
          <w:sz w:val="24"/>
          <w:szCs w:val="24"/>
        </w:rPr>
        <w:t xml:space="preserve">In another study, aqueous extracts of </w:t>
      </w:r>
      <w:r>
        <w:rPr>
          <w:rFonts w:ascii="宋体" w:cs="宋体" w:hAnsi="宋体"/>
          <w:i/>
          <w:iCs/>
          <w:sz w:val="24"/>
          <w:szCs w:val="24"/>
        </w:rPr>
        <w:t xml:space="preserve">S. </w:t>
      </w:r>
      <w:r>
        <w:rPr>
          <w:rFonts w:ascii="宋体" w:cs="宋体" w:hAnsi="宋体"/>
          <w:i/>
          <w:iCs/>
          <w:sz w:val="24"/>
          <w:szCs w:val="24"/>
        </w:rPr>
        <w:t>aromaticum</w:t>
      </w:r>
      <w:r>
        <w:rPr>
          <w:rFonts w:ascii="宋体" w:cs="宋体" w:hAnsi="宋体"/>
          <w:sz w:val="24"/>
          <w:szCs w:val="24"/>
        </w:rPr>
        <w:t xml:space="preserve"> (L.)</w:t>
      </w:r>
      <w:r>
        <w:rPr>
          <w:rFonts w:ascii="宋体" w:cs="宋体" w:hAnsi="宋体"/>
          <w:sz w:val="24"/>
          <w:szCs w:val="24"/>
        </w:rPr>
        <w:t xml:space="preserve"> </w:t>
      </w:r>
      <w:r>
        <w:rPr>
          <w:rFonts w:ascii="宋体" w:cs="宋体" w:hAnsi="宋体"/>
          <w:sz w:val="24"/>
          <w:szCs w:val="24"/>
        </w:rPr>
        <w:t>Merr</w:t>
      </w:r>
      <w:r>
        <w:rPr>
          <w:rFonts w:ascii="宋体" w:cs="宋体" w:hAnsi="宋体"/>
          <w:sz w:val="24"/>
          <w:szCs w:val="24"/>
        </w:rPr>
        <w:t xml:space="preserve">. et Perry and other plants as </w:t>
      </w:r>
      <w:r>
        <w:rPr>
          <w:rFonts w:ascii="宋体" w:cs="宋体" w:hAnsi="宋体"/>
          <w:sz w:val="24"/>
          <w:szCs w:val="24"/>
        </w:rPr>
        <w:t>Geum</w:t>
      </w:r>
      <w:r>
        <w:rPr>
          <w:rFonts w:ascii="宋体" w:cs="宋体" w:hAnsi="宋体"/>
          <w:sz w:val="24"/>
          <w:szCs w:val="24"/>
        </w:rPr>
        <w:t xml:space="preserve"> japonicum </w:t>
      </w:r>
      <w:r>
        <w:rPr>
          <w:rFonts w:ascii="宋体" w:cs="宋体" w:hAnsi="宋体"/>
          <w:sz w:val="24"/>
          <w:szCs w:val="24"/>
        </w:rPr>
        <w:t>Thunb</w:t>
      </w:r>
      <w:r>
        <w:rPr>
          <w:rFonts w:ascii="宋体" w:cs="宋体" w:hAnsi="宋体"/>
          <w:sz w:val="24"/>
          <w:szCs w:val="24"/>
        </w:rPr>
        <w:t xml:space="preserve">., </w:t>
      </w:r>
      <w:r>
        <w:rPr>
          <w:rFonts w:ascii="宋体" w:cs="宋体" w:hAnsi="宋体"/>
          <w:sz w:val="24"/>
          <w:szCs w:val="24"/>
        </w:rPr>
        <w:t>Rhus</w:t>
      </w:r>
      <w:r>
        <w:rPr>
          <w:rFonts w:ascii="宋体" w:cs="宋体" w:hAnsi="宋体"/>
          <w:sz w:val="24"/>
          <w:szCs w:val="24"/>
        </w:rPr>
        <w:t xml:space="preserve"> </w:t>
      </w:r>
      <w:r>
        <w:rPr>
          <w:rFonts w:ascii="宋体" w:cs="宋体" w:hAnsi="宋体"/>
          <w:sz w:val="24"/>
          <w:szCs w:val="24"/>
        </w:rPr>
        <w:t>javanica</w:t>
      </w:r>
      <w:r>
        <w:rPr>
          <w:rFonts w:ascii="宋体" w:cs="宋体" w:hAnsi="宋体"/>
          <w:sz w:val="24"/>
          <w:szCs w:val="24"/>
        </w:rPr>
        <w:t xml:space="preserve"> L., and Terminalia </w:t>
      </w:r>
      <w:r>
        <w:rPr>
          <w:rFonts w:ascii="宋体" w:cs="宋体" w:hAnsi="宋体"/>
          <w:sz w:val="24"/>
          <w:szCs w:val="24"/>
        </w:rPr>
        <w:t>chebula</w:t>
      </w:r>
      <w:r>
        <w:rPr>
          <w:rFonts w:ascii="宋体" w:cs="宋体" w:hAnsi="宋体"/>
          <w:sz w:val="24"/>
          <w:szCs w:val="24"/>
        </w:rPr>
        <w:t xml:space="preserve"> </w:t>
      </w:r>
      <w:r>
        <w:rPr>
          <w:rFonts w:ascii="宋体" w:cs="宋体" w:hAnsi="宋体"/>
          <w:sz w:val="24"/>
          <w:szCs w:val="24"/>
        </w:rPr>
        <w:t>Retzus</w:t>
      </w:r>
      <w:r>
        <w:rPr>
          <w:rFonts w:ascii="宋体" w:cs="宋体" w:hAnsi="宋体"/>
          <w:sz w:val="24"/>
          <w:szCs w:val="24"/>
        </w:rPr>
        <w:t xml:space="preserve"> among others showed strong </w:t>
      </w:r>
      <w:r>
        <w:rPr>
          <w:rFonts w:ascii="宋体" w:cs="宋体" w:hAnsi="宋体"/>
          <w:sz w:val="24"/>
          <w:szCs w:val="24"/>
        </w:rPr>
        <w:t>antiherpes</w:t>
      </w:r>
      <w:r>
        <w:rPr>
          <w:rFonts w:ascii="宋体" w:cs="宋体" w:hAnsi="宋体"/>
          <w:sz w:val="24"/>
          <w:szCs w:val="24"/>
        </w:rPr>
        <w:t xml:space="preserve"> simplex virus type 1 (HSV-1)</w:t>
      </w:r>
      <w:r>
        <w:rPr>
          <w:rFonts w:ascii="宋体" w:cs="宋体" w:hAnsi="宋体"/>
          <w:sz w:val="24"/>
          <w:szCs w:val="24"/>
        </w:rPr>
        <w:t xml:space="preserve"> </w:t>
      </w:r>
      <w:r>
        <w:rPr>
          <w:rFonts w:ascii="宋体" w:cs="宋体" w:hAnsi="宋体"/>
          <w:sz w:val="24"/>
          <w:szCs w:val="24"/>
        </w:rPr>
        <w:t>activity when combined with acyclovir. This synergic activity was stronger in the brain that in the skin and it was also proved that those combinations were not toxic to mice</w:t>
      </w:r>
      <w:r>
        <w:rPr>
          <w:rFonts w:ascii="宋体" w:cs="宋体" w:hAnsi="宋体"/>
          <w:sz w:val="24"/>
          <w:szCs w:val="24"/>
        </w:rPr>
        <w:t xml:space="preserve"> </w:t>
      </w:r>
      <w:bookmarkStart w:id="54" w:name="_Hlk185407514"/>
      <w:r>
        <w:rPr>
          <w:rFonts w:ascii="宋体" w:cs="宋体" w:hAnsi="宋体"/>
          <w:sz w:val="24"/>
          <w:szCs w:val="24"/>
        </w:rPr>
        <w:t>(</w:t>
      </w:r>
      <w:r>
        <w:rPr>
          <w:rFonts w:ascii="宋体" w:cs="宋体" w:hAnsi="宋体"/>
          <w:sz w:val="24"/>
          <w:szCs w:val="24"/>
        </w:rPr>
        <w:t>Kurokawa</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w:t>
      </w:r>
      <w:r>
        <w:rPr>
          <w:rFonts w:ascii="宋体" w:cs="宋体" w:hAnsi="宋体"/>
          <w:sz w:val="24"/>
          <w:szCs w:val="24"/>
        </w:rPr>
        <w:t>18</w:t>
      </w:r>
      <w:r>
        <w:rPr>
          <w:rFonts w:ascii="宋体" w:cs="宋体" w:hAnsi="宋体"/>
          <w:sz w:val="24"/>
          <w:szCs w:val="24"/>
        </w:rPr>
        <w:t>)</w:t>
      </w:r>
      <w:bookmarkEnd w:id="54"/>
      <w:r>
        <w:rPr>
          <w:rFonts w:ascii="宋体" w:cs="宋体" w:hAnsi="宋体"/>
          <w:sz w:val="24"/>
          <w:szCs w:val="24"/>
        </w:rPr>
        <w:t>.</w:t>
      </w:r>
    </w:p>
    <w:bookmarkStart w:id="55" w:name="_Toc85116954"/>
    <w:bookmarkStart w:id="56" w:name="_Toc201509724"/>
    <w:bookmarkStart w:id="57" w:name="_Toc202853992"/>
    <w:p>
      <w:pPr>
        <w:pStyle w:val="style1"/>
        <w:jc w:val="center"/>
        <w:rPr>
          <w:rFonts w:ascii="宋体" w:eastAsia="Calibri" w:hAnsi="宋体"/>
          <w:b/>
          <w:bCs/>
          <w:color w:val="auto"/>
          <w:sz w:val="28"/>
          <w:szCs w:val="28"/>
        </w:rPr>
      </w:pPr>
      <w:r>
        <w:rPr>
          <w:rFonts w:ascii="宋体" w:eastAsia="Calibri" w:hAnsi="宋体"/>
          <w:b/>
          <w:bCs/>
          <w:color w:val="auto"/>
          <w:sz w:val="28"/>
          <w:szCs w:val="28"/>
        </w:rPr>
        <w:t>CHAPTER THREE</w:t>
      </w:r>
      <w:bookmarkEnd w:id="55"/>
      <w:bookmarkEnd w:id="56"/>
      <w:bookmarkEnd w:id="57"/>
    </w:p>
    <w:p>
      <w:pPr>
        <w:pStyle w:val="style0"/>
        <w:jc w:val="center"/>
        <w:rPr>
          <w:rFonts w:ascii="Times New Roman" w:cs="Times New Roman" w:hAnsi="Times New Roman"/>
          <w:b/>
          <w:sz w:val="28"/>
          <w:szCs w:val="28"/>
        </w:rPr>
      </w:pPr>
    </w:p>
    <w:bookmarkStart w:id="58" w:name="_Toc85116955"/>
    <w:bookmarkStart w:id="59" w:name="_Toc201509725"/>
    <w:bookmarkStart w:id="60" w:name="_Toc202853993"/>
    <w:p>
      <w:pPr>
        <w:pStyle w:val="style2"/>
        <w:rPr>
          <w:rFonts w:ascii="宋体" w:hAnsi="宋体"/>
          <w:b w:val="false"/>
          <w:bCs w:val="false"/>
          <w:sz w:val="24"/>
          <w:szCs w:val="24"/>
        </w:rPr>
      </w:pPr>
      <w:r>
        <w:rPr>
          <w:rFonts w:ascii="宋体" w:hAnsi="宋体"/>
          <w:sz w:val="24"/>
          <w:szCs w:val="24"/>
        </w:rPr>
        <w:t>3.0 MATERIALS AND METHODS</w:t>
      </w:r>
      <w:bookmarkEnd w:id="58"/>
      <w:bookmarkEnd w:id="59"/>
      <w:bookmarkEnd w:id="60"/>
      <w:r>
        <w:rPr>
          <w:rFonts w:ascii="宋体" w:hAnsi="宋体"/>
          <w:sz w:val="24"/>
          <w:szCs w:val="24"/>
        </w:rPr>
        <w:t xml:space="preserve"> </w:t>
      </w:r>
    </w:p>
    <w:bookmarkStart w:id="61" w:name="_Toc202853994"/>
    <w:p>
      <w:pPr>
        <w:pStyle w:val="style2"/>
        <w:rPr>
          <w:rFonts w:ascii="宋体" w:hAnsi="宋体"/>
          <w:sz w:val="24"/>
          <w:szCs w:val="24"/>
        </w:rPr>
      </w:pPr>
      <w:r>
        <w:rPr>
          <w:rFonts w:ascii="宋体" w:hAnsi="宋体"/>
          <w:sz w:val="24"/>
          <w:szCs w:val="24"/>
        </w:rPr>
        <w:t xml:space="preserve">3.1 </w:t>
      </w:r>
      <w:r>
        <w:rPr>
          <w:rFonts w:ascii="宋体" w:hAnsi="宋体"/>
          <w:sz w:val="24"/>
          <w:szCs w:val="24"/>
        </w:rPr>
        <w:t>Collection and Preparation of Clove Flower Buds</w:t>
      </w:r>
      <w:bookmarkEnd w:id="61"/>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Dried </w:t>
      </w:r>
      <w:r>
        <w:rPr>
          <w:rFonts w:ascii="Times New Roman" w:hAnsi="Times New Roman"/>
          <w:sz w:val="24"/>
          <w:szCs w:val="24"/>
        </w:rPr>
        <w:t>clove flower buds (</w:t>
      </w:r>
      <w:r>
        <w:rPr>
          <w:rFonts w:ascii="Times New Roman" w:hAnsi="Times New Roman"/>
          <w:i/>
          <w:iCs/>
          <w:sz w:val="24"/>
          <w:szCs w:val="24"/>
        </w:rPr>
        <w:t>Syzygium</w:t>
      </w:r>
      <w:r>
        <w:rPr>
          <w:rFonts w:ascii="Times New Roman" w:hAnsi="Times New Roman"/>
          <w:i/>
          <w:iCs/>
          <w:sz w:val="24"/>
          <w:szCs w:val="24"/>
        </w:rPr>
        <w:t xml:space="preserve"> </w:t>
      </w:r>
      <w:r>
        <w:rPr>
          <w:rFonts w:ascii="Times New Roman" w:hAnsi="Times New Roman"/>
          <w:i/>
          <w:iCs/>
          <w:sz w:val="24"/>
          <w:szCs w:val="24"/>
        </w:rPr>
        <w:t>aromaticum</w:t>
      </w:r>
      <w:r>
        <w:rPr>
          <w:rFonts w:ascii="Times New Roman" w:hAnsi="Times New Roman"/>
          <w:sz w:val="24"/>
          <w:szCs w:val="24"/>
        </w:rPr>
        <w:t>) were purchased from market and authenticated by a botanist in the department of botany</w:t>
      </w:r>
      <w:r>
        <w:rPr>
          <w:rFonts w:ascii="Times New Roman" w:hAnsi="Times New Roman"/>
          <w:sz w:val="24"/>
          <w:szCs w:val="24"/>
        </w:rPr>
        <w:t>, University of Ilorin</w:t>
      </w:r>
      <w:r>
        <w:rPr>
          <w:rFonts w:ascii="Times New Roman" w:hAnsi="Times New Roman"/>
          <w:sz w:val="24"/>
          <w:szCs w:val="24"/>
        </w:rPr>
        <w:t>. The buds were thoroughly</w:t>
      </w:r>
      <w:r>
        <w:rPr>
          <w:rFonts w:ascii="Times New Roman" w:hAnsi="Times New Roman"/>
          <w:sz w:val="24"/>
          <w:szCs w:val="24"/>
        </w:rPr>
        <w:t xml:space="preserve"> cleaned</w:t>
      </w:r>
      <w:r>
        <w:rPr>
          <w:rFonts w:ascii="Times New Roman" w:hAnsi="Times New Roman"/>
          <w:sz w:val="24"/>
          <w:szCs w:val="24"/>
        </w:rPr>
        <w:t xml:space="preserve"> to remove any dirt or contaminants. </w:t>
      </w:r>
      <w:r>
        <w:rPr>
          <w:rFonts w:ascii="Times New Roman" w:hAnsi="Times New Roman"/>
          <w:sz w:val="24"/>
          <w:szCs w:val="24"/>
        </w:rPr>
        <w:t>After cleaning</w:t>
      </w:r>
      <w:r>
        <w:rPr>
          <w:rFonts w:ascii="Times New Roman" w:hAnsi="Times New Roman"/>
          <w:sz w:val="24"/>
          <w:szCs w:val="24"/>
        </w:rPr>
        <w:t>, the buds were ground into a fine powder using a sterile electric grinder. The fine powder was stored in airtight containers at room temperature until further use.</w:t>
      </w:r>
    </w:p>
    <w:bookmarkStart w:id="62" w:name="_Toc202853995"/>
    <w:p>
      <w:pPr>
        <w:pStyle w:val="style2"/>
        <w:rPr>
          <w:rFonts w:ascii="宋体" w:hAnsi="宋体"/>
          <w:sz w:val="24"/>
          <w:szCs w:val="24"/>
        </w:rPr>
      </w:pPr>
      <w:r>
        <w:rPr>
          <w:rFonts w:ascii="宋体" w:hAnsi="宋体"/>
          <w:sz w:val="24"/>
          <w:szCs w:val="24"/>
        </w:rPr>
        <w:t xml:space="preserve">3.2 </w:t>
      </w:r>
      <w:r>
        <w:rPr>
          <w:rFonts w:ascii="宋体" w:hAnsi="宋体"/>
          <w:sz w:val="24"/>
          <w:szCs w:val="24"/>
        </w:rPr>
        <w:t>Preparation of Clove Extracts</w:t>
      </w:r>
      <w:bookmarkEnd w:id="62"/>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Three solvents include aqueous, ethanol, and methanol were used to prepare the clove extracts. For the aqueous extract, 100 grams of the finely ground clove powder was soaked in 500 milliliters of distilled water for 24 hours at room temperature with occasional stirring. The mixture was then filtered using Whatman No. 1 filter paper, and the filtrate was concentrated </w:t>
      </w:r>
      <w:r>
        <w:rPr>
          <w:rFonts w:ascii="Times New Roman" w:hAnsi="Times New Roman"/>
          <w:sz w:val="24"/>
          <w:szCs w:val="24"/>
        </w:rPr>
        <w:t>using rotatory evaporator at 4</w:t>
      </w:r>
      <w:r>
        <w:rPr>
          <w:rFonts w:ascii="Times New Roman" w:hAnsi="Times New Roman"/>
          <w:sz w:val="24"/>
          <w:szCs w:val="24"/>
        </w:rPr>
        <w:t>0</w:t>
      </w:r>
      <w:r>
        <w:rPr>
          <w:rFonts w:ascii="Times New Roman" w:hAnsi="Times New Roman"/>
          <w:sz w:val="24"/>
          <w:szCs w:val="24"/>
        </w:rPr>
        <w:t>°C</w:t>
      </w:r>
      <w:r>
        <w:rPr>
          <w:rFonts w:ascii="Times New Roman" w:hAnsi="Times New Roman"/>
          <w:sz w:val="24"/>
          <w:szCs w:val="24"/>
        </w:rPr>
        <w:t>. For the ethanolic and methanolic extracts, 100 grams of the clove powder was mixed with 500 milliliters of ethanol or methanol. The extraction process was carried out for 48 hours, after which the solvents were evaporated using a rotary evaporator to obtain concentrated extracts. The extracts were stored in sterile, airtight containers at 4°C until further use</w:t>
      </w:r>
      <w:r>
        <w:rPr>
          <w:rFonts w:ascii="Times New Roman" w:hAnsi="Times New Roman"/>
          <w:sz w:val="24"/>
          <w:szCs w:val="24"/>
        </w:rPr>
        <w:t xml:space="preserve"> (</w:t>
      </w:r>
      <w:r>
        <w:rPr>
          <w:rFonts w:ascii="Times New Roman" w:hAnsi="Times New Roman"/>
          <w:sz w:val="24"/>
          <w:szCs w:val="24"/>
        </w:rPr>
        <w:t>Sarker</w:t>
      </w:r>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2006)</w:t>
      </w:r>
      <w:r>
        <w:rPr>
          <w:rFonts w:ascii="Times New Roman" w:hAnsi="Times New Roman"/>
          <w:sz w:val="24"/>
          <w:szCs w:val="24"/>
        </w:rPr>
        <w:t>.</w:t>
      </w:r>
    </w:p>
    <w:bookmarkStart w:id="63" w:name="_Toc202853996"/>
    <w:p>
      <w:pPr>
        <w:pStyle w:val="style2"/>
        <w:rPr>
          <w:rFonts w:ascii="宋体" w:hAnsi="宋体"/>
          <w:sz w:val="24"/>
          <w:szCs w:val="24"/>
        </w:rPr>
      </w:pPr>
      <w:r>
        <w:rPr>
          <w:rFonts w:ascii="宋体" w:hAnsi="宋体"/>
          <w:sz w:val="24"/>
          <w:szCs w:val="24"/>
        </w:rPr>
        <w:t xml:space="preserve">3.3 </w:t>
      </w:r>
      <w:r>
        <w:rPr>
          <w:rFonts w:ascii="宋体" w:hAnsi="宋体"/>
          <w:sz w:val="24"/>
          <w:szCs w:val="24"/>
        </w:rPr>
        <w:t>Collection of Test Organisms</w:t>
      </w:r>
      <w:bookmarkEnd w:id="63"/>
    </w:p>
    <w:p>
      <w:pPr>
        <w:pStyle w:val="style94"/>
        <w:spacing w:lineRule="auto" w:line="480"/>
        <w:ind w:firstLine="720"/>
        <w:jc w:val="both"/>
        <w:rPr/>
      </w:pPr>
      <w:r>
        <w:t>The test organisms were collected from the microbiology laboratory</w:t>
      </w:r>
      <w:r>
        <w:t xml:space="preserve"> of University of Ilorin</w:t>
      </w:r>
      <w:r>
        <w:t>. The bacteri</w:t>
      </w:r>
      <w:r>
        <w:t>al pathogen</w:t>
      </w:r>
      <w:r>
        <w:t xml:space="preserve"> selected for the study were</w:t>
      </w:r>
      <w:r>
        <w:t xml:space="preserve"> methicillin-resistant</w:t>
      </w:r>
      <w:r>
        <w:t xml:space="preserve"> </w:t>
      </w:r>
      <w:r>
        <w:rPr>
          <w:rStyle w:val="style88"/>
        </w:rPr>
        <w:t>Staphylococcus aureus</w:t>
      </w:r>
      <w:r>
        <w:t xml:space="preserve"> (MRSA), </w:t>
      </w:r>
      <w:r>
        <w:t xml:space="preserve">and </w:t>
      </w:r>
      <w:r>
        <w:t>methicillin-susceptible</w:t>
      </w:r>
      <w:r>
        <w:rPr>
          <w:rStyle w:val="style88"/>
        </w:rPr>
        <w:t xml:space="preserve"> Staphylococcus aureus </w:t>
      </w:r>
      <w:r>
        <w:t>(MSSA)</w:t>
      </w:r>
      <w:r>
        <w:t>.</w:t>
      </w:r>
    </w:p>
    <w:bookmarkStart w:id="64" w:name="_Toc202853997"/>
    <w:p>
      <w:pPr>
        <w:pStyle w:val="style2"/>
        <w:rPr>
          <w:rFonts w:ascii="宋体" w:hAnsi="宋体"/>
          <w:sz w:val="24"/>
          <w:szCs w:val="24"/>
        </w:rPr>
      </w:pPr>
      <w:r>
        <w:rPr>
          <w:rFonts w:ascii="宋体" w:hAnsi="宋体"/>
          <w:sz w:val="24"/>
          <w:szCs w:val="24"/>
        </w:rPr>
        <w:t xml:space="preserve">3.4 </w:t>
      </w:r>
      <w:r>
        <w:rPr>
          <w:rFonts w:ascii="宋体" w:hAnsi="宋体"/>
          <w:sz w:val="24"/>
          <w:szCs w:val="24"/>
        </w:rPr>
        <w:t>Standardization of Test Organisms</w:t>
      </w:r>
      <w:bookmarkEnd w:id="64"/>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To standardize the test organisms, bacterial </w:t>
      </w:r>
      <w:r>
        <w:rPr>
          <w:rFonts w:ascii="Times New Roman" w:hAnsi="Times New Roman"/>
          <w:sz w:val="24"/>
          <w:szCs w:val="24"/>
        </w:rPr>
        <w:t>pathogen</w:t>
      </w:r>
      <w:r>
        <w:rPr>
          <w:rFonts w:ascii="Times New Roman" w:hAnsi="Times New Roman"/>
          <w:sz w:val="24"/>
          <w:szCs w:val="24"/>
        </w:rPr>
        <w:t xml:space="preserve"> </w:t>
      </w:r>
      <w:r>
        <w:rPr>
          <w:rFonts w:ascii="Times New Roman" w:hAnsi="Times New Roman"/>
          <w:sz w:val="24"/>
          <w:szCs w:val="24"/>
        </w:rPr>
        <w:t>were</w:t>
      </w:r>
      <w:r>
        <w:rPr>
          <w:rFonts w:ascii="Times New Roman" w:hAnsi="Times New Roman"/>
          <w:sz w:val="24"/>
          <w:szCs w:val="24"/>
        </w:rPr>
        <w:t xml:space="preserve"> cultured on nutrient agar at 37°C for 24 hours. </w:t>
      </w:r>
      <w:r>
        <w:rPr>
          <w:rFonts w:ascii="Times New Roman" w:hAnsi="Times New Roman"/>
          <w:sz w:val="24"/>
          <w:szCs w:val="24"/>
        </w:rPr>
        <w:t>After incubation, organisms were picked and introduced into sterile 0.85% saline using sterile cotton swab, the turbidity of the bacterial cultures were adjusted to match the 0.5 McFarland standard. The suspension was adjusted by adding more saline or culture until the turbidity matches that of the 0.5 McFarland standard (</w:t>
      </w:r>
      <w:r>
        <w:rPr>
          <w:rFonts w:ascii="Times New Roman" w:hAnsi="Times New Roman"/>
          <w:sz w:val="24"/>
          <w:szCs w:val="24"/>
        </w:rPr>
        <w:t>Katerere</w:t>
      </w:r>
      <w:r>
        <w:rPr>
          <w:rFonts w:ascii="Times New Roman" w:hAnsi="Times New Roman"/>
          <w:sz w:val="24"/>
          <w:szCs w:val="24"/>
        </w:rPr>
        <w:t xml:space="preserve"> and </w:t>
      </w:r>
      <w:r>
        <w:rPr>
          <w:rFonts w:ascii="Times New Roman" w:hAnsi="Times New Roman"/>
          <w:sz w:val="24"/>
          <w:szCs w:val="24"/>
        </w:rPr>
        <w:t>Eloff,</w:t>
      </w:r>
      <w:r>
        <w:rPr>
          <w:rFonts w:ascii="Times New Roman" w:hAnsi="Times New Roman"/>
          <w:sz w:val="24"/>
          <w:szCs w:val="24"/>
        </w:rPr>
        <w:t xml:space="preserve"> </w:t>
      </w:r>
      <w:r>
        <w:rPr>
          <w:rFonts w:ascii="Times New Roman" w:hAnsi="Times New Roman"/>
          <w:sz w:val="24"/>
          <w:szCs w:val="24"/>
        </w:rPr>
        <w:t>2008</w:t>
      </w:r>
      <w:r>
        <w:rPr>
          <w:rFonts w:ascii="Times New Roman" w:hAnsi="Times New Roman"/>
          <w:sz w:val="24"/>
          <w:szCs w:val="24"/>
        </w:rPr>
        <w:t xml:space="preserve">).  </w:t>
      </w:r>
    </w:p>
    <w:bookmarkStart w:id="65" w:name="_Toc202853998"/>
    <w:p>
      <w:pPr>
        <w:pStyle w:val="style2"/>
        <w:rPr>
          <w:rFonts w:ascii="宋体" w:hAnsi="宋体"/>
          <w:sz w:val="24"/>
          <w:szCs w:val="24"/>
        </w:rPr>
      </w:pPr>
      <w:r>
        <w:rPr>
          <w:rFonts w:ascii="宋体" w:hAnsi="宋体"/>
          <w:sz w:val="24"/>
          <w:szCs w:val="24"/>
        </w:rPr>
        <w:t xml:space="preserve">3.5 </w:t>
      </w:r>
      <w:r>
        <w:rPr>
          <w:rFonts w:ascii="宋体" w:hAnsi="宋体"/>
          <w:sz w:val="24"/>
          <w:szCs w:val="24"/>
        </w:rPr>
        <w:t>Antibacterial Activity Assay</w:t>
      </w:r>
      <w:bookmarkEnd w:id="65"/>
      <w:r>
        <w:rPr>
          <w:rFonts w:ascii="宋体" w:hAnsi="宋体"/>
          <w:sz w:val="24"/>
          <w:szCs w:val="24"/>
        </w:rPr>
        <w:t xml:space="preserve"> </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The antibacterial activity of the clove extracts was evaluated using the agar well diffusion</w:t>
      </w:r>
      <w:r>
        <w:rPr>
          <w:rFonts w:ascii="Times New Roman" w:hAnsi="Times New Roman"/>
          <w:sz w:val="24"/>
          <w:szCs w:val="24"/>
        </w:rPr>
        <w:t xml:space="preserve"> </w:t>
      </w:r>
      <w:r>
        <w:rPr>
          <w:rFonts w:ascii="Times New Roman" w:hAnsi="Times New Roman"/>
          <w:sz w:val="24"/>
          <w:szCs w:val="24"/>
        </w:rPr>
        <w:t>technique</w:t>
      </w:r>
      <w:r>
        <w:rPr>
          <w:rFonts w:ascii="Times New Roman" w:hAnsi="Times New Roman"/>
          <w:sz w:val="24"/>
          <w:szCs w:val="24"/>
        </w:rPr>
        <w:t xml:space="preserve">. The standardized suspension was used to inoculate the surfaces of sterile </w:t>
      </w:r>
      <w:r>
        <w:rPr>
          <w:rFonts w:ascii="Times New Roman" w:hAnsi="Times New Roman"/>
          <w:sz w:val="24"/>
          <w:szCs w:val="24"/>
        </w:rPr>
        <w:t xml:space="preserve">Mueller-Hinton agar </w:t>
      </w:r>
      <w:r>
        <w:rPr>
          <w:rFonts w:ascii="Times New Roman" w:hAnsi="Times New Roman"/>
          <w:sz w:val="24"/>
          <w:szCs w:val="24"/>
        </w:rPr>
        <w:t xml:space="preserve">using sterile cotton swab. </w:t>
      </w:r>
      <w:r>
        <w:rPr>
          <w:rFonts w:ascii="Times New Roman" w:hAnsi="Times New Roman"/>
          <w:sz w:val="24"/>
          <w:szCs w:val="24"/>
        </w:rPr>
        <w:t>6</w:t>
      </w:r>
      <w:r>
        <w:rPr>
          <w:rFonts w:ascii="Times New Roman" w:hAnsi="Times New Roman"/>
          <w:sz w:val="24"/>
          <w:szCs w:val="24"/>
        </w:rPr>
        <w:t xml:space="preserve"> mm diameter wells were bored using sterile core borers in the solidified agar. The bottom of the wells was then closed using </w:t>
      </w:r>
      <w:r>
        <w:rPr>
          <w:rFonts w:ascii="Times New Roman" w:hAnsi="Times New Roman"/>
          <w:sz w:val="24"/>
          <w:szCs w:val="24"/>
        </w:rPr>
        <w:t>0.5</w:t>
      </w:r>
      <w:r>
        <w:rPr>
          <w:rFonts w:ascii="Times New Roman" w:hAnsi="Times New Roman"/>
          <w:sz w:val="24"/>
          <w:szCs w:val="24"/>
        </w:rPr>
        <w:t xml:space="preserve"> ml of sterile </w:t>
      </w:r>
      <w:r>
        <w:rPr>
          <w:rFonts w:ascii="Times New Roman" w:hAnsi="Times New Roman"/>
          <w:sz w:val="24"/>
          <w:szCs w:val="24"/>
        </w:rPr>
        <w:t>Mueller-Hinton agar</w:t>
      </w:r>
      <w:r>
        <w:rPr>
          <w:rFonts w:ascii="Times New Roman" w:hAnsi="Times New Roman"/>
          <w:sz w:val="24"/>
          <w:szCs w:val="24"/>
        </w:rPr>
        <w:t>. The wells were then filled with</w:t>
      </w:r>
      <w:r>
        <w:rPr>
          <w:rFonts w:ascii="Times New Roman" w:hAnsi="Times New Roman"/>
          <w:sz w:val="24"/>
          <w:szCs w:val="24"/>
        </w:rPr>
        <w:t xml:space="preserve"> 100 </w:t>
      </w:r>
      <w:r>
        <w:rPr>
          <w:rFonts w:ascii="Times New Roman" w:hAnsi="Times New Roman"/>
          <w:sz w:val="24"/>
          <w:szCs w:val="24"/>
        </w:rPr>
        <w:t>microliter</w:t>
      </w:r>
      <w:r>
        <w:rPr>
          <w:rFonts w:ascii="Times New Roman" w:hAnsi="Times New Roman"/>
          <w:sz w:val="24"/>
          <w:szCs w:val="24"/>
        </w:rPr>
        <w:t xml:space="preserve"> of</w:t>
      </w:r>
      <w:r>
        <w:rPr>
          <w:rFonts w:ascii="Times New Roman" w:hAnsi="Times New Roman"/>
          <w:sz w:val="24"/>
          <w:szCs w:val="24"/>
        </w:rPr>
        <w:t xml:space="preserve"> </w:t>
      </w:r>
      <w:r>
        <w:rPr>
          <w:rFonts w:ascii="Times New Roman" w:hAnsi="Times New Roman"/>
          <w:sz w:val="24"/>
          <w:szCs w:val="24"/>
        </w:rPr>
        <w:t>10</w:t>
      </w:r>
      <w:r>
        <w:rPr>
          <w:rFonts w:ascii="Times New Roman" w:hAnsi="Times New Roman"/>
          <w:sz w:val="24"/>
          <w:szCs w:val="24"/>
        </w:rPr>
        <w:t xml:space="preserve">0mg/ml, </w:t>
      </w:r>
      <w:r>
        <w:rPr>
          <w:rFonts w:ascii="Times New Roman" w:hAnsi="Times New Roman"/>
          <w:sz w:val="24"/>
          <w:szCs w:val="24"/>
        </w:rPr>
        <w:t>8</w:t>
      </w:r>
      <w:r>
        <w:rPr>
          <w:rFonts w:ascii="Times New Roman" w:hAnsi="Times New Roman"/>
          <w:sz w:val="24"/>
          <w:szCs w:val="24"/>
        </w:rPr>
        <w:t xml:space="preserve">0mg/ml, </w:t>
      </w:r>
      <w:r>
        <w:rPr>
          <w:rFonts w:ascii="Times New Roman" w:hAnsi="Times New Roman"/>
          <w:sz w:val="24"/>
          <w:szCs w:val="24"/>
        </w:rPr>
        <w:t>6</w:t>
      </w:r>
      <w:r>
        <w:rPr>
          <w:rFonts w:ascii="Times New Roman" w:hAnsi="Times New Roman"/>
          <w:sz w:val="24"/>
          <w:szCs w:val="24"/>
        </w:rPr>
        <w:t xml:space="preserve">0mg/ml, </w:t>
      </w:r>
      <w:r>
        <w:rPr>
          <w:rFonts w:ascii="Times New Roman" w:hAnsi="Times New Roman"/>
          <w:sz w:val="24"/>
          <w:szCs w:val="24"/>
        </w:rPr>
        <w:t>4</w:t>
      </w:r>
      <w:r>
        <w:rPr>
          <w:rFonts w:ascii="Times New Roman" w:hAnsi="Times New Roman"/>
          <w:sz w:val="24"/>
          <w:szCs w:val="24"/>
        </w:rPr>
        <w:t xml:space="preserve">0mg/ml, </w:t>
      </w:r>
      <w:r>
        <w:rPr>
          <w:rFonts w:ascii="Times New Roman" w:hAnsi="Times New Roman"/>
          <w:sz w:val="24"/>
          <w:szCs w:val="24"/>
        </w:rPr>
        <w:t>and 20</w:t>
      </w:r>
      <w:r>
        <w:rPr>
          <w:rFonts w:ascii="Times New Roman" w:hAnsi="Times New Roman"/>
          <w:sz w:val="24"/>
          <w:szCs w:val="24"/>
        </w:rPr>
        <w:t>mg/ml</w:t>
      </w:r>
      <w:r>
        <w:rPr>
          <w:rFonts w:ascii="Times New Roman" w:hAnsi="Times New Roman"/>
          <w:sz w:val="24"/>
          <w:szCs w:val="24"/>
        </w:rPr>
        <w:t xml:space="preserve"> </w:t>
      </w:r>
      <w:r>
        <w:rPr>
          <w:rFonts w:ascii="Times New Roman" w:hAnsi="Times New Roman"/>
          <w:sz w:val="24"/>
          <w:szCs w:val="24"/>
        </w:rPr>
        <w:t xml:space="preserve">concentrations of the plant extracts. The plates were allowed to stand for about </w:t>
      </w:r>
      <w:r>
        <w:rPr>
          <w:rFonts w:ascii="Times New Roman" w:hAnsi="Times New Roman"/>
          <w:sz w:val="24"/>
          <w:szCs w:val="24"/>
        </w:rPr>
        <w:t>15 minutes</w:t>
      </w:r>
      <w:r>
        <w:rPr>
          <w:rFonts w:ascii="Times New Roman" w:hAnsi="Times New Roman"/>
          <w:sz w:val="24"/>
          <w:szCs w:val="24"/>
        </w:rPr>
        <w:t xml:space="preserve"> at room temperature for the extracts to diffuse</w:t>
      </w:r>
      <w:r>
        <w:rPr>
          <w:rFonts w:ascii="Times New Roman" w:hAnsi="Times New Roman"/>
          <w:sz w:val="24"/>
          <w:szCs w:val="24"/>
        </w:rPr>
        <w:t xml:space="preserve"> and </w:t>
      </w:r>
      <w:r>
        <w:rPr>
          <w:rFonts w:ascii="Times New Roman" w:hAnsi="Times New Roman"/>
          <w:sz w:val="24"/>
          <w:szCs w:val="24"/>
        </w:rPr>
        <w:t>then the agar plates were incubated at 37</w:t>
      </w:r>
      <w:r>
        <w:rPr>
          <w:rFonts w:ascii="Times New Roman" w:hAnsi="Times New Roman"/>
          <w:sz w:val="24"/>
          <w:szCs w:val="24"/>
        </w:rPr>
        <w:t xml:space="preserve"> </w:t>
      </w:r>
      <w:r>
        <w:rPr>
          <w:rFonts w:ascii="Times New Roman" w:hAnsi="Times New Roman"/>
          <w:sz w:val="24"/>
          <w:szCs w:val="24"/>
          <w:vertAlign w:val="superscript"/>
        </w:rPr>
        <w:t>o</w:t>
      </w:r>
      <w:r>
        <w:rPr>
          <w:rFonts w:ascii="Times New Roman" w:hAnsi="Times New Roman"/>
          <w:sz w:val="24"/>
          <w:szCs w:val="24"/>
        </w:rPr>
        <w:t>C</w:t>
      </w:r>
      <w:r>
        <w:rPr>
          <w:rFonts w:ascii="Times New Roman" w:hAnsi="Times New Roman"/>
          <w:sz w:val="24"/>
          <w:szCs w:val="24"/>
        </w:rPr>
        <w:t xml:space="preserve"> for 24 hours. The antibacterial</w:t>
      </w:r>
      <w:r>
        <w:rPr>
          <w:rFonts w:ascii="Times New Roman" w:hAnsi="Times New Roman"/>
          <w:sz w:val="24"/>
          <w:szCs w:val="24"/>
        </w:rPr>
        <w:t xml:space="preserve"> </w:t>
      </w:r>
      <w:r>
        <w:rPr>
          <w:rFonts w:ascii="Times New Roman" w:hAnsi="Times New Roman"/>
          <w:sz w:val="24"/>
          <w:szCs w:val="24"/>
        </w:rPr>
        <w:t xml:space="preserve">activities of the plant extracts were evaluated by appearance of zones of inhibition around the wells while lack of activity was observed by absence of zones of inhibition. </w:t>
      </w:r>
      <w:r>
        <w:rPr>
          <w:rFonts w:ascii="Times New Roman" w:hAnsi="Times New Roman"/>
          <w:sz w:val="24"/>
          <w:szCs w:val="24"/>
        </w:rPr>
        <w:t>The same</w:t>
      </w:r>
      <w:r>
        <w:rPr>
          <w:rFonts w:ascii="Times New Roman" w:hAnsi="Times New Roman"/>
          <w:sz w:val="24"/>
          <w:szCs w:val="24"/>
        </w:rPr>
        <w:t xml:space="preserve"> </w:t>
      </w:r>
      <w:r>
        <w:rPr>
          <w:rFonts w:ascii="Times New Roman" w:hAnsi="Times New Roman"/>
          <w:sz w:val="24"/>
          <w:szCs w:val="24"/>
        </w:rPr>
        <w:t>procedure was repeated for</w:t>
      </w:r>
      <w:r>
        <w:rPr>
          <w:rFonts w:ascii="Times New Roman" w:hAnsi="Times New Roman"/>
          <w:sz w:val="24"/>
          <w:szCs w:val="24"/>
        </w:rPr>
        <w:t xml:space="preserve"> other solvent</w:t>
      </w:r>
      <w:r>
        <w:rPr>
          <w:rFonts w:ascii="Times New Roman" w:hAnsi="Times New Roman"/>
          <w:sz w:val="24"/>
          <w:szCs w:val="24"/>
        </w:rPr>
        <w:t xml:space="preserve"> extract</w:t>
      </w:r>
      <w:r>
        <w:rPr>
          <w:rFonts w:ascii="Times New Roman" w:hAnsi="Times New Roman"/>
          <w:sz w:val="24"/>
          <w:szCs w:val="24"/>
        </w:rPr>
        <w:t>s</w:t>
      </w:r>
      <w:r>
        <w:rPr>
          <w:rFonts w:ascii="Times New Roman" w:hAnsi="Times New Roman"/>
          <w:sz w:val="24"/>
          <w:szCs w:val="24"/>
        </w:rPr>
        <w:t xml:space="preserve"> (</w:t>
      </w:r>
      <w:r>
        <w:rPr>
          <w:rFonts w:ascii="Times New Roman" w:hAnsi="Times New Roman"/>
          <w:sz w:val="24"/>
          <w:szCs w:val="24"/>
        </w:rPr>
        <w:t>Katerere</w:t>
      </w:r>
      <w:r>
        <w:rPr>
          <w:rFonts w:ascii="Times New Roman" w:hAnsi="Times New Roman"/>
          <w:sz w:val="24"/>
          <w:szCs w:val="24"/>
        </w:rPr>
        <w:t xml:space="preserve"> and </w:t>
      </w:r>
      <w:r>
        <w:rPr>
          <w:rFonts w:ascii="Times New Roman" w:hAnsi="Times New Roman"/>
          <w:sz w:val="24"/>
          <w:szCs w:val="24"/>
        </w:rPr>
        <w:t>Eloff,</w:t>
      </w:r>
      <w:r>
        <w:rPr>
          <w:rFonts w:ascii="Times New Roman" w:hAnsi="Times New Roman"/>
          <w:sz w:val="24"/>
          <w:szCs w:val="24"/>
        </w:rPr>
        <w:t xml:space="preserve"> </w:t>
      </w:r>
      <w:r>
        <w:rPr>
          <w:rFonts w:ascii="Times New Roman" w:hAnsi="Times New Roman"/>
          <w:sz w:val="24"/>
          <w:szCs w:val="24"/>
        </w:rPr>
        <w:t>2008</w:t>
      </w:r>
      <w:r>
        <w:rPr>
          <w:rFonts w:ascii="Times New Roman" w:hAnsi="Times New Roman"/>
          <w:sz w:val="24"/>
          <w:szCs w:val="24"/>
        </w:rPr>
        <w:t>)</w:t>
      </w:r>
      <w:r>
        <w:rPr>
          <w:rFonts w:ascii="Times New Roman" w:hAnsi="Times New Roman"/>
          <w:sz w:val="24"/>
          <w:szCs w:val="24"/>
        </w:rPr>
        <w:t>.</w:t>
      </w:r>
    </w:p>
    <w:bookmarkStart w:id="66" w:name="_Toc202853999"/>
    <w:p>
      <w:pPr>
        <w:pStyle w:val="style2"/>
        <w:rPr>
          <w:rFonts w:ascii="宋体" w:hAnsi="宋体"/>
          <w:sz w:val="24"/>
          <w:szCs w:val="24"/>
        </w:rPr>
      </w:pPr>
      <w:r>
        <w:rPr>
          <w:rFonts w:ascii="宋体" w:hAnsi="宋体"/>
          <w:sz w:val="24"/>
          <w:szCs w:val="24"/>
        </w:rPr>
        <w:t xml:space="preserve">3.6 </w:t>
      </w:r>
      <w:r>
        <w:rPr>
          <w:rFonts w:ascii="宋体" w:hAnsi="宋体"/>
          <w:sz w:val="24"/>
          <w:szCs w:val="24"/>
        </w:rPr>
        <w:t>Determination of Minimum Inhibitory Concentration (MIC)</w:t>
      </w:r>
      <w:bookmarkEnd w:id="66"/>
      <w:r>
        <w:rPr>
          <w:rFonts w:ascii="宋体" w:hAnsi="宋体"/>
          <w:sz w:val="24"/>
          <w:szCs w:val="24"/>
        </w:rPr>
        <w:t xml:space="preserve"> </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The MIC of the clove extracts was determined using the broth dilution method</w:t>
      </w:r>
      <w:r>
        <w:rPr>
          <w:rFonts w:ascii="Times New Roman" w:hAnsi="Times New Roman"/>
          <w:sz w:val="24"/>
          <w:szCs w:val="24"/>
        </w:rPr>
        <w:t xml:space="preserve">. The experiment utilized </w:t>
      </w:r>
      <w:r>
        <w:rPr>
          <w:rFonts w:ascii="Times New Roman" w:hAnsi="Times New Roman"/>
          <w:sz w:val="24"/>
          <w:szCs w:val="24"/>
        </w:rPr>
        <w:t>five</w:t>
      </w:r>
      <w:r>
        <w:rPr>
          <w:rFonts w:ascii="Times New Roman" w:hAnsi="Times New Roman"/>
          <w:sz w:val="24"/>
          <w:szCs w:val="24"/>
        </w:rPr>
        <w:t xml:space="preserve"> test tubes, each containing 5ml of peptone water. Different concentrations of the clove extract</w:t>
      </w:r>
      <w:r>
        <w:rPr>
          <w:rFonts w:ascii="Times New Roman" w:hAnsi="Times New Roman"/>
          <w:sz w:val="24"/>
          <w:szCs w:val="24"/>
        </w:rPr>
        <w:t>s</w:t>
      </w:r>
      <w:r>
        <w:rPr>
          <w:rFonts w:ascii="Times New Roman" w:hAnsi="Times New Roman"/>
          <w:sz w:val="24"/>
          <w:szCs w:val="24"/>
        </w:rPr>
        <w:t xml:space="preserve"> were prepared and distributed among the tubes as follows: </w:t>
      </w:r>
      <w:r>
        <w:rPr>
          <w:rFonts w:ascii="Times New Roman" w:hAnsi="Times New Roman"/>
          <w:sz w:val="24"/>
          <w:szCs w:val="24"/>
        </w:rPr>
        <w:t>10</w:t>
      </w:r>
      <w:r>
        <w:rPr>
          <w:rFonts w:ascii="Times New Roman" w:hAnsi="Times New Roman"/>
          <w:sz w:val="24"/>
          <w:szCs w:val="24"/>
        </w:rPr>
        <w:t xml:space="preserve">0mg/ml, </w:t>
      </w:r>
      <w:r>
        <w:rPr>
          <w:rFonts w:ascii="Times New Roman" w:hAnsi="Times New Roman"/>
          <w:sz w:val="24"/>
          <w:szCs w:val="24"/>
        </w:rPr>
        <w:t>8</w:t>
      </w:r>
      <w:r>
        <w:rPr>
          <w:rFonts w:ascii="Times New Roman" w:hAnsi="Times New Roman"/>
          <w:sz w:val="24"/>
          <w:szCs w:val="24"/>
        </w:rPr>
        <w:t xml:space="preserve">0mg/ml, </w:t>
      </w:r>
      <w:r>
        <w:rPr>
          <w:rFonts w:ascii="Times New Roman" w:hAnsi="Times New Roman"/>
          <w:sz w:val="24"/>
          <w:szCs w:val="24"/>
        </w:rPr>
        <w:t>6</w:t>
      </w:r>
      <w:r>
        <w:rPr>
          <w:rFonts w:ascii="Times New Roman" w:hAnsi="Times New Roman"/>
          <w:sz w:val="24"/>
          <w:szCs w:val="24"/>
        </w:rPr>
        <w:t xml:space="preserve">0mg/ml, </w:t>
      </w:r>
      <w:r>
        <w:rPr>
          <w:rFonts w:ascii="Times New Roman" w:hAnsi="Times New Roman"/>
          <w:sz w:val="24"/>
          <w:szCs w:val="24"/>
        </w:rPr>
        <w:t>4</w:t>
      </w:r>
      <w:r>
        <w:rPr>
          <w:rFonts w:ascii="Times New Roman" w:hAnsi="Times New Roman"/>
          <w:sz w:val="24"/>
          <w:szCs w:val="24"/>
        </w:rPr>
        <w:t xml:space="preserve">0mg/ml, </w:t>
      </w:r>
      <w:r>
        <w:rPr>
          <w:rFonts w:ascii="Times New Roman" w:hAnsi="Times New Roman"/>
          <w:sz w:val="24"/>
          <w:szCs w:val="24"/>
        </w:rPr>
        <w:t>and 20</w:t>
      </w:r>
      <w:r>
        <w:rPr>
          <w:rFonts w:ascii="Times New Roman" w:hAnsi="Times New Roman"/>
          <w:sz w:val="24"/>
          <w:szCs w:val="24"/>
        </w:rPr>
        <w:t>mg/ml. Each concentration was mixed thoroughly in its respective tube. To assess the antibacterial activity, 0.1ml of broth cultures of the test organism were added to</w:t>
      </w:r>
      <w:r>
        <w:rPr>
          <w:rFonts w:ascii="Times New Roman" w:hAnsi="Times New Roman"/>
          <w:sz w:val="24"/>
          <w:szCs w:val="24"/>
        </w:rPr>
        <w:t xml:space="preserve"> all the five</w:t>
      </w:r>
      <w:r>
        <w:rPr>
          <w:rFonts w:ascii="Times New Roman" w:hAnsi="Times New Roman"/>
          <w:sz w:val="24"/>
          <w:szCs w:val="24"/>
        </w:rPr>
        <w:t xml:space="preserve"> </w:t>
      </w:r>
      <w:r>
        <w:rPr>
          <w:rFonts w:ascii="Times New Roman" w:hAnsi="Times New Roman"/>
          <w:sz w:val="24"/>
          <w:szCs w:val="24"/>
        </w:rPr>
        <w:t xml:space="preserve">tubes </w:t>
      </w:r>
      <w:r>
        <w:rPr>
          <w:rFonts w:ascii="Times New Roman" w:hAnsi="Times New Roman"/>
          <w:sz w:val="24"/>
          <w:szCs w:val="24"/>
        </w:rPr>
        <w:t xml:space="preserve">and </w:t>
      </w:r>
      <w:r>
        <w:rPr>
          <w:rFonts w:ascii="Times New Roman" w:hAnsi="Times New Roman"/>
          <w:sz w:val="24"/>
          <w:szCs w:val="24"/>
        </w:rPr>
        <w:t xml:space="preserve">incubated at 37°C. After incubation, the </w:t>
      </w:r>
      <w:r>
        <w:rPr>
          <w:rFonts w:ascii="Times New Roman" w:hAnsi="Times New Roman"/>
          <w:sz w:val="24"/>
          <w:szCs w:val="24"/>
        </w:rPr>
        <w:t>MIC was determined as the lowest concentration of the extract that inhibited visible growth of the organism, as indicated by the absence of turbidity in the tube</w:t>
      </w:r>
      <w:r>
        <w:rPr>
          <w:rFonts w:ascii="Times New Roman" w:hAnsi="Times New Roman"/>
          <w:sz w:val="24"/>
          <w:szCs w:val="24"/>
        </w:rPr>
        <w:t xml:space="preserve"> </w:t>
      </w:r>
      <w:r>
        <w:rPr>
          <w:rFonts w:ascii="Times New Roman" w:hAnsi="Times New Roman"/>
          <w:sz w:val="24"/>
          <w:szCs w:val="24"/>
        </w:rPr>
        <w:t>(CLSI, 2018)</w:t>
      </w:r>
      <w:r>
        <w:rPr>
          <w:rFonts w:ascii="Times New Roman" w:hAnsi="Times New Roman"/>
          <w:sz w:val="24"/>
          <w:szCs w:val="24"/>
        </w:rPr>
        <w:t>.</w:t>
      </w:r>
    </w:p>
    <w:bookmarkStart w:id="67" w:name="_Toc202854000"/>
    <w:p>
      <w:pPr>
        <w:pStyle w:val="style2"/>
        <w:rPr>
          <w:rFonts w:ascii="宋体" w:hAnsi="宋体"/>
          <w:sz w:val="24"/>
          <w:szCs w:val="24"/>
        </w:rPr>
      </w:pPr>
      <w:r>
        <w:rPr>
          <w:rFonts w:ascii="宋体" w:hAnsi="宋体"/>
          <w:sz w:val="24"/>
          <w:szCs w:val="24"/>
        </w:rPr>
        <w:t xml:space="preserve">3.7 </w:t>
      </w:r>
      <w:r>
        <w:rPr>
          <w:rFonts w:ascii="宋体" w:hAnsi="宋体"/>
          <w:sz w:val="24"/>
          <w:szCs w:val="24"/>
        </w:rPr>
        <w:t>Determination of Minimum Bactericidal Concentration (MBC)</w:t>
      </w:r>
      <w:bookmarkEnd w:id="67"/>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To determine the MBC, the test tubes showing no visible growth in the MIC assay were </w:t>
      </w:r>
      <w:r>
        <w:rPr>
          <w:rFonts w:ascii="Times New Roman" w:hAnsi="Times New Roman"/>
          <w:sz w:val="24"/>
          <w:szCs w:val="24"/>
        </w:rPr>
        <w:t>subcultured</w:t>
      </w:r>
      <w:r>
        <w:rPr>
          <w:rFonts w:ascii="Times New Roman" w:hAnsi="Times New Roman"/>
          <w:sz w:val="24"/>
          <w:szCs w:val="24"/>
        </w:rPr>
        <w:t xml:space="preserve"> onto fresh Mueller-Hinton agar plates. The plates were incubated at 37°C for 24 hours. The MBC was defined as the lowest concentration of the extract that resulted in no growth on the subculture plates, indicating complete killing of the organism</w:t>
      </w:r>
      <w:r>
        <w:rPr>
          <w:rFonts w:ascii="Times New Roman" w:hAnsi="Times New Roman"/>
          <w:sz w:val="24"/>
          <w:szCs w:val="24"/>
        </w:rPr>
        <w:t xml:space="preserve"> (</w:t>
      </w:r>
      <w:r>
        <w:rPr>
          <w:rFonts w:ascii="Times New Roman" w:hAnsi="Times New Roman"/>
          <w:sz w:val="24"/>
          <w:szCs w:val="24"/>
        </w:rPr>
        <w:t>National Committee for Clinical Laboratory Standards</w:t>
      </w:r>
      <w:r>
        <w:rPr>
          <w:rFonts w:ascii="Times New Roman" w:hAnsi="Times New Roman"/>
          <w:sz w:val="24"/>
          <w:szCs w:val="24"/>
        </w:rPr>
        <w:t>, 2018)</w:t>
      </w:r>
      <w:r>
        <w:rPr>
          <w:rFonts w:ascii="Times New Roman" w:hAnsi="Times New Roman"/>
          <w:sz w:val="24"/>
          <w:szCs w:val="24"/>
        </w:rPr>
        <w:t>.</w:t>
      </w: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0"/>
        <w:spacing w:before="100" w:beforeAutospacing="true" w:after="100" w:afterAutospacing="true" w:lineRule="auto" w:line="480"/>
        <w:jc w:val="both"/>
        <w:rPr>
          <w:rFonts w:ascii="Times New Roman" w:cs="Times New Roman" w:eastAsia="Times New Roman" w:hAnsi="Times New Roman"/>
          <w:sz w:val="24"/>
          <w:szCs w:val="24"/>
        </w:rPr>
      </w:pPr>
    </w:p>
    <w:bookmarkStart w:id="68" w:name="_Toc202854001"/>
    <w:p>
      <w:pPr>
        <w:pStyle w:val="style1"/>
        <w:jc w:val="center"/>
        <w:rPr>
          <w:rFonts w:ascii="宋体" w:eastAsia="Calibri" w:hAnsi="宋体"/>
          <w:b/>
          <w:bCs/>
          <w:color w:val="auto"/>
          <w:sz w:val="28"/>
          <w:szCs w:val="28"/>
        </w:rPr>
      </w:pPr>
      <w:r>
        <w:rPr>
          <w:rFonts w:ascii="宋体" w:eastAsia="Calibri" w:hAnsi="宋体"/>
          <w:b/>
          <w:bCs/>
          <w:color w:val="auto"/>
          <w:sz w:val="28"/>
          <w:szCs w:val="28"/>
        </w:rPr>
        <w:t>CHAPTER FOUR</w:t>
      </w:r>
      <w:bookmarkEnd w:id="68"/>
    </w:p>
    <w:p>
      <w:pPr>
        <w:pStyle w:val="style0"/>
        <w:jc w:val="center"/>
        <w:rPr>
          <w:rFonts w:ascii="Times New Roman" w:cs="Times New Roman" w:hAnsi="Times New Roman"/>
          <w:b/>
          <w:sz w:val="28"/>
          <w:szCs w:val="28"/>
        </w:rPr>
      </w:pPr>
    </w:p>
    <w:bookmarkStart w:id="69" w:name="_Toc202854002"/>
    <w:p>
      <w:pPr>
        <w:pStyle w:val="style2"/>
        <w:tabs>
          <w:tab w:val="center" w:leader="none" w:pos="4513"/>
        </w:tabs>
        <w:rPr>
          <w:rFonts w:ascii="宋体" w:hAnsi="宋体"/>
          <w:b w:val="false"/>
          <w:bCs w:val="false"/>
          <w:sz w:val="24"/>
          <w:szCs w:val="24"/>
        </w:rPr>
      </w:pPr>
      <w:r>
        <w:rPr>
          <w:rFonts w:ascii="宋体" w:hAnsi="宋体"/>
          <w:sz w:val="24"/>
          <w:szCs w:val="24"/>
        </w:rPr>
        <w:t>4.0</w:t>
      </w:r>
      <w:r>
        <w:rPr>
          <w:rFonts w:ascii="宋体" w:hAnsi="宋体"/>
          <w:sz w:val="24"/>
          <w:szCs w:val="24"/>
        </w:rPr>
        <w:tab/>
      </w:r>
      <w:r>
        <w:rPr>
          <w:rFonts w:ascii="宋体" w:hAnsi="宋体"/>
          <w:sz w:val="24"/>
          <w:szCs w:val="24"/>
        </w:rPr>
        <w:t>RESULTS</w:t>
      </w:r>
      <w:bookmarkEnd w:id="69"/>
    </w:p>
    <w:bookmarkStart w:id="70" w:name="_Toc202854003"/>
    <w:p>
      <w:pPr>
        <w:pStyle w:val="style2"/>
        <w:rPr>
          <w:rFonts w:ascii="宋体" w:hAnsi="宋体"/>
          <w:sz w:val="24"/>
          <w:szCs w:val="24"/>
        </w:rPr>
      </w:pPr>
      <w:r>
        <w:rPr>
          <w:rFonts w:ascii="宋体" w:hAnsi="宋体"/>
          <w:sz w:val="24"/>
          <w:szCs w:val="24"/>
        </w:rPr>
        <w:t>4.1 Antibacterial Activity of Clove Extract</w:t>
      </w:r>
      <w:r>
        <w:rPr>
          <w:rFonts w:ascii="宋体" w:hAnsi="宋体"/>
          <w:sz w:val="24"/>
          <w:szCs w:val="24"/>
        </w:rPr>
        <w:t>s</w:t>
      </w:r>
      <w:bookmarkEnd w:id="70"/>
    </w:p>
    <w:p>
      <w:pPr>
        <w:pStyle w:val="style94"/>
        <w:spacing w:lineRule="auto" w:line="480"/>
        <w:jc w:val="both"/>
        <w:rPr>
          <w:rStyle w:val="style88"/>
          <w:bCs/>
          <w:i w:val="false"/>
          <w:iCs w:val="false"/>
        </w:rPr>
      </w:pPr>
      <w:r>
        <w:t xml:space="preserve">The antibacterial activity of aqueous, ethanolic, and methanolic extracts of </w:t>
      </w:r>
      <w:r>
        <w:rPr>
          <w:rStyle w:val="style88"/>
        </w:rPr>
        <w:t>Syzygium</w:t>
      </w:r>
      <w:r>
        <w:rPr>
          <w:rStyle w:val="style88"/>
        </w:rPr>
        <w:t xml:space="preserve"> </w:t>
      </w:r>
      <w:r>
        <w:rPr>
          <w:rStyle w:val="style88"/>
        </w:rPr>
        <w:t>aromaticum</w:t>
      </w:r>
      <w:r>
        <w:t xml:space="preserve"> against MRSA and MSSA is presented in </w:t>
      </w:r>
      <w:r>
        <w:rPr>
          <w:rStyle w:val="style87"/>
          <w:b w:val="false"/>
        </w:rPr>
        <w:t>Table 1</w:t>
      </w:r>
      <w:r>
        <w:t xml:space="preserve">. </w:t>
      </w:r>
      <w:r>
        <w:t xml:space="preserve">The activity (zone of inhibition) of all extracts against methicillin-resistant </w:t>
      </w:r>
      <w:r>
        <w:rPr>
          <w:rStyle w:val="style88"/>
        </w:rPr>
        <w:t>Staphylococcus aureus</w:t>
      </w:r>
      <w:r>
        <w:t xml:space="preserve"> (MRSA), ranged between 8.00 mm to 22.23 mm, while the zone of inhibition of all extracts against methicillin-susceptible </w:t>
      </w:r>
      <w:r>
        <w:rPr>
          <w:rStyle w:val="style88"/>
        </w:rPr>
        <w:t>Staphylococcus aureus</w:t>
      </w:r>
      <w:r>
        <w:t xml:space="preserve"> (MSSA) </w:t>
      </w:r>
      <w:r>
        <w:rPr>
          <w:rStyle w:val="style88"/>
          <w:i w:val="false"/>
        </w:rPr>
        <w:t xml:space="preserve">ranged between </w:t>
      </w:r>
      <w:r>
        <w:t>6.00 mm to 22.14 mm.</w:t>
      </w:r>
    </w:p>
    <w:bookmarkStart w:id="71" w:name="_Toc202854004"/>
    <w:p>
      <w:pPr>
        <w:pStyle w:val="style2"/>
        <w:rPr>
          <w:rFonts w:ascii="宋体" w:hAnsi="宋体"/>
          <w:sz w:val="24"/>
          <w:szCs w:val="24"/>
        </w:rPr>
      </w:pPr>
      <w:r>
        <w:rPr>
          <w:rFonts w:ascii="宋体" w:hAnsi="宋体"/>
          <w:sz w:val="24"/>
          <w:szCs w:val="24"/>
        </w:rPr>
        <w:t>4.2 Minimum Inhibitory Concentration (MIC) and Minimum Bactericidal Concentration</w:t>
      </w:r>
      <w:bookmarkEnd w:id="71"/>
    </w:p>
    <w:p>
      <w:pPr>
        <w:pStyle w:val="style94"/>
        <w:spacing w:lineRule="auto" w:line="480"/>
        <w:jc w:val="both"/>
        <w:rPr/>
      </w:pPr>
      <w:r>
        <w:t xml:space="preserve">The MIC and MBC values for all three extracts against MRSA and MSSA are presented in </w:t>
      </w:r>
      <w:r>
        <w:rPr>
          <w:rStyle w:val="style87"/>
          <w:b w:val="false"/>
        </w:rPr>
        <w:t>Table 2</w:t>
      </w:r>
      <w:r>
        <w:t>. Both pathogen exhibited MICs of 80 mg/mL and MBCs of 100 mg/mL across all solvents.</w:t>
      </w:r>
    </w:p>
    <w:p>
      <w:pPr>
        <w:pStyle w:val="style94"/>
        <w:spacing w:lineRule="auto" w:line="480"/>
        <w:jc w:val="both"/>
        <w:rPr>
          <w:rStyle w:val="style87"/>
          <w:b w:val="false"/>
        </w:rPr>
      </w:pPr>
    </w:p>
    <w:p>
      <w:pPr>
        <w:pStyle w:val="style94"/>
        <w:spacing w:lineRule="auto" w:line="480"/>
        <w:jc w:val="both"/>
        <w:rPr>
          <w:rStyle w:val="style87"/>
          <w:b w:val="false"/>
        </w:rPr>
      </w:pPr>
    </w:p>
    <w:p>
      <w:pPr>
        <w:pStyle w:val="style94"/>
        <w:spacing w:lineRule="auto" w:line="480"/>
        <w:jc w:val="both"/>
        <w:rPr>
          <w:rStyle w:val="style87"/>
        </w:rPr>
      </w:pPr>
    </w:p>
    <w:p>
      <w:pPr>
        <w:pStyle w:val="style94"/>
        <w:spacing w:lineRule="auto" w:line="480"/>
        <w:jc w:val="both"/>
        <w:rPr>
          <w:rStyle w:val="style87"/>
        </w:rPr>
      </w:pPr>
    </w:p>
    <w:p>
      <w:pPr>
        <w:pStyle w:val="style94"/>
        <w:spacing w:lineRule="auto" w:line="480"/>
        <w:jc w:val="both"/>
        <w:rPr>
          <w:rStyle w:val="style87"/>
        </w:rPr>
      </w:pPr>
    </w:p>
    <w:p>
      <w:pPr>
        <w:pStyle w:val="style94"/>
        <w:spacing w:lineRule="auto" w:line="480"/>
        <w:jc w:val="both"/>
        <w:rPr>
          <w:rStyle w:val="style87"/>
        </w:rPr>
      </w:pPr>
    </w:p>
    <w:p>
      <w:pPr>
        <w:pStyle w:val="style94"/>
        <w:spacing w:lineRule="auto" w:line="480"/>
        <w:jc w:val="both"/>
        <w:rPr>
          <w:rStyle w:val="style87"/>
        </w:rPr>
      </w:pPr>
    </w:p>
    <w:p>
      <w:pPr>
        <w:pStyle w:val="style94"/>
        <w:spacing w:lineRule="auto" w:line="480"/>
        <w:jc w:val="both"/>
        <w:rPr/>
      </w:pPr>
      <w:r>
        <w:rPr>
          <w:noProof/>
        </w:rPr>
        <mc:AlternateContent>
          <mc:Choice Requires="wps">
            <w:drawing>
              <wp:anchor distT="0" distB="0" distL="0" distR="0" simplePos="false" relativeHeight="2" behindDoc="false" locked="false" layoutInCell="true" allowOverlap="true">
                <wp:simplePos x="0" y="0"/>
                <wp:positionH relativeFrom="column">
                  <wp:posOffset>19050</wp:posOffset>
                </wp:positionH>
                <wp:positionV relativeFrom="paragraph">
                  <wp:posOffset>800735</wp:posOffset>
                </wp:positionV>
                <wp:extent cx="5629910" cy="0"/>
                <wp:effectExtent l="9525" t="12700" r="8890" b="6350"/>
                <wp:wrapNone/>
                <wp:docPr id="1027" name="Straight Connector 3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7" filled="f" stroked="t" from="1.5pt,63.05pt" to="444.8pt,63.05pt" style="position:absolute;z-index:2;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Style w:val="style87"/>
          <w:b w:val="false"/>
        </w:rPr>
        <w:t>Table 1</w:t>
      </w:r>
      <w:r>
        <w:t>: Antibacterial Activity of Aqueous, Ethanolic, and Methanolic Clove Extracts Against MRSA and MSSA (Zone of Inhibition in mm)</w:t>
      </w:r>
    </w:p>
    <w:tbl>
      <w:tblPr>
        <w:tblW w:w="6377" w:type="dxa"/>
        <w:tblCellSpacing w:w="15" w:type="dxa"/>
        <w:tblCellMar>
          <w:top w:w="15" w:type="dxa"/>
          <w:left w:w="15" w:type="dxa"/>
          <w:bottom w:w="15" w:type="dxa"/>
          <w:right w:w="15" w:type="dxa"/>
        </w:tblCellMar>
        <w:tblLook w:val="04A0" w:firstRow="1" w:lastRow="0" w:firstColumn="1" w:lastColumn="0" w:noHBand="0" w:noVBand="1"/>
      </w:tblPr>
      <w:tblGrid>
        <w:gridCol w:w="2015"/>
        <w:gridCol w:w="2998"/>
        <w:gridCol w:w="685"/>
        <w:gridCol w:w="678"/>
      </w:tblGrid>
      <w:tr>
        <w:trPr>
          <w:trHeight w:val="440" w:hRule="atLeast"/>
          <w:tblHeader/>
          <w:tblCellSpacing w:w="15" w:type="dxa"/>
        </w:trPr>
        <w:tc>
          <w:tcPr>
            <w:tcW w:w="0" w:type="auto"/>
            <w:tcBorders/>
            <w:vAlign w:val="center"/>
            <w:hideMark/>
          </w:tcPr>
          <w:p>
            <w:pPr>
              <w:pStyle w:val="style0"/>
              <w:spacing w:lineRule="auto" w:line="480"/>
              <w:jc w:val="both"/>
              <w:rPr>
                <w:rFonts w:ascii="Times New Roman" w:cs="Times New Roman" w:hAnsi="Times New Roman"/>
                <w:bCs/>
                <w:sz w:val="24"/>
                <w:szCs w:val="24"/>
              </w:rPr>
            </w:pPr>
            <w:r>
              <w:rPr>
                <w:rFonts w:ascii="Times New Roman" w:cs="Times New Roman" w:hAnsi="Times New Roman"/>
                <w:noProof/>
                <w:sz w:val="24"/>
                <w:szCs w:val="24"/>
              </w:rPr>
              <mc:AlternateContent>
                <mc:Choice Requires="wps">
                  <w:drawing>
                    <wp:anchor distT="0" distB="0" distL="0" distR="0" simplePos="false" relativeHeight="3" behindDoc="false" locked="false" layoutInCell="true" allowOverlap="true">
                      <wp:simplePos x="0" y="0"/>
                      <wp:positionH relativeFrom="column">
                        <wp:posOffset>-19050</wp:posOffset>
                      </wp:positionH>
                      <wp:positionV relativeFrom="paragraph">
                        <wp:posOffset>327025</wp:posOffset>
                      </wp:positionV>
                      <wp:extent cx="5629910" cy="0"/>
                      <wp:effectExtent l="9525" t="12700" r="8890" b="6350"/>
                      <wp:wrapNone/>
                      <wp:docPr id="1028" name="Straight Connector 3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8" filled="f" stroked="t" from="-1.5pt,25.75pt" to="441.8pt,25.75pt" style="position:absolute;z-index:3;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Fonts w:ascii="Times New Roman" w:cs="Times New Roman" w:hAnsi="Times New Roman"/>
                <w:bCs/>
                <w:sz w:val="24"/>
                <w:szCs w:val="24"/>
              </w:rPr>
              <w:t>Extract Type</w:t>
            </w:r>
          </w:p>
        </w:tc>
        <w:tc>
          <w:tcPr>
            <w:tcW w:w="0" w:type="auto"/>
            <w:tcBorders/>
            <w:vAlign w:val="center"/>
            <w:hideMark/>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Conc. (mg/mL)</w:t>
            </w:r>
          </w:p>
        </w:tc>
        <w:tc>
          <w:tcPr>
            <w:tcW w:w="0" w:type="auto"/>
            <w:tcBorders/>
            <w:vAlign w:val="center"/>
            <w:hideMark/>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MRSA</w:t>
            </w:r>
          </w:p>
        </w:tc>
        <w:tc>
          <w:tcPr>
            <w:tcW w:w="0" w:type="auto"/>
            <w:tcBorders/>
            <w:vAlign w:val="center"/>
            <w:hideMark/>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MSSA</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r>
              <w:rPr>
                <w:rStyle w:val="style87"/>
                <w:rFonts w:ascii="Times New Roman" w:cs="Times New Roman" w:hAnsi="Times New Roman"/>
                <w:b w:val="false"/>
                <w:sz w:val="24"/>
                <w:szCs w:val="24"/>
              </w:rPr>
              <w:t>Aqueous</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8.00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6.00</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40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14.12</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18.00</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60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16.20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18.34</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20.00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19.24</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100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20.14</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22.14</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r>
              <w:rPr>
                <w:rStyle w:val="style87"/>
                <w:rFonts w:ascii="Times New Roman" w:cs="Times New Roman" w:hAnsi="Times New Roman"/>
                <w:b w:val="false"/>
                <w:sz w:val="24"/>
                <w:szCs w:val="24"/>
              </w:rPr>
              <w:t>Ethanol</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10.00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11.00</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40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15.21</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13.20</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60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14.13</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16.00</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19.00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20.00</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100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22.23</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21.00</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r>
              <w:rPr>
                <w:rStyle w:val="style87"/>
                <w:rFonts w:ascii="Times New Roman" w:cs="Times New Roman" w:hAnsi="Times New Roman"/>
                <w:b w:val="false"/>
                <w:sz w:val="24"/>
                <w:szCs w:val="24"/>
              </w:rPr>
              <w:t>Methanol</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9.40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9.80</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40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14.37</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12.11</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60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13.20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14.95</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17.90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18.30</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100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20.55</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19.71</w:t>
            </w:r>
          </w:p>
        </w:tc>
      </w:tr>
    </w:tbl>
    <w:p>
      <w:pPr>
        <w:pStyle w:val="style0"/>
        <w:spacing w:lineRule="auto" w:line="480"/>
        <w:jc w:val="both"/>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distT="0" distB="0" distL="0" distR="0" simplePos="false" relativeHeight="4" behindDoc="false" locked="false" layoutInCell="true" allowOverlap="true">
                <wp:simplePos x="0" y="0"/>
                <wp:positionH relativeFrom="column">
                  <wp:posOffset>0</wp:posOffset>
                </wp:positionH>
                <wp:positionV relativeFrom="paragraph">
                  <wp:posOffset>69215</wp:posOffset>
                </wp:positionV>
                <wp:extent cx="5629910" cy="0"/>
                <wp:effectExtent l="0" t="0" r="0" b="0"/>
                <wp:wrapNone/>
                <wp:docPr id="1029" name="Straight Connector 3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9" filled="f" stroked="t" from="0.0pt,5.45pt" to="443.3pt,5.45pt" style="position:absolute;z-index:4;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p>
    <w:p>
      <w:pPr>
        <w:pStyle w:val="style94"/>
        <w:spacing w:lineRule="auto" w:line="480"/>
        <w:jc w:val="both"/>
        <w:rPr>
          <w:rStyle w:val="style87"/>
          <w:b w:val="false"/>
        </w:rPr>
      </w:pPr>
    </w:p>
    <w:p>
      <w:pPr>
        <w:pStyle w:val="style94"/>
        <w:spacing w:lineRule="auto" w:line="480"/>
        <w:jc w:val="both"/>
        <w:rPr>
          <w:rStyle w:val="style87"/>
          <w:b w:val="false"/>
        </w:rPr>
      </w:pPr>
    </w:p>
    <w:p>
      <w:pPr>
        <w:pStyle w:val="style94"/>
        <w:spacing w:lineRule="auto" w:line="480"/>
        <w:jc w:val="both"/>
        <w:rPr>
          <w:rStyle w:val="style87"/>
          <w:b w:val="false"/>
        </w:rPr>
      </w:pPr>
    </w:p>
    <w:p>
      <w:pPr>
        <w:pStyle w:val="style94"/>
        <w:spacing w:lineRule="auto" w:line="480"/>
        <w:jc w:val="both"/>
        <w:rPr>
          <w:rStyle w:val="style87"/>
          <w:b w:val="false"/>
        </w:rPr>
      </w:pPr>
    </w:p>
    <w:p>
      <w:pPr>
        <w:pStyle w:val="style94"/>
        <w:spacing w:lineRule="auto" w:line="480"/>
        <w:jc w:val="both"/>
        <w:rPr/>
      </w:pPr>
      <w:r>
        <w:rPr>
          <w:noProof/>
        </w:rPr>
        <mc:AlternateContent>
          <mc:Choice Requires="wps">
            <w:drawing>
              <wp:anchor distT="0" distB="0" distL="0" distR="0" simplePos="false" relativeHeight="5" behindDoc="false" locked="false" layoutInCell="true" allowOverlap="true">
                <wp:simplePos x="0" y="0"/>
                <wp:positionH relativeFrom="column">
                  <wp:posOffset>28575</wp:posOffset>
                </wp:positionH>
                <wp:positionV relativeFrom="paragraph">
                  <wp:posOffset>459739</wp:posOffset>
                </wp:positionV>
                <wp:extent cx="5629910" cy="0"/>
                <wp:effectExtent l="9525" t="12700" r="8890" b="6350"/>
                <wp:wrapNone/>
                <wp:docPr id="1030" name="Straight Connector 3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0" filled="f" stroked="t" from="2.25pt,36.19992pt" to="445.55pt,36.19992pt" style="position:absolute;z-index:5;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Style w:val="style87"/>
          <w:b w:val="false"/>
        </w:rPr>
        <w:t>Table 2</w:t>
      </w:r>
      <w:r>
        <w:t>: MIC and MBC of Clove Extracts Against MRSA and MSSA</w:t>
      </w:r>
    </w:p>
    <w:tbl>
      <w:tblPr>
        <w:tblW w:w="7925" w:type="dxa"/>
        <w:tblCellSpacing w:w="15" w:type="dxa"/>
        <w:tblCellMar>
          <w:top w:w="15" w:type="dxa"/>
          <w:left w:w="15" w:type="dxa"/>
          <w:bottom w:w="15" w:type="dxa"/>
          <w:right w:w="15" w:type="dxa"/>
        </w:tblCellMar>
        <w:tblLook w:val="04A0" w:firstRow="1" w:lastRow="0" w:firstColumn="1" w:lastColumn="0" w:noHBand="0" w:noVBand="1"/>
      </w:tblPr>
      <w:tblGrid>
        <w:gridCol w:w="1654"/>
        <w:gridCol w:w="1067"/>
        <w:gridCol w:w="2473"/>
        <w:gridCol w:w="2729"/>
      </w:tblGrid>
      <w:tr>
        <w:trPr>
          <w:trHeight w:val="359" w:hRule="atLeast"/>
          <w:tblHeader/>
          <w:tblCellSpacing w:w="15" w:type="dxa"/>
        </w:trPr>
        <w:tc>
          <w:tcPr>
            <w:tcW w:w="0" w:type="auto"/>
            <w:tcBorders/>
            <w:vAlign w:val="center"/>
            <w:hideMark/>
          </w:tcPr>
          <w:p>
            <w:pPr>
              <w:pStyle w:val="style0"/>
              <w:spacing w:lineRule="auto" w:line="480"/>
              <w:jc w:val="both"/>
              <w:rPr>
                <w:rFonts w:ascii="Times New Roman" w:cs="Times New Roman" w:hAnsi="Times New Roman"/>
                <w:bCs/>
                <w:sz w:val="24"/>
                <w:szCs w:val="24"/>
              </w:rPr>
            </w:pPr>
            <w:r>
              <w:rPr>
                <w:rFonts w:ascii="Times New Roman" w:cs="Times New Roman" w:hAnsi="Times New Roman"/>
                <w:noProof/>
                <w:sz w:val="24"/>
                <w:szCs w:val="24"/>
              </w:rPr>
              <mc:AlternateContent>
                <mc:Choice Requires="wps">
                  <w:drawing>
                    <wp:anchor distT="0" distB="0" distL="0" distR="0" simplePos="false" relativeHeight="6" behindDoc="false" locked="false" layoutInCell="true" allowOverlap="true">
                      <wp:simplePos x="0" y="0"/>
                      <wp:positionH relativeFrom="column">
                        <wp:posOffset>9525</wp:posOffset>
                      </wp:positionH>
                      <wp:positionV relativeFrom="paragraph">
                        <wp:posOffset>317500</wp:posOffset>
                      </wp:positionV>
                      <wp:extent cx="5629910" cy="0"/>
                      <wp:effectExtent l="9525" t="12700" r="8890" b="6350"/>
                      <wp:wrapNone/>
                      <wp:docPr id="1031" name="Straight Connector 3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1" filled="f" stroked="t" from="0.75pt,25.0pt" to="444.05pt,25.0pt" style="position:absolute;z-index:6;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Fonts w:ascii="Times New Roman" w:cs="Times New Roman" w:hAnsi="Times New Roman"/>
                <w:bCs/>
                <w:sz w:val="24"/>
                <w:szCs w:val="24"/>
              </w:rPr>
              <w:t>Extract Type</w:t>
            </w:r>
          </w:p>
        </w:tc>
        <w:tc>
          <w:tcPr>
            <w:tcW w:w="0" w:type="auto"/>
            <w:tcBorders/>
            <w:vAlign w:val="center"/>
            <w:hideMark/>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Organism</w:t>
            </w:r>
          </w:p>
        </w:tc>
        <w:tc>
          <w:tcPr>
            <w:tcW w:w="0" w:type="auto"/>
            <w:tcBorders/>
            <w:vAlign w:val="center"/>
            <w:hideMark/>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MIC (mg/mL)</w:t>
            </w:r>
          </w:p>
        </w:tc>
        <w:tc>
          <w:tcPr>
            <w:tcW w:w="0" w:type="auto"/>
            <w:tcBorders/>
            <w:vAlign w:val="center"/>
            <w:hideMark/>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MBC (mg/mL)</w:t>
            </w:r>
          </w:p>
        </w:tc>
      </w:tr>
      <w:tr>
        <w:tblPrEx/>
        <w:trPr>
          <w:trHeight w:val="359" w:hRule="atLeast"/>
          <w:tblCellSpacing w:w="15" w:type="dxa"/>
        </w:trPr>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Aqueous</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MRSA</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r>
        <w:tblPrEx/>
        <w:trPr>
          <w:trHeight w:val="359" w:hRule="atLeast"/>
          <w:tblCellSpacing w:w="15" w:type="dxa"/>
        </w:trPr>
        <w:tc>
          <w:tcPr>
            <w:tcW w:w="0" w:type="auto"/>
            <w:tcBorders/>
            <w:vAlign w:val="center"/>
            <w:hideMark/>
          </w:tcPr>
          <w:p>
            <w:pPr>
              <w:pStyle w:val="style0"/>
              <w:spacing w:lineRule="auto" w:line="480"/>
              <w:jc w:val="both"/>
              <w:rPr>
                <w:rFonts w:ascii="Times New Roman" w:cs="Times New Roman" w:hAnsi="Times New Roman"/>
                <w:sz w:val="24"/>
                <w:szCs w:val="24"/>
              </w:rPr>
            </w:pP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MSSA</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r>
        <w:tblPrEx/>
        <w:trPr>
          <w:trHeight w:val="359" w:hRule="atLeast"/>
          <w:tblCellSpacing w:w="15" w:type="dxa"/>
        </w:trPr>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Ethanolic</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MRSA</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r>
        <w:tblPrEx/>
        <w:trPr>
          <w:trHeight w:val="359" w:hRule="atLeast"/>
          <w:tblCellSpacing w:w="15" w:type="dxa"/>
        </w:trPr>
        <w:tc>
          <w:tcPr>
            <w:tcW w:w="0" w:type="auto"/>
            <w:tcBorders/>
            <w:vAlign w:val="center"/>
            <w:hideMark/>
          </w:tcPr>
          <w:p>
            <w:pPr>
              <w:pStyle w:val="style0"/>
              <w:spacing w:lineRule="auto" w:line="480"/>
              <w:jc w:val="both"/>
              <w:rPr>
                <w:rFonts w:ascii="Times New Roman" w:cs="Times New Roman" w:hAnsi="Times New Roman"/>
                <w:sz w:val="24"/>
                <w:szCs w:val="24"/>
              </w:rPr>
            </w:pP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MSSA</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r>
        <w:tblPrEx/>
        <w:trPr>
          <w:trHeight w:val="359" w:hRule="atLeast"/>
          <w:tblCellSpacing w:w="15" w:type="dxa"/>
        </w:trPr>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Methanolic</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MRSA</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r>
        <w:tblPrEx/>
        <w:trPr>
          <w:trHeight w:val="359" w:hRule="atLeast"/>
          <w:tblCellSpacing w:w="15" w:type="dxa"/>
        </w:trPr>
        <w:tc>
          <w:tcPr>
            <w:tcW w:w="0" w:type="auto"/>
            <w:tcBorders/>
            <w:vAlign w:val="center"/>
            <w:hideMark/>
          </w:tcPr>
          <w:p>
            <w:pPr>
              <w:pStyle w:val="style0"/>
              <w:spacing w:lineRule="auto" w:line="480"/>
              <w:jc w:val="both"/>
              <w:rPr>
                <w:rFonts w:ascii="Times New Roman" w:cs="Times New Roman" w:hAnsi="Times New Roman"/>
                <w:sz w:val="24"/>
                <w:szCs w:val="24"/>
              </w:rPr>
            </w:pP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distT="0" distB="0" distL="0" distR="0" simplePos="false" relativeHeight="7" behindDoc="false" locked="false" layoutInCell="true" allowOverlap="true">
                      <wp:simplePos x="0" y="0"/>
                      <wp:positionH relativeFrom="column">
                        <wp:posOffset>-1238250</wp:posOffset>
                      </wp:positionH>
                      <wp:positionV relativeFrom="paragraph">
                        <wp:posOffset>264160</wp:posOffset>
                      </wp:positionV>
                      <wp:extent cx="5629910" cy="0"/>
                      <wp:effectExtent l="9525" t="12700" r="8890" b="6350"/>
                      <wp:wrapNone/>
                      <wp:docPr id="1032" name="Straight Connector 4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2" filled="f" stroked="t" from="-97.5pt,20.800001pt" to="345.8pt,20.800001pt" style="position:absolute;z-index:7;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Fonts w:ascii="Times New Roman" w:cs="Times New Roman" w:hAnsi="Times New Roman"/>
                <w:sz w:val="24"/>
                <w:szCs w:val="24"/>
              </w:rPr>
              <w:t>MSSA</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1"/>
        <w:jc w:val="center"/>
        <w:rPr>
          <w:rFonts w:ascii="宋体" w:eastAsia="Calibri" w:hAnsi="宋体"/>
          <w:b/>
          <w:bCs/>
          <w:color w:val="auto"/>
          <w:sz w:val="28"/>
          <w:szCs w:val="28"/>
        </w:rPr>
      </w:pPr>
    </w:p>
    <w:p>
      <w:pPr>
        <w:pStyle w:val="style1"/>
        <w:jc w:val="center"/>
        <w:rPr>
          <w:rFonts w:ascii="宋体" w:eastAsia="Calibri" w:hAnsi="宋体"/>
          <w:b/>
          <w:bCs/>
          <w:color w:val="auto"/>
          <w:sz w:val="28"/>
          <w:szCs w:val="28"/>
        </w:rPr>
      </w:pPr>
    </w:p>
    <w:p>
      <w:pPr>
        <w:pStyle w:val="style1"/>
        <w:jc w:val="center"/>
        <w:rPr>
          <w:rFonts w:ascii="宋体" w:eastAsia="Calibri" w:hAnsi="宋体"/>
          <w:b/>
          <w:bCs/>
          <w:color w:val="auto"/>
          <w:sz w:val="28"/>
          <w:szCs w:val="28"/>
        </w:rPr>
      </w:pPr>
    </w:p>
    <w:p>
      <w:pPr>
        <w:pStyle w:val="style1"/>
        <w:jc w:val="center"/>
        <w:rPr>
          <w:rFonts w:ascii="宋体" w:eastAsia="Calibri" w:hAnsi="宋体"/>
          <w:b/>
          <w:bCs/>
          <w:color w:val="auto"/>
          <w:sz w:val="28"/>
          <w:szCs w:val="28"/>
        </w:rPr>
      </w:pPr>
    </w:p>
    <w:p>
      <w:pPr>
        <w:pStyle w:val="style1"/>
        <w:jc w:val="center"/>
        <w:rPr>
          <w:rFonts w:ascii="宋体" w:eastAsia="Calibri" w:hAnsi="宋体"/>
          <w:b/>
          <w:bCs/>
          <w:color w:val="auto"/>
          <w:sz w:val="28"/>
          <w:szCs w:val="28"/>
        </w:rPr>
      </w:pPr>
    </w:p>
    <w:p>
      <w:pPr>
        <w:pStyle w:val="style1"/>
        <w:jc w:val="center"/>
        <w:rPr>
          <w:rFonts w:ascii="宋体" w:eastAsia="Calibri" w:hAnsi="宋体"/>
          <w:b/>
          <w:bCs/>
          <w:color w:val="auto"/>
          <w:sz w:val="28"/>
          <w:szCs w:val="28"/>
        </w:rPr>
      </w:pPr>
    </w:p>
    <w:p>
      <w:pPr>
        <w:pStyle w:val="style1"/>
        <w:jc w:val="center"/>
        <w:rPr>
          <w:rFonts w:ascii="宋体" w:eastAsia="Calibri" w:hAnsi="宋体"/>
          <w:b/>
          <w:bCs/>
          <w:color w:val="auto"/>
          <w:sz w:val="28"/>
          <w:szCs w:val="28"/>
        </w:rPr>
      </w:pPr>
    </w:p>
    <w:p>
      <w:pPr>
        <w:pStyle w:val="style1"/>
        <w:rPr>
          <w:rFonts w:ascii="宋体" w:eastAsia="Calibri" w:hAnsi="宋体"/>
          <w:b/>
          <w:bCs/>
          <w:color w:val="auto"/>
          <w:sz w:val="28"/>
          <w:szCs w:val="28"/>
        </w:rPr>
      </w:pPr>
    </w:p>
    <w:p>
      <w:pPr>
        <w:pStyle w:val="style0"/>
        <w:rPr/>
      </w:pPr>
    </w:p>
    <w:p>
      <w:pPr>
        <w:pStyle w:val="style0"/>
        <w:rPr/>
      </w:pPr>
    </w:p>
    <w:p>
      <w:pPr>
        <w:pStyle w:val="style0"/>
        <w:rPr/>
      </w:pPr>
    </w:p>
    <w:p>
      <w:pPr>
        <w:pStyle w:val="style0"/>
        <w:rPr/>
      </w:pPr>
    </w:p>
    <w:p>
      <w:pPr>
        <w:pStyle w:val="style0"/>
        <w:rPr/>
      </w:pPr>
    </w:p>
    <w:p>
      <w:pPr>
        <w:pStyle w:val="style0"/>
        <w:rPr/>
      </w:pPr>
    </w:p>
    <w:bookmarkStart w:id="72" w:name="_Toc202854005"/>
    <w:p>
      <w:pPr>
        <w:pStyle w:val="style1"/>
        <w:jc w:val="center"/>
        <w:rPr>
          <w:rFonts w:ascii="宋体" w:eastAsia="Calibri" w:hAnsi="宋体"/>
          <w:b/>
          <w:bCs/>
          <w:color w:val="auto"/>
          <w:sz w:val="28"/>
          <w:szCs w:val="28"/>
        </w:rPr>
      </w:pPr>
      <w:r>
        <w:rPr>
          <w:rFonts w:ascii="宋体" w:eastAsia="Calibri" w:hAnsi="宋体"/>
          <w:b/>
          <w:bCs/>
          <w:color w:val="auto"/>
          <w:sz w:val="28"/>
          <w:szCs w:val="28"/>
        </w:rPr>
        <w:t>CHAPTER FIVE</w:t>
      </w:r>
      <w:bookmarkEnd w:id="72"/>
    </w:p>
    <w:p>
      <w:pPr>
        <w:pStyle w:val="style0"/>
        <w:rPr>
          <w:lang w:eastAsia="zh-CN"/>
        </w:rPr>
      </w:pPr>
    </w:p>
    <w:bookmarkStart w:id="73" w:name="_Toc202854006"/>
    <w:p>
      <w:pPr>
        <w:pStyle w:val="style2"/>
        <w:rPr>
          <w:rFonts w:ascii="宋体" w:hAnsi="宋体"/>
          <w:b w:val="false"/>
          <w:bCs w:val="false"/>
          <w:sz w:val="24"/>
          <w:szCs w:val="24"/>
        </w:rPr>
      </w:pPr>
      <w:r>
        <w:rPr>
          <w:rFonts w:ascii="宋体" w:hAnsi="宋体"/>
          <w:sz w:val="24"/>
          <w:szCs w:val="24"/>
        </w:rPr>
        <w:t>5.0 Discussion</w:t>
      </w:r>
      <w:bookmarkEnd w:id="73"/>
    </w:p>
    <w:p>
      <w:pPr>
        <w:pStyle w:val="style94"/>
        <w:spacing w:lineRule="auto" w:line="480"/>
        <w:ind w:firstLine="720"/>
        <w:jc w:val="both"/>
        <w:rPr/>
      </w:pPr>
      <w:r>
        <w:t>The findings of this study reveal that all three clove (</w:t>
      </w:r>
      <w:r>
        <w:rPr>
          <w:rStyle w:val="style88"/>
        </w:rPr>
        <w:t>Syzygium</w:t>
      </w:r>
      <w:r>
        <w:rPr>
          <w:rStyle w:val="style88"/>
        </w:rPr>
        <w:t xml:space="preserve"> </w:t>
      </w:r>
      <w:r>
        <w:rPr>
          <w:rStyle w:val="style88"/>
        </w:rPr>
        <w:t>aromaticum</w:t>
      </w:r>
      <w:r>
        <w:t xml:space="preserve">) extracts—aqueous, ethanolic, and methanolic—exhibited antibacterial activity against both methicillin-resistant </w:t>
      </w:r>
      <w:r>
        <w:rPr>
          <w:rStyle w:val="style88"/>
        </w:rPr>
        <w:t>Staphylococcus aureus</w:t>
      </w:r>
      <w:r>
        <w:t xml:space="preserve"> (MRSA) and methicillin-susceptible </w:t>
      </w:r>
      <w:r>
        <w:rPr>
          <w:rStyle w:val="style88"/>
        </w:rPr>
        <w:t>Staphylococcus aureus</w:t>
      </w:r>
      <w:r>
        <w:t xml:space="preserve"> (MSSA). The effectiveness of the extracts, particularly the ethanolic and methanolic ones, underscores the phytochemical richness of clove and its potential application in managing infections caused by drug-resistant bacteria.</w:t>
      </w:r>
    </w:p>
    <w:p>
      <w:pPr>
        <w:pStyle w:val="style94"/>
        <w:spacing w:lineRule="auto" w:line="480"/>
        <w:ind w:firstLine="720"/>
        <w:jc w:val="both"/>
        <w:rPr/>
      </w:pPr>
      <w:r>
        <w:t xml:space="preserve">MRSA is a clinically significant pathogen due to its resistance to β-lactam antibiotics, and its ability to cause severe hospital- and community-acquired infections. The sensitivity of MRSA to clove extracts suggests that the mechanism of action of clove phytochemicals may circumvent traditional resistance pathways. This is likely due to compounds such as </w:t>
      </w:r>
      <w:r>
        <w:rPr>
          <w:rStyle w:val="style87"/>
          <w:b w:val="false"/>
        </w:rPr>
        <w:t>eugenol</w:t>
      </w:r>
      <w:r>
        <w:t xml:space="preserve">, </w:t>
      </w:r>
      <w:r>
        <w:rPr>
          <w:rStyle w:val="style87"/>
          <w:b w:val="false"/>
        </w:rPr>
        <w:t>flavonoids</w:t>
      </w:r>
      <w:r>
        <w:t xml:space="preserve">, </w:t>
      </w:r>
      <w:r>
        <w:rPr>
          <w:rStyle w:val="style87"/>
          <w:b w:val="false"/>
        </w:rPr>
        <w:t>terpenoids</w:t>
      </w:r>
      <w:r>
        <w:t xml:space="preserve">, and </w:t>
      </w:r>
      <w:r>
        <w:rPr>
          <w:rStyle w:val="style87"/>
          <w:b w:val="false"/>
        </w:rPr>
        <w:t>tannins</w:t>
      </w:r>
      <w:r>
        <w:t xml:space="preserve">, which are well-documented for their ability to disrupt bacterial membranes, denature proteins, and interfere with DNA replication and cell division (Marchese </w:t>
      </w:r>
      <w:r>
        <w:rPr>
          <w:i/>
        </w:rPr>
        <w:t>et al</w:t>
      </w:r>
      <w:r>
        <w:t xml:space="preserve">., 2017; Devi </w:t>
      </w:r>
      <w:r>
        <w:rPr>
          <w:i/>
        </w:rPr>
        <w:t>et al</w:t>
      </w:r>
      <w:r>
        <w:t>., 2010).</w:t>
      </w:r>
    </w:p>
    <w:p>
      <w:pPr>
        <w:pStyle w:val="style94"/>
        <w:spacing w:lineRule="auto" w:line="480"/>
        <w:ind w:firstLine="720"/>
        <w:jc w:val="both"/>
        <w:rPr/>
      </w:pPr>
      <w:r>
        <w:t xml:space="preserve">Comparing the three solvents, </w:t>
      </w:r>
      <w:r>
        <w:rPr>
          <w:rStyle w:val="style87"/>
          <w:b w:val="false"/>
        </w:rPr>
        <w:t>methanol and ethanol</w:t>
      </w:r>
      <w:r>
        <w:t xml:space="preserve"> extracted more potent antimicrobial constituents than water. This is consistent with phytochemical solubility profiles: eugenol, the most abundant bioactive in clove, is sparingly soluble in water but readily dissolves in alcohol-based solvents. As a result, the zones of inhibition were more pronounced with methanolic and ethanolic extracts, particularly at higher concentrations. These organic solvents are also known to extract a wider range of phenolic compounds, alkaloids, and volatile oils—compounds with well-established antibacterial actions.</w:t>
      </w:r>
    </w:p>
    <w:p>
      <w:pPr>
        <w:pStyle w:val="style94"/>
        <w:spacing w:lineRule="auto" w:line="480"/>
        <w:ind w:firstLine="720"/>
        <w:jc w:val="both"/>
        <w:rPr/>
      </w:pPr>
      <w:r>
        <w:t xml:space="preserve">Despite being a polar solvent, </w:t>
      </w:r>
      <w:r>
        <w:rPr>
          <w:rStyle w:val="style87"/>
          <w:b w:val="false"/>
        </w:rPr>
        <w:t>aqueous extraction was still moderately effective</w:t>
      </w:r>
      <w:r>
        <w:t>, particularly at higher concentrations. This suggests that clove also contains hydrophilic antimicrobial constituents, although these may act synergistically or less aggressively compared to the alcohol-soluble components. However, the limited efficacy of aqueous extracts at lower concentrations supports the argument that alcohol-based extractions are better suited for maximizing the antibacterial potential of clove.</w:t>
      </w:r>
    </w:p>
    <w:p>
      <w:pPr>
        <w:pStyle w:val="style94"/>
        <w:spacing w:lineRule="auto" w:line="480"/>
        <w:ind w:firstLine="720"/>
        <w:jc w:val="both"/>
        <w:rPr/>
      </w:pPr>
      <w:r>
        <w:t xml:space="preserve">Interestingly, </w:t>
      </w:r>
      <w:r>
        <w:rPr>
          <w:rStyle w:val="style87"/>
          <w:b w:val="false"/>
        </w:rPr>
        <w:t>MSSA was slightly more sensitive to all three extracts compared to MRSA</w:t>
      </w:r>
      <w:r>
        <w:t xml:space="preserve">, especially at mid-range concentrations. This is expected, as MSSA lacks the </w:t>
      </w:r>
      <w:r>
        <w:t>mecA</w:t>
      </w:r>
      <w:r>
        <w:t xml:space="preserve"> gene that encodes PBP2a, a modified penicillin-binding protein responsible for methicillin resistance. This structural difference likely makes MSSA more vulnerable to membrane disruption and other nonspecific antimicrobial mechanisms exerted by the extracts.</w:t>
      </w:r>
    </w:p>
    <w:p>
      <w:pPr>
        <w:pStyle w:val="style94"/>
        <w:spacing w:lineRule="auto" w:line="480"/>
        <w:ind w:firstLine="720"/>
        <w:jc w:val="both"/>
        <w:rPr/>
      </w:pPr>
      <w:r>
        <w:t xml:space="preserve">Several studies reinforce these observations. For example, Iqbal </w:t>
      </w:r>
      <w:r>
        <w:rPr>
          <w:i/>
        </w:rPr>
        <w:t>et al</w:t>
      </w:r>
      <w:r>
        <w:t xml:space="preserve">. (2013) and Gul </w:t>
      </w:r>
      <w:r>
        <w:rPr>
          <w:i/>
        </w:rPr>
        <w:t>et al</w:t>
      </w:r>
      <w:r>
        <w:t xml:space="preserve">. (2012) both reported significant antibacterial activity of ethanolic and methanolic clove extracts against </w:t>
      </w:r>
      <w:r>
        <w:rPr>
          <w:rStyle w:val="style88"/>
        </w:rPr>
        <w:t>Staphylococcus aureus</w:t>
      </w:r>
      <w:r>
        <w:t xml:space="preserve">, including resistant strains. In a related study, </w:t>
      </w:r>
      <w:r>
        <w:t>Nzeako</w:t>
      </w:r>
      <w:r>
        <w:t xml:space="preserve"> and Al-</w:t>
      </w:r>
      <w:r>
        <w:t>Kharousi</w:t>
      </w:r>
      <w:r>
        <w:t xml:space="preserve"> (2006) demonstrated that clove oil inhibited </w:t>
      </w:r>
      <w:r>
        <w:rPr>
          <w:rStyle w:val="style88"/>
        </w:rPr>
        <w:t>S. aureus</w:t>
      </w:r>
      <w:r>
        <w:t xml:space="preserve"> growth through membrane lysis and ATP depletion, indicating that its mode of action differs from that of conventional antibiotics, thereby explaining its effectiveness against resistant strains like MRSA.</w:t>
      </w:r>
    </w:p>
    <w:p>
      <w:pPr>
        <w:pStyle w:val="style94"/>
        <w:spacing w:lineRule="auto" w:line="480"/>
        <w:ind w:firstLine="720"/>
        <w:jc w:val="both"/>
        <w:rPr/>
      </w:pPr>
      <w:r>
        <w:t xml:space="preserve">The MIC and MBC results—uniformly at 80 mg/mL and 100 mg/mL, respectively, for all extracts—suggest that while all extracts were effective at killing both MRSA and MSSA, relatively high concentrations were needed for complete bactericidal activity. This could be due to the complex structure of Gram-positive cell walls, or to the possibility that some active compounds act in a bacteriostatic rather than bactericidal manner at sub-lethal doses. The </w:t>
      </w:r>
      <w:r>
        <w:t>narrow gap between MIC and MBC values supports a consistent and reliable dose-response relationship, which is critical when evaluating plant-based antimicrobials for therapeutic use.</w:t>
      </w: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bookmarkStart w:id="74" w:name="_Toc202854007"/>
    <w:p>
      <w:pPr>
        <w:pStyle w:val="style2"/>
        <w:rPr>
          <w:rFonts w:ascii="宋体" w:hAnsi="宋体"/>
          <w:b w:val="false"/>
          <w:bCs w:val="false"/>
          <w:sz w:val="24"/>
          <w:szCs w:val="24"/>
        </w:rPr>
      </w:pPr>
      <w:r>
        <w:rPr>
          <w:rFonts w:ascii="宋体" w:hAnsi="宋体"/>
          <w:sz w:val="24"/>
          <w:szCs w:val="24"/>
        </w:rPr>
        <w:t>5.1 Conclusion</w:t>
      </w:r>
      <w:bookmarkEnd w:id="74"/>
    </w:p>
    <w:p>
      <w:pPr>
        <w:pStyle w:val="style0"/>
        <w:spacing w:before="100" w:beforeAutospacing="true" w:after="100" w:afterAutospacing="true" w:lineRule="auto" w:line="480"/>
        <w:ind w:first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demonstrates that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(clove) possesses significant antibacterial activity against </w:t>
      </w:r>
      <w:r>
        <w:rPr>
          <w:rFonts w:ascii="Times New Roman" w:cs="Times New Roman" w:hAnsi="Times New Roman"/>
          <w:sz w:val="24"/>
          <w:szCs w:val="24"/>
        </w:rPr>
        <w:t xml:space="preserve">methicillin-resistant </w:t>
      </w:r>
      <w:r>
        <w:rPr>
          <w:rStyle w:val="style88"/>
          <w:rFonts w:ascii="Times New Roman" w:cs="Times New Roman" w:hAnsi="Times New Roman"/>
          <w:sz w:val="24"/>
          <w:szCs w:val="24"/>
        </w:rPr>
        <w:t>Staphylococcus aureus</w:t>
      </w:r>
      <w:r>
        <w:rPr>
          <w:rFonts w:ascii="Times New Roman" w:cs="Times New Roman" w:hAnsi="Times New Roman"/>
          <w:sz w:val="24"/>
          <w:szCs w:val="24"/>
        </w:rPr>
        <w:t xml:space="preserve"> (MRSA) and methicillin-susceptible </w:t>
      </w:r>
      <w:r>
        <w:rPr>
          <w:rStyle w:val="style88"/>
          <w:rFonts w:ascii="Times New Roman" w:cs="Times New Roman" w:hAnsi="Times New Roman"/>
          <w:sz w:val="24"/>
          <w:szCs w:val="24"/>
        </w:rPr>
        <w:t>Staphylococcus aureus</w:t>
      </w:r>
      <w:r>
        <w:rPr>
          <w:rFonts w:ascii="Times New Roman" w:cs="Times New Roman" w:hAnsi="Times New Roman"/>
          <w:sz w:val="24"/>
          <w:szCs w:val="24"/>
        </w:rPr>
        <w:t xml:space="preserve"> (MSSA).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The ethanolic and methanolic extracts consistently showed higher antibacterial efficacy compared to aqueous extracts, suggesting that organic solvents are more effective in extracting potent phytochemicals like eugenol. These findings support the potential of clove as a natural antimicrobial agent and provide a strong basis for further pharmacological studies, isolation of active compounds, and development of plant-based therapeutics for resistant infections.</w:t>
      </w: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bookmarkStart w:id="75" w:name="_Toc202854008"/>
    <w:p>
      <w:pPr>
        <w:pStyle w:val="style2"/>
        <w:rPr>
          <w:rFonts w:ascii="宋体" w:hAnsi="宋体"/>
          <w:b w:val="false"/>
          <w:bCs w:val="false"/>
          <w:sz w:val="24"/>
          <w:szCs w:val="24"/>
        </w:rPr>
      </w:pPr>
      <w:r>
        <w:rPr>
          <w:rFonts w:ascii="宋体" w:hAnsi="宋体"/>
          <w:sz w:val="24"/>
          <w:szCs w:val="24"/>
        </w:rPr>
        <w:t>5.2 Recommendations</w:t>
      </w:r>
      <w:bookmarkEnd w:id="75"/>
    </w:p>
    <w:p>
      <w:pPr>
        <w:pStyle w:val="style0"/>
        <w:widowControl w:val="false"/>
        <w:spacing w:after="0" w:lineRule="auto" w:line="480"/>
        <w:jc w:val="both"/>
        <w:rPr>
          <w:rFonts w:ascii="Times New Roman" w:cs="Times New Roman" w:eastAsia="SimSun" w:hAnsi="Times New Roman"/>
          <w:kern w:val="2"/>
          <w:sz w:val="24"/>
          <w:szCs w:val="24"/>
          <w:lang w:eastAsia="zh-CN"/>
        </w:rPr>
      </w:pPr>
      <w:r>
        <w:rPr>
          <w:rFonts w:ascii="Times New Roman" w:cs="Times New Roman" w:eastAsia="SimSun" w:hAnsi="Times New Roman"/>
          <w:kern w:val="2"/>
          <w:sz w:val="24"/>
          <w:szCs w:val="24"/>
          <w:lang w:eastAsia="zh-CN"/>
        </w:rPr>
        <w:t>I</w:t>
      </w:r>
      <w:r>
        <w:rPr>
          <w:rFonts w:ascii="Times New Roman" w:cs="Times New Roman" w:eastAsia="SimSun" w:hAnsi="Times New Roman"/>
          <w:kern w:val="2"/>
          <w:sz w:val="24"/>
          <w:szCs w:val="24"/>
          <w:lang w:eastAsia="zh-CN"/>
        </w:rPr>
        <w:t>t could be</w:t>
      </w:r>
      <w:r>
        <w:rPr>
          <w:rFonts w:ascii="Times New Roman" w:cs="Times New Roman" w:eastAsia="SimSun" w:hAnsi="Times New Roman"/>
          <w:kern w:val="2"/>
          <w:sz w:val="24"/>
          <w:szCs w:val="24"/>
          <w:lang w:eastAsia="zh-CN"/>
        </w:rPr>
        <w:t xml:space="preserve"> recommended </w:t>
      </w:r>
      <w:r>
        <w:rPr>
          <w:rFonts w:ascii="Times New Roman" w:cs="Times New Roman" w:eastAsia="SimSun" w:hAnsi="Times New Roman"/>
          <w:kern w:val="2"/>
          <w:sz w:val="24"/>
          <w:szCs w:val="24"/>
          <w:lang w:eastAsia="zh-CN"/>
        </w:rPr>
        <w:t xml:space="preserve">from the study </w:t>
      </w:r>
      <w:r>
        <w:rPr>
          <w:rFonts w:ascii="Times New Roman" w:cs="Times New Roman" w:eastAsia="SimSun" w:hAnsi="Times New Roman"/>
          <w:kern w:val="2"/>
          <w:sz w:val="24"/>
          <w:szCs w:val="24"/>
          <w:lang w:eastAsia="zh-CN"/>
        </w:rPr>
        <w:t>that:</w:t>
      </w:r>
    </w:p>
    <w:p>
      <w:pPr>
        <w:pStyle w:val="style0"/>
        <w:numPr>
          <w:ilvl w:val="0"/>
          <w:numId w:val="29"/>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comparative molecular studies should be done to understand how the extracts interact with the </w:t>
      </w:r>
      <w:r>
        <w:rPr>
          <w:rFonts w:ascii="Times New Roman" w:cs="Times New Roman" w:eastAsia="Times New Roman" w:hAnsi="Times New Roman"/>
          <w:sz w:val="24"/>
          <w:szCs w:val="24"/>
        </w:rPr>
        <w:t>meca</w:t>
      </w:r>
      <w:r>
        <w:rPr>
          <w:rFonts w:ascii="Times New Roman" w:cs="Times New Roman" w:eastAsia="Times New Roman" w:hAnsi="Times New Roman"/>
          <w:sz w:val="24"/>
          <w:szCs w:val="24"/>
        </w:rPr>
        <w:t xml:space="preserve"> gene product (pbp2a) in </w:t>
      </w:r>
      <w:r>
        <w:rPr>
          <w:rFonts w:ascii="Times New Roman" w:cs="Times New Roman" w:eastAsia="Times New Roman" w:hAnsi="Times New Roman"/>
          <w:sz w:val="24"/>
          <w:szCs w:val="24"/>
        </w:rPr>
        <w:t>mrsa</w:t>
      </w:r>
      <w:r>
        <w:rPr>
          <w:rFonts w:ascii="Times New Roman" w:cs="Times New Roman" w:eastAsia="Times New Roman" w:hAnsi="Times New Roman"/>
          <w:sz w:val="24"/>
          <w:szCs w:val="24"/>
        </w:rPr>
        <w:t>.</w:t>
      </w:r>
    </w:p>
    <w:p>
      <w:pPr>
        <w:pStyle w:val="style0"/>
        <w:numPr>
          <w:ilvl w:val="0"/>
          <w:numId w:val="29"/>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clinical trials should explore the use of clove extracts in treating skin and wound infections caused by </w:t>
      </w:r>
      <w:r>
        <w:rPr>
          <w:rFonts w:ascii="Times New Roman" w:cs="Times New Roman" w:eastAsia="Times New Roman" w:hAnsi="Times New Roman"/>
          <w:i/>
          <w:iCs/>
          <w:sz w:val="24"/>
          <w:szCs w:val="24"/>
        </w:rPr>
        <w:t>s. aureus</w:t>
      </w:r>
      <w:r>
        <w:rPr>
          <w:rFonts w:ascii="Times New Roman" w:cs="Times New Roman" w:eastAsia="Times New Roman" w:hAnsi="Times New Roman"/>
          <w:sz w:val="24"/>
          <w:szCs w:val="24"/>
        </w:rPr>
        <w:t>.</w:t>
      </w:r>
    </w:p>
    <w:p>
      <w:pPr>
        <w:pStyle w:val="style0"/>
        <w:numPr>
          <w:ilvl w:val="0"/>
          <w:numId w:val="29"/>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extracts should be tested against coagulase-negative staphylococci to determine spectrum within the genus.</w:t>
      </w:r>
    </w:p>
    <w:p>
      <w:pPr>
        <w:pStyle w:val="style94"/>
        <w:spacing w:lineRule="auto" w:line="480"/>
        <w:jc w:val="both"/>
        <w:rPr/>
      </w:pPr>
    </w:p>
    <w:p>
      <w:pPr>
        <w:pStyle w:val="style94"/>
        <w:spacing w:lineRule="auto" w:line="480"/>
        <w:jc w:val="both"/>
        <w:rPr/>
      </w:pPr>
    </w:p>
    <w:p>
      <w:pPr>
        <w:pStyle w:val="style0"/>
        <w:spacing w:lineRule="auto" w:line="480"/>
        <w:jc w:val="both"/>
        <w:rPr/>
      </w:pPr>
    </w:p>
    <w:p>
      <w:pPr>
        <w:pStyle w:val="style0"/>
        <w:spacing w:lineRule="auto" w:line="480"/>
        <w:jc w:val="both"/>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REFERENCES</w:t>
      </w:r>
    </w:p>
    <w:p>
      <w:pPr>
        <w:pStyle w:val="style0"/>
        <w:spacing w:lineRule="auto" w:line="480"/>
        <w:jc w:val="both"/>
        <w:rPr/>
      </w:pP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Abdel-</w:t>
      </w:r>
      <w:r>
        <w:rPr>
          <w:rFonts w:ascii="Times New Roman" w:cs="Times New Roman" w:eastAsia="Times New Roman" w:hAnsi="Times New Roman"/>
          <w:sz w:val="24"/>
          <w:szCs w:val="24"/>
        </w:rPr>
        <w:t>Wahhab</w:t>
      </w:r>
      <w:r>
        <w:rPr>
          <w:rFonts w:ascii="Times New Roman" w:cs="Times New Roman" w:eastAsia="Times New Roman" w:hAnsi="Times New Roman"/>
          <w:sz w:val="24"/>
          <w:szCs w:val="24"/>
        </w:rPr>
        <w:t xml:space="preserve">, M. A., &amp; Aly, S. E. (2015). Antioxidant property of </w:t>
      </w:r>
      <w:r>
        <w:rPr>
          <w:rFonts w:ascii="Times New Roman" w:cs="Times New Roman" w:eastAsia="Times New Roman" w:hAnsi="Times New Roman"/>
          <w:i/>
          <w:iCs/>
          <w:sz w:val="24"/>
          <w:szCs w:val="24"/>
        </w:rPr>
        <w:t>Nigella sativa</w:t>
      </w:r>
      <w:r>
        <w:rPr>
          <w:rFonts w:ascii="Times New Roman" w:cs="Times New Roman" w:eastAsia="Times New Roman" w:hAnsi="Times New Roman"/>
          <w:sz w:val="24"/>
          <w:szCs w:val="24"/>
        </w:rPr>
        <w:t xml:space="preserve"> (black cumin) and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(clove) in rats during aflatoxicosis. </w:t>
      </w:r>
      <w:r>
        <w:rPr>
          <w:rFonts w:ascii="Times New Roman" w:cs="Times New Roman" w:eastAsia="Times New Roman" w:hAnsi="Times New Roman"/>
          <w:i/>
          <w:iCs/>
          <w:sz w:val="24"/>
          <w:szCs w:val="24"/>
        </w:rPr>
        <w:t>Journal of Applied Toxicology, 25</w:t>
      </w:r>
      <w:r>
        <w:rPr>
          <w:rFonts w:ascii="Times New Roman" w:cs="Times New Roman" w:eastAsia="Times New Roman" w:hAnsi="Times New Roman"/>
          <w:sz w:val="24"/>
          <w:szCs w:val="24"/>
        </w:rPr>
        <w:t>(3), 218–223.</w:t>
      </w:r>
    </w:p>
    <w:p>
      <w:pPr>
        <w:pStyle w:val="style94"/>
        <w:ind w:left="720" w:hanging="720"/>
        <w:jc w:val="both"/>
        <w:rPr/>
      </w:pPr>
      <w:r>
        <w:t xml:space="preserve">Adeyemi, O. S., </w:t>
      </w:r>
      <w:r>
        <w:t>Ogundele</w:t>
      </w:r>
      <w:r>
        <w:t xml:space="preserve">, O. M., &amp; </w:t>
      </w:r>
      <w:r>
        <w:t>Akintayo</w:t>
      </w:r>
      <w:r>
        <w:t xml:space="preserve">, C. O. (2021). Antibacterial and antioxidant potentials of </w:t>
      </w:r>
      <w:r>
        <w:rPr>
          <w:rStyle w:val="style88"/>
        </w:rPr>
        <w:t>Syzygium</w:t>
      </w:r>
      <w:r>
        <w:rPr>
          <w:rStyle w:val="style88"/>
        </w:rPr>
        <w:t xml:space="preserve"> </w:t>
      </w:r>
      <w:r>
        <w:rPr>
          <w:rStyle w:val="style88"/>
        </w:rPr>
        <w:t>aromaticum</w:t>
      </w:r>
      <w:r>
        <w:t xml:space="preserve"> (clove) extract on multidrug-resistant bacteria. </w:t>
      </w:r>
      <w:r>
        <w:rPr>
          <w:rStyle w:val="style88"/>
        </w:rPr>
        <w:t>Journal of Applied Microbiology</w:t>
      </w:r>
      <w:r>
        <w:t xml:space="preserve">, 130(3), 797–805. </w:t>
      </w:r>
      <w:r>
        <w:rPr/>
        <w:fldChar w:fldCharType="begin"/>
      </w:r>
      <w:r>
        <w:instrText xml:space="preserve"> HYPERLINK "https://doi.org/10.1111/jam.14883" </w:instrText>
      </w:r>
      <w:r>
        <w:rPr/>
        <w:fldChar w:fldCharType="separate"/>
      </w:r>
      <w:r>
        <w:rPr>
          <w:rStyle w:val="style85"/>
          <w:rFonts w:eastAsia="宋体"/>
        </w:rPr>
        <w:t>https://doi.org/10.1111/jam.14883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Aguilar-González, A. E., Palou, E., &amp; López-Malo, A. (2015). Antifungal activity of essential oils of clove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and/or mustard (</w:t>
      </w:r>
      <w:r>
        <w:rPr>
          <w:rFonts w:ascii="Times New Roman" w:cs="Times New Roman" w:eastAsia="Times New Roman" w:hAnsi="Times New Roman"/>
          <w:i/>
          <w:iCs/>
          <w:sz w:val="24"/>
          <w:szCs w:val="24"/>
        </w:rPr>
        <w:t xml:space="preserve">Brassica </w:t>
      </w:r>
      <w:r>
        <w:rPr>
          <w:rFonts w:ascii="Times New Roman" w:cs="Times New Roman" w:eastAsia="Times New Roman" w:hAnsi="Times New Roman"/>
          <w:i/>
          <w:iCs/>
          <w:sz w:val="24"/>
          <w:szCs w:val="24"/>
        </w:rPr>
        <w:t>nigra</w:t>
      </w:r>
      <w:r>
        <w:rPr>
          <w:rFonts w:ascii="Times New Roman" w:cs="Times New Roman" w:eastAsia="Times New Roman" w:hAnsi="Times New Roman"/>
          <w:sz w:val="24"/>
          <w:szCs w:val="24"/>
        </w:rPr>
        <w:t>) in vapor phase against gray mold (</w:t>
      </w:r>
      <w:r>
        <w:rPr>
          <w:rFonts w:ascii="Times New Roman" w:cs="Times New Roman" w:eastAsia="Times New Roman" w:hAnsi="Times New Roman"/>
          <w:i/>
          <w:iCs/>
          <w:sz w:val="24"/>
          <w:szCs w:val="24"/>
        </w:rPr>
        <w:t xml:space="preserve">Botrytis </w:t>
      </w:r>
      <w:r>
        <w:rPr>
          <w:rFonts w:ascii="Times New Roman" w:cs="Times New Roman" w:eastAsia="Times New Roman" w:hAnsi="Times New Roman"/>
          <w:i/>
          <w:iCs/>
          <w:sz w:val="24"/>
          <w:szCs w:val="24"/>
        </w:rPr>
        <w:t>cinerea</w:t>
      </w:r>
      <w:r>
        <w:rPr>
          <w:rFonts w:ascii="Times New Roman" w:cs="Times New Roman" w:eastAsia="Times New Roman" w:hAnsi="Times New Roman"/>
          <w:sz w:val="24"/>
          <w:szCs w:val="24"/>
        </w:rPr>
        <w:t xml:space="preserve">) in strawberries. </w:t>
      </w:r>
      <w:r>
        <w:rPr>
          <w:rFonts w:ascii="Times New Roman" w:cs="Times New Roman" w:eastAsia="Times New Roman" w:hAnsi="Times New Roman"/>
          <w:i/>
          <w:iCs/>
          <w:sz w:val="24"/>
          <w:szCs w:val="24"/>
        </w:rPr>
        <w:t>Innovative Food Science &amp; Emerging Technologies, 32,</w:t>
      </w:r>
      <w:r>
        <w:rPr>
          <w:rFonts w:ascii="Times New Roman" w:cs="Times New Roman" w:eastAsia="Times New Roman" w:hAnsi="Times New Roman"/>
          <w:sz w:val="24"/>
          <w:szCs w:val="24"/>
        </w:rPr>
        <w:t xml:space="preserve"> 181–185. </w:t>
      </w:r>
      <w:r>
        <w:rPr/>
        <w:fldChar w:fldCharType="begin"/>
      </w:r>
      <w:r>
        <w:instrText xml:space="preserve"> HYPERLINK "https://doi.org/10.1016/j.ifset.2015.09.003" </w:instrText>
      </w:r>
      <w:r>
        <w:rPr/>
        <w:fldChar w:fldCharType="separate"/>
      </w:r>
      <w:r>
        <w:rPr>
          <w:rFonts w:ascii="Times New Roman" w:cs="Times New Roman" w:eastAsia="Times New Roman" w:hAnsi="Times New Roman"/>
          <w:color w:val="0000ff"/>
          <w:sz w:val="24"/>
          <w:szCs w:val="24"/>
          <w:u w:val="single"/>
        </w:rPr>
        <w:t>https://doi.org/10.1016/j.ifset.2015.09.003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Ali, S. M., Khan, A. A., Ahmed, I., </w:t>
      </w:r>
      <w:r>
        <w:rPr>
          <w:rFonts w:ascii="Times New Roman" w:cs="Times New Roman" w:eastAsia="Times New Roman" w:hAnsi="Times New Roman"/>
          <w:sz w:val="24"/>
          <w:szCs w:val="24"/>
        </w:rPr>
        <w:t>Musaddiq</w:t>
      </w:r>
      <w:r>
        <w:rPr>
          <w:rFonts w:ascii="Times New Roman" w:cs="Times New Roman" w:eastAsia="Times New Roman" w:hAnsi="Times New Roman"/>
          <w:sz w:val="24"/>
          <w:szCs w:val="24"/>
        </w:rPr>
        <w:t xml:space="preserve">, M., Ahmed, K. S., </w:t>
      </w:r>
      <w:r>
        <w:rPr>
          <w:rFonts w:ascii="Times New Roman" w:cs="Times New Roman" w:eastAsia="Times New Roman" w:hAnsi="Times New Roman"/>
          <w:sz w:val="24"/>
          <w:szCs w:val="24"/>
        </w:rPr>
        <w:t>Polasa</w:t>
      </w:r>
      <w:r>
        <w:rPr>
          <w:rFonts w:ascii="Times New Roman" w:cs="Times New Roman" w:eastAsia="Times New Roman" w:hAnsi="Times New Roman"/>
          <w:sz w:val="24"/>
          <w:szCs w:val="24"/>
        </w:rPr>
        <w:t xml:space="preserve">, H.,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(2015). Antimicrobial activities of eugenol and cinnamaldehyde against the human gastric pathogen </w:t>
      </w:r>
      <w:r>
        <w:rPr>
          <w:rFonts w:ascii="Times New Roman" w:cs="Times New Roman" w:eastAsia="Times New Roman" w:hAnsi="Times New Roman"/>
          <w:i/>
          <w:iCs/>
          <w:sz w:val="24"/>
          <w:szCs w:val="24"/>
        </w:rPr>
        <w:t>Helicobacter pylori</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Annals of Clinical Microbiology and Antimicrobials, 4,</w:t>
      </w:r>
      <w:r>
        <w:rPr>
          <w:rFonts w:ascii="Times New Roman" w:cs="Times New Roman" w:eastAsia="Times New Roman" w:hAnsi="Times New Roman"/>
          <w:sz w:val="24"/>
          <w:szCs w:val="24"/>
        </w:rPr>
        <w:t xml:space="preserve"> 20.</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Alqahtani</w:t>
      </w:r>
      <w:r>
        <w:rPr>
          <w:rFonts w:ascii="Times New Roman" w:cs="Times New Roman" w:eastAsia="Times New Roman" w:hAnsi="Times New Roman"/>
          <w:sz w:val="24"/>
          <w:szCs w:val="24"/>
        </w:rPr>
        <w:t xml:space="preserve">, O., </w:t>
      </w:r>
      <w:r>
        <w:rPr>
          <w:rFonts w:ascii="Times New Roman" w:cs="Times New Roman" w:eastAsia="Times New Roman" w:hAnsi="Times New Roman"/>
          <w:sz w:val="24"/>
          <w:szCs w:val="24"/>
        </w:rPr>
        <w:t>Mirajkar</w:t>
      </w:r>
      <w:r>
        <w:rPr>
          <w:rFonts w:ascii="Times New Roman" w:cs="Times New Roman" w:eastAsia="Times New Roman" w:hAnsi="Times New Roman"/>
          <w:sz w:val="24"/>
          <w:szCs w:val="24"/>
        </w:rPr>
        <w:t xml:space="preserve">, K. K., Kumar, K. R. A., </w:t>
      </w:r>
      <w:r>
        <w:rPr>
          <w:rFonts w:ascii="Times New Roman" w:cs="Times New Roman" w:eastAsia="Times New Roman" w:hAnsi="Times New Roman"/>
          <w:sz w:val="24"/>
          <w:szCs w:val="24"/>
        </w:rPr>
        <w:t>Mahnashi</w:t>
      </w:r>
      <w:r>
        <w:rPr>
          <w:rFonts w:ascii="Times New Roman" w:cs="Times New Roman" w:eastAsia="Times New Roman" w:hAnsi="Times New Roman"/>
          <w:sz w:val="24"/>
          <w:szCs w:val="24"/>
        </w:rPr>
        <w:t xml:space="preserve">, M. H., Shaikh, I. A., </w:t>
      </w:r>
      <w:r>
        <w:rPr>
          <w:rFonts w:ascii="Times New Roman" w:cs="Times New Roman" w:eastAsia="Times New Roman" w:hAnsi="Times New Roman"/>
          <w:sz w:val="24"/>
          <w:szCs w:val="24"/>
        </w:rPr>
        <w:t>Mitra</w:t>
      </w:r>
      <w:r>
        <w:rPr>
          <w:rFonts w:ascii="Times New Roman" w:cs="Times New Roman" w:eastAsia="Times New Roman" w:hAnsi="Times New Roman"/>
          <w:sz w:val="24"/>
          <w:szCs w:val="24"/>
        </w:rPr>
        <w:t xml:space="preserve">, S.,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(2022). In vitro antibacterial activity of green synthesized silver nanoparticles using </w:t>
      </w:r>
      <w:r>
        <w:rPr>
          <w:rFonts w:ascii="Times New Roman" w:cs="Times New Roman" w:eastAsia="Times New Roman" w:hAnsi="Times New Roman"/>
          <w:i/>
          <w:iCs/>
          <w:sz w:val="24"/>
          <w:szCs w:val="24"/>
        </w:rPr>
        <w:t>Azadirachta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indica</w:t>
      </w:r>
      <w:r>
        <w:rPr>
          <w:rFonts w:ascii="Times New Roman" w:cs="Times New Roman" w:eastAsia="Times New Roman" w:hAnsi="Times New Roman"/>
          <w:sz w:val="24"/>
          <w:szCs w:val="24"/>
        </w:rPr>
        <w:t xml:space="preserve"> aqueous leaf extract against MDR pathogens. </w:t>
      </w:r>
      <w:r>
        <w:rPr>
          <w:rFonts w:ascii="Times New Roman" w:cs="Times New Roman" w:eastAsia="Times New Roman" w:hAnsi="Times New Roman"/>
          <w:i/>
          <w:iCs/>
          <w:sz w:val="24"/>
          <w:szCs w:val="24"/>
        </w:rPr>
        <w:t>Molecules, 27.</w:t>
      </w:r>
      <w:r>
        <w:rPr>
          <w:rFonts w:ascii="Times New Roman" w:cs="Times New Roman" w:eastAsia="Times New Roman" w:hAnsi="Times New Roman"/>
          <w:sz w:val="24"/>
          <w:szCs w:val="24"/>
        </w:rPr>
        <w:t xml:space="preserve"> </w:t>
      </w:r>
      <w:r>
        <w:rPr/>
        <w:fldChar w:fldCharType="begin"/>
      </w:r>
      <w:r>
        <w:instrText xml:space="preserve"> HYPERLINK "https://doi.org/10.3390/molecules27217244" </w:instrText>
      </w:r>
      <w:r>
        <w:rPr/>
        <w:fldChar w:fldCharType="separate"/>
      </w:r>
      <w:r>
        <w:rPr>
          <w:rFonts w:ascii="Times New Roman" w:cs="Times New Roman" w:eastAsia="Times New Roman" w:hAnsi="Times New Roman"/>
          <w:color w:val="0000ff"/>
          <w:sz w:val="24"/>
          <w:szCs w:val="24"/>
          <w:u w:val="single"/>
        </w:rPr>
        <w:t>https://doi.org/10.3390/molecules27217244</w:t>
      </w:r>
      <w:r>
        <w:rPr/>
        <w:fldChar w:fldCharType="end"/>
      </w:r>
    </w:p>
    <w:p>
      <w:pPr>
        <w:pStyle w:val="style0"/>
        <w:spacing w:before="100" w:beforeAutospacing="true" w:after="100" w:afterAutospacing="true" w:lineRule="auto" w:line="240"/>
        <w:ind w:left="720" w:hanging="720"/>
        <w:rPr>
          <w:rFonts w:ascii="Times New Roman" w:cs="Times New Roman" w:eastAsia="Times New Roman" w:hAnsi="Times New Roman"/>
          <w:sz w:val="24"/>
          <w:szCs w:val="24"/>
        </w:rPr>
      </w:pPr>
      <w:r>
        <w:rPr>
          <w:rFonts w:ascii="Times New Roman" w:cs="Times New Roman" w:eastAsia="Times New Roman" w:hAnsi="Times New Roman"/>
          <w:sz w:val="24"/>
          <w:szCs w:val="24"/>
        </w:rPr>
        <w:t>American Diabetes Association.</w:t>
      </w:r>
      <w:r>
        <w:rPr>
          <w:rFonts w:ascii="Times New Roman" w:cs="Times New Roman" w:eastAsia="Times New Roman" w:hAnsi="Times New Roman"/>
          <w:sz w:val="24"/>
          <w:szCs w:val="24"/>
        </w:rPr>
        <w:t xml:space="preserve"> (2014). </w:t>
      </w:r>
      <w:r>
        <w:rPr>
          <w:rFonts w:ascii="Times New Roman" w:cs="Times New Roman" w:eastAsia="Times New Roman" w:hAnsi="Times New Roman"/>
          <w:i/>
          <w:iCs/>
          <w:sz w:val="24"/>
          <w:szCs w:val="24"/>
        </w:rPr>
        <w:t>Type 1 diabetes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Retrieved December 1</w:t>
      </w:r>
      <w:r>
        <w:rPr>
          <w:rFonts w:ascii="Times New Roman" w:cs="Times New Roman" w:eastAsia="Times New Roman" w:hAnsi="Times New Roman"/>
          <w:sz w:val="24"/>
          <w:szCs w:val="24"/>
        </w:rPr>
        <w:t>5</w:t>
      </w:r>
      <w:r>
        <w:rPr>
          <w:rFonts w:ascii="Times New Roman" w:cs="Times New Roman" w:eastAsia="Times New Roman" w:hAnsi="Times New Roman"/>
          <w:sz w:val="24"/>
          <w:szCs w:val="24"/>
        </w:rPr>
        <w:t xml:space="preserve">, 2024, from </w:t>
      </w:r>
      <w:r>
        <w:rPr>
          <w:rFonts w:ascii="Times New Roman" w:cs="Times New Roman" w:eastAsia="Times New Roman" w:hAnsi="Times New Roman"/>
          <w:sz w:val="24"/>
          <w:szCs w:val="24"/>
        </w:rPr>
        <w:t>http://www.diabetes.org/diabetes-basics/type-1</w:t>
      </w:r>
      <w:r>
        <w:rPr>
          <w:rFonts w:ascii="Times New Roman" w:cs="Times New Roman" w:eastAsia="Times New Roman" w:hAnsi="Times New Roman"/>
          <w:sz w:val="24"/>
          <w:szCs w:val="24"/>
        </w:rPr>
        <w:t xml:space="preserve"> </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Arora, D. S., &amp; Kaur, J. (2019). Antimicrobial activity of spices. </w:t>
      </w:r>
      <w:r>
        <w:rPr>
          <w:rFonts w:ascii="Times New Roman" w:cs="Times New Roman" w:eastAsia="Times New Roman" w:hAnsi="Times New Roman"/>
          <w:i/>
          <w:iCs/>
          <w:sz w:val="24"/>
          <w:szCs w:val="24"/>
        </w:rPr>
        <w:t>International Journal of Antimicrobial Agents, 12,</w:t>
      </w:r>
      <w:r>
        <w:rPr>
          <w:rFonts w:ascii="Times New Roman" w:cs="Times New Roman" w:eastAsia="Times New Roman" w:hAnsi="Times New Roman"/>
          <w:sz w:val="24"/>
          <w:szCs w:val="24"/>
        </w:rPr>
        <w:t xml:space="preserve"> 257–262. </w:t>
      </w:r>
      <w:r>
        <w:rPr/>
        <w:fldChar w:fldCharType="begin"/>
      </w:r>
      <w:r>
        <w:instrText xml:space="preserve"> HYPERLINK "https://doi.org/10.1016/s0924-8579(99)00074-6" </w:instrText>
      </w:r>
      <w:r>
        <w:rPr/>
        <w:fldChar w:fldCharType="separate"/>
      </w:r>
      <w:r>
        <w:rPr>
          <w:rFonts w:ascii="Times New Roman" w:cs="Times New Roman" w:eastAsia="Times New Roman" w:hAnsi="Times New Roman"/>
          <w:color w:val="0000ff"/>
          <w:sz w:val="24"/>
          <w:szCs w:val="24"/>
          <w:u w:val="single"/>
        </w:rPr>
        <w:t>https://doi.org/10.1016/s0924-8579(99)00074-6</w:t>
      </w:r>
      <w:r>
        <w:rPr/>
        <w:fldChar w:fldCharType="end"/>
      </w:r>
    </w:p>
    <w:p>
      <w:pPr>
        <w:pStyle w:val="style94"/>
        <w:ind w:left="720" w:hanging="720"/>
        <w:jc w:val="both"/>
        <w:rPr/>
      </w:pPr>
      <w:r>
        <w:t xml:space="preserve">Aslam, B., Khurshid, M., Arshad, M. I., </w:t>
      </w:r>
      <w:r>
        <w:t>Muzammil</w:t>
      </w:r>
      <w:r>
        <w:t xml:space="preserve">, S., Rasool, M. H., Yasmeen, N., &amp; Baloch, Z. (2022). Antibiotic resistance: A rundown of a global crisis. </w:t>
      </w:r>
      <w:r>
        <w:rPr>
          <w:rStyle w:val="style88"/>
        </w:rPr>
        <w:t>Infection and Drug Resistance</w:t>
      </w:r>
      <w:r>
        <w:t xml:space="preserve">, 15, 1825–1844. </w:t>
      </w:r>
      <w:r>
        <w:rPr/>
        <w:fldChar w:fldCharType="begin"/>
      </w:r>
      <w:r>
        <w:instrText xml:space="preserve"> HYPERLINK "https://doi.org/10.2147/IDR.S346547" </w:instrText>
      </w:r>
      <w:r>
        <w:rPr/>
        <w:fldChar w:fldCharType="separate"/>
      </w:r>
      <w:r>
        <w:rPr>
          <w:rStyle w:val="style85"/>
          <w:rFonts w:eastAsia="宋体"/>
        </w:rPr>
        <w:t>https://doi.org/10.2147/IDR.S346547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Assadpour</w:t>
      </w:r>
      <w:r>
        <w:rPr>
          <w:rFonts w:ascii="Times New Roman" w:cs="Times New Roman" w:eastAsia="Times New Roman" w:hAnsi="Times New Roman"/>
          <w:sz w:val="24"/>
          <w:szCs w:val="24"/>
        </w:rPr>
        <w:t xml:space="preserve">, E., &amp; Mahdi Jafari, S. (2019). A systematic review on nanoencapsulation of food bioactive ingredients and nutraceuticals by various nanocarriers. </w:t>
      </w:r>
      <w:r>
        <w:rPr>
          <w:rFonts w:ascii="Times New Roman" w:cs="Times New Roman" w:eastAsia="Times New Roman" w:hAnsi="Times New Roman"/>
          <w:i/>
          <w:iCs/>
          <w:sz w:val="24"/>
          <w:szCs w:val="24"/>
        </w:rPr>
        <w:t>Critical Reviews in Food Science and Nutrition, 59,</w:t>
      </w:r>
      <w:r>
        <w:rPr>
          <w:rFonts w:ascii="Times New Roman" w:cs="Times New Roman" w:eastAsia="Times New Roman" w:hAnsi="Times New Roman"/>
          <w:sz w:val="24"/>
          <w:szCs w:val="24"/>
        </w:rPr>
        <w:t xml:space="preserve"> 3129–3151. </w:t>
      </w:r>
      <w:r>
        <w:rPr/>
        <w:fldChar w:fldCharType="begin"/>
      </w:r>
      <w:r>
        <w:instrText xml:space="preserve"> HYPERLINK "https://doi.org/10.1080/10408398.2018.1484687" </w:instrText>
      </w:r>
      <w:r>
        <w:rPr/>
        <w:fldChar w:fldCharType="separate"/>
      </w:r>
      <w:r>
        <w:rPr>
          <w:rFonts w:ascii="Times New Roman" w:cs="Times New Roman" w:eastAsia="Times New Roman" w:hAnsi="Times New Roman"/>
          <w:color w:val="0000ff"/>
          <w:sz w:val="24"/>
          <w:szCs w:val="24"/>
          <w:u w:val="single"/>
        </w:rPr>
        <w:t>https://doi.org/10.1080/10408398.2018.1484687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Atkinson, M. A., &amp; </w:t>
      </w:r>
      <w:r>
        <w:rPr>
          <w:rFonts w:ascii="Times New Roman" w:cs="Times New Roman" w:eastAsia="Times New Roman" w:hAnsi="Times New Roman"/>
          <w:sz w:val="24"/>
          <w:szCs w:val="24"/>
        </w:rPr>
        <w:t>Eisenbarth</w:t>
      </w:r>
      <w:r>
        <w:rPr>
          <w:rFonts w:ascii="Times New Roman" w:cs="Times New Roman" w:eastAsia="Times New Roman" w:hAnsi="Times New Roman"/>
          <w:sz w:val="24"/>
          <w:szCs w:val="24"/>
        </w:rPr>
        <w:t xml:space="preserve">, G. S. (2011). Type 1 diabetes: New perspectives on disease pathogenesis and treatment. </w:t>
      </w:r>
      <w:r>
        <w:rPr>
          <w:rFonts w:ascii="Times New Roman" w:cs="Times New Roman" w:eastAsia="Times New Roman" w:hAnsi="Times New Roman"/>
          <w:i/>
          <w:iCs/>
          <w:sz w:val="24"/>
          <w:szCs w:val="24"/>
        </w:rPr>
        <w:t>The Lancet, 358,</w:t>
      </w:r>
      <w:r>
        <w:rPr>
          <w:rFonts w:ascii="Times New Roman" w:cs="Times New Roman" w:eastAsia="Times New Roman" w:hAnsi="Times New Roman"/>
          <w:sz w:val="24"/>
          <w:szCs w:val="24"/>
        </w:rPr>
        <w:t xml:space="preserve"> 221–229.</w:t>
      </w:r>
    </w:p>
    <w:p>
      <w:pPr>
        <w:pStyle w:val="style94"/>
        <w:ind w:left="720" w:hanging="720"/>
        <w:jc w:val="both"/>
        <w:rPr/>
      </w:pPr>
      <w:r>
        <w:t xml:space="preserve">Aziz, M. M., Omar, A. R., &amp; Al-Ani, I. (2023). Phytochemical and antibacterial properties of </w:t>
      </w:r>
      <w:r>
        <w:rPr>
          <w:rStyle w:val="style88"/>
        </w:rPr>
        <w:t>Syzygium</w:t>
      </w:r>
      <w:r>
        <w:rPr>
          <w:rStyle w:val="style88"/>
        </w:rPr>
        <w:t xml:space="preserve"> </w:t>
      </w:r>
      <w:r>
        <w:rPr>
          <w:rStyle w:val="style88"/>
        </w:rPr>
        <w:t>aromaticum</w:t>
      </w:r>
      <w:r>
        <w:t xml:space="preserve"> against clinical bacterial isolates. </w:t>
      </w:r>
      <w:r>
        <w:rPr>
          <w:rStyle w:val="style88"/>
        </w:rPr>
        <w:t>Evidence-Based Complementary and Alternative Medicine</w:t>
      </w:r>
      <w:r>
        <w:t xml:space="preserve">, 2023, 1–8. </w:t>
      </w:r>
      <w:r>
        <w:rPr/>
        <w:fldChar w:fldCharType="begin"/>
      </w:r>
      <w:r>
        <w:instrText xml:space="preserve"> HYPERLINK "https://doi.org/10.1155/2023/5586473" </w:instrText>
      </w:r>
      <w:r>
        <w:rPr/>
        <w:fldChar w:fldCharType="separate"/>
      </w:r>
      <w:r>
        <w:rPr>
          <w:rStyle w:val="style85"/>
          <w:rFonts w:eastAsia="宋体"/>
        </w:rPr>
        <w:t>https://doi.org/10.1155/2023/5586473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Bajpai, V. K., </w:t>
      </w:r>
      <w:r>
        <w:rPr>
          <w:rFonts w:ascii="Times New Roman" w:cs="Times New Roman" w:eastAsia="Times New Roman" w:hAnsi="Times New Roman"/>
          <w:sz w:val="24"/>
          <w:szCs w:val="24"/>
        </w:rPr>
        <w:t>Baek</w:t>
      </w:r>
      <w:r>
        <w:rPr>
          <w:rFonts w:ascii="Times New Roman" w:cs="Times New Roman" w:eastAsia="Times New Roman" w:hAnsi="Times New Roman"/>
          <w:sz w:val="24"/>
          <w:szCs w:val="24"/>
        </w:rPr>
        <w:t xml:space="preserve">, K. H., &amp; Kang, S. C. (2012). Control of </w:t>
      </w:r>
      <w:r>
        <w:rPr>
          <w:rFonts w:ascii="Times New Roman" w:cs="Times New Roman" w:eastAsia="Times New Roman" w:hAnsi="Times New Roman"/>
          <w:i/>
          <w:iCs/>
          <w:sz w:val="24"/>
          <w:szCs w:val="24"/>
        </w:rPr>
        <w:t>Salmonella</w:t>
      </w:r>
      <w:r>
        <w:rPr>
          <w:rFonts w:ascii="Times New Roman" w:cs="Times New Roman" w:eastAsia="Times New Roman" w:hAnsi="Times New Roman"/>
          <w:sz w:val="24"/>
          <w:szCs w:val="24"/>
        </w:rPr>
        <w:t xml:space="preserve"> in foods by using essential oils: A review. </w:t>
      </w:r>
      <w:r>
        <w:rPr>
          <w:rFonts w:ascii="Times New Roman" w:cs="Times New Roman" w:eastAsia="Times New Roman" w:hAnsi="Times New Roman"/>
          <w:i/>
          <w:iCs/>
          <w:sz w:val="24"/>
          <w:szCs w:val="24"/>
        </w:rPr>
        <w:t>Food Research International, 45,</w:t>
      </w:r>
      <w:r>
        <w:rPr>
          <w:rFonts w:ascii="Times New Roman" w:cs="Times New Roman" w:eastAsia="Times New Roman" w:hAnsi="Times New Roman"/>
          <w:sz w:val="24"/>
          <w:szCs w:val="24"/>
        </w:rPr>
        <w:t xml:space="preserve"> 722–734. </w:t>
      </w:r>
      <w:r>
        <w:rPr/>
        <w:fldChar w:fldCharType="begin"/>
      </w:r>
      <w:r>
        <w:instrText xml:space="preserve"> HYPERLINK "https://doi.org/10.1016/j.foodres.2011.04.052" </w:instrText>
      </w:r>
      <w:r>
        <w:rPr/>
        <w:fldChar w:fldCharType="separate"/>
      </w:r>
      <w:r>
        <w:rPr>
          <w:rFonts w:ascii="Times New Roman" w:cs="Times New Roman" w:eastAsia="Times New Roman" w:hAnsi="Times New Roman"/>
          <w:color w:val="0000ff"/>
          <w:sz w:val="24"/>
          <w:szCs w:val="24"/>
          <w:u w:val="single"/>
        </w:rPr>
        <w:t>https://doi.org/10.1016/j.foodres.2011.04.052</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Bamdad</w:t>
      </w:r>
      <w:r>
        <w:rPr>
          <w:rFonts w:ascii="Times New Roman" w:cs="Times New Roman" w:eastAsia="Times New Roman" w:hAnsi="Times New Roman"/>
          <w:sz w:val="24"/>
          <w:szCs w:val="24"/>
        </w:rPr>
        <w:t xml:space="preserve">, F., </w:t>
      </w:r>
      <w:r>
        <w:rPr>
          <w:rFonts w:ascii="Times New Roman" w:cs="Times New Roman" w:eastAsia="Times New Roman" w:hAnsi="Times New Roman"/>
          <w:sz w:val="24"/>
          <w:szCs w:val="24"/>
        </w:rPr>
        <w:t>Kadivar</w:t>
      </w:r>
      <w:r>
        <w:rPr>
          <w:rFonts w:ascii="Times New Roman" w:cs="Times New Roman" w:eastAsia="Times New Roman" w:hAnsi="Times New Roman"/>
          <w:sz w:val="24"/>
          <w:szCs w:val="24"/>
        </w:rPr>
        <w:t xml:space="preserve">, M., &amp; </w:t>
      </w:r>
      <w:r>
        <w:rPr>
          <w:rFonts w:ascii="Times New Roman" w:cs="Times New Roman" w:eastAsia="Times New Roman" w:hAnsi="Times New Roman"/>
          <w:sz w:val="24"/>
          <w:szCs w:val="24"/>
        </w:rPr>
        <w:t>Keramat</w:t>
      </w:r>
      <w:r>
        <w:rPr>
          <w:rFonts w:ascii="Times New Roman" w:cs="Times New Roman" w:eastAsia="Times New Roman" w:hAnsi="Times New Roman"/>
          <w:sz w:val="24"/>
          <w:szCs w:val="24"/>
        </w:rPr>
        <w:t xml:space="preserve">, J. (2016). Evaluation of phenolic content and antioxidant activity of Iranian caraway in comparison with clove and BHT using model systems and vegetable oil. </w:t>
      </w:r>
      <w:r>
        <w:rPr>
          <w:rFonts w:ascii="Times New Roman" w:cs="Times New Roman" w:eastAsia="Times New Roman" w:hAnsi="Times New Roman"/>
          <w:i/>
          <w:iCs/>
          <w:sz w:val="24"/>
          <w:szCs w:val="24"/>
        </w:rPr>
        <w:t>International Journal of Food Science and Technology, 41</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Suppl</w:t>
      </w:r>
      <w:r>
        <w:rPr>
          <w:rFonts w:ascii="Times New Roman" w:cs="Times New Roman" w:eastAsia="Times New Roman" w:hAnsi="Times New Roman"/>
          <w:sz w:val="24"/>
          <w:szCs w:val="24"/>
        </w:rPr>
        <w:t xml:space="preserve"> 1), S20–S27.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Burt, S. A., &amp; Reinders, R. D. (2013). Antibacterial activity of selected plant essential oils against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O157:H7. </w:t>
      </w:r>
      <w:r>
        <w:rPr>
          <w:rFonts w:ascii="Times New Roman" w:cs="Times New Roman" w:eastAsia="Times New Roman" w:hAnsi="Times New Roman"/>
          <w:i/>
          <w:iCs/>
          <w:sz w:val="24"/>
          <w:szCs w:val="24"/>
        </w:rPr>
        <w:t>Letters in Applied Microbiology, 36</w:t>
      </w:r>
      <w:r>
        <w:rPr>
          <w:rFonts w:ascii="Times New Roman" w:cs="Times New Roman" w:eastAsia="Times New Roman" w:hAnsi="Times New Roman"/>
          <w:sz w:val="24"/>
          <w:szCs w:val="24"/>
        </w:rPr>
        <w:t>(3), 162–167.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CABI Crop Protection Compendium. (2018).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i/>
          <w:iCs/>
          <w:sz w:val="24"/>
          <w:szCs w:val="24"/>
        </w:rPr>
        <w:t xml:space="preserve"> datasheet.</w:t>
      </w:r>
      <w:r>
        <w:rPr>
          <w:rFonts w:ascii="Times New Roman" w:cs="Times New Roman" w:eastAsia="Times New Roman" w:hAnsi="Times New Roman"/>
          <w:sz w:val="24"/>
          <w:szCs w:val="24"/>
        </w:rPr>
        <w:t xml:space="preserve"> Retrieved December 1</w:t>
      </w:r>
      <w:r>
        <w:rPr>
          <w:rFonts w:ascii="Times New Roman" w:cs="Times New Roman" w:eastAsia="Times New Roman" w:hAnsi="Times New Roman"/>
          <w:sz w:val="24"/>
          <w:szCs w:val="24"/>
        </w:rPr>
        <w:t>5</w:t>
      </w:r>
      <w:r>
        <w:rPr>
          <w:rFonts w:ascii="Times New Roman" w:cs="Times New Roman" w:eastAsia="Times New Roman" w:hAnsi="Times New Roman"/>
          <w:sz w:val="24"/>
          <w:szCs w:val="24"/>
        </w:rPr>
        <w:t xml:space="preserve">, 2024, from </w:t>
      </w:r>
      <w:r>
        <w:rPr/>
        <w:fldChar w:fldCharType="begin"/>
      </w:r>
      <w:r>
        <w:instrText xml:space="preserve"> HYPERLINK "http://www.cabi.org/pc/datasheet/52412" </w:instrText>
      </w:r>
      <w:r>
        <w:rPr/>
        <w:fldChar w:fldCharType="separate"/>
      </w:r>
      <w:r>
        <w:rPr>
          <w:rFonts w:ascii="Times New Roman" w:cs="Times New Roman" w:eastAsia="Times New Roman" w:hAnsi="Times New Roman"/>
          <w:color w:val="0000ff"/>
          <w:sz w:val="24"/>
          <w:szCs w:val="24"/>
          <w:u w:val="single"/>
        </w:rPr>
        <w:t>http://www.cabi.org/pc/datasheet/52412</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Chami</w:t>
      </w:r>
      <w:r>
        <w:rPr>
          <w:rFonts w:ascii="Times New Roman" w:cs="Times New Roman" w:eastAsia="Times New Roman" w:hAnsi="Times New Roman"/>
          <w:sz w:val="24"/>
          <w:szCs w:val="24"/>
        </w:rPr>
        <w:t xml:space="preserve">, F., </w:t>
      </w:r>
      <w:r>
        <w:rPr>
          <w:rFonts w:ascii="Times New Roman" w:cs="Times New Roman" w:eastAsia="Times New Roman" w:hAnsi="Times New Roman"/>
          <w:sz w:val="24"/>
          <w:szCs w:val="24"/>
        </w:rPr>
        <w:t>Chami</w:t>
      </w:r>
      <w:r>
        <w:rPr>
          <w:rFonts w:ascii="Times New Roman" w:cs="Times New Roman" w:eastAsia="Times New Roman" w:hAnsi="Times New Roman"/>
          <w:sz w:val="24"/>
          <w:szCs w:val="24"/>
        </w:rPr>
        <w:t xml:space="preserve">, N., Bennis, S., </w:t>
      </w:r>
      <w:r>
        <w:rPr>
          <w:rFonts w:ascii="Times New Roman" w:cs="Times New Roman" w:eastAsia="Times New Roman" w:hAnsi="Times New Roman"/>
          <w:sz w:val="24"/>
          <w:szCs w:val="24"/>
        </w:rPr>
        <w:t>Trouillas</w:t>
      </w:r>
      <w:r>
        <w:rPr>
          <w:rFonts w:ascii="Times New Roman" w:cs="Times New Roman" w:eastAsia="Times New Roman" w:hAnsi="Times New Roman"/>
          <w:sz w:val="24"/>
          <w:szCs w:val="24"/>
        </w:rPr>
        <w:t xml:space="preserve">, J., &amp; </w:t>
      </w:r>
      <w:r>
        <w:rPr>
          <w:rFonts w:ascii="Times New Roman" w:cs="Times New Roman" w:eastAsia="Times New Roman" w:hAnsi="Times New Roman"/>
          <w:sz w:val="24"/>
          <w:szCs w:val="24"/>
        </w:rPr>
        <w:t>Remmal</w:t>
      </w:r>
      <w:r>
        <w:rPr>
          <w:rFonts w:ascii="Times New Roman" w:cs="Times New Roman" w:eastAsia="Times New Roman" w:hAnsi="Times New Roman"/>
          <w:sz w:val="24"/>
          <w:szCs w:val="24"/>
        </w:rPr>
        <w:t xml:space="preserve">, A. (2014). Evaluation of carvacrol and eugenol as prophylaxis and treatment of vaginal candidiasis in an immunosuppressed rat model. </w:t>
      </w:r>
      <w:r>
        <w:rPr>
          <w:rFonts w:ascii="Times New Roman" w:cs="Times New Roman" w:eastAsia="Times New Roman" w:hAnsi="Times New Roman"/>
          <w:i/>
          <w:iCs/>
          <w:sz w:val="24"/>
          <w:szCs w:val="24"/>
        </w:rPr>
        <w:t>Journal of Antimicrobial Chemotherapy, 54</w:t>
      </w:r>
      <w:r>
        <w:rPr>
          <w:rFonts w:ascii="Times New Roman" w:cs="Times New Roman" w:eastAsia="Times New Roman" w:hAnsi="Times New Roman"/>
          <w:sz w:val="24"/>
          <w:szCs w:val="24"/>
        </w:rPr>
        <w:t>(5), 909–914.</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Chang, C.-S., Tsai, P.-J., Sung, J.-M., Chen, J.-Y., Ho, L.-C., Pandya, K.,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Diuretics prevent thiazolidinedione-induced cardiac hypertrophy without compromising insulin-sensitizing effects in mice. </w:t>
      </w:r>
      <w:r>
        <w:rPr>
          <w:rFonts w:ascii="Times New Roman" w:cs="Times New Roman" w:eastAsia="Times New Roman" w:hAnsi="Times New Roman"/>
          <w:i/>
          <w:iCs/>
          <w:sz w:val="24"/>
          <w:szCs w:val="24"/>
        </w:rPr>
        <w:t>The American Journal of Pathology, 184</w:t>
      </w:r>
      <w:r>
        <w:rPr>
          <w:rFonts w:ascii="Times New Roman" w:cs="Times New Roman" w:eastAsia="Times New Roman" w:hAnsi="Times New Roman"/>
          <w:sz w:val="24"/>
          <w:szCs w:val="24"/>
        </w:rPr>
        <w:t xml:space="preserve">(2), 442–453. </w:t>
      </w:r>
      <w:r>
        <w:rPr/>
        <w:fldChar w:fldCharType="begin"/>
      </w:r>
      <w:r>
        <w:instrText xml:space="preserve"> HYPERLINK "https://doi.org/10.1016/j.ajpath.2013.10.020" </w:instrText>
      </w:r>
      <w:r>
        <w:rPr/>
        <w:fldChar w:fldCharType="separate"/>
      </w:r>
      <w:r>
        <w:rPr>
          <w:rFonts w:ascii="Times New Roman" w:cs="Times New Roman" w:eastAsia="Times New Roman" w:hAnsi="Times New Roman"/>
          <w:color w:val="0000ff"/>
          <w:sz w:val="24"/>
          <w:szCs w:val="24"/>
          <w:u w:val="single"/>
        </w:rPr>
        <w:t>https://doi.org/10.1016/j.ajpath.2013.10.020</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Chen, X., Ren, L., Li, M., Qian, J., Fan, J., &amp; Du, B. (2017). Effects of clove essential oil and eugenol on quality and browning control of fresh-cut lettuce. </w:t>
      </w:r>
      <w:r>
        <w:rPr>
          <w:rFonts w:ascii="Times New Roman" w:cs="Times New Roman" w:eastAsia="Times New Roman" w:hAnsi="Times New Roman"/>
          <w:i/>
          <w:iCs/>
          <w:sz w:val="24"/>
          <w:szCs w:val="24"/>
        </w:rPr>
        <w:t>Food Chemistry, 214,</w:t>
      </w:r>
      <w:r>
        <w:rPr>
          <w:rFonts w:ascii="Times New Roman" w:cs="Times New Roman" w:eastAsia="Times New Roman" w:hAnsi="Times New Roman"/>
          <w:sz w:val="24"/>
          <w:szCs w:val="24"/>
        </w:rPr>
        <w:t xml:space="preserve"> 432–439. </w:t>
      </w:r>
      <w:r>
        <w:rPr/>
        <w:fldChar w:fldCharType="begin"/>
      </w:r>
      <w:r>
        <w:instrText xml:space="preserve"> HYPERLINK "https://doi.org/10.1016/j.foodchem.2016.07.101" </w:instrText>
      </w:r>
      <w:r>
        <w:rPr/>
        <w:fldChar w:fldCharType="separate"/>
      </w:r>
      <w:r>
        <w:rPr>
          <w:rFonts w:ascii="Times New Roman" w:cs="Times New Roman" w:eastAsia="Times New Roman" w:hAnsi="Times New Roman"/>
          <w:color w:val="0000ff"/>
          <w:sz w:val="24"/>
          <w:szCs w:val="24"/>
          <w:u w:val="single"/>
        </w:rPr>
        <w:t>https://doi.org/10.1016/j.foodchem.2016.07.101</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Cimino, C., </w:t>
      </w:r>
      <w:r>
        <w:rPr>
          <w:rFonts w:ascii="Times New Roman" w:cs="Times New Roman" w:eastAsia="Times New Roman" w:hAnsi="Times New Roman"/>
          <w:sz w:val="24"/>
          <w:szCs w:val="24"/>
        </w:rPr>
        <w:t>Maurel</w:t>
      </w:r>
      <w:r>
        <w:rPr>
          <w:rFonts w:ascii="Times New Roman" w:cs="Times New Roman" w:eastAsia="Times New Roman" w:hAnsi="Times New Roman"/>
          <w:sz w:val="24"/>
          <w:szCs w:val="24"/>
        </w:rPr>
        <w:t xml:space="preserve">, O. M., </w:t>
      </w:r>
      <w:r>
        <w:rPr>
          <w:rFonts w:ascii="Times New Roman" w:cs="Times New Roman" w:eastAsia="Times New Roman" w:hAnsi="Times New Roman"/>
          <w:sz w:val="24"/>
          <w:szCs w:val="24"/>
        </w:rPr>
        <w:t>Musumeci</w:t>
      </w:r>
      <w:r>
        <w:rPr>
          <w:rFonts w:ascii="Times New Roman" w:cs="Times New Roman" w:eastAsia="Times New Roman" w:hAnsi="Times New Roman"/>
          <w:sz w:val="24"/>
          <w:szCs w:val="24"/>
        </w:rPr>
        <w:t xml:space="preserve">, T., Bonaccorso, A., Drago, F., </w:t>
      </w:r>
      <w:r>
        <w:rPr>
          <w:rFonts w:ascii="Times New Roman" w:cs="Times New Roman" w:eastAsia="Times New Roman" w:hAnsi="Times New Roman"/>
          <w:sz w:val="24"/>
          <w:szCs w:val="24"/>
        </w:rPr>
        <w:t>Souto</w:t>
      </w:r>
      <w:r>
        <w:rPr>
          <w:rFonts w:ascii="Times New Roman" w:cs="Times New Roman" w:eastAsia="Times New Roman" w:hAnsi="Times New Roman"/>
          <w:sz w:val="24"/>
          <w:szCs w:val="24"/>
        </w:rPr>
        <w:t xml:space="preserve">, E. M. B.,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Essential oils: Pharmaceutical applications and encapsulation strategies into lipid-based delivery systems. </w:t>
      </w:r>
      <w:r>
        <w:rPr>
          <w:rFonts w:ascii="Times New Roman" w:cs="Times New Roman" w:eastAsia="Times New Roman" w:hAnsi="Times New Roman"/>
          <w:i/>
          <w:iCs/>
          <w:sz w:val="24"/>
          <w:szCs w:val="24"/>
        </w:rPr>
        <w:t>Pharmaceutics, 13,</w:t>
      </w:r>
      <w:r>
        <w:rPr>
          <w:rFonts w:ascii="Times New Roman" w:cs="Times New Roman" w:eastAsia="Times New Roman" w:hAnsi="Times New Roman"/>
          <w:sz w:val="24"/>
          <w:szCs w:val="24"/>
        </w:rPr>
        <w:t xml:space="preserve"> 327. </w:t>
      </w:r>
      <w:r>
        <w:rPr/>
        <w:fldChar w:fldCharType="begin"/>
      </w:r>
      <w:r>
        <w:instrText xml:space="preserve"> HYPERLINK "https://doi.org/10.1111/j.1541-4337.2011.00169.x" </w:instrText>
      </w:r>
      <w:r>
        <w:rPr/>
        <w:fldChar w:fldCharType="separate"/>
      </w:r>
      <w:r>
        <w:rPr>
          <w:rFonts w:ascii="Times New Roman" w:cs="Times New Roman" w:eastAsia="Times New Roman" w:hAnsi="Times New Roman"/>
          <w:color w:val="0000ff"/>
          <w:sz w:val="24"/>
          <w:szCs w:val="24"/>
          <w:u w:val="single"/>
        </w:rPr>
        <w:t>https://doi.org/10.1111/j.1541-4337.2011.00169.x</w:t>
      </w:r>
      <w:r>
        <w:rPr/>
        <w:fldChar w:fldCharType="end"/>
      </w:r>
    </w:p>
    <w:p>
      <w:pPr>
        <w:pStyle w:val="style0"/>
        <w:spacing w:lineRule="auto" w:line="240"/>
        <w:ind w:left="720" w:hanging="720"/>
        <w:jc w:val="both"/>
        <w:rPr>
          <w:rFonts w:ascii="宋体" w:cs="宋体" w:hAnsi="宋体"/>
          <w:sz w:val="24"/>
          <w:szCs w:val="24"/>
        </w:rPr>
      </w:pPr>
      <w:r>
        <w:rPr>
          <w:rFonts w:ascii="宋体" w:cs="宋体" w:hAnsi="宋体"/>
          <w:sz w:val="24"/>
          <w:szCs w:val="24"/>
        </w:rPr>
        <w:t xml:space="preserve">CLSI. </w:t>
      </w:r>
      <w:r>
        <w:rPr>
          <w:rFonts w:ascii="宋体" w:cs="宋体" w:hAnsi="宋体"/>
          <w:sz w:val="24"/>
          <w:szCs w:val="24"/>
        </w:rPr>
        <w:t>(</w:t>
      </w:r>
      <w:r>
        <w:rPr>
          <w:rFonts w:ascii="宋体" w:cs="宋体" w:hAnsi="宋体"/>
          <w:sz w:val="24"/>
          <w:szCs w:val="24"/>
        </w:rPr>
        <w:t>2018</w:t>
      </w:r>
      <w:r>
        <w:rPr>
          <w:rFonts w:ascii="宋体" w:cs="宋体" w:hAnsi="宋体"/>
          <w:sz w:val="24"/>
          <w:szCs w:val="24"/>
        </w:rPr>
        <w:t>)</w:t>
      </w:r>
      <w:r>
        <w:rPr>
          <w:rFonts w:ascii="宋体" w:cs="宋体" w:hAnsi="宋体"/>
          <w:sz w:val="24"/>
          <w:szCs w:val="24"/>
        </w:rPr>
        <w:t xml:space="preserve">. Performance Standard for Antimicrobial Disk Susceptibility Test MO12-A12, Clinical and Laboratory Standard Institute, Wayne, PA. </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Cooke, D. W., &amp; </w:t>
      </w:r>
      <w:r>
        <w:rPr>
          <w:rFonts w:ascii="Times New Roman" w:cs="Times New Roman" w:eastAsia="Times New Roman" w:hAnsi="Times New Roman"/>
          <w:sz w:val="24"/>
          <w:szCs w:val="24"/>
        </w:rPr>
        <w:t>Plotnick</w:t>
      </w:r>
      <w:r>
        <w:rPr>
          <w:rFonts w:ascii="Times New Roman" w:cs="Times New Roman" w:eastAsia="Times New Roman" w:hAnsi="Times New Roman"/>
          <w:sz w:val="24"/>
          <w:szCs w:val="24"/>
        </w:rPr>
        <w:t xml:space="preserve">, L. (2018). Type 1 diabetes mellitus in pediatrics. </w:t>
      </w:r>
      <w:r>
        <w:rPr>
          <w:rFonts w:ascii="Times New Roman" w:cs="Times New Roman" w:eastAsia="Times New Roman" w:hAnsi="Times New Roman"/>
          <w:i/>
          <w:iCs/>
          <w:sz w:val="24"/>
          <w:szCs w:val="24"/>
        </w:rPr>
        <w:t>Pediatric Review, 29</w:t>
      </w:r>
      <w:r>
        <w:rPr>
          <w:rFonts w:ascii="Times New Roman" w:cs="Times New Roman" w:eastAsia="Times New Roman" w:hAnsi="Times New Roman"/>
          <w:sz w:val="24"/>
          <w:szCs w:val="24"/>
        </w:rPr>
        <w:t>(11), 374–384.</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Cortés-Rojas, D. F., de Souza, C. R. F., &amp; Oliveira, W. P. (2014). Clove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A precious spice. </w:t>
      </w:r>
      <w:r>
        <w:rPr>
          <w:rFonts w:ascii="Times New Roman" w:cs="Times New Roman" w:eastAsia="Times New Roman" w:hAnsi="Times New Roman"/>
          <w:i/>
          <w:iCs/>
          <w:sz w:val="24"/>
          <w:szCs w:val="24"/>
        </w:rPr>
        <w:t>Asian Pacific Journal of Tropical Biomedicine, 4,</w:t>
      </w:r>
      <w:r>
        <w:rPr>
          <w:rFonts w:ascii="Times New Roman" w:cs="Times New Roman" w:eastAsia="Times New Roman" w:hAnsi="Times New Roman"/>
          <w:sz w:val="24"/>
          <w:szCs w:val="24"/>
        </w:rPr>
        <w:t xml:space="preserve"> 90–96. </w:t>
      </w:r>
      <w:r>
        <w:rPr/>
        <w:fldChar w:fldCharType="begin"/>
      </w:r>
      <w:r>
        <w:instrText xml:space="preserve"> HYPERLINK "https://doi.org/10.1016/S2221-1691(14)60215-X" </w:instrText>
      </w:r>
      <w:r>
        <w:rPr/>
        <w:fldChar w:fldCharType="separate"/>
      </w:r>
      <w:r>
        <w:rPr>
          <w:rFonts w:ascii="Times New Roman" w:cs="Times New Roman" w:eastAsia="Times New Roman" w:hAnsi="Times New Roman"/>
          <w:color w:val="0000ff"/>
          <w:sz w:val="24"/>
          <w:szCs w:val="24"/>
          <w:u w:val="single"/>
        </w:rPr>
        <w:t>https://doi.org/10.1016/S2221-1691(14)60215-X</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Daniel, A. N., </w:t>
      </w:r>
      <w:r>
        <w:rPr>
          <w:rFonts w:ascii="Times New Roman" w:cs="Times New Roman" w:eastAsia="Times New Roman" w:hAnsi="Times New Roman"/>
          <w:sz w:val="24"/>
          <w:szCs w:val="24"/>
        </w:rPr>
        <w:t>Sartoretto</w:t>
      </w:r>
      <w:r>
        <w:rPr>
          <w:rFonts w:ascii="Times New Roman" w:cs="Times New Roman" w:eastAsia="Times New Roman" w:hAnsi="Times New Roman"/>
          <w:sz w:val="24"/>
          <w:szCs w:val="24"/>
        </w:rPr>
        <w:t xml:space="preserve">, S. M., Schmidt, G., </w:t>
      </w:r>
      <w:r>
        <w:rPr>
          <w:rFonts w:ascii="Times New Roman" w:cs="Times New Roman" w:eastAsia="Times New Roman" w:hAnsi="Times New Roman"/>
          <w:sz w:val="24"/>
          <w:szCs w:val="24"/>
        </w:rPr>
        <w:t>Caparroz</w:t>
      </w:r>
      <w:r>
        <w:rPr>
          <w:rFonts w:ascii="Times New Roman" w:cs="Times New Roman" w:eastAsia="Times New Roman" w:hAnsi="Times New Roman"/>
          <w:sz w:val="24"/>
          <w:szCs w:val="24"/>
        </w:rPr>
        <w:t xml:space="preserve">-Assef, S. M., </w:t>
      </w:r>
      <w:r>
        <w:rPr>
          <w:rFonts w:ascii="Times New Roman" w:cs="Times New Roman" w:eastAsia="Times New Roman" w:hAnsi="Times New Roman"/>
          <w:sz w:val="24"/>
          <w:szCs w:val="24"/>
        </w:rPr>
        <w:t>Bersani</w:t>
      </w:r>
      <w:r>
        <w:rPr>
          <w:rFonts w:ascii="Times New Roman" w:cs="Times New Roman" w:eastAsia="Times New Roman" w:hAnsi="Times New Roman"/>
          <w:sz w:val="24"/>
          <w:szCs w:val="24"/>
        </w:rPr>
        <w:t xml:space="preserve">-Amado, C. A., &amp; Cuman, R. K. (2009). Anti-inflammatory and antinociceptive activities of eugenol essential oil in experimental animal models. </w:t>
      </w:r>
      <w:r>
        <w:rPr>
          <w:rFonts w:ascii="Times New Roman" w:cs="Times New Roman" w:eastAsia="Times New Roman" w:hAnsi="Times New Roman"/>
          <w:i/>
          <w:iCs/>
          <w:sz w:val="24"/>
          <w:szCs w:val="24"/>
        </w:rPr>
        <w:t>Revista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Brasileira</w:t>
      </w:r>
      <w:r>
        <w:rPr>
          <w:rFonts w:ascii="Times New Roman" w:cs="Times New Roman" w:eastAsia="Times New Roman" w:hAnsi="Times New Roman"/>
          <w:i/>
          <w:iCs/>
          <w:sz w:val="24"/>
          <w:szCs w:val="24"/>
        </w:rPr>
        <w:t xml:space="preserve"> de </w:t>
      </w:r>
      <w:r>
        <w:rPr>
          <w:rFonts w:ascii="Times New Roman" w:cs="Times New Roman" w:eastAsia="Times New Roman" w:hAnsi="Times New Roman"/>
          <w:i/>
          <w:iCs/>
          <w:sz w:val="24"/>
          <w:szCs w:val="24"/>
        </w:rPr>
        <w:t>Farmacognosia</w:t>
      </w:r>
      <w:r>
        <w:rPr>
          <w:rFonts w:ascii="Times New Roman" w:cs="Times New Roman" w:eastAsia="Times New Roman" w:hAnsi="Times New Roman"/>
          <w:i/>
          <w:iCs/>
          <w:sz w:val="24"/>
          <w:szCs w:val="24"/>
        </w:rPr>
        <w:t>, 19</w:t>
      </w:r>
      <w:r>
        <w:rPr>
          <w:rFonts w:ascii="Times New Roman" w:cs="Times New Roman" w:eastAsia="Times New Roman" w:hAnsi="Times New Roman"/>
          <w:sz w:val="24"/>
          <w:szCs w:val="24"/>
        </w:rPr>
        <w:t>(1B), 212–217.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DeFronzo</w:t>
      </w:r>
      <w:r>
        <w:rPr>
          <w:rFonts w:ascii="Times New Roman" w:cs="Times New Roman" w:eastAsia="Times New Roman" w:hAnsi="Times New Roman"/>
          <w:sz w:val="24"/>
          <w:szCs w:val="24"/>
        </w:rPr>
        <w:t xml:space="preserve">, R. A., </w:t>
      </w:r>
      <w:r>
        <w:rPr>
          <w:rFonts w:ascii="Times New Roman" w:cs="Times New Roman" w:eastAsia="Times New Roman" w:hAnsi="Times New Roman"/>
          <w:sz w:val="24"/>
          <w:szCs w:val="24"/>
        </w:rPr>
        <w:t>Bonadonna</w:t>
      </w:r>
      <w:r>
        <w:rPr>
          <w:rFonts w:ascii="Times New Roman" w:cs="Times New Roman" w:eastAsia="Times New Roman" w:hAnsi="Times New Roman"/>
          <w:sz w:val="24"/>
          <w:szCs w:val="24"/>
        </w:rPr>
        <w:t xml:space="preserve">, R. C., </w:t>
      </w:r>
      <w:r>
        <w:rPr>
          <w:rFonts w:ascii="Times New Roman" w:cs="Times New Roman" w:eastAsia="Times New Roman" w:hAnsi="Times New Roman"/>
          <w:sz w:val="24"/>
          <w:szCs w:val="24"/>
        </w:rPr>
        <w:t>Ferrannini</w:t>
      </w:r>
      <w:r>
        <w:rPr>
          <w:rFonts w:ascii="Times New Roman" w:cs="Times New Roman" w:eastAsia="Times New Roman" w:hAnsi="Times New Roman"/>
          <w:sz w:val="24"/>
          <w:szCs w:val="24"/>
        </w:rPr>
        <w:t xml:space="preserve">, E., &amp; </w:t>
      </w:r>
      <w:r>
        <w:rPr>
          <w:rFonts w:ascii="Times New Roman" w:cs="Times New Roman" w:eastAsia="Times New Roman" w:hAnsi="Times New Roman"/>
          <w:sz w:val="24"/>
          <w:szCs w:val="24"/>
        </w:rPr>
        <w:t>Zimmet</w:t>
      </w:r>
      <w:r>
        <w:rPr>
          <w:rFonts w:ascii="Times New Roman" w:cs="Times New Roman" w:eastAsia="Times New Roman" w:hAnsi="Times New Roman"/>
          <w:sz w:val="24"/>
          <w:szCs w:val="24"/>
        </w:rPr>
        <w:t xml:space="preserve">, P. (2017). Pathogenesis of NIDDM. In E. </w:t>
      </w:r>
      <w:r>
        <w:rPr>
          <w:rFonts w:ascii="Times New Roman" w:cs="Times New Roman" w:eastAsia="Times New Roman" w:hAnsi="Times New Roman"/>
          <w:sz w:val="24"/>
          <w:szCs w:val="24"/>
        </w:rPr>
        <w:t>Ferrannini</w:t>
      </w:r>
      <w:r>
        <w:rPr>
          <w:rFonts w:ascii="Times New Roman" w:cs="Times New Roman" w:eastAsia="Times New Roman" w:hAnsi="Times New Roman"/>
          <w:sz w:val="24"/>
          <w:szCs w:val="24"/>
        </w:rPr>
        <w:t xml:space="preserve">, R. A. </w:t>
      </w:r>
      <w:r>
        <w:rPr>
          <w:rFonts w:ascii="Times New Roman" w:cs="Times New Roman" w:eastAsia="Times New Roman" w:hAnsi="Times New Roman"/>
          <w:sz w:val="24"/>
          <w:szCs w:val="24"/>
        </w:rPr>
        <w:t>DeFronzo</w:t>
      </w:r>
      <w:r>
        <w:rPr>
          <w:rFonts w:ascii="Times New Roman" w:cs="Times New Roman" w:eastAsia="Times New Roman" w:hAnsi="Times New Roman"/>
          <w:sz w:val="24"/>
          <w:szCs w:val="24"/>
        </w:rPr>
        <w:t xml:space="preserve">, &amp; P. </w:t>
      </w:r>
      <w:r>
        <w:rPr>
          <w:rFonts w:ascii="Times New Roman" w:cs="Times New Roman" w:eastAsia="Times New Roman" w:hAnsi="Times New Roman"/>
          <w:sz w:val="24"/>
          <w:szCs w:val="24"/>
        </w:rPr>
        <w:t>Zimmet</w:t>
      </w:r>
      <w:r>
        <w:rPr>
          <w:rFonts w:ascii="Times New Roman" w:cs="Times New Roman" w:eastAsia="Times New Roman" w:hAnsi="Times New Roman"/>
          <w:sz w:val="24"/>
          <w:szCs w:val="24"/>
        </w:rPr>
        <w:t xml:space="preserve"> (Eds.), </w:t>
      </w:r>
      <w:r>
        <w:rPr>
          <w:rFonts w:ascii="Times New Roman" w:cs="Times New Roman" w:eastAsia="Times New Roman" w:hAnsi="Times New Roman"/>
          <w:i/>
          <w:iCs/>
          <w:sz w:val="24"/>
          <w:szCs w:val="24"/>
        </w:rPr>
        <w:t>International Textbook of Diabetes Mellitus</w:t>
      </w:r>
      <w:r>
        <w:rPr>
          <w:rFonts w:ascii="Times New Roman" w:cs="Times New Roman" w:eastAsia="Times New Roman" w:hAnsi="Times New Roman"/>
          <w:sz w:val="24"/>
          <w:szCs w:val="24"/>
        </w:rPr>
        <w:t xml:space="preserve"> (pp. 635–671).</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Delgado-</w:t>
      </w:r>
      <w:r>
        <w:rPr>
          <w:rFonts w:ascii="Times New Roman" w:cs="Times New Roman" w:eastAsia="Times New Roman" w:hAnsi="Times New Roman"/>
          <w:sz w:val="24"/>
          <w:szCs w:val="24"/>
        </w:rPr>
        <w:t>Adámez</w:t>
      </w:r>
      <w:r>
        <w:rPr>
          <w:rFonts w:ascii="Times New Roman" w:cs="Times New Roman" w:eastAsia="Times New Roman" w:hAnsi="Times New Roman"/>
          <w:sz w:val="24"/>
          <w:szCs w:val="24"/>
        </w:rPr>
        <w:t xml:space="preserve">, J., Fernández-León, M. F., </w:t>
      </w:r>
      <w:r>
        <w:rPr>
          <w:rFonts w:ascii="Times New Roman" w:cs="Times New Roman" w:eastAsia="Times New Roman" w:hAnsi="Times New Roman"/>
          <w:sz w:val="24"/>
          <w:szCs w:val="24"/>
        </w:rPr>
        <w:t>Velardo-Micharet</w:t>
      </w:r>
      <w:r>
        <w:rPr>
          <w:rFonts w:ascii="Times New Roman" w:cs="Times New Roman" w:eastAsia="Times New Roman" w:hAnsi="Times New Roman"/>
          <w:sz w:val="24"/>
          <w:szCs w:val="24"/>
        </w:rPr>
        <w:t xml:space="preserve">, B., &amp; González-Gómez, D. (2012). In vitro assays of the antibacterial and antioxidant activity of aqueous leaf extracts from different </w:t>
      </w:r>
      <w:r>
        <w:rPr>
          <w:rFonts w:ascii="Times New Roman" w:cs="Times New Roman" w:eastAsia="Times New Roman" w:hAnsi="Times New Roman"/>
          <w:i/>
          <w:iCs/>
          <w:sz w:val="24"/>
          <w:szCs w:val="24"/>
        </w:rPr>
        <w:t xml:space="preserve">Prunus </w:t>
      </w:r>
      <w:r>
        <w:rPr>
          <w:rFonts w:ascii="Times New Roman" w:cs="Times New Roman" w:eastAsia="Times New Roman" w:hAnsi="Times New Roman"/>
          <w:i/>
          <w:iCs/>
          <w:sz w:val="24"/>
          <w:szCs w:val="24"/>
        </w:rPr>
        <w:t>salicina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Lindl</w:t>
      </w:r>
      <w:r>
        <w:rPr>
          <w:rFonts w:ascii="Times New Roman" w:cs="Times New Roman" w:eastAsia="Times New Roman" w:hAnsi="Times New Roman"/>
          <w:i/>
          <w:iCs/>
          <w:sz w:val="24"/>
          <w:szCs w:val="24"/>
        </w:rPr>
        <w:t>.</w:t>
      </w:r>
      <w:r>
        <w:rPr>
          <w:rFonts w:ascii="Times New Roman" w:cs="Times New Roman" w:eastAsia="Times New Roman" w:hAnsi="Times New Roman"/>
          <w:sz w:val="24"/>
          <w:szCs w:val="24"/>
        </w:rPr>
        <w:t xml:space="preserve"> cultivars. </w:t>
      </w:r>
      <w:r>
        <w:rPr>
          <w:rFonts w:ascii="Times New Roman" w:cs="Times New Roman" w:eastAsia="Times New Roman" w:hAnsi="Times New Roman"/>
          <w:i/>
          <w:iCs/>
          <w:sz w:val="24"/>
          <w:szCs w:val="24"/>
        </w:rPr>
        <w:t>Food and Chemical Toxicology, 50,</w:t>
      </w:r>
      <w:r>
        <w:rPr>
          <w:rFonts w:ascii="Times New Roman" w:cs="Times New Roman" w:eastAsia="Times New Roman" w:hAnsi="Times New Roman"/>
          <w:sz w:val="24"/>
          <w:szCs w:val="24"/>
        </w:rPr>
        <w:t xml:space="preserve"> 2481–2486. </w:t>
      </w:r>
      <w:r>
        <w:rPr/>
        <w:fldChar w:fldCharType="begin"/>
      </w:r>
      <w:r>
        <w:instrText xml:space="preserve"> HYPERLINK "https://doi.org/10.1016/j.fct.2012.02.024" </w:instrText>
      </w:r>
      <w:r>
        <w:rPr/>
        <w:fldChar w:fldCharType="separate"/>
      </w:r>
      <w:r>
        <w:rPr>
          <w:rFonts w:ascii="Times New Roman" w:cs="Times New Roman" w:eastAsia="Times New Roman" w:hAnsi="Times New Roman"/>
          <w:color w:val="0000ff"/>
          <w:sz w:val="24"/>
          <w:szCs w:val="24"/>
          <w:u w:val="single"/>
        </w:rPr>
        <w:t>https://doi.org/10.1016/j.fct.2012.02.024</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Devi, K. P., Nisha, S. A., Sakthivel, R., &amp; Pandian, S. K. (2010). Eugenol (an essential oil of clove) acts as an antibacterial agent against </w:t>
      </w:r>
      <w:r>
        <w:rPr>
          <w:rFonts w:ascii="Times New Roman" w:cs="Times New Roman" w:eastAsia="Times New Roman" w:hAnsi="Times New Roman"/>
          <w:i/>
          <w:iCs/>
          <w:sz w:val="24"/>
          <w:szCs w:val="24"/>
        </w:rPr>
        <w:t>Salmonella typhi</w:t>
      </w:r>
      <w:r>
        <w:rPr>
          <w:rFonts w:ascii="Times New Roman" w:cs="Times New Roman" w:eastAsia="Times New Roman" w:hAnsi="Times New Roman"/>
          <w:sz w:val="24"/>
          <w:szCs w:val="24"/>
        </w:rPr>
        <w:t xml:space="preserve"> by disrupting the cellular membrane. </w:t>
      </w:r>
      <w:r>
        <w:rPr>
          <w:rFonts w:ascii="Times New Roman" w:cs="Times New Roman" w:eastAsia="Times New Roman" w:hAnsi="Times New Roman"/>
          <w:i/>
          <w:iCs/>
          <w:sz w:val="24"/>
          <w:szCs w:val="24"/>
        </w:rPr>
        <w:t>Journal of Ethnopharmacology, 130</w:t>
      </w:r>
      <w:r>
        <w:rPr>
          <w:rFonts w:ascii="Times New Roman" w:cs="Times New Roman" w:eastAsia="Times New Roman" w:hAnsi="Times New Roman"/>
          <w:sz w:val="24"/>
          <w:szCs w:val="24"/>
        </w:rPr>
        <w:t>(1), 107–115.</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Donsì</w:t>
      </w:r>
      <w:r>
        <w:rPr>
          <w:rFonts w:ascii="Times New Roman" w:cs="Times New Roman" w:eastAsia="Times New Roman" w:hAnsi="Times New Roman"/>
          <w:sz w:val="24"/>
          <w:szCs w:val="24"/>
        </w:rPr>
        <w:t xml:space="preserve">, F., Annunziata, M., Sessa, M., &amp; Ferrari, G. (2011). Nanoencapsulation of essential oils to enhance their antimicrobial activity in foods. </w:t>
      </w:r>
      <w:r>
        <w:rPr>
          <w:rFonts w:ascii="Times New Roman" w:cs="Times New Roman" w:eastAsia="Times New Roman" w:hAnsi="Times New Roman"/>
          <w:i/>
          <w:iCs/>
          <w:sz w:val="24"/>
          <w:szCs w:val="24"/>
        </w:rPr>
        <w:t>LWT - Food Science and Technology, 44,</w:t>
      </w:r>
      <w:r>
        <w:rPr>
          <w:rFonts w:ascii="Times New Roman" w:cs="Times New Roman" w:eastAsia="Times New Roman" w:hAnsi="Times New Roman"/>
          <w:sz w:val="24"/>
          <w:szCs w:val="24"/>
        </w:rPr>
        <w:t xml:space="preserve"> 1908–1914. </w:t>
      </w:r>
      <w:r>
        <w:rPr/>
        <w:fldChar w:fldCharType="begin"/>
      </w:r>
      <w:r>
        <w:instrText xml:space="preserve"> HYPERLINK "https://doi.org/10.1016/j.lwt.2011.03.003" </w:instrText>
      </w:r>
      <w:r>
        <w:rPr/>
        <w:fldChar w:fldCharType="separate"/>
      </w:r>
      <w:r>
        <w:rPr>
          <w:rFonts w:ascii="Times New Roman" w:cs="Times New Roman" w:eastAsia="Times New Roman" w:hAnsi="Times New Roman"/>
          <w:color w:val="0000ff"/>
          <w:sz w:val="24"/>
          <w:szCs w:val="24"/>
          <w:u w:val="single"/>
        </w:rPr>
        <w:t>https://doi.org/10.1016/j.lwt.2011.03.003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Dorman, H. J., &amp; Deans, S. G. (2010). Antimicrobial agents from plants: Antibacterial activity of plant volatile oils. </w:t>
      </w:r>
      <w:r>
        <w:rPr>
          <w:rFonts w:ascii="Times New Roman" w:cs="Times New Roman" w:eastAsia="Times New Roman" w:hAnsi="Times New Roman"/>
          <w:i/>
          <w:iCs/>
          <w:sz w:val="24"/>
          <w:szCs w:val="24"/>
        </w:rPr>
        <w:t>Journal of Applied Microbiology, 88</w:t>
      </w:r>
      <w:r>
        <w:rPr>
          <w:rFonts w:ascii="Times New Roman" w:cs="Times New Roman" w:eastAsia="Times New Roman" w:hAnsi="Times New Roman"/>
          <w:sz w:val="24"/>
          <w:szCs w:val="24"/>
        </w:rPr>
        <w:t>(2), 308–316.</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Dudonné</w:t>
      </w:r>
      <w:r>
        <w:rPr>
          <w:rFonts w:ascii="Times New Roman" w:cs="Times New Roman" w:eastAsia="Times New Roman" w:hAnsi="Times New Roman"/>
          <w:sz w:val="24"/>
          <w:szCs w:val="24"/>
        </w:rPr>
        <w:t xml:space="preserve">, S., </w:t>
      </w:r>
      <w:r>
        <w:rPr>
          <w:rFonts w:ascii="Times New Roman" w:cs="Times New Roman" w:eastAsia="Times New Roman" w:hAnsi="Times New Roman"/>
          <w:sz w:val="24"/>
          <w:szCs w:val="24"/>
        </w:rPr>
        <w:t>Vitrac</w:t>
      </w:r>
      <w:r>
        <w:rPr>
          <w:rFonts w:ascii="Times New Roman" w:cs="Times New Roman" w:eastAsia="Times New Roman" w:hAnsi="Times New Roman"/>
          <w:sz w:val="24"/>
          <w:szCs w:val="24"/>
        </w:rPr>
        <w:t xml:space="preserve">, X., </w:t>
      </w:r>
      <w:r>
        <w:rPr>
          <w:rFonts w:ascii="Times New Roman" w:cs="Times New Roman" w:eastAsia="Times New Roman" w:hAnsi="Times New Roman"/>
          <w:sz w:val="24"/>
          <w:szCs w:val="24"/>
        </w:rPr>
        <w:t>Coutière</w:t>
      </w:r>
      <w:r>
        <w:rPr>
          <w:rFonts w:ascii="Times New Roman" w:cs="Times New Roman" w:eastAsia="Times New Roman" w:hAnsi="Times New Roman"/>
          <w:sz w:val="24"/>
          <w:szCs w:val="24"/>
        </w:rPr>
        <w:t xml:space="preserve">, P., </w:t>
      </w:r>
      <w:r>
        <w:rPr>
          <w:rFonts w:ascii="Times New Roman" w:cs="Times New Roman" w:eastAsia="Times New Roman" w:hAnsi="Times New Roman"/>
          <w:sz w:val="24"/>
          <w:szCs w:val="24"/>
        </w:rPr>
        <w:t>Woillez</w:t>
      </w:r>
      <w:r>
        <w:rPr>
          <w:rFonts w:ascii="Times New Roman" w:cs="Times New Roman" w:eastAsia="Times New Roman" w:hAnsi="Times New Roman"/>
          <w:sz w:val="24"/>
          <w:szCs w:val="24"/>
        </w:rPr>
        <w:t xml:space="preserve">, M., &amp; </w:t>
      </w:r>
      <w:r>
        <w:rPr>
          <w:rFonts w:ascii="Times New Roman" w:cs="Times New Roman" w:eastAsia="Times New Roman" w:hAnsi="Times New Roman"/>
          <w:sz w:val="24"/>
          <w:szCs w:val="24"/>
        </w:rPr>
        <w:t>Mérillon</w:t>
      </w:r>
      <w:r>
        <w:rPr>
          <w:rFonts w:ascii="Times New Roman" w:cs="Times New Roman" w:eastAsia="Times New Roman" w:hAnsi="Times New Roman"/>
          <w:sz w:val="24"/>
          <w:szCs w:val="24"/>
        </w:rPr>
        <w:t xml:space="preserve">, J. M. (2019). Comparative study of antioxidant properties and total phenolic content of 30 plant extracts of industrial interest using DPPH, ABTS, FRAP, SOD, and ORAC assays. </w:t>
      </w:r>
      <w:r>
        <w:rPr>
          <w:rFonts w:ascii="Times New Roman" w:cs="Times New Roman" w:eastAsia="Times New Roman" w:hAnsi="Times New Roman"/>
          <w:i/>
          <w:iCs/>
          <w:sz w:val="24"/>
          <w:szCs w:val="24"/>
        </w:rPr>
        <w:t>Journal of Agricultural and Food Chemistry, 57</w:t>
      </w:r>
      <w:r>
        <w:rPr>
          <w:rFonts w:ascii="Times New Roman" w:cs="Times New Roman" w:eastAsia="Times New Roman" w:hAnsi="Times New Roman"/>
          <w:sz w:val="24"/>
          <w:szCs w:val="24"/>
        </w:rPr>
        <w:t>(5), 1768–1774.</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Ekor</w:t>
      </w:r>
      <w:r>
        <w:rPr>
          <w:rFonts w:ascii="Times New Roman" w:cs="Times New Roman" w:eastAsia="Times New Roman" w:hAnsi="Times New Roman"/>
          <w:sz w:val="24"/>
          <w:szCs w:val="24"/>
        </w:rPr>
        <w:t xml:space="preserve">, M. (2014). The growing use of herbal medicines: Issues relating to adverse reactions and challenges in monitoring safety. </w:t>
      </w:r>
      <w:r>
        <w:rPr>
          <w:rFonts w:ascii="Times New Roman" w:cs="Times New Roman" w:eastAsia="Times New Roman" w:hAnsi="Times New Roman"/>
          <w:i/>
          <w:iCs/>
          <w:sz w:val="24"/>
          <w:szCs w:val="24"/>
        </w:rPr>
        <w:t>Frontiers in Pharmacology, 4,</w:t>
      </w:r>
      <w:r>
        <w:rPr>
          <w:rFonts w:ascii="Times New Roman" w:cs="Times New Roman" w:eastAsia="Times New Roman" w:hAnsi="Times New Roman"/>
          <w:sz w:val="24"/>
          <w:szCs w:val="24"/>
        </w:rPr>
        <w:t xml:space="preserve"> 177. </w:t>
      </w:r>
      <w:r>
        <w:rPr/>
        <w:fldChar w:fldCharType="begin"/>
      </w:r>
      <w:r>
        <w:instrText xml:space="preserve"> HYPERLINK "https://doi.org/10.3389/fphar.2013.00177" </w:instrText>
      </w:r>
      <w:r>
        <w:rPr/>
        <w:fldChar w:fldCharType="separate"/>
      </w:r>
      <w:r>
        <w:rPr>
          <w:rFonts w:ascii="Times New Roman" w:cs="Times New Roman" w:eastAsia="Times New Roman" w:hAnsi="Times New Roman"/>
          <w:color w:val="0000ff"/>
          <w:sz w:val="24"/>
          <w:szCs w:val="24"/>
          <w:u w:val="single"/>
        </w:rPr>
        <w:t>https://doi.org/10.3389/fphar.2013.00177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Filho, G. A., Cesar, J. O., &amp; Ramos, J. V. (2013). [</w:t>
      </w:r>
      <w:r>
        <w:rPr>
          <w:rFonts w:ascii="Times New Roman" w:cs="Times New Roman" w:eastAsia="Times New Roman" w:hAnsi="Times New Roman"/>
          <w:sz w:val="24"/>
          <w:szCs w:val="24"/>
        </w:rPr>
        <w:t>Cravo</w:t>
      </w:r>
      <w:r>
        <w:rPr>
          <w:rFonts w:ascii="Times New Roman" w:cs="Times New Roman" w:eastAsia="Times New Roman" w:hAnsi="Times New Roman"/>
          <w:sz w:val="24"/>
          <w:szCs w:val="24"/>
        </w:rPr>
        <w:t xml:space="preserve"> from India]. Itabuna: CEPLAC. Retrieved December 16, 2024, from </w:t>
      </w:r>
      <w:r>
        <w:rPr/>
        <w:fldChar w:fldCharType="begin"/>
      </w:r>
      <w:r>
        <w:instrText xml:space="preserve"> HYPERLINK "http://www.ceplac.gov.br/radar.htm" </w:instrText>
      </w:r>
      <w:r>
        <w:rPr/>
        <w:fldChar w:fldCharType="separate"/>
      </w:r>
      <w:r>
        <w:rPr>
          <w:rFonts w:ascii="Times New Roman" w:cs="Times New Roman" w:eastAsia="Times New Roman" w:hAnsi="Times New Roman"/>
          <w:color w:val="0000ff"/>
          <w:sz w:val="24"/>
          <w:szCs w:val="24"/>
          <w:u w:val="single"/>
        </w:rPr>
        <w:t>http://www.ceplac.gov.br/radar.htm</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Friedman, M. A., Fleming, L. E., Fernandez, M., </w:t>
      </w:r>
      <w:r>
        <w:rPr>
          <w:rFonts w:ascii="Times New Roman" w:cs="Times New Roman" w:eastAsia="Times New Roman" w:hAnsi="Times New Roman"/>
          <w:sz w:val="24"/>
          <w:szCs w:val="24"/>
        </w:rPr>
        <w:t>Bienfang</w:t>
      </w:r>
      <w:r>
        <w:rPr>
          <w:rFonts w:ascii="Times New Roman" w:cs="Times New Roman" w:eastAsia="Times New Roman" w:hAnsi="Times New Roman"/>
          <w:sz w:val="24"/>
          <w:szCs w:val="24"/>
        </w:rPr>
        <w:t xml:space="preserve">, P., </w:t>
      </w:r>
      <w:r>
        <w:rPr>
          <w:rFonts w:ascii="Times New Roman" w:cs="Times New Roman" w:eastAsia="Times New Roman" w:hAnsi="Times New Roman"/>
          <w:sz w:val="24"/>
          <w:szCs w:val="24"/>
        </w:rPr>
        <w:t>Schrank</w:t>
      </w:r>
      <w:r>
        <w:rPr>
          <w:rFonts w:ascii="Times New Roman" w:cs="Times New Roman" w:eastAsia="Times New Roman" w:hAnsi="Times New Roman"/>
          <w:sz w:val="24"/>
          <w:szCs w:val="24"/>
        </w:rPr>
        <w:t xml:space="preserve">, K., Dickey, R.,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(2008). Ciguatera fish poisoning: Treatment, prevention, and management. </w:t>
      </w:r>
      <w:r>
        <w:rPr>
          <w:rFonts w:ascii="Times New Roman" w:cs="Times New Roman" w:eastAsia="Times New Roman" w:hAnsi="Times New Roman"/>
          <w:i/>
          <w:iCs/>
          <w:sz w:val="24"/>
          <w:szCs w:val="24"/>
        </w:rPr>
        <w:t>Marine Drugs, 6</w:t>
      </w:r>
      <w:r>
        <w:rPr>
          <w:rFonts w:ascii="Times New Roman" w:cs="Times New Roman" w:eastAsia="Times New Roman" w:hAnsi="Times New Roman"/>
          <w:sz w:val="24"/>
          <w:szCs w:val="24"/>
        </w:rPr>
        <w:t>(4), 456–479.</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Fu, Y., Zu, Y., Chen, L., Shi, X., Wang, Z., Sun, S.,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(2017). Antimicrobial activity of clove and rosemary essential oils alone and in combination. </w:t>
      </w:r>
      <w:r>
        <w:rPr>
          <w:rFonts w:ascii="Times New Roman" w:cs="Times New Roman" w:eastAsia="Times New Roman" w:hAnsi="Times New Roman"/>
          <w:i/>
          <w:iCs/>
          <w:sz w:val="24"/>
          <w:szCs w:val="24"/>
        </w:rPr>
        <w:t>Phytotherapy</w:t>
      </w:r>
      <w:r>
        <w:rPr>
          <w:rFonts w:ascii="Times New Roman" w:cs="Times New Roman" w:eastAsia="Times New Roman" w:hAnsi="Times New Roman"/>
          <w:i/>
          <w:iCs/>
          <w:sz w:val="24"/>
          <w:szCs w:val="24"/>
        </w:rPr>
        <w:t xml:space="preserve"> Research, 21</w:t>
      </w:r>
      <w:r>
        <w:rPr>
          <w:rFonts w:ascii="Times New Roman" w:cs="Times New Roman" w:eastAsia="Times New Roman" w:hAnsi="Times New Roman"/>
          <w:sz w:val="24"/>
          <w:szCs w:val="24"/>
        </w:rPr>
        <w:t>(10), 989–994.</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Garg, A., &amp; Singh, S. (2011). Enhancement in antifungal activity of eugenol in immunosuppressed rats through lipid nanocarriers. </w:t>
      </w:r>
      <w:r>
        <w:rPr>
          <w:rFonts w:ascii="Times New Roman" w:cs="Times New Roman" w:eastAsia="Times New Roman" w:hAnsi="Times New Roman"/>
          <w:i/>
          <w:iCs/>
          <w:sz w:val="24"/>
          <w:szCs w:val="24"/>
        </w:rPr>
        <w:t xml:space="preserve">Colloids and Surfaces B: </w:t>
      </w:r>
      <w:r>
        <w:rPr>
          <w:rFonts w:ascii="Times New Roman" w:cs="Times New Roman" w:eastAsia="Times New Roman" w:hAnsi="Times New Roman"/>
          <w:i/>
          <w:iCs/>
          <w:sz w:val="24"/>
          <w:szCs w:val="24"/>
        </w:rPr>
        <w:t>Biointerfaces</w:t>
      </w:r>
      <w:r>
        <w:rPr>
          <w:rFonts w:ascii="Times New Roman" w:cs="Times New Roman" w:eastAsia="Times New Roman" w:hAnsi="Times New Roman"/>
          <w:i/>
          <w:iCs/>
          <w:sz w:val="24"/>
          <w:szCs w:val="24"/>
        </w:rPr>
        <w:t>, 87</w:t>
      </w:r>
      <w:r>
        <w:rPr>
          <w:rFonts w:ascii="Times New Roman" w:cs="Times New Roman" w:eastAsia="Times New Roman" w:hAnsi="Times New Roman"/>
          <w:sz w:val="24"/>
          <w:szCs w:val="24"/>
        </w:rPr>
        <w:t>(2), 280–288.</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Gülçin</w:t>
      </w:r>
      <w:r>
        <w:rPr>
          <w:rFonts w:ascii="Times New Roman" w:cs="Times New Roman" w:eastAsia="Times New Roman" w:hAnsi="Times New Roman"/>
          <w:sz w:val="24"/>
          <w:szCs w:val="24"/>
        </w:rPr>
        <w:t xml:space="preserve">, İ. (2011). Antioxidant activity of eugenol: A structure-activity relationship study. </w:t>
      </w:r>
      <w:r>
        <w:rPr>
          <w:rFonts w:ascii="Times New Roman" w:cs="Times New Roman" w:eastAsia="Times New Roman" w:hAnsi="Times New Roman"/>
          <w:i/>
          <w:iCs/>
          <w:sz w:val="24"/>
          <w:szCs w:val="24"/>
        </w:rPr>
        <w:t>Journal of Medicinal Food, 14</w:t>
      </w:r>
      <w:r>
        <w:rPr>
          <w:rFonts w:ascii="Times New Roman" w:cs="Times New Roman" w:eastAsia="Times New Roman" w:hAnsi="Times New Roman"/>
          <w:sz w:val="24"/>
          <w:szCs w:val="24"/>
        </w:rPr>
        <w:t>(9), 975–985.</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Gülçin</w:t>
      </w:r>
      <w:r>
        <w:rPr>
          <w:rFonts w:ascii="Times New Roman" w:cs="Times New Roman" w:eastAsia="Times New Roman" w:hAnsi="Times New Roman"/>
          <w:sz w:val="24"/>
          <w:szCs w:val="24"/>
        </w:rPr>
        <w:t xml:space="preserve">, İ., </w:t>
      </w:r>
      <w:r>
        <w:rPr>
          <w:rFonts w:ascii="Times New Roman" w:cs="Times New Roman" w:eastAsia="Times New Roman" w:hAnsi="Times New Roman"/>
          <w:sz w:val="24"/>
          <w:szCs w:val="24"/>
        </w:rPr>
        <w:t>Elmastaş</w:t>
      </w:r>
      <w:r>
        <w:rPr>
          <w:rFonts w:ascii="Times New Roman" w:cs="Times New Roman" w:eastAsia="Times New Roman" w:hAnsi="Times New Roman"/>
          <w:sz w:val="24"/>
          <w:szCs w:val="24"/>
        </w:rPr>
        <w:t xml:space="preserve">, M., &amp; </w:t>
      </w:r>
      <w:r>
        <w:rPr>
          <w:rFonts w:ascii="Times New Roman" w:cs="Times New Roman" w:eastAsia="Times New Roman" w:hAnsi="Times New Roman"/>
          <w:sz w:val="24"/>
          <w:szCs w:val="24"/>
        </w:rPr>
        <w:t>Aboul-Enein</w:t>
      </w:r>
      <w:r>
        <w:rPr>
          <w:rFonts w:ascii="Times New Roman" w:cs="Times New Roman" w:eastAsia="Times New Roman" w:hAnsi="Times New Roman"/>
          <w:sz w:val="24"/>
          <w:szCs w:val="24"/>
        </w:rPr>
        <w:t xml:space="preserve">, H. Y. (2012). Antioxidant activity of clove oil: A powerful antioxidant source. </w:t>
      </w:r>
      <w:r>
        <w:rPr>
          <w:rFonts w:ascii="Times New Roman" w:cs="Times New Roman" w:eastAsia="Times New Roman" w:hAnsi="Times New Roman"/>
          <w:i/>
          <w:iCs/>
          <w:sz w:val="24"/>
          <w:szCs w:val="24"/>
        </w:rPr>
        <w:t>Arabian Journal of Chemistry, 5</w:t>
      </w:r>
      <w:r>
        <w:rPr>
          <w:rFonts w:ascii="Times New Roman" w:cs="Times New Roman" w:eastAsia="Times New Roman" w:hAnsi="Times New Roman"/>
          <w:sz w:val="24"/>
          <w:szCs w:val="24"/>
        </w:rPr>
        <w:t>(4), 489–499.</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Halder, S., Mehta, A. K., Kar, R., Mustafa, M., </w:t>
      </w:r>
      <w:r>
        <w:rPr>
          <w:rFonts w:ascii="Times New Roman" w:cs="Times New Roman" w:eastAsia="Times New Roman" w:hAnsi="Times New Roman"/>
          <w:sz w:val="24"/>
          <w:szCs w:val="24"/>
        </w:rPr>
        <w:t>Mediratta</w:t>
      </w:r>
      <w:r>
        <w:rPr>
          <w:rFonts w:ascii="Times New Roman" w:cs="Times New Roman" w:eastAsia="Times New Roman" w:hAnsi="Times New Roman"/>
          <w:sz w:val="24"/>
          <w:szCs w:val="24"/>
        </w:rPr>
        <w:t xml:space="preserve">, P. K., &amp; Sharma, K. K. (2014). Clove oil reverses learning and memory deficits in scopolamine-treated mice. </w:t>
      </w:r>
      <w:r>
        <w:rPr>
          <w:rFonts w:ascii="Times New Roman" w:cs="Times New Roman" w:eastAsia="Times New Roman" w:hAnsi="Times New Roman"/>
          <w:i/>
          <w:iCs/>
          <w:sz w:val="24"/>
          <w:szCs w:val="24"/>
        </w:rPr>
        <w:t xml:space="preserve">Planta </w:t>
      </w:r>
      <w:r>
        <w:rPr>
          <w:rFonts w:ascii="Times New Roman" w:cs="Times New Roman" w:eastAsia="Times New Roman" w:hAnsi="Times New Roman"/>
          <w:i/>
          <w:iCs/>
          <w:sz w:val="24"/>
          <w:szCs w:val="24"/>
        </w:rPr>
        <w:t>Medica</w:t>
      </w:r>
      <w:r>
        <w:rPr>
          <w:rFonts w:ascii="Times New Roman" w:cs="Times New Roman" w:eastAsia="Times New Roman" w:hAnsi="Times New Roman"/>
          <w:i/>
          <w:iCs/>
          <w:sz w:val="24"/>
          <w:szCs w:val="24"/>
        </w:rPr>
        <w:t>, 77</w:t>
      </w:r>
      <w:r>
        <w:rPr>
          <w:rFonts w:ascii="Times New Roman" w:cs="Times New Roman" w:eastAsia="Times New Roman" w:hAnsi="Times New Roman"/>
          <w:sz w:val="24"/>
          <w:szCs w:val="24"/>
        </w:rPr>
        <w:t>(8).</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Haro</w:t>
      </w:r>
      <w:r>
        <w:rPr>
          <w:rFonts w:ascii="Times New Roman" w:cs="Times New Roman" w:eastAsia="Times New Roman" w:hAnsi="Times New Roman"/>
          <w:sz w:val="24"/>
          <w:szCs w:val="24"/>
        </w:rPr>
        <w:t>-González, J. N., Castillo-Herrera, G. A., Martínez-Velázquez, M., &amp; Espinosa-Andrews, H. (2021). Clove essential oil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L. </w:t>
      </w:r>
      <w:r>
        <w:rPr>
          <w:rFonts w:ascii="Times New Roman" w:cs="Times New Roman" w:eastAsia="Times New Roman" w:hAnsi="Times New Roman"/>
          <w:sz w:val="24"/>
          <w:szCs w:val="24"/>
        </w:rPr>
        <w:t>Myrtaceae</w:t>
      </w:r>
      <w:r>
        <w:rPr>
          <w:rFonts w:ascii="Times New Roman" w:cs="Times New Roman" w:eastAsia="Times New Roman" w:hAnsi="Times New Roman"/>
          <w:sz w:val="24"/>
          <w:szCs w:val="24"/>
        </w:rPr>
        <w:t xml:space="preserve">): Extraction, chemical composition, food applications, and essential bioactivity for human health. </w:t>
      </w:r>
      <w:r>
        <w:rPr>
          <w:rFonts w:ascii="Times New Roman" w:cs="Times New Roman" w:eastAsia="Times New Roman" w:hAnsi="Times New Roman"/>
          <w:i/>
          <w:iCs/>
          <w:sz w:val="24"/>
          <w:szCs w:val="24"/>
        </w:rPr>
        <w:t>Molecules, 26,</w:t>
      </w:r>
      <w:r>
        <w:rPr>
          <w:rFonts w:ascii="Times New Roman" w:cs="Times New Roman" w:eastAsia="Times New Roman" w:hAnsi="Times New Roman"/>
          <w:sz w:val="24"/>
          <w:szCs w:val="24"/>
        </w:rPr>
        <w:t xml:space="preserve"> 6387. </w:t>
      </w:r>
      <w:r>
        <w:rPr/>
        <w:fldChar w:fldCharType="begin"/>
      </w:r>
      <w:r>
        <w:instrText xml:space="preserve"> HYPERLINK "https://doi.org/10.3390/molecules26216387" </w:instrText>
      </w:r>
      <w:r>
        <w:rPr/>
        <w:fldChar w:fldCharType="separate"/>
      </w:r>
      <w:r>
        <w:rPr>
          <w:rFonts w:ascii="Times New Roman" w:cs="Times New Roman" w:eastAsia="Times New Roman" w:hAnsi="Times New Roman"/>
          <w:color w:val="0000ff"/>
          <w:sz w:val="24"/>
          <w:szCs w:val="24"/>
          <w:u w:val="single"/>
        </w:rPr>
        <w:t>https://doi.org/10.3390/molecules26216387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Harris, M. I. (2013). Undiagnosed NIDDM: Clinical and public health issues. </w:t>
      </w:r>
      <w:r>
        <w:rPr>
          <w:rFonts w:ascii="Times New Roman" w:cs="Times New Roman" w:eastAsia="Times New Roman" w:hAnsi="Times New Roman"/>
          <w:i/>
          <w:iCs/>
          <w:sz w:val="24"/>
          <w:szCs w:val="24"/>
        </w:rPr>
        <w:t>Diabetes Care, 16,</w:t>
      </w:r>
      <w:r>
        <w:rPr>
          <w:rFonts w:ascii="Times New Roman" w:cs="Times New Roman" w:eastAsia="Times New Roman" w:hAnsi="Times New Roman"/>
          <w:sz w:val="24"/>
          <w:szCs w:val="24"/>
        </w:rPr>
        <w:t xml:space="preserve"> 642–652.</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Jirovetz</w:t>
      </w:r>
      <w:r>
        <w:rPr>
          <w:rFonts w:ascii="Times New Roman" w:cs="Times New Roman" w:eastAsia="Times New Roman" w:hAnsi="Times New Roman"/>
          <w:sz w:val="24"/>
          <w:szCs w:val="24"/>
        </w:rPr>
        <w:t xml:space="preserve">, L., </w:t>
      </w:r>
      <w:r>
        <w:rPr>
          <w:rFonts w:ascii="Times New Roman" w:cs="Times New Roman" w:eastAsia="Times New Roman" w:hAnsi="Times New Roman"/>
          <w:sz w:val="24"/>
          <w:szCs w:val="24"/>
        </w:rPr>
        <w:t>Buchbauer</w:t>
      </w:r>
      <w:r>
        <w:rPr>
          <w:rFonts w:ascii="Times New Roman" w:cs="Times New Roman" w:eastAsia="Times New Roman" w:hAnsi="Times New Roman"/>
          <w:sz w:val="24"/>
          <w:szCs w:val="24"/>
        </w:rPr>
        <w:t xml:space="preserve">, G., </w:t>
      </w:r>
      <w:r>
        <w:rPr>
          <w:rFonts w:ascii="Times New Roman" w:cs="Times New Roman" w:eastAsia="Times New Roman" w:hAnsi="Times New Roman"/>
          <w:sz w:val="24"/>
          <w:szCs w:val="24"/>
        </w:rPr>
        <w:t>Stoilova</w:t>
      </w:r>
      <w:r>
        <w:rPr>
          <w:rFonts w:ascii="Times New Roman" w:cs="Times New Roman" w:eastAsia="Times New Roman" w:hAnsi="Times New Roman"/>
          <w:sz w:val="24"/>
          <w:szCs w:val="24"/>
        </w:rPr>
        <w:t xml:space="preserve">, I., Stoyanova, A., </w:t>
      </w:r>
      <w:r>
        <w:rPr>
          <w:rFonts w:ascii="Times New Roman" w:cs="Times New Roman" w:eastAsia="Times New Roman" w:hAnsi="Times New Roman"/>
          <w:sz w:val="24"/>
          <w:szCs w:val="24"/>
        </w:rPr>
        <w:t>Krastanov</w:t>
      </w:r>
      <w:r>
        <w:rPr>
          <w:rFonts w:ascii="Times New Roman" w:cs="Times New Roman" w:eastAsia="Times New Roman" w:hAnsi="Times New Roman"/>
          <w:sz w:val="24"/>
          <w:szCs w:val="24"/>
        </w:rPr>
        <w:t xml:space="preserve">, A., &amp; Schmidt, E. (2016). Chemical composition and antioxidant properties of </w:t>
      </w:r>
      <w:r>
        <w:rPr>
          <w:rFonts w:ascii="Times New Roman" w:cs="Times New Roman" w:eastAsia="Times New Roman" w:hAnsi="Times New Roman"/>
          <w:sz w:val="24"/>
          <w:szCs w:val="24"/>
        </w:rPr>
        <w:t>clove</w:t>
      </w:r>
      <w:r>
        <w:rPr>
          <w:rFonts w:ascii="Times New Roman" w:cs="Times New Roman" w:eastAsia="Times New Roman" w:hAnsi="Times New Roman"/>
          <w:sz w:val="24"/>
          <w:szCs w:val="24"/>
        </w:rPr>
        <w:t xml:space="preserve"> leaf essential oil. </w:t>
      </w:r>
      <w:r>
        <w:rPr>
          <w:rFonts w:ascii="Times New Roman" w:cs="Times New Roman" w:eastAsia="Times New Roman" w:hAnsi="Times New Roman"/>
          <w:i/>
          <w:iCs/>
          <w:sz w:val="24"/>
          <w:szCs w:val="24"/>
        </w:rPr>
        <w:t>Journal of Agricultural and Food Chemistry, 54</w:t>
      </w:r>
      <w:r>
        <w:rPr>
          <w:rFonts w:ascii="Times New Roman" w:cs="Times New Roman" w:eastAsia="Times New Roman" w:hAnsi="Times New Roman"/>
          <w:sz w:val="24"/>
          <w:szCs w:val="24"/>
        </w:rPr>
        <w:t>(17), 6303–6307.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Jun, S. K., &amp; Yoon, Y. W. (2012). A new look at viruses in Type 1 diabetes.</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Diabetes/Metabolism Research and Reviews, 19,</w:t>
      </w:r>
      <w:r>
        <w:rPr>
          <w:rFonts w:ascii="Times New Roman" w:cs="Times New Roman" w:eastAsia="Times New Roman" w:hAnsi="Times New Roman"/>
          <w:sz w:val="24"/>
          <w:szCs w:val="24"/>
        </w:rPr>
        <w:t xml:space="preserve"> 8–31.</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Kadiki</w:t>
      </w:r>
      <w:r>
        <w:rPr>
          <w:rFonts w:ascii="Times New Roman" w:cs="Times New Roman" w:eastAsia="Times New Roman" w:hAnsi="Times New Roman"/>
          <w:sz w:val="24"/>
          <w:szCs w:val="24"/>
        </w:rPr>
        <w:t xml:space="preserve">, O. A., Reddy, M. R., &amp; </w:t>
      </w:r>
      <w:r>
        <w:rPr>
          <w:rFonts w:ascii="Times New Roman" w:cs="Times New Roman" w:eastAsia="Times New Roman" w:hAnsi="Times New Roman"/>
          <w:sz w:val="24"/>
          <w:szCs w:val="24"/>
        </w:rPr>
        <w:t>Marzouk</w:t>
      </w:r>
      <w:r>
        <w:rPr>
          <w:rFonts w:ascii="Times New Roman" w:cs="Times New Roman" w:eastAsia="Times New Roman" w:hAnsi="Times New Roman"/>
          <w:sz w:val="24"/>
          <w:szCs w:val="24"/>
        </w:rPr>
        <w:t xml:space="preserve">, A. A. (2016). Incidence of insulin-dependent diabetes (IDDM) and non-insulin-dependent diabetes (NIDDM) (0–34 years at onset) in Benghazi, Libya. </w:t>
      </w:r>
      <w:r>
        <w:rPr>
          <w:rFonts w:ascii="Times New Roman" w:cs="Times New Roman" w:eastAsia="Times New Roman" w:hAnsi="Times New Roman"/>
          <w:i/>
          <w:iCs/>
          <w:sz w:val="24"/>
          <w:szCs w:val="24"/>
        </w:rPr>
        <w:t>Diabetes Research and Clinical Practice, 32,</w:t>
      </w:r>
      <w:r>
        <w:rPr>
          <w:rFonts w:ascii="Times New Roman" w:cs="Times New Roman" w:eastAsia="Times New Roman" w:hAnsi="Times New Roman"/>
          <w:sz w:val="24"/>
          <w:szCs w:val="24"/>
        </w:rPr>
        <w:t xml:space="preserve"> 165–173.</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Kamatou</w:t>
      </w:r>
      <w:r>
        <w:rPr>
          <w:rFonts w:ascii="Times New Roman" w:cs="Times New Roman" w:eastAsia="Times New Roman" w:hAnsi="Times New Roman"/>
          <w:sz w:val="24"/>
          <w:szCs w:val="24"/>
        </w:rPr>
        <w:t xml:space="preserve">, G. P., </w:t>
      </w:r>
      <w:r>
        <w:rPr>
          <w:rFonts w:ascii="Times New Roman" w:cs="Times New Roman" w:eastAsia="Times New Roman" w:hAnsi="Times New Roman"/>
          <w:sz w:val="24"/>
          <w:szCs w:val="24"/>
        </w:rPr>
        <w:t>Vermaak</w:t>
      </w:r>
      <w:r>
        <w:rPr>
          <w:rFonts w:ascii="Times New Roman" w:cs="Times New Roman" w:eastAsia="Times New Roman" w:hAnsi="Times New Roman"/>
          <w:sz w:val="24"/>
          <w:szCs w:val="24"/>
        </w:rPr>
        <w:t xml:space="preserve">, I., &amp; Viljoen, A. M. (2012). Eugenol: From the remote Maluku Islands to the international marketplace. </w:t>
      </w:r>
      <w:r>
        <w:rPr>
          <w:rFonts w:ascii="Times New Roman" w:cs="Times New Roman" w:eastAsia="Times New Roman" w:hAnsi="Times New Roman"/>
          <w:i/>
          <w:iCs/>
          <w:sz w:val="24"/>
          <w:szCs w:val="24"/>
        </w:rPr>
        <w:t>Molecules, 17</w:t>
      </w:r>
      <w:r>
        <w:rPr>
          <w:rFonts w:ascii="Times New Roman" w:cs="Times New Roman" w:eastAsia="Times New Roman" w:hAnsi="Times New Roman"/>
          <w:sz w:val="24"/>
          <w:szCs w:val="24"/>
        </w:rPr>
        <w:t xml:space="preserve">(6), 6953–6981. </w:t>
      </w:r>
      <w:r>
        <w:rPr/>
        <w:fldChar w:fldCharType="begin"/>
      </w:r>
      <w:r>
        <w:instrText xml:space="preserve"> HYPERLINK "https://doi.org/10.3390/molecules17066953" </w:instrText>
      </w:r>
      <w:r>
        <w:rPr/>
        <w:fldChar w:fldCharType="separate"/>
      </w:r>
      <w:r>
        <w:rPr>
          <w:rFonts w:ascii="Times New Roman" w:cs="Times New Roman" w:eastAsia="Times New Roman" w:hAnsi="Times New Roman"/>
          <w:color w:val="0000ff"/>
          <w:sz w:val="24"/>
          <w:szCs w:val="24"/>
          <w:u w:val="single"/>
        </w:rPr>
        <w:t>https://doi.org/10.3390/molecules17066953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Kharroubi</w:t>
      </w:r>
      <w:r>
        <w:rPr>
          <w:rFonts w:ascii="Times New Roman" w:cs="Times New Roman" w:eastAsia="Times New Roman" w:hAnsi="Times New Roman"/>
          <w:sz w:val="24"/>
          <w:szCs w:val="24"/>
        </w:rPr>
        <w:t xml:space="preserve">, A. T., &amp; Darwish, H. M. (2015). Diabetes mellitus: The epidemic of the century. </w:t>
      </w:r>
      <w:r>
        <w:rPr>
          <w:rFonts w:ascii="Times New Roman" w:cs="Times New Roman" w:eastAsia="Times New Roman" w:hAnsi="Times New Roman"/>
          <w:i/>
          <w:iCs/>
          <w:sz w:val="24"/>
          <w:szCs w:val="24"/>
        </w:rPr>
        <w:t>World Journal of Diabetes, 6</w:t>
      </w:r>
      <w:r>
        <w:rPr>
          <w:rFonts w:ascii="Times New Roman" w:cs="Times New Roman" w:eastAsia="Times New Roman" w:hAnsi="Times New Roman"/>
          <w:sz w:val="24"/>
          <w:szCs w:val="24"/>
        </w:rPr>
        <w:t xml:space="preserve">(6), 850–867. </w:t>
      </w:r>
      <w:r>
        <w:rPr/>
        <w:fldChar w:fldCharType="begin"/>
      </w:r>
      <w:r>
        <w:instrText xml:space="preserve"> HYPERLINK "https://doi.org/10.4239/wjd.v6.i6.850" </w:instrText>
      </w:r>
      <w:r>
        <w:rPr/>
        <w:fldChar w:fldCharType="separate"/>
      </w:r>
      <w:r>
        <w:rPr>
          <w:rFonts w:ascii="Times New Roman" w:cs="Times New Roman" w:eastAsia="Times New Roman" w:hAnsi="Times New Roman"/>
          <w:color w:val="0000ff"/>
          <w:sz w:val="24"/>
          <w:szCs w:val="24"/>
          <w:u w:val="single"/>
        </w:rPr>
        <w:t>https://doi.org/10.4239/wjd.v6.i6.850</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Kurokawa</w:t>
      </w:r>
      <w:r>
        <w:rPr>
          <w:rFonts w:ascii="Times New Roman" w:cs="Times New Roman" w:eastAsia="Times New Roman" w:hAnsi="Times New Roman"/>
          <w:sz w:val="24"/>
          <w:szCs w:val="24"/>
        </w:rPr>
        <w:t xml:space="preserve">, M., </w:t>
      </w:r>
      <w:r>
        <w:rPr>
          <w:rFonts w:ascii="Times New Roman" w:cs="Times New Roman" w:eastAsia="Times New Roman" w:hAnsi="Times New Roman"/>
          <w:sz w:val="24"/>
          <w:szCs w:val="24"/>
        </w:rPr>
        <w:t>Hozumi</w:t>
      </w:r>
      <w:r>
        <w:rPr>
          <w:rFonts w:ascii="Times New Roman" w:cs="Times New Roman" w:eastAsia="Times New Roman" w:hAnsi="Times New Roman"/>
          <w:sz w:val="24"/>
          <w:szCs w:val="24"/>
        </w:rPr>
        <w:t xml:space="preserve">, T., Basnet, P., Nakano, M., </w:t>
      </w:r>
      <w:r>
        <w:rPr>
          <w:rFonts w:ascii="Times New Roman" w:cs="Times New Roman" w:eastAsia="Times New Roman" w:hAnsi="Times New Roman"/>
          <w:sz w:val="24"/>
          <w:szCs w:val="24"/>
        </w:rPr>
        <w:t>Kadota</w:t>
      </w:r>
      <w:r>
        <w:rPr>
          <w:rFonts w:ascii="Times New Roman" w:cs="Times New Roman" w:eastAsia="Times New Roman" w:hAnsi="Times New Roman"/>
          <w:sz w:val="24"/>
          <w:szCs w:val="24"/>
        </w:rPr>
        <w:t xml:space="preserve">, S., </w:t>
      </w:r>
      <w:r>
        <w:rPr>
          <w:rFonts w:ascii="Times New Roman" w:cs="Times New Roman" w:eastAsia="Times New Roman" w:hAnsi="Times New Roman"/>
          <w:sz w:val="24"/>
          <w:szCs w:val="24"/>
        </w:rPr>
        <w:t>Namba</w:t>
      </w:r>
      <w:r>
        <w:rPr>
          <w:rFonts w:ascii="Times New Roman" w:cs="Times New Roman" w:eastAsia="Times New Roman" w:hAnsi="Times New Roman"/>
          <w:sz w:val="24"/>
          <w:szCs w:val="24"/>
        </w:rPr>
        <w:t xml:space="preserve">, T.,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(2018). Purification and characterization of </w:t>
      </w:r>
      <w:r>
        <w:rPr>
          <w:rFonts w:ascii="Times New Roman" w:cs="Times New Roman" w:eastAsia="Times New Roman" w:hAnsi="Times New Roman"/>
          <w:sz w:val="24"/>
          <w:szCs w:val="24"/>
        </w:rPr>
        <w:t>eugeniin</w:t>
      </w:r>
      <w:r>
        <w:rPr>
          <w:rFonts w:ascii="Times New Roman" w:cs="Times New Roman" w:eastAsia="Times New Roman" w:hAnsi="Times New Roman"/>
          <w:sz w:val="24"/>
          <w:szCs w:val="24"/>
        </w:rPr>
        <w:t xml:space="preserve"> as an anti-herpesvirus compound from </w:t>
      </w:r>
      <w:r>
        <w:rPr>
          <w:rFonts w:ascii="Times New Roman" w:cs="Times New Roman" w:eastAsia="Times New Roman" w:hAnsi="Times New Roman"/>
          <w:i/>
          <w:iCs/>
          <w:sz w:val="24"/>
          <w:szCs w:val="24"/>
        </w:rPr>
        <w:t>Geum</w:t>
      </w:r>
      <w:r>
        <w:rPr>
          <w:rFonts w:ascii="Times New Roman" w:cs="Times New Roman" w:eastAsia="Times New Roman" w:hAnsi="Times New Roman"/>
          <w:i/>
          <w:iCs/>
          <w:sz w:val="24"/>
          <w:szCs w:val="24"/>
        </w:rPr>
        <w:t xml:space="preserve"> japonicum</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Journal of Pharmacology and Experimental Therapeutics, 284</w:t>
      </w:r>
      <w:r>
        <w:rPr>
          <w:rFonts w:ascii="Times New Roman" w:cs="Times New Roman" w:eastAsia="Times New Roman" w:hAnsi="Times New Roman"/>
          <w:sz w:val="24"/>
          <w:szCs w:val="24"/>
        </w:rPr>
        <w:t>(2), 728–735.</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Li, H. Y., Lee, B. K., Kim, J. S., Jung, S. J., &amp; Oh, S. B. (2088). Eugenol inhibits ATP-induced P2X currents in trigeminal ganglion neurons. </w:t>
      </w:r>
      <w:r>
        <w:rPr>
          <w:rFonts w:ascii="Times New Roman" w:cs="Times New Roman" w:eastAsia="Times New Roman" w:hAnsi="Times New Roman"/>
          <w:i/>
          <w:iCs/>
          <w:sz w:val="24"/>
          <w:szCs w:val="24"/>
        </w:rPr>
        <w:t>Korean Journal of Physiology &amp; Pharmacology, 12</w:t>
      </w:r>
      <w:r>
        <w:rPr>
          <w:rFonts w:ascii="Times New Roman" w:cs="Times New Roman" w:eastAsia="Times New Roman" w:hAnsi="Times New Roman"/>
          <w:sz w:val="24"/>
          <w:szCs w:val="24"/>
        </w:rPr>
        <w:t>(6), 315–321.</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Li, W. J., </w:t>
      </w:r>
      <w:r>
        <w:rPr>
          <w:rFonts w:ascii="Times New Roman" w:cs="Times New Roman" w:eastAsia="Times New Roman" w:hAnsi="Times New Roman"/>
          <w:sz w:val="24"/>
          <w:szCs w:val="24"/>
        </w:rPr>
        <w:t>Nie</w:t>
      </w:r>
      <w:r>
        <w:rPr>
          <w:rFonts w:ascii="Times New Roman" w:cs="Times New Roman" w:eastAsia="Times New Roman" w:hAnsi="Times New Roman"/>
          <w:sz w:val="24"/>
          <w:szCs w:val="24"/>
        </w:rPr>
        <w:t xml:space="preserve">, S. P., Liu, X. Z., Zhang, H., Yang, Y., &amp; Yu, Q.,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(2012). Antimicrobial properties, antioxidant activity, and cytotoxicity of ethanol-soluble acidic components from </w:t>
      </w:r>
      <w:r>
        <w:rPr>
          <w:rFonts w:ascii="Times New Roman" w:cs="Times New Roman" w:eastAsia="Times New Roman" w:hAnsi="Times New Roman"/>
          <w:i/>
          <w:iCs/>
          <w:sz w:val="24"/>
          <w:szCs w:val="24"/>
        </w:rPr>
        <w:t>Ganoderma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atrum</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Food and Chemical Toxicology, 50,</w:t>
      </w:r>
      <w:r>
        <w:rPr>
          <w:rFonts w:ascii="Times New Roman" w:cs="Times New Roman" w:eastAsia="Times New Roman" w:hAnsi="Times New Roman"/>
          <w:sz w:val="24"/>
          <w:szCs w:val="24"/>
        </w:rPr>
        <w:t xml:space="preserve"> 689–694. </w:t>
      </w:r>
      <w:r>
        <w:rPr/>
        <w:fldChar w:fldCharType="begin"/>
      </w:r>
      <w:r>
        <w:instrText xml:space="preserve"> HYPERLINK "https://doi.org/10.1016/j.fct.2011.12.011" </w:instrText>
      </w:r>
      <w:r>
        <w:rPr/>
        <w:fldChar w:fldCharType="separate"/>
      </w:r>
      <w:r>
        <w:rPr>
          <w:rFonts w:ascii="Times New Roman" w:cs="Times New Roman" w:eastAsia="Times New Roman" w:hAnsi="Times New Roman"/>
          <w:color w:val="0000ff"/>
          <w:sz w:val="24"/>
          <w:szCs w:val="24"/>
          <w:u w:val="single"/>
        </w:rPr>
        <w:t>https://doi.org/10.1016/j.fct.2011.12.011</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Lillioja</w:t>
      </w:r>
      <w:r>
        <w:rPr>
          <w:rFonts w:ascii="Times New Roman" w:cs="Times New Roman" w:eastAsia="Times New Roman" w:hAnsi="Times New Roman"/>
          <w:sz w:val="24"/>
          <w:szCs w:val="24"/>
        </w:rPr>
        <w:t xml:space="preserve">, S., Mott, D. M., </w:t>
      </w:r>
      <w:r>
        <w:rPr>
          <w:rFonts w:ascii="Times New Roman" w:cs="Times New Roman" w:eastAsia="Times New Roman" w:hAnsi="Times New Roman"/>
          <w:sz w:val="24"/>
          <w:szCs w:val="24"/>
        </w:rPr>
        <w:t>Spraul</w:t>
      </w:r>
      <w:r>
        <w:rPr>
          <w:rFonts w:ascii="Times New Roman" w:cs="Times New Roman" w:eastAsia="Times New Roman" w:hAnsi="Times New Roman"/>
          <w:sz w:val="24"/>
          <w:szCs w:val="24"/>
        </w:rPr>
        <w:t xml:space="preserve">, M., Ferraro, R., Foley, J. E., </w:t>
      </w:r>
      <w:r>
        <w:rPr>
          <w:rFonts w:ascii="Times New Roman" w:cs="Times New Roman" w:eastAsia="Times New Roman" w:hAnsi="Times New Roman"/>
          <w:sz w:val="24"/>
          <w:szCs w:val="24"/>
        </w:rPr>
        <w:t>Ravussin</w:t>
      </w:r>
      <w:r>
        <w:rPr>
          <w:rFonts w:ascii="Times New Roman" w:cs="Times New Roman" w:eastAsia="Times New Roman" w:hAnsi="Times New Roman"/>
          <w:sz w:val="24"/>
          <w:szCs w:val="24"/>
        </w:rPr>
        <w:t xml:space="preserve">, 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(2013). Insulin resistance and insulin secretory dysfunction as precursors of non–insulin–dependent diabetes. </w:t>
      </w:r>
      <w:r>
        <w:rPr>
          <w:rFonts w:ascii="Times New Roman" w:cs="Times New Roman" w:eastAsia="Times New Roman" w:hAnsi="Times New Roman"/>
          <w:i/>
          <w:iCs/>
          <w:sz w:val="24"/>
          <w:szCs w:val="24"/>
        </w:rPr>
        <w:t>The New England Journal of Medicine, 329,</w:t>
      </w:r>
      <w:r>
        <w:rPr>
          <w:rFonts w:ascii="Times New Roman" w:cs="Times New Roman" w:eastAsia="Times New Roman" w:hAnsi="Times New Roman"/>
          <w:sz w:val="24"/>
          <w:szCs w:val="24"/>
        </w:rPr>
        <w:t xml:space="preserve"> 1988–1992.</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Matan, N., </w:t>
      </w:r>
      <w:r>
        <w:rPr>
          <w:rFonts w:ascii="Times New Roman" w:cs="Times New Roman" w:eastAsia="Times New Roman" w:hAnsi="Times New Roman"/>
          <w:sz w:val="24"/>
          <w:szCs w:val="24"/>
        </w:rPr>
        <w:t>Rimkeeree</w:t>
      </w:r>
      <w:r>
        <w:rPr>
          <w:rFonts w:ascii="Times New Roman" w:cs="Times New Roman" w:eastAsia="Times New Roman" w:hAnsi="Times New Roman"/>
          <w:sz w:val="24"/>
          <w:szCs w:val="24"/>
        </w:rPr>
        <w:t xml:space="preserve">, H., Mawson, A. J., </w:t>
      </w:r>
      <w:r>
        <w:rPr>
          <w:rFonts w:ascii="Times New Roman" w:cs="Times New Roman" w:eastAsia="Times New Roman" w:hAnsi="Times New Roman"/>
          <w:sz w:val="24"/>
          <w:szCs w:val="24"/>
        </w:rPr>
        <w:t>Chompreeda</w:t>
      </w:r>
      <w:r>
        <w:rPr>
          <w:rFonts w:ascii="Times New Roman" w:cs="Times New Roman" w:eastAsia="Times New Roman" w:hAnsi="Times New Roman"/>
          <w:sz w:val="24"/>
          <w:szCs w:val="24"/>
        </w:rPr>
        <w:t xml:space="preserve">, P., </w:t>
      </w:r>
      <w:r>
        <w:rPr>
          <w:rFonts w:ascii="Times New Roman" w:cs="Times New Roman" w:eastAsia="Times New Roman" w:hAnsi="Times New Roman"/>
          <w:sz w:val="24"/>
          <w:szCs w:val="24"/>
        </w:rPr>
        <w:t>Haruthaithanasan</w:t>
      </w:r>
      <w:r>
        <w:rPr>
          <w:rFonts w:ascii="Times New Roman" w:cs="Times New Roman" w:eastAsia="Times New Roman" w:hAnsi="Times New Roman"/>
          <w:sz w:val="24"/>
          <w:szCs w:val="24"/>
        </w:rPr>
        <w:t xml:space="preserve">, V., &amp; Parker, M. (2016). Antimicrobial activity of cinnamon and clove oils under modified </w:t>
      </w:r>
      <w:r>
        <w:rPr>
          <w:rFonts w:ascii="Times New Roman" w:cs="Times New Roman" w:eastAsia="Times New Roman" w:hAnsi="Times New Roman"/>
          <w:sz w:val="24"/>
          <w:szCs w:val="24"/>
        </w:rPr>
        <w:t xml:space="preserve">atmosphere conditions. </w:t>
      </w:r>
      <w:r>
        <w:rPr>
          <w:rFonts w:ascii="Times New Roman" w:cs="Times New Roman" w:eastAsia="Times New Roman" w:hAnsi="Times New Roman"/>
          <w:i/>
          <w:iCs/>
          <w:sz w:val="24"/>
          <w:szCs w:val="24"/>
        </w:rPr>
        <w:t>International Journal of Food Microbiology, 107,</w:t>
      </w:r>
      <w:r>
        <w:rPr>
          <w:rFonts w:ascii="Times New Roman" w:cs="Times New Roman" w:eastAsia="Times New Roman" w:hAnsi="Times New Roman"/>
          <w:sz w:val="24"/>
          <w:szCs w:val="24"/>
        </w:rPr>
        <w:t xml:space="preserve"> 180–185. </w:t>
      </w:r>
      <w:r>
        <w:rPr/>
        <w:fldChar w:fldCharType="begin"/>
      </w:r>
      <w:r>
        <w:instrText xml:space="preserve"> HYPERLINK "https://doi.org/10.1016/j.ijfoodmicro.2005.07.007" </w:instrText>
      </w:r>
      <w:r>
        <w:rPr/>
        <w:fldChar w:fldCharType="separate"/>
      </w:r>
      <w:r>
        <w:rPr>
          <w:rFonts w:ascii="Times New Roman" w:cs="Times New Roman" w:eastAsia="Times New Roman" w:hAnsi="Times New Roman"/>
          <w:color w:val="0000ff"/>
          <w:sz w:val="24"/>
          <w:szCs w:val="24"/>
          <w:u w:val="single"/>
        </w:rPr>
        <w:t>https://doi.org/10.1016/j.ijfoodmicro.2005.07.007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Mehta, K. D., Garg, G. R., Mehta, A. K., Arora, T., Sharma, A. K., Khanna, N.,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(2010). Reversal of propoxur-induced impairment of memory and oxidative stress by 4′-chlorodiazepam in rats. </w:t>
      </w:r>
      <w:r>
        <w:rPr>
          <w:rFonts w:ascii="Times New Roman" w:cs="Times New Roman" w:eastAsia="Times New Roman" w:hAnsi="Times New Roman"/>
          <w:i/>
          <w:iCs/>
          <w:sz w:val="24"/>
          <w:szCs w:val="24"/>
        </w:rPr>
        <w:t>Naunyn-Schmiedeberg's</w:t>
      </w:r>
      <w:r>
        <w:rPr>
          <w:rFonts w:ascii="Times New Roman" w:cs="Times New Roman" w:eastAsia="Times New Roman" w:hAnsi="Times New Roman"/>
          <w:i/>
          <w:iCs/>
          <w:sz w:val="24"/>
          <w:szCs w:val="24"/>
        </w:rPr>
        <w:t xml:space="preserve"> Archives of Pharmacology, 381</w:t>
      </w:r>
      <w:r>
        <w:rPr>
          <w:rFonts w:ascii="Times New Roman" w:cs="Times New Roman" w:eastAsia="Times New Roman" w:hAnsi="Times New Roman"/>
          <w:sz w:val="24"/>
          <w:szCs w:val="24"/>
        </w:rPr>
        <w:t>(1), 1–10.</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Mohan, V., &amp; </w:t>
      </w:r>
      <w:r>
        <w:rPr>
          <w:rFonts w:ascii="Times New Roman" w:cs="Times New Roman" w:eastAsia="Times New Roman" w:hAnsi="Times New Roman"/>
          <w:sz w:val="24"/>
          <w:szCs w:val="24"/>
        </w:rPr>
        <w:t>Pradeepa</w:t>
      </w:r>
      <w:r>
        <w:rPr>
          <w:rFonts w:ascii="Times New Roman" w:cs="Times New Roman" w:eastAsia="Times New Roman" w:hAnsi="Times New Roman"/>
          <w:sz w:val="24"/>
          <w:szCs w:val="24"/>
        </w:rPr>
        <w:t xml:space="preserve">, R. (2019). Epidemiology of diabetes in different regions of India. </w:t>
      </w:r>
      <w:r>
        <w:rPr>
          <w:rFonts w:ascii="Times New Roman" w:cs="Times New Roman" w:eastAsia="Times New Roman" w:hAnsi="Times New Roman"/>
          <w:i/>
          <w:iCs/>
          <w:sz w:val="24"/>
          <w:szCs w:val="24"/>
        </w:rPr>
        <w:t>Diabetes Research and Clinical Practice, 22,</w:t>
      </w:r>
      <w:r>
        <w:rPr>
          <w:rFonts w:ascii="Times New Roman" w:cs="Times New Roman" w:eastAsia="Times New Roman" w:hAnsi="Times New Roman"/>
          <w:sz w:val="24"/>
          <w:szCs w:val="24"/>
        </w:rPr>
        <w:t xml:space="preserve"> 1–18.</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Mooy</w:t>
      </w:r>
      <w:r>
        <w:rPr>
          <w:rFonts w:ascii="Times New Roman" w:cs="Times New Roman" w:eastAsia="Times New Roman" w:hAnsi="Times New Roman"/>
          <w:sz w:val="24"/>
          <w:szCs w:val="24"/>
        </w:rPr>
        <w:t xml:space="preserve">, J. M., </w:t>
      </w:r>
      <w:r>
        <w:rPr>
          <w:rFonts w:ascii="Times New Roman" w:cs="Times New Roman" w:eastAsia="Times New Roman" w:hAnsi="Times New Roman"/>
          <w:sz w:val="24"/>
          <w:szCs w:val="24"/>
        </w:rPr>
        <w:t>Grootenhuis</w:t>
      </w:r>
      <w:r>
        <w:rPr>
          <w:rFonts w:ascii="Times New Roman" w:cs="Times New Roman" w:eastAsia="Times New Roman" w:hAnsi="Times New Roman"/>
          <w:sz w:val="24"/>
          <w:szCs w:val="24"/>
        </w:rPr>
        <w:t xml:space="preserve">, P. A., de Vries, H., Valkenburg, H. A., </w:t>
      </w:r>
      <w:r>
        <w:rPr>
          <w:rFonts w:ascii="Times New Roman" w:cs="Times New Roman" w:eastAsia="Times New Roman" w:hAnsi="Times New Roman"/>
          <w:sz w:val="24"/>
          <w:szCs w:val="24"/>
        </w:rPr>
        <w:t>Bouter</w:t>
      </w:r>
      <w:r>
        <w:rPr>
          <w:rFonts w:ascii="Times New Roman" w:cs="Times New Roman" w:eastAsia="Times New Roman" w:hAnsi="Times New Roman"/>
          <w:sz w:val="24"/>
          <w:szCs w:val="24"/>
        </w:rPr>
        <w:t xml:space="preserve">, L. M., &amp; </w:t>
      </w:r>
      <w:r>
        <w:rPr>
          <w:rFonts w:ascii="Times New Roman" w:cs="Times New Roman" w:eastAsia="Times New Roman" w:hAnsi="Times New Roman"/>
          <w:sz w:val="24"/>
          <w:szCs w:val="24"/>
        </w:rPr>
        <w:t>Kostense</w:t>
      </w:r>
      <w:r>
        <w:rPr>
          <w:rFonts w:ascii="Times New Roman" w:cs="Times New Roman" w:eastAsia="Times New Roman" w:hAnsi="Times New Roman"/>
          <w:sz w:val="24"/>
          <w:szCs w:val="24"/>
        </w:rPr>
        <w:t xml:space="preserve">, P. J.,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(2015). Prevalence and determinants of glucose intolerance in a Dutch population. </w:t>
      </w:r>
      <w:r>
        <w:rPr>
          <w:rFonts w:ascii="Times New Roman" w:cs="Times New Roman" w:eastAsia="Times New Roman" w:hAnsi="Times New Roman"/>
          <w:i/>
          <w:iCs/>
          <w:sz w:val="24"/>
          <w:szCs w:val="24"/>
        </w:rPr>
        <w:t>Diabetes Care, 18,</w:t>
      </w:r>
      <w:r>
        <w:rPr>
          <w:rFonts w:ascii="Times New Roman" w:cs="Times New Roman" w:eastAsia="Times New Roman" w:hAnsi="Times New Roman"/>
          <w:sz w:val="24"/>
          <w:szCs w:val="24"/>
        </w:rPr>
        <w:t xml:space="preserve"> 1270–1273.</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Muddapur</w:t>
      </w:r>
      <w:r>
        <w:rPr>
          <w:rFonts w:ascii="Times New Roman" w:cs="Times New Roman" w:eastAsia="Times New Roman" w:hAnsi="Times New Roman"/>
          <w:sz w:val="24"/>
          <w:szCs w:val="24"/>
        </w:rPr>
        <w:t xml:space="preserve">, U. M., Lava, M. B., &amp; </w:t>
      </w:r>
      <w:r>
        <w:rPr>
          <w:rFonts w:ascii="Times New Roman" w:cs="Times New Roman" w:eastAsia="Times New Roman" w:hAnsi="Times New Roman"/>
          <w:sz w:val="24"/>
          <w:szCs w:val="24"/>
        </w:rPr>
        <w:t>Mahnashi</w:t>
      </w:r>
      <w:r>
        <w:rPr>
          <w:rFonts w:ascii="Times New Roman" w:cs="Times New Roman" w:eastAsia="Times New Roman" w:hAnsi="Times New Roman"/>
          <w:sz w:val="24"/>
          <w:szCs w:val="24"/>
        </w:rPr>
        <w:t xml:space="preserve">, M. H. (2022). Evaluation of green synthesized gold nanoparticles from </w:t>
      </w:r>
      <w:r>
        <w:rPr>
          <w:rFonts w:ascii="Times New Roman" w:cs="Times New Roman" w:eastAsia="Times New Roman" w:hAnsi="Times New Roman"/>
          <w:i/>
          <w:iCs/>
          <w:sz w:val="24"/>
          <w:szCs w:val="24"/>
        </w:rPr>
        <w:t>Abrus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precatorius</w:t>
      </w:r>
      <w:r>
        <w:rPr>
          <w:rFonts w:ascii="Times New Roman" w:cs="Times New Roman" w:eastAsia="Times New Roman" w:hAnsi="Times New Roman"/>
          <w:sz w:val="24"/>
          <w:szCs w:val="24"/>
        </w:rPr>
        <w:t xml:space="preserve"> seeds for their antibacterial, anti-inflammatory, anti-proliferative, and antidiabetic properties. </w:t>
      </w:r>
      <w:r>
        <w:rPr>
          <w:rFonts w:ascii="Times New Roman" w:cs="Times New Roman" w:eastAsia="Times New Roman" w:hAnsi="Times New Roman"/>
          <w:i/>
          <w:iCs/>
          <w:sz w:val="24"/>
          <w:szCs w:val="24"/>
        </w:rPr>
        <w:t>Latin American Journal of Pharmacy, 41,</w:t>
      </w:r>
      <w:r>
        <w:rPr>
          <w:rFonts w:ascii="Times New Roman" w:cs="Times New Roman" w:eastAsia="Times New Roman" w:hAnsi="Times New Roman"/>
          <w:sz w:val="24"/>
          <w:szCs w:val="24"/>
        </w:rPr>
        <w:t xml:space="preserve"> 17–45.</w:t>
      </w:r>
    </w:p>
    <w:p>
      <w:pPr>
        <w:pStyle w:val="style94"/>
        <w:ind w:left="720" w:hanging="720"/>
        <w:jc w:val="both"/>
        <w:rPr/>
      </w:pPr>
      <w:r>
        <w:t>Nirwati</w:t>
      </w:r>
      <w:r>
        <w:t xml:space="preserve">, H., </w:t>
      </w:r>
      <w:r>
        <w:t>Sinanjung</w:t>
      </w:r>
      <w:r>
        <w:t xml:space="preserve">, K., </w:t>
      </w:r>
      <w:r>
        <w:t>Fahrunissa</w:t>
      </w:r>
      <w:r>
        <w:t xml:space="preserve">, F., </w:t>
      </w:r>
      <w:r>
        <w:t>Wahyuni</w:t>
      </w:r>
      <w:r>
        <w:t xml:space="preserve">, R. M., &amp; </w:t>
      </w:r>
      <w:r>
        <w:t>Sudarmono</w:t>
      </w:r>
      <w:r>
        <w:t xml:space="preserve">, P. (2022). Methicillin-resistant </w:t>
      </w:r>
      <w:r>
        <w:rPr>
          <w:rStyle w:val="style88"/>
        </w:rPr>
        <w:t>Staphylococcus aureus</w:t>
      </w:r>
      <w:r>
        <w:t xml:space="preserve"> in hospitals: Epidemiology and current treatment options. </w:t>
      </w:r>
      <w:r>
        <w:rPr>
          <w:rStyle w:val="style88"/>
        </w:rPr>
        <w:t>Microorganisms</w:t>
      </w:r>
      <w:r>
        <w:t xml:space="preserve">, 10(2), 354. </w:t>
      </w:r>
      <w:r>
        <w:rPr/>
        <w:fldChar w:fldCharType="begin"/>
      </w:r>
      <w:r>
        <w:instrText xml:space="preserve"> HYPERLINK "https://doi.org/10.3390/microorganisms10020354" </w:instrText>
      </w:r>
      <w:r>
        <w:rPr/>
        <w:fldChar w:fldCharType="separate"/>
      </w:r>
      <w:r>
        <w:rPr>
          <w:rStyle w:val="style85"/>
          <w:rFonts w:eastAsia="宋体"/>
        </w:rPr>
        <w:t>https://doi.org/10.3390/microorganisms10020354</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Nuñez</w:t>
      </w:r>
      <w:r>
        <w:rPr>
          <w:rFonts w:ascii="Times New Roman" w:cs="Times New Roman" w:eastAsia="Times New Roman" w:hAnsi="Times New Roman"/>
          <w:sz w:val="24"/>
          <w:szCs w:val="24"/>
        </w:rPr>
        <w:t xml:space="preserve">, L., &amp; </w:t>
      </w:r>
      <w:r>
        <w:rPr>
          <w:rFonts w:ascii="Times New Roman" w:cs="Times New Roman" w:eastAsia="Times New Roman" w:hAnsi="Times New Roman"/>
          <w:sz w:val="24"/>
          <w:szCs w:val="24"/>
        </w:rPr>
        <w:t>D'Aquino</w:t>
      </w:r>
      <w:r>
        <w:rPr>
          <w:rFonts w:ascii="Times New Roman" w:cs="Times New Roman" w:eastAsia="Times New Roman" w:hAnsi="Times New Roman"/>
          <w:sz w:val="24"/>
          <w:szCs w:val="24"/>
        </w:rPr>
        <w:t>, M. (2012). Microbicide activity of clove essential oil (</w:t>
      </w:r>
      <w:r>
        <w:rPr>
          <w:rFonts w:ascii="Times New Roman" w:cs="Times New Roman" w:eastAsia="Times New Roman" w:hAnsi="Times New Roman"/>
          <w:i/>
          <w:iCs/>
          <w:sz w:val="24"/>
          <w:szCs w:val="24"/>
        </w:rPr>
        <w:t xml:space="preserve">Eugenia </w:t>
      </w:r>
      <w:r>
        <w:rPr>
          <w:rFonts w:ascii="Times New Roman" w:cs="Times New Roman" w:eastAsia="Times New Roman" w:hAnsi="Times New Roman"/>
          <w:i/>
          <w:iCs/>
          <w:sz w:val="24"/>
          <w:szCs w:val="24"/>
        </w:rPr>
        <w:t>caryophyllata</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Brazilian Journal of Microbiology, 43,</w:t>
      </w:r>
      <w:r>
        <w:rPr>
          <w:rFonts w:ascii="Times New Roman" w:cs="Times New Roman" w:eastAsia="Times New Roman" w:hAnsi="Times New Roman"/>
          <w:sz w:val="24"/>
          <w:szCs w:val="24"/>
        </w:rPr>
        <w:t xml:space="preserve"> 1255–1260. </w:t>
      </w:r>
      <w:r>
        <w:rPr/>
        <w:fldChar w:fldCharType="begin"/>
      </w:r>
      <w:r>
        <w:instrText xml:space="preserve"> HYPERLINK "https://doi.org/10.1590/S1517-83822012000400003" </w:instrText>
      </w:r>
      <w:r>
        <w:rPr/>
        <w:fldChar w:fldCharType="separate"/>
      </w:r>
      <w:r>
        <w:rPr>
          <w:rFonts w:ascii="Times New Roman" w:cs="Times New Roman" w:eastAsia="Times New Roman" w:hAnsi="Times New Roman"/>
          <w:color w:val="0000ff"/>
          <w:sz w:val="24"/>
          <w:szCs w:val="24"/>
          <w:u w:val="single"/>
        </w:rPr>
        <w:t>https://doi.org/10.1590/S1517-83822012000400003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Ohkubo, T., &amp; Shibata, M. (2017). The selective capsaicin antagonist </w:t>
      </w:r>
      <w:r>
        <w:rPr>
          <w:rFonts w:ascii="Times New Roman" w:cs="Times New Roman" w:eastAsia="Times New Roman" w:hAnsi="Times New Roman"/>
          <w:sz w:val="24"/>
          <w:szCs w:val="24"/>
        </w:rPr>
        <w:t>capsazepine</w:t>
      </w:r>
      <w:r>
        <w:rPr>
          <w:rFonts w:ascii="Times New Roman" w:cs="Times New Roman" w:eastAsia="Times New Roman" w:hAnsi="Times New Roman"/>
          <w:sz w:val="24"/>
          <w:szCs w:val="24"/>
        </w:rPr>
        <w:t xml:space="preserve"> abolishes the antinociceptive action of eugenol and guaiacol. </w:t>
      </w:r>
      <w:r>
        <w:rPr>
          <w:rFonts w:ascii="Times New Roman" w:cs="Times New Roman" w:eastAsia="Times New Roman" w:hAnsi="Times New Roman"/>
          <w:i/>
          <w:iCs/>
          <w:sz w:val="24"/>
          <w:szCs w:val="24"/>
        </w:rPr>
        <w:t>Journal of Dental Research, 76</w:t>
      </w:r>
      <w:r>
        <w:rPr>
          <w:rFonts w:ascii="Times New Roman" w:cs="Times New Roman" w:eastAsia="Times New Roman" w:hAnsi="Times New Roman"/>
          <w:sz w:val="24"/>
          <w:szCs w:val="24"/>
        </w:rPr>
        <w:t>(4), 848–851.</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Oliveira, R. A., Oliveira, F. F., &amp; Sacramento, C. K. (2017). [Essential oils: Prospects for agribusiness spices in Bahia]. </w:t>
      </w:r>
      <w:r>
        <w:rPr>
          <w:rFonts w:ascii="Times New Roman" w:cs="Times New Roman" w:eastAsia="Times New Roman" w:hAnsi="Times New Roman"/>
          <w:i/>
          <w:iCs/>
          <w:sz w:val="24"/>
          <w:szCs w:val="24"/>
        </w:rPr>
        <w:t>Bahia Agric, 8</w:t>
      </w:r>
      <w:r>
        <w:rPr>
          <w:rFonts w:ascii="Times New Roman" w:cs="Times New Roman" w:eastAsia="Times New Roman" w:hAnsi="Times New Roman"/>
          <w:sz w:val="24"/>
          <w:szCs w:val="24"/>
        </w:rPr>
        <w:t>(1), 46–48.</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Park, M. J., </w:t>
      </w:r>
      <w:r>
        <w:rPr>
          <w:rFonts w:ascii="Times New Roman" w:cs="Times New Roman" w:eastAsia="Times New Roman" w:hAnsi="Times New Roman"/>
          <w:sz w:val="24"/>
          <w:szCs w:val="24"/>
        </w:rPr>
        <w:t>Gwak</w:t>
      </w:r>
      <w:r>
        <w:rPr>
          <w:rFonts w:ascii="Times New Roman" w:cs="Times New Roman" w:eastAsia="Times New Roman" w:hAnsi="Times New Roman"/>
          <w:sz w:val="24"/>
          <w:szCs w:val="24"/>
        </w:rPr>
        <w:t xml:space="preserve">, K. S., Yang, I., Choi, W. S., Jo, H. J., Chang, J. W.,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(2017). Antifungal activities of the essential oils in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Merr</w:t>
      </w:r>
      <w:r>
        <w:rPr>
          <w:rFonts w:ascii="Times New Roman" w:cs="Times New Roman" w:eastAsia="Times New Roman" w:hAnsi="Times New Roman"/>
          <w:sz w:val="24"/>
          <w:szCs w:val="24"/>
        </w:rPr>
        <w:t xml:space="preserve">. et Perry and </w:t>
      </w:r>
      <w:r>
        <w:rPr>
          <w:rFonts w:ascii="Times New Roman" w:cs="Times New Roman" w:eastAsia="Times New Roman" w:hAnsi="Times New Roman"/>
          <w:i/>
          <w:iCs/>
          <w:sz w:val="24"/>
          <w:szCs w:val="24"/>
        </w:rPr>
        <w:t xml:space="preserve">Leptospermum </w:t>
      </w:r>
      <w:r>
        <w:rPr>
          <w:rFonts w:ascii="Times New Roman" w:cs="Times New Roman" w:eastAsia="Times New Roman" w:hAnsi="Times New Roman"/>
          <w:i/>
          <w:iCs/>
          <w:sz w:val="24"/>
          <w:szCs w:val="24"/>
        </w:rPr>
        <w:t>petersonii</w:t>
      </w:r>
      <w:r>
        <w:rPr>
          <w:rFonts w:ascii="Times New Roman" w:cs="Times New Roman" w:eastAsia="Times New Roman" w:hAnsi="Times New Roman"/>
          <w:sz w:val="24"/>
          <w:szCs w:val="24"/>
        </w:rPr>
        <w:t xml:space="preserve"> Bailey and their constituents against various dermatophytes. </w:t>
      </w:r>
      <w:r>
        <w:rPr>
          <w:rFonts w:ascii="Times New Roman" w:cs="Times New Roman" w:eastAsia="Times New Roman" w:hAnsi="Times New Roman"/>
          <w:i/>
          <w:iCs/>
          <w:sz w:val="24"/>
          <w:szCs w:val="24"/>
        </w:rPr>
        <w:t>Journal of Microbiology, 45</w:t>
      </w:r>
      <w:r>
        <w:rPr>
          <w:rFonts w:ascii="Times New Roman" w:cs="Times New Roman" w:eastAsia="Times New Roman" w:hAnsi="Times New Roman"/>
          <w:sz w:val="24"/>
          <w:szCs w:val="24"/>
        </w:rPr>
        <w:t>(5), 460–465.</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Pérez-Conesa, D., </w:t>
      </w:r>
      <w:r>
        <w:rPr>
          <w:rFonts w:ascii="Times New Roman" w:cs="Times New Roman" w:eastAsia="Times New Roman" w:hAnsi="Times New Roman"/>
          <w:sz w:val="24"/>
          <w:szCs w:val="24"/>
        </w:rPr>
        <w:t>McLandsborough</w:t>
      </w:r>
      <w:r>
        <w:rPr>
          <w:rFonts w:ascii="Times New Roman" w:cs="Times New Roman" w:eastAsia="Times New Roman" w:hAnsi="Times New Roman"/>
          <w:sz w:val="24"/>
          <w:szCs w:val="24"/>
        </w:rPr>
        <w:t xml:space="preserve">, L., &amp; Weiss, J. (2016). Inhibition and inactivation of </w:t>
      </w:r>
      <w:r>
        <w:rPr>
          <w:rFonts w:ascii="Times New Roman" w:cs="Times New Roman" w:eastAsia="Times New Roman" w:hAnsi="Times New Roman"/>
          <w:i/>
          <w:iCs/>
          <w:sz w:val="24"/>
          <w:szCs w:val="24"/>
        </w:rPr>
        <w:t>Listeria monocytogenes</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O157:H7 colony biofilms by micellar-encapsulated eugenol and carvacrol. </w:t>
      </w:r>
      <w:r>
        <w:rPr>
          <w:rFonts w:ascii="Times New Roman" w:cs="Times New Roman" w:eastAsia="Times New Roman" w:hAnsi="Times New Roman"/>
          <w:i/>
          <w:iCs/>
          <w:sz w:val="24"/>
          <w:szCs w:val="24"/>
        </w:rPr>
        <w:t>Journal of Food Protection, 69</w:t>
      </w:r>
      <w:r>
        <w:rPr>
          <w:rFonts w:ascii="Times New Roman" w:cs="Times New Roman" w:eastAsia="Times New Roman" w:hAnsi="Times New Roman"/>
          <w:sz w:val="24"/>
          <w:szCs w:val="24"/>
        </w:rPr>
        <w:t>(12), 2947–2954.</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Pérez-Jiménez, J., </w:t>
      </w:r>
      <w:r>
        <w:rPr>
          <w:rFonts w:ascii="Times New Roman" w:cs="Times New Roman" w:eastAsia="Times New Roman" w:hAnsi="Times New Roman"/>
          <w:sz w:val="24"/>
          <w:szCs w:val="24"/>
        </w:rPr>
        <w:t>Neveu</w:t>
      </w:r>
      <w:r>
        <w:rPr>
          <w:rFonts w:ascii="Times New Roman" w:cs="Times New Roman" w:eastAsia="Times New Roman" w:hAnsi="Times New Roman"/>
          <w:sz w:val="24"/>
          <w:szCs w:val="24"/>
        </w:rPr>
        <w:t xml:space="preserve">, V., Vos, F., &amp; </w:t>
      </w:r>
      <w:r>
        <w:rPr>
          <w:rFonts w:ascii="Times New Roman" w:cs="Times New Roman" w:eastAsia="Times New Roman" w:hAnsi="Times New Roman"/>
          <w:sz w:val="24"/>
          <w:szCs w:val="24"/>
        </w:rPr>
        <w:t>Scalbert</w:t>
      </w:r>
      <w:r>
        <w:rPr>
          <w:rFonts w:ascii="Times New Roman" w:cs="Times New Roman" w:eastAsia="Times New Roman" w:hAnsi="Times New Roman"/>
          <w:sz w:val="24"/>
          <w:szCs w:val="24"/>
        </w:rPr>
        <w:t xml:space="preserve">, A. (2010). Identification of the 100 richest dietary sources of polyphenols: An application of the phenol-explorer database. </w:t>
      </w:r>
      <w:r>
        <w:rPr>
          <w:rFonts w:ascii="Times New Roman" w:cs="Times New Roman" w:eastAsia="Times New Roman" w:hAnsi="Times New Roman"/>
          <w:i/>
          <w:iCs/>
          <w:sz w:val="24"/>
          <w:szCs w:val="24"/>
        </w:rPr>
        <w:t>European Journal of Clinical Nutrition, 64</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Suppl</w:t>
      </w:r>
      <w:r>
        <w:rPr>
          <w:rFonts w:ascii="Times New Roman" w:cs="Times New Roman" w:eastAsia="Times New Roman" w:hAnsi="Times New Roman"/>
          <w:sz w:val="24"/>
          <w:szCs w:val="24"/>
        </w:rPr>
        <w:t xml:space="preserve"> 3), S112–S120.</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Ramachandran, A., </w:t>
      </w:r>
      <w:r>
        <w:rPr>
          <w:rFonts w:ascii="Times New Roman" w:cs="Times New Roman" w:eastAsia="Times New Roman" w:hAnsi="Times New Roman"/>
          <w:sz w:val="24"/>
          <w:szCs w:val="24"/>
        </w:rPr>
        <w:t>Snehalatha</w:t>
      </w:r>
      <w:r>
        <w:rPr>
          <w:rFonts w:ascii="Times New Roman" w:cs="Times New Roman" w:eastAsia="Times New Roman" w:hAnsi="Times New Roman"/>
          <w:sz w:val="24"/>
          <w:szCs w:val="24"/>
        </w:rPr>
        <w:t xml:space="preserve">, C., </w:t>
      </w:r>
      <w:r>
        <w:rPr>
          <w:rFonts w:ascii="Times New Roman" w:cs="Times New Roman" w:eastAsia="Times New Roman" w:hAnsi="Times New Roman"/>
          <w:sz w:val="24"/>
          <w:szCs w:val="24"/>
        </w:rPr>
        <w:t>Latha</w:t>
      </w:r>
      <w:r>
        <w:rPr>
          <w:rFonts w:ascii="Times New Roman" w:cs="Times New Roman" w:eastAsia="Times New Roman" w:hAnsi="Times New Roman"/>
          <w:sz w:val="24"/>
          <w:szCs w:val="24"/>
        </w:rPr>
        <w:t xml:space="preserve">, E., Vijay, V., &amp; Viswanathan, M. (2017). Rising prevalence of NIDDM in an urban population in India. </w:t>
      </w:r>
      <w:r>
        <w:rPr>
          <w:rFonts w:ascii="Times New Roman" w:cs="Times New Roman" w:eastAsia="Times New Roman" w:hAnsi="Times New Roman"/>
          <w:i/>
          <w:iCs/>
          <w:sz w:val="24"/>
          <w:szCs w:val="24"/>
        </w:rPr>
        <w:t>Diabetologia</w:t>
      </w:r>
      <w:r>
        <w:rPr>
          <w:rFonts w:ascii="Times New Roman" w:cs="Times New Roman" w:eastAsia="Times New Roman" w:hAnsi="Times New Roman"/>
          <w:i/>
          <w:iCs/>
          <w:sz w:val="24"/>
          <w:szCs w:val="24"/>
        </w:rPr>
        <w:t>, 40,</w:t>
      </w:r>
      <w:r>
        <w:rPr>
          <w:rFonts w:ascii="Times New Roman" w:cs="Times New Roman" w:eastAsia="Times New Roman" w:hAnsi="Times New Roman"/>
          <w:sz w:val="24"/>
          <w:szCs w:val="24"/>
        </w:rPr>
        <w:t xml:space="preserve"> 232–237.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Rana, I. S., Rana, A. S., &amp; </w:t>
      </w:r>
      <w:r>
        <w:rPr>
          <w:rFonts w:ascii="Times New Roman" w:cs="Times New Roman" w:eastAsia="Times New Roman" w:hAnsi="Times New Roman"/>
          <w:sz w:val="24"/>
          <w:szCs w:val="24"/>
        </w:rPr>
        <w:t>Rajak</w:t>
      </w:r>
      <w:r>
        <w:rPr>
          <w:rFonts w:ascii="Times New Roman" w:cs="Times New Roman" w:eastAsia="Times New Roman" w:hAnsi="Times New Roman"/>
          <w:sz w:val="24"/>
          <w:szCs w:val="24"/>
        </w:rPr>
        <w:t xml:space="preserve">, R. C. (2011). Evaluation of antifungal activity in essential oil of the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L.</w:t>
      </w:r>
      <w:r>
        <w:rPr>
          <w:rFonts w:ascii="Times New Roman" w:cs="Times New Roman" w:eastAsia="Times New Roman" w:hAnsi="Times New Roman"/>
          <w:sz w:val="24"/>
          <w:szCs w:val="24"/>
        </w:rPr>
        <w:t xml:space="preserve">) by extraction, purification, and analysis of its main component eugenol. </w:t>
      </w:r>
      <w:r>
        <w:rPr>
          <w:rFonts w:ascii="Times New Roman" w:cs="Times New Roman" w:eastAsia="Times New Roman" w:hAnsi="Times New Roman"/>
          <w:i/>
          <w:iCs/>
          <w:sz w:val="24"/>
          <w:szCs w:val="24"/>
        </w:rPr>
        <w:t>Brazilian Journal of Microbiology, 42</w:t>
      </w:r>
      <w:r>
        <w:rPr>
          <w:rFonts w:ascii="Times New Roman" w:cs="Times New Roman" w:eastAsia="Times New Roman" w:hAnsi="Times New Roman"/>
          <w:sz w:val="24"/>
          <w:szCs w:val="24"/>
        </w:rPr>
        <w:t>(4), 1269–1277.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Ribeiro-Santos, R., Andrade, M., Melo, N. R. de, &amp; </w:t>
      </w:r>
      <w:r>
        <w:rPr>
          <w:rFonts w:ascii="Times New Roman" w:cs="Times New Roman" w:eastAsia="Times New Roman" w:hAnsi="Times New Roman"/>
          <w:sz w:val="24"/>
          <w:szCs w:val="24"/>
        </w:rPr>
        <w:t>Sanches</w:t>
      </w:r>
      <w:r>
        <w:rPr>
          <w:rFonts w:ascii="Times New Roman" w:cs="Times New Roman" w:eastAsia="Times New Roman" w:hAnsi="Times New Roman"/>
          <w:sz w:val="24"/>
          <w:szCs w:val="24"/>
        </w:rPr>
        <w:t xml:space="preserve">-Silva, A. (2017). Use of essential oils in active food packaging: Recent advances and future trends. </w:t>
      </w:r>
      <w:r>
        <w:rPr>
          <w:rFonts w:ascii="Times New Roman" w:cs="Times New Roman" w:eastAsia="Times New Roman" w:hAnsi="Times New Roman"/>
          <w:i/>
          <w:iCs/>
          <w:sz w:val="24"/>
          <w:szCs w:val="24"/>
        </w:rPr>
        <w:t>Trends in Food Science &amp; Technology, 61,</w:t>
      </w:r>
      <w:r>
        <w:rPr>
          <w:rFonts w:ascii="Times New Roman" w:cs="Times New Roman" w:eastAsia="Times New Roman" w:hAnsi="Times New Roman"/>
          <w:sz w:val="24"/>
          <w:szCs w:val="24"/>
        </w:rPr>
        <w:t xml:space="preserve"> 132–140. </w:t>
      </w:r>
      <w:r>
        <w:rPr/>
        <w:fldChar w:fldCharType="begin"/>
      </w:r>
      <w:r>
        <w:instrText xml:space="preserve"> HYPERLINK "https://doi.org/10.1016/j.tifs.2016.11.021" </w:instrText>
      </w:r>
      <w:r>
        <w:rPr/>
        <w:fldChar w:fldCharType="separate"/>
      </w:r>
      <w:r>
        <w:rPr>
          <w:rFonts w:ascii="Times New Roman" w:cs="Times New Roman" w:eastAsia="Times New Roman" w:hAnsi="Times New Roman"/>
          <w:color w:val="0000ff"/>
          <w:sz w:val="24"/>
          <w:szCs w:val="24"/>
          <w:u w:val="single"/>
        </w:rPr>
        <w:t>https://doi.org/10.1016/j.tifs.2016.11.021</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Ross, J., &amp; Wilson, A. (2010). </w:t>
      </w:r>
      <w:r>
        <w:rPr>
          <w:rFonts w:ascii="Times New Roman" w:cs="Times New Roman" w:eastAsia="Times New Roman" w:hAnsi="Times New Roman"/>
          <w:i/>
          <w:iCs/>
          <w:sz w:val="24"/>
          <w:szCs w:val="24"/>
        </w:rPr>
        <w:t>Anatomy and Pathophysiology in Health and Illness</w:t>
      </w:r>
      <w:r>
        <w:rPr>
          <w:rFonts w:ascii="Times New Roman" w:cs="Times New Roman" w:eastAsia="Times New Roman" w:hAnsi="Times New Roman"/>
          <w:sz w:val="24"/>
          <w:szCs w:val="24"/>
        </w:rPr>
        <w:t xml:space="preserve"> (11th ed., pp. 227–229). Churchill Livingstone Elsevier.</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Saeedi</w:t>
      </w:r>
      <w:r>
        <w:rPr>
          <w:rFonts w:ascii="Times New Roman" w:cs="Times New Roman" w:eastAsia="Times New Roman" w:hAnsi="Times New Roman"/>
          <w:sz w:val="24"/>
          <w:szCs w:val="24"/>
        </w:rPr>
        <w:t xml:space="preserve">, P., </w:t>
      </w:r>
      <w:r>
        <w:rPr>
          <w:rFonts w:ascii="Times New Roman" w:cs="Times New Roman" w:eastAsia="Times New Roman" w:hAnsi="Times New Roman"/>
          <w:sz w:val="24"/>
          <w:szCs w:val="24"/>
        </w:rPr>
        <w:t>Petersohn</w:t>
      </w:r>
      <w:r>
        <w:rPr>
          <w:rFonts w:ascii="Times New Roman" w:cs="Times New Roman" w:eastAsia="Times New Roman" w:hAnsi="Times New Roman"/>
          <w:sz w:val="24"/>
          <w:szCs w:val="24"/>
        </w:rPr>
        <w:t xml:space="preserve">, I., </w:t>
      </w:r>
      <w:r>
        <w:rPr>
          <w:rFonts w:ascii="Times New Roman" w:cs="Times New Roman" w:eastAsia="Times New Roman" w:hAnsi="Times New Roman"/>
          <w:sz w:val="24"/>
          <w:szCs w:val="24"/>
        </w:rPr>
        <w:t>Salpea</w:t>
      </w:r>
      <w:r>
        <w:rPr>
          <w:rFonts w:ascii="Times New Roman" w:cs="Times New Roman" w:eastAsia="Times New Roman" w:hAnsi="Times New Roman"/>
          <w:sz w:val="24"/>
          <w:szCs w:val="24"/>
        </w:rPr>
        <w:t xml:space="preserve">, P., Malanda, B., </w:t>
      </w:r>
      <w:r>
        <w:rPr>
          <w:rFonts w:ascii="Times New Roman" w:cs="Times New Roman" w:eastAsia="Times New Roman" w:hAnsi="Times New Roman"/>
          <w:sz w:val="24"/>
          <w:szCs w:val="24"/>
        </w:rPr>
        <w:t>Karuranga</w:t>
      </w:r>
      <w:r>
        <w:rPr>
          <w:rFonts w:ascii="Times New Roman" w:cs="Times New Roman" w:eastAsia="Times New Roman" w:hAnsi="Times New Roman"/>
          <w:sz w:val="24"/>
          <w:szCs w:val="24"/>
        </w:rPr>
        <w:t xml:space="preserve">, S., Unwin, N.,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Global and regional diabetes prevalence estimates for 2019 and projections for 2030 and 2045: Results from the International Diabetes Federation Diabetes Atlas, 9th edition. </w:t>
      </w:r>
      <w:r>
        <w:rPr>
          <w:rFonts w:ascii="Times New Roman" w:cs="Times New Roman" w:eastAsia="Times New Roman" w:hAnsi="Times New Roman"/>
          <w:i/>
          <w:iCs/>
          <w:sz w:val="24"/>
          <w:szCs w:val="24"/>
        </w:rPr>
        <w:t>Diabetes Research and Clinical Practice, 157,</w:t>
      </w:r>
      <w:r>
        <w:rPr>
          <w:rFonts w:ascii="Times New Roman" w:cs="Times New Roman" w:eastAsia="Times New Roman" w:hAnsi="Times New Roman"/>
          <w:sz w:val="24"/>
          <w:szCs w:val="24"/>
        </w:rPr>
        <w:t xml:space="preserve"> 107843. </w:t>
      </w:r>
      <w:r>
        <w:rPr/>
        <w:fldChar w:fldCharType="begin"/>
      </w:r>
      <w:r>
        <w:instrText xml:space="preserve"> HYPERLINK "https://doi.org/10.1016/j.diabres.2019.107843" </w:instrText>
      </w:r>
      <w:r>
        <w:rPr/>
        <w:fldChar w:fldCharType="separate"/>
      </w:r>
      <w:r>
        <w:rPr>
          <w:rFonts w:ascii="Times New Roman" w:cs="Times New Roman" w:eastAsia="Times New Roman" w:hAnsi="Times New Roman"/>
          <w:color w:val="0000ff"/>
          <w:sz w:val="24"/>
          <w:szCs w:val="24"/>
          <w:u w:val="single"/>
        </w:rPr>
        <w:t>https://doi.org/10.1016/j.diabres.2019.107843</w:t>
      </w:r>
      <w:r>
        <w:rPr/>
        <w:fldChar w:fldCharType="end"/>
      </w:r>
    </w:p>
    <w:p>
      <w:pPr>
        <w:pStyle w:val="style94"/>
        <w:ind w:left="720" w:hanging="720"/>
        <w:jc w:val="both"/>
        <w:rPr/>
      </w:pPr>
      <w:r>
        <w:t xml:space="preserve">Saleh, F., Khan, A., </w:t>
      </w:r>
      <w:r>
        <w:t>Haque</w:t>
      </w:r>
      <w:r>
        <w:t xml:space="preserve">, M. M., &amp; Uddin, S. M. K. (2022). Comparative study of different solvents in extracting phytochemicals and antimicrobial compounds from clove. </w:t>
      </w:r>
      <w:r>
        <w:rPr>
          <w:rStyle w:val="style88"/>
        </w:rPr>
        <w:t>Scientific Reports</w:t>
      </w:r>
      <w:r>
        <w:t xml:space="preserve">, 12(1), 15904. </w:t>
      </w:r>
      <w:r>
        <w:rPr/>
        <w:fldChar w:fldCharType="begin"/>
      </w:r>
      <w:r>
        <w:instrText xml:space="preserve"> HYPERLINK "https://doi.org/10.1038/s41598-022-19944-0" </w:instrText>
      </w:r>
      <w:r>
        <w:rPr/>
        <w:fldChar w:fldCharType="separate"/>
      </w:r>
      <w:r>
        <w:rPr>
          <w:rStyle w:val="style85"/>
          <w:rFonts w:eastAsia="宋体"/>
        </w:rPr>
        <w:t>https://doi.org/10.1038/s41598-022-19944-0</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Sapra</w:t>
      </w:r>
      <w:r>
        <w:rPr>
          <w:rFonts w:ascii="Times New Roman" w:cs="Times New Roman" w:eastAsia="Times New Roman" w:hAnsi="Times New Roman"/>
          <w:sz w:val="24"/>
          <w:szCs w:val="24"/>
        </w:rPr>
        <w:t xml:space="preserve">, A., &amp; Bhandari, P. (2022). Diabetes Mellitus. Treasure Island, FL: </w:t>
      </w:r>
      <w:r>
        <w:rPr>
          <w:rFonts w:ascii="Times New Roman" w:cs="Times New Roman" w:eastAsia="Times New Roman" w:hAnsi="Times New Roman"/>
          <w:sz w:val="24"/>
          <w:szCs w:val="24"/>
        </w:rPr>
        <w:t>StatPearls</w:t>
      </w:r>
      <w:r>
        <w:rPr>
          <w:rFonts w:ascii="Times New Roman" w:cs="Times New Roman" w:eastAsia="Times New Roman" w:hAnsi="Times New Roman"/>
          <w:sz w:val="24"/>
          <w:szCs w:val="24"/>
        </w:rPr>
        <w:t xml:space="preserve"> Publishing.</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Sebaaly</w:t>
      </w:r>
      <w:r>
        <w:rPr>
          <w:rFonts w:ascii="Times New Roman" w:cs="Times New Roman" w:eastAsia="Times New Roman" w:hAnsi="Times New Roman"/>
          <w:sz w:val="24"/>
          <w:szCs w:val="24"/>
        </w:rPr>
        <w:t xml:space="preserve">, C., </w:t>
      </w:r>
      <w:r>
        <w:rPr>
          <w:rFonts w:ascii="Times New Roman" w:cs="Times New Roman" w:eastAsia="Times New Roman" w:hAnsi="Times New Roman"/>
          <w:sz w:val="24"/>
          <w:szCs w:val="24"/>
        </w:rPr>
        <w:t>Jraij</w:t>
      </w:r>
      <w:r>
        <w:rPr>
          <w:rFonts w:ascii="Times New Roman" w:cs="Times New Roman" w:eastAsia="Times New Roman" w:hAnsi="Times New Roman"/>
          <w:sz w:val="24"/>
          <w:szCs w:val="24"/>
        </w:rPr>
        <w:t xml:space="preserve">, A., </w:t>
      </w:r>
      <w:r>
        <w:rPr>
          <w:rFonts w:ascii="Times New Roman" w:cs="Times New Roman" w:eastAsia="Times New Roman" w:hAnsi="Times New Roman"/>
          <w:sz w:val="24"/>
          <w:szCs w:val="24"/>
        </w:rPr>
        <w:t>Fessi</w:t>
      </w:r>
      <w:r>
        <w:rPr>
          <w:rFonts w:ascii="Times New Roman" w:cs="Times New Roman" w:eastAsia="Times New Roman" w:hAnsi="Times New Roman"/>
          <w:sz w:val="24"/>
          <w:szCs w:val="24"/>
        </w:rPr>
        <w:t xml:space="preserve">, H., </w:t>
      </w:r>
      <w:r>
        <w:rPr>
          <w:rFonts w:ascii="Times New Roman" w:cs="Times New Roman" w:eastAsia="Times New Roman" w:hAnsi="Times New Roman"/>
          <w:sz w:val="24"/>
          <w:szCs w:val="24"/>
        </w:rPr>
        <w:t>Charcosset</w:t>
      </w:r>
      <w:r>
        <w:rPr>
          <w:rFonts w:ascii="Times New Roman" w:cs="Times New Roman" w:eastAsia="Times New Roman" w:hAnsi="Times New Roman"/>
          <w:sz w:val="24"/>
          <w:szCs w:val="24"/>
        </w:rPr>
        <w:t>, C., &amp; Greige-</w:t>
      </w:r>
      <w:r>
        <w:rPr>
          <w:rFonts w:ascii="Times New Roman" w:cs="Times New Roman" w:eastAsia="Times New Roman" w:hAnsi="Times New Roman"/>
          <w:sz w:val="24"/>
          <w:szCs w:val="24"/>
        </w:rPr>
        <w:t>Gerges</w:t>
      </w:r>
      <w:r>
        <w:rPr>
          <w:rFonts w:ascii="Times New Roman" w:cs="Times New Roman" w:eastAsia="Times New Roman" w:hAnsi="Times New Roman"/>
          <w:sz w:val="24"/>
          <w:szCs w:val="24"/>
        </w:rPr>
        <w:t xml:space="preserve">, H. (2015). Preparation and characterization of clove essential oil-loaded liposomes. </w:t>
      </w:r>
      <w:r>
        <w:rPr>
          <w:rFonts w:ascii="Times New Roman" w:cs="Times New Roman" w:eastAsia="Times New Roman" w:hAnsi="Times New Roman"/>
          <w:i/>
          <w:iCs/>
          <w:sz w:val="24"/>
          <w:szCs w:val="24"/>
        </w:rPr>
        <w:t>Food Chemistry, 178,</w:t>
      </w:r>
      <w:r>
        <w:rPr>
          <w:rFonts w:ascii="Times New Roman" w:cs="Times New Roman" w:eastAsia="Times New Roman" w:hAnsi="Times New Roman"/>
          <w:sz w:val="24"/>
          <w:szCs w:val="24"/>
        </w:rPr>
        <w:t xml:space="preserve"> 52–62. </w:t>
      </w:r>
      <w:r>
        <w:rPr/>
        <w:fldChar w:fldCharType="begin"/>
      </w:r>
      <w:r>
        <w:instrText xml:space="preserve"> HYPERLINK "https://doi.org/10.1016/j.foodchem.2015.01.067" </w:instrText>
      </w:r>
      <w:r>
        <w:rPr/>
        <w:fldChar w:fldCharType="separate"/>
      </w:r>
      <w:r>
        <w:rPr>
          <w:rFonts w:ascii="Times New Roman" w:cs="Times New Roman" w:eastAsia="Times New Roman" w:hAnsi="Times New Roman"/>
          <w:color w:val="0000ff"/>
          <w:sz w:val="24"/>
          <w:szCs w:val="24"/>
          <w:u w:val="single"/>
        </w:rPr>
        <w:t>https://doi.org/10.1016/j.foodchem.2015.01.067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Shan, B., Cai, Y. Z., Sun, M., &amp; </w:t>
      </w:r>
      <w:r>
        <w:rPr>
          <w:rFonts w:ascii="Times New Roman" w:cs="Times New Roman" w:eastAsia="Times New Roman" w:hAnsi="Times New Roman"/>
          <w:sz w:val="24"/>
          <w:szCs w:val="24"/>
        </w:rPr>
        <w:t>Corke</w:t>
      </w:r>
      <w:r>
        <w:rPr>
          <w:rFonts w:ascii="Times New Roman" w:cs="Times New Roman" w:eastAsia="Times New Roman" w:hAnsi="Times New Roman"/>
          <w:sz w:val="24"/>
          <w:szCs w:val="24"/>
        </w:rPr>
        <w:t xml:space="preserve">, H. (2015). Antioxidant capacity of 26 spice extracts and characterization of their phenolic constituents. </w:t>
      </w:r>
      <w:r>
        <w:rPr>
          <w:rFonts w:ascii="Times New Roman" w:cs="Times New Roman" w:eastAsia="Times New Roman" w:hAnsi="Times New Roman"/>
          <w:i/>
          <w:iCs/>
          <w:sz w:val="24"/>
          <w:szCs w:val="24"/>
        </w:rPr>
        <w:t>Journal of Agricultural and Food Chemistry, 53</w:t>
      </w:r>
      <w:r>
        <w:rPr>
          <w:rFonts w:ascii="Times New Roman" w:cs="Times New Roman" w:eastAsia="Times New Roman" w:hAnsi="Times New Roman"/>
          <w:sz w:val="24"/>
          <w:szCs w:val="24"/>
        </w:rPr>
        <w:t>(20), 7749–7759.</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Shaw, J., </w:t>
      </w:r>
      <w:r>
        <w:rPr>
          <w:rFonts w:ascii="Times New Roman" w:cs="Times New Roman" w:eastAsia="Times New Roman" w:hAnsi="Times New Roman"/>
          <w:sz w:val="24"/>
          <w:szCs w:val="24"/>
        </w:rPr>
        <w:t>Zimmet</w:t>
      </w:r>
      <w:r>
        <w:rPr>
          <w:rFonts w:ascii="Times New Roman" w:cs="Times New Roman" w:eastAsia="Times New Roman" w:hAnsi="Times New Roman"/>
          <w:sz w:val="24"/>
          <w:szCs w:val="24"/>
        </w:rPr>
        <w:t xml:space="preserve">, P., de </w:t>
      </w:r>
      <w:r>
        <w:rPr>
          <w:rFonts w:ascii="Times New Roman" w:cs="Times New Roman" w:eastAsia="Times New Roman" w:hAnsi="Times New Roman"/>
          <w:sz w:val="24"/>
          <w:szCs w:val="24"/>
        </w:rPr>
        <w:t>Courten</w:t>
      </w:r>
      <w:r>
        <w:rPr>
          <w:rFonts w:ascii="Times New Roman" w:cs="Times New Roman" w:eastAsia="Times New Roman" w:hAnsi="Times New Roman"/>
          <w:sz w:val="24"/>
          <w:szCs w:val="24"/>
        </w:rPr>
        <w:t xml:space="preserve">, M., Dowse, G., </w:t>
      </w:r>
      <w:r>
        <w:rPr>
          <w:rFonts w:ascii="Times New Roman" w:cs="Times New Roman" w:eastAsia="Times New Roman" w:hAnsi="Times New Roman"/>
          <w:sz w:val="24"/>
          <w:szCs w:val="24"/>
        </w:rPr>
        <w:t>Chitson</w:t>
      </w:r>
      <w:r>
        <w:rPr>
          <w:rFonts w:ascii="Times New Roman" w:cs="Times New Roman" w:eastAsia="Times New Roman" w:hAnsi="Times New Roman"/>
          <w:sz w:val="24"/>
          <w:szCs w:val="24"/>
        </w:rPr>
        <w:t xml:space="preserve">, P., &amp; </w:t>
      </w:r>
      <w:r>
        <w:rPr>
          <w:rFonts w:ascii="Times New Roman" w:cs="Times New Roman" w:eastAsia="Times New Roman" w:hAnsi="Times New Roman"/>
          <w:sz w:val="24"/>
          <w:szCs w:val="24"/>
        </w:rPr>
        <w:t>Gareeboo</w:t>
      </w:r>
      <w:r>
        <w:rPr>
          <w:rFonts w:ascii="Times New Roman" w:cs="Times New Roman" w:eastAsia="Times New Roman" w:hAnsi="Times New Roman"/>
          <w:sz w:val="24"/>
          <w:szCs w:val="24"/>
        </w:rPr>
        <w:t xml:space="preserve">, H.,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Impaired fasting glucose or impaired glucose tolerance. </w:t>
      </w:r>
      <w:r>
        <w:rPr>
          <w:rFonts w:ascii="Times New Roman" w:cs="Times New Roman" w:eastAsia="Times New Roman" w:hAnsi="Times New Roman"/>
          <w:i/>
          <w:iCs/>
          <w:sz w:val="24"/>
          <w:szCs w:val="24"/>
        </w:rPr>
        <w:t>Diabetes Care, 22,</w:t>
      </w:r>
      <w:r>
        <w:rPr>
          <w:rFonts w:ascii="Times New Roman" w:cs="Times New Roman" w:eastAsia="Times New Roman" w:hAnsi="Times New Roman"/>
          <w:sz w:val="24"/>
          <w:szCs w:val="24"/>
        </w:rPr>
        <w:t xml:space="preserve"> 399–402.</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Sicree</w:t>
      </w:r>
      <w:r>
        <w:rPr>
          <w:rFonts w:ascii="Times New Roman" w:cs="Times New Roman" w:eastAsia="Times New Roman" w:hAnsi="Times New Roman"/>
          <w:sz w:val="24"/>
          <w:szCs w:val="24"/>
        </w:rPr>
        <w:t xml:space="preserve">, R., Shaw, J., &amp; </w:t>
      </w:r>
      <w:r>
        <w:rPr>
          <w:rFonts w:ascii="Times New Roman" w:cs="Times New Roman" w:eastAsia="Times New Roman" w:hAnsi="Times New Roman"/>
          <w:sz w:val="24"/>
          <w:szCs w:val="24"/>
        </w:rPr>
        <w:t>Zimmet</w:t>
      </w:r>
      <w:r>
        <w:rPr>
          <w:rFonts w:ascii="Times New Roman" w:cs="Times New Roman" w:eastAsia="Times New Roman" w:hAnsi="Times New Roman"/>
          <w:sz w:val="24"/>
          <w:szCs w:val="24"/>
        </w:rPr>
        <w:t xml:space="preserve">, P. (2016). Diabetes and impaired glucose tolerance. </w:t>
      </w:r>
      <w:r>
        <w:rPr>
          <w:rFonts w:ascii="Times New Roman" w:cs="Times New Roman" w:eastAsia="Times New Roman" w:hAnsi="Times New Roman"/>
          <w:i/>
          <w:iCs/>
          <w:sz w:val="24"/>
          <w:szCs w:val="24"/>
        </w:rPr>
        <w:t>Diabetes Atlas International Diabetes Federation,</w:t>
      </w:r>
      <w:r>
        <w:rPr>
          <w:rFonts w:ascii="Times New Roman" w:cs="Times New Roman" w:eastAsia="Times New Roman" w:hAnsi="Times New Roman"/>
          <w:sz w:val="24"/>
          <w:szCs w:val="24"/>
        </w:rPr>
        <w:t xml:space="preserve"> 15–103.</w:t>
      </w:r>
    </w:p>
    <w:p>
      <w:pPr>
        <w:pStyle w:val="style94"/>
        <w:ind w:left="720" w:hanging="720"/>
        <w:jc w:val="both"/>
        <w:rPr/>
      </w:pPr>
      <w:r>
        <w:t>Singh, G., Sharma, R., &amp; Jain, A. (2021). Comparative phytochemical screening and antibacterial efficacy of clove (</w:t>
      </w:r>
      <w:r>
        <w:t>Syzygium</w:t>
      </w:r>
      <w:r>
        <w:t xml:space="preserve"> </w:t>
      </w:r>
      <w:r>
        <w:t>aromaticum</w:t>
      </w:r>
      <w:r>
        <w:t xml:space="preserve">) extracts against Gram-positive and Gram-negative bacteria. </w:t>
      </w:r>
      <w:r>
        <w:rPr>
          <w:rStyle w:val="style88"/>
        </w:rPr>
        <w:t>International Journal of Microbiology Research</w:t>
      </w:r>
      <w:r>
        <w:t>, 13(2), 45–52.</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Sofia, P. K., Prasad, R., Vijay, V. K., &amp; Srivastava, A. K. (2017). Evaluation of antibacterial activity of Indian spices against common foodborne pathogens. </w:t>
      </w:r>
      <w:r>
        <w:rPr>
          <w:rFonts w:ascii="Times New Roman" w:cs="Times New Roman" w:eastAsia="Times New Roman" w:hAnsi="Times New Roman"/>
          <w:i/>
          <w:iCs/>
          <w:sz w:val="24"/>
          <w:szCs w:val="24"/>
        </w:rPr>
        <w:t>International Journal of Food Science and Technology, 42</w:t>
      </w:r>
      <w:r>
        <w:rPr>
          <w:rFonts w:ascii="Times New Roman" w:cs="Times New Roman" w:eastAsia="Times New Roman" w:hAnsi="Times New Roman"/>
          <w:sz w:val="24"/>
          <w:szCs w:val="24"/>
        </w:rPr>
        <w:t>(8), 910–915.</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Sridhar, G. R., Rao, P. V., &amp; Ahuja, M. M. S. (2012). Epidemiology of diabetes and its complications. In: </w:t>
      </w:r>
      <w:r>
        <w:rPr>
          <w:rFonts w:ascii="Times New Roman" w:cs="Times New Roman" w:eastAsia="Times New Roman" w:hAnsi="Times New Roman"/>
          <w:i/>
          <w:iCs/>
          <w:sz w:val="24"/>
          <w:szCs w:val="24"/>
        </w:rPr>
        <w:t>RSSDI Textbook of Diabetes Mellitus</w:t>
      </w:r>
      <w:r>
        <w:rPr>
          <w:rFonts w:ascii="Times New Roman" w:cs="Times New Roman" w:eastAsia="Times New Roman" w:hAnsi="Times New Roman"/>
          <w:sz w:val="24"/>
          <w:szCs w:val="24"/>
        </w:rPr>
        <w:t xml:space="preserve"> (pp. 95–112).</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Tahir, R. A., Sarfraz, A., Ashraf, A., &amp; Adil, S. (2016). Chemical composition and antidiabetic activity of essential oils obtained from two spices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Cuminum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cyminum</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International Journal of Food Properties, 19</w:t>
      </w:r>
      <w:r>
        <w:rPr>
          <w:rFonts w:ascii="Times New Roman" w:cs="Times New Roman" w:eastAsia="Times New Roman" w:hAnsi="Times New Roman"/>
          <w:sz w:val="24"/>
          <w:szCs w:val="24"/>
        </w:rPr>
        <w:t xml:space="preserve">(10), 2156–2164. </w:t>
      </w:r>
      <w:r>
        <w:rPr/>
        <w:fldChar w:fldCharType="begin"/>
      </w:r>
      <w:r>
        <w:instrText xml:space="preserve"> HYPERLINK "https://doi.org/10.1080/10942912.2015.1110166" </w:instrText>
      </w:r>
      <w:r>
        <w:rPr/>
        <w:fldChar w:fldCharType="separate"/>
      </w:r>
      <w:r>
        <w:rPr>
          <w:rFonts w:ascii="Times New Roman" w:cs="Times New Roman" w:eastAsia="Times New Roman" w:hAnsi="Times New Roman"/>
          <w:color w:val="0000ff"/>
          <w:sz w:val="24"/>
          <w:szCs w:val="24"/>
          <w:u w:val="single"/>
        </w:rPr>
        <w:t>https://doi.org/10.1080/10942912.2015.1110166</w:t>
      </w:r>
      <w:r>
        <w:rPr/>
        <w:fldChar w:fldCharType="end"/>
      </w:r>
    </w:p>
    <w:p>
      <w:pPr>
        <w:pStyle w:val="style94"/>
        <w:ind w:left="720" w:hanging="720"/>
        <w:jc w:val="both"/>
        <w:rPr/>
      </w:pPr>
      <w:r>
        <w:t>Tahsiri</w:t>
      </w:r>
      <w:r>
        <w:t xml:space="preserve">, M. R., </w:t>
      </w:r>
      <w:r>
        <w:t>Nikkhah</w:t>
      </w:r>
      <w:r>
        <w:t xml:space="preserve">, M., &amp; </w:t>
      </w:r>
      <w:r>
        <w:t>Khakbaz</w:t>
      </w:r>
      <w:r>
        <w:t xml:space="preserve"> </w:t>
      </w:r>
      <w:r>
        <w:t>Heshmati</w:t>
      </w:r>
      <w:r>
        <w:t xml:space="preserve">, G. (2023). Antibacterial and antioxidant activities of clove essential oil: A systematic review. </w:t>
      </w:r>
      <w:r>
        <w:rPr>
          <w:rStyle w:val="style88"/>
        </w:rPr>
        <w:t>Natural Product Research</w:t>
      </w:r>
      <w:r>
        <w:t xml:space="preserve">, 37(10), 1815–1823. </w:t>
      </w:r>
      <w:r>
        <w:rPr/>
        <w:fldChar w:fldCharType="begin"/>
      </w:r>
      <w:r>
        <w:instrText xml:space="preserve"> HYPERLINK "https://doi.org/10.1080/14786419.2022.2043527" </w:instrText>
      </w:r>
      <w:r>
        <w:rPr/>
        <w:fldChar w:fldCharType="separate"/>
      </w:r>
      <w:r>
        <w:rPr>
          <w:rStyle w:val="style85"/>
          <w:rFonts w:eastAsia="宋体"/>
        </w:rPr>
        <w:t>https://doi.org/10.1080/14786419.2022.2043527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Vahedikia</w:t>
      </w:r>
      <w:r>
        <w:rPr>
          <w:rFonts w:ascii="Times New Roman" w:cs="Times New Roman" w:eastAsia="Times New Roman" w:hAnsi="Times New Roman"/>
          <w:sz w:val="24"/>
          <w:szCs w:val="24"/>
        </w:rPr>
        <w:t xml:space="preserve">, N., </w:t>
      </w:r>
      <w:r>
        <w:rPr>
          <w:rFonts w:ascii="Times New Roman" w:cs="Times New Roman" w:eastAsia="Times New Roman" w:hAnsi="Times New Roman"/>
          <w:sz w:val="24"/>
          <w:szCs w:val="24"/>
        </w:rPr>
        <w:t>Garavand</w:t>
      </w:r>
      <w:r>
        <w:rPr>
          <w:rFonts w:ascii="Times New Roman" w:cs="Times New Roman" w:eastAsia="Times New Roman" w:hAnsi="Times New Roman"/>
          <w:sz w:val="24"/>
          <w:szCs w:val="24"/>
        </w:rPr>
        <w:t xml:space="preserve">, F., </w:t>
      </w:r>
      <w:r>
        <w:rPr>
          <w:rFonts w:ascii="Times New Roman" w:cs="Times New Roman" w:eastAsia="Times New Roman" w:hAnsi="Times New Roman"/>
          <w:sz w:val="24"/>
          <w:szCs w:val="24"/>
        </w:rPr>
        <w:t>Tajeddin</w:t>
      </w:r>
      <w:r>
        <w:rPr>
          <w:rFonts w:ascii="Times New Roman" w:cs="Times New Roman" w:eastAsia="Times New Roman" w:hAnsi="Times New Roman"/>
          <w:sz w:val="24"/>
          <w:szCs w:val="24"/>
        </w:rPr>
        <w:t xml:space="preserve">, B., Cacciotti, I., Jafari, S. M., &amp; </w:t>
      </w:r>
      <w:r>
        <w:rPr>
          <w:rFonts w:ascii="Times New Roman" w:cs="Times New Roman" w:eastAsia="Times New Roman" w:hAnsi="Times New Roman"/>
          <w:sz w:val="24"/>
          <w:szCs w:val="24"/>
        </w:rPr>
        <w:t>Omidi</w:t>
      </w:r>
      <w:r>
        <w:rPr>
          <w:rFonts w:ascii="Times New Roman" w:cs="Times New Roman" w:eastAsia="Times New Roman" w:hAnsi="Times New Roman"/>
          <w:sz w:val="24"/>
          <w:szCs w:val="24"/>
        </w:rPr>
        <w:t xml:space="preserve">, T.,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Biodegradable </w:t>
      </w:r>
      <w:r>
        <w:rPr>
          <w:rFonts w:ascii="Times New Roman" w:cs="Times New Roman" w:eastAsia="Times New Roman" w:hAnsi="Times New Roman"/>
          <w:sz w:val="24"/>
          <w:szCs w:val="24"/>
        </w:rPr>
        <w:t>zein</w:t>
      </w:r>
      <w:r>
        <w:rPr>
          <w:rFonts w:ascii="Times New Roman" w:cs="Times New Roman" w:eastAsia="Times New Roman" w:hAnsi="Times New Roman"/>
          <w:sz w:val="24"/>
          <w:szCs w:val="24"/>
        </w:rPr>
        <w:t xml:space="preserve"> film composites reinforced with chitosan nanoparticles and cinnamon essential oil: Physical, mechanical, structural, and antimicrobial attributes. </w:t>
      </w:r>
      <w:r>
        <w:rPr>
          <w:rFonts w:ascii="Times New Roman" w:cs="Times New Roman" w:eastAsia="Times New Roman" w:hAnsi="Times New Roman"/>
          <w:i/>
          <w:iCs/>
          <w:sz w:val="24"/>
          <w:szCs w:val="24"/>
        </w:rPr>
        <w:t xml:space="preserve">Colloids and Surfaces B: </w:t>
      </w:r>
      <w:r>
        <w:rPr>
          <w:rFonts w:ascii="Times New Roman" w:cs="Times New Roman" w:eastAsia="Times New Roman" w:hAnsi="Times New Roman"/>
          <w:i/>
          <w:iCs/>
          <w:sz w:val="24"/>
          <w:szCs w:val="24"/>
        </w:rPr>
        <w:t>Biointerfaces</w:t>
      </w:r>
      <w:r>
        <w:rPr>
          <w:rFonts w:ascii="Times New Roman" w:cs="Times New Roman" w:eastAsia="Times New Roman" w:hAnsi="Times New Roman"/>
          <w:i/>
          <w:iCs/>
          <w:sz w:val="24"/>
          <w:szCs w:val="24"/>
        </w:rPr>
        <w:t>, 177,</w:t>
      </w:r>
      <w:r>
        <w:rPr>
          <w:rFonts w:ascii="Times New Roman" w:cs="Times New Roman" w:eastAsia="Times New Roman" w:hAnsi="Times New Roman"/>
          <w:sz w:val="24"/>
          <w:szCs w:val="24"/>
        </w:rPr>
        <w:t xml:space="preserve"> 25–32. </w:t>
      </w:r>
      <w:r>
        <w:rPr/>
        <w:fldChar w:fldCharType="begin"/>
      </w:r>
      <w:r>
        <w:instrText xml:space="preserve"> HYPERLINK "https://doi.org/10.1016/j.colsurfb.2019.01.045" </w:instrText>
      </w:r>
      <w:r>
        <w:rPr/>
        <w:fldChar w:fldCharType="separate"/>
      </w:r>
      <w:r>
        <w:rPr>
          <w:rFonts w:ascii="Times New Roman" w:cs="Times New Roman" w:eastAsia="Times New Roman" w:hAnsi="Times New Roman"/>
          <w:color w:val="0000ff"/>
          <w:sz w:val="24"/>
          <w:szCs w:val="24"/>
          <w:u w:val="single"/>
        </w:rPr>
        <w:t>https://doi.org/10.1016/j.colsurfb.2019.01.045</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Voon</w:t>
      </w:r>
      <w:r>
        <w:rPr>
          <w:rFonts w:ascii="Times New Roman" w:cs="Times New Roman" w:eastAsia="Times New Roman" w:hAnsi="Times New Roman"/>
          <w:sz w:val="24"/>
          <w:szCs w:val="24"/>
        </w:rPr>
        <w:t xml:space="preserve">, H. C., Bhat, R., &amp; </w:t>
      </w:r>
      <w:r>
        <w:rPr>
          <w:rFonts w:ascii="Times New Roman" w:cs="Times New Roman" w:eastAsia="Times New Roman" w:hAnsi="Times New Roman"/>
          <w:sz w:val="24"/>
          <w:szCs w:val="24"/>
        </w:rPr>
        <w:t>Rusul</w:t>
      </w:r>
      <w:r>
        <w:rPr>
          <w:rFonts w:ascii="Times New Roman" w:cs="Times New Roman" w:eastAsia="Times New Roman" w:hAnsi="Times New Roman"/>
          <w:sz w:val="24"/>
          <w:szCs w:val="24"/>
        </w:rPr>
        <w:t xml:space="preserve">, G. (2012). Flower extracts and their essential oils as potential antimicrobial agents for food uses and pharmaceutical applications. </w:t>
      </w:r>
      <w:r>
        <w:rPr>
          <w:rFonts w:ascii="Times New Roman" w:cs="Times New Roman" w:eastAsia="Times New Roman" w:hAnsi="Times New Roman"/>
          <w:i/>
          <w:iCs/>
          <w:sz w:val="24"/>
          <w:szCs w:val="24"/>
        </w:rPr>
        <w:t>Comprehensive Reviews in Food Science and Food Safety, 11,</w:t>
      </w:r>
      <w:r>
        <w:rPr>
          <w:rFonts w:ascii="Times New Roman" w:cs="Times New Roman" w:eastAsia="Times New Roman" w:hAnsi="Times New Roman"/>
          <w:sz w:val="24"/>
          <w:szCs w:val="24"/>
        </w:rPr>
        <w:t xml:space="preserve"> 34–55. </w:t>
      </w:r>
      <w:r>
        <w:rPr/>
        <w:fldChar w:fldCharType="begin"/>
      </w:r>
      <w:r>
        <w:instrText xml:space="preserve"> HYPERLINK "https://doi.org/10.1111/j.1541-4337.2011.00169.x" </w:instrText>
      </w:r>
      <w:r>
        <w:rPr/>
        <w:fldChar w:fldCharType="separate"/>
      </w:r>
      <w:r>
        <w:rPr>
          <w:rFonts w:ascii="Times New Roman" w:cs="Times New Roman" w:eastAsia="Times New Roman" w:hAnsi="Times New Roman"/>
          <w:color w:val="0000ff"/>
          <w:sz w:val="24"/>
          <w:szCs w:val="24"/>
          <w:u w:val="single"/>
        </w:rPr>
        <w:t>https://doi.org/10.1111/j.1541-4337.2011.00169.x</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Wild, S., </w:t>
      </w:r>
      <w:r>
        <w:rPr>
          <w:rFonts w:ascii="Times New Roman" w:cs="Times New Roman" w:eastAsia="Times New Roman" w:hAnsi="Times New Roman"/>
          <w:sz w:val="24"/>
          <w:szCs w:val="24"/>
        </w:rPr>
        <w:t>Roglic</w:t>
      </w:r>
      <w:r>
        <w:rPr>
          <w:rFonts w:ascii="Times New Roman" w:cs="Times New Roman" w:eastAsia="Times New Roman" w:hAnsi="Times New Roman"/>
          <w:sz w:val="24"/>
          <w:szCs w:val="24"/>
        </w:rPr>
        <w:t xml:space="preserve">, G., Green, A., </w:t>
      </w:r>
      <w:r>
        <w:rPr>
          <w:rFonts w:ascii="Times New Roman" w:cs="Times New Roman" w:eastAsia="Times New Roman" w:hAnsi="Times New Roman"/>
          <w:sz w:val="24"/>
          <w:szCs w:val="24"/>
        </w:rPr>
        <w:t>Sicree</w:t>
      </w:r>
      <w:r>
        <w:rPr>
          <w:rFonts w:ascii="Times New Roman" w:cs="Times New Roman" w:eastAsia="Times New Roman" w:hAnsi="Times New Roman"/>
          <w:sz w:val="24"/>
          <w:szCs w:val="24"/>
        </w:rPr>
        <w:t xml:space="preserve">, R., &amp; King, H. (2017). Global prevalence of diabetes: Estimates for the year 2000 and projections for 2030. </w:t>
      </w:r>
      <w:r>
        <w:rPr>
          <w:rFonts w:ascii="Times New Roman" w:cs="Times New Roman" w:eastAsia="Times New Roman" w:hAnsi="Times New Roman"/>
          <w:i/>
          <w:iCs/>
          <w:sz w:val="24"/>
          <w:szCs w:val="24"/>
        </w:rPr>
        <w:t>Diabetes Care, 27,</w:t>
      </w:r>
      <w:r>
        <w:rPr>
          <w:rFonts w:ascii="Times New Roman" w:cs="Times New Roman" w:eastAsia="Times New Roman" w:hAnsi="Times New Roman"/>
          <w:sz w:val="24"/>
          <w:szCs w:val="24"/>
        </w:rPr>
        <w:t xml:space="preserve"> 1047–1053.</w:t>
      </w:r>
    </w:p>
    <w:p>
      <w:pPr>
        <w:pStyle w:val="style94"/>
        <w:ind w:left="720" w:hanging="720"/>
        <w:jc w:val="both"/>
        <w:rPr/>
      </w:pPr>
      <w:r>
        <w:t xml:space="preserve">World Health Organization (WHO). (2023). </w:t>
      </w:r>
      <w:r>
        <w:rPr>
          <w:rStyle w:val="style88"/>
        </w:rPr>
        <w:t>Global antimicrobial resistance and use surveillance system (GLASS) report 2023</w:t>
      </w:r>
      <w:r>
        <w:t xml:space="preserve">. World Health Organization. </w:t>
      </w:r>
      <w:r>
        <w:rPr/>
        <w:fldChar w:fldCharType="begin"/>
      </w:r>
      <w:r>
        <w:instrText xml:space="preserve"> HYPERLINK "https://www.who.int/publications/i/item/9789240070140" </w:instrText>
      </w:r>
      <w:r>
        <w:rPr/>
        <w:fldChar w:fldCharType="separate"/>
      </w:r>
      <w:r>
        <w:rPr>
          <w:rStyle w:val="style85"/>
          <w:rFonts w:eastAsia="宋体"/>
        </w:rPr>
        <w:t>https://www.who.int/publications/i/item/9789240070140</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Yamazaki, D., </w:t>
      </w:r>
      <w:r>
        <w:rPr>
          <w:rFonts w:ascii="Times New Roman" w:cs="Times New Roman" w:eastAsia="Times New Roman" w:hAnsi="Times New Roman"/>
          <w:sz w:val="24"/>
          <w:szCs w:val="24"/>
        </w:rPr>
        <w:t>Hitomi</w:t>
      </w:r>
      <w:r>
        <w:rPr>
          <w:rFonts w:ascii="Times New Roman" w:cs="Times New Roman" w:eastAsia="Times New Roman" w:hAnsi="Times New Roman"/>
          <w:sz w:val="24"/>
          <w:szCs w:val="24"/>
        </w:rPr>
        <w:t xml:space="preserve">, H., &amp; Nishiyama, A. (2018). Hypertension with diabetes mellitus complications. </w:t>
      </w:r>
      <w:r>
        <w:rPr>
          <w:rFonts w:ascii="Times New Roman" w:cs="Times New Roman" w:eastAsia="Times New Roman" w:hAnsi="Times New Roman"/>
          <w:i/>
          <w:iCs/>
          <w:sz w:val="24"/>
          <w:szCs w:val="24"/>
        </w:rPr>
        <w:t>Hypertension Research, 41,</w:t>
      </w:r>
      <w:r>
        <w:rPr>
          <w:rFonts w:ascii="Times New Roman" w:cs="Times New Roman" w:eastAsia="Times New Roman" w:hAnsi="Times New Roman"/>
          <w:sz w:val="24"/>
          <w:szCs w:val="24"/>
        </w:rPr>
        <w:t xml:space="preserve"> 147–156. </w:t>
      </w:r>
      <w:r>
        <w:rPr/>
        <w:fldChar w:fldCharType="begin"/>
      </w:r>
      <w:r>
        <w:instrText xml:space="preserve"> HYPERLINK "https://doi.org/10.1038/s41440-017-0008-y" </w:instrText>
      </w:r>
      <w:r>
        <w:rPr/>
        <w:fldChar w:fldCharType="separate"/>
      </w:r>
      <w:r>
        <w:rPr>
          <w:rFonts w:ascii="Times New Roman" w:cs="Times New Roman" w:eastAsia="Times New Roman" w:hAnsi="Times New Roman"/>
          <w:color w:val="0000ff"/>
          <w:sz w:val="24"/>
          <w:szCs w:val="24"/>
          <w:u w:val="single"/>
        </w:rPr>
        <w:t>https://doi.org/10.1038/s41440-017-0008-y</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Zeller, M., </w:t>
      </w:r>
      <w:r>
        <w:rPr>
          <w:rFonts w:ascii="Times New Roman" w:cs="Times New Roman" w:eastAsia="Times New Roman" w:hAnsi="Times New Roman"/>
          <w:sz w:val="24"/>
          <w:szCs w:val="24"/>
        </w:rPr>
        <w:t>Danchin</w:t>
      </w:r>
      <w:r>
        <w:rPr>
          <w:rFonts w:ascii="Times New Roman" w:cs="Times New Roman" w:eastAsia="Times New Roman" w:hAnsi="Times New Roman"/>
          <w:sz w:val="24"/>
          <w:szCs w:val="24"/>
        </w:rPr>
        <w:t xml:space="preserve">, N., Simon, D., </w:t>
      </w:r>
      <w:r>
        <w:rPr>
          <w:rFonts w:ascii="Times New Roman" w:cs="Times New Roman" w:eastAsia="Times New Roman" w:hAnsi="Times New Roman"/>
          <w:sz w:val="24"/>
          <w:szCs w:val="24"/>
        </w:rPr>
        <w:t>Vahanian</w:t>
      </w:r>
      <w:r>
        <w:rPr>
          <w:rFonts w:ascii="Times New Roman" w:cs="Times New Roman" w:eastAsia="Times New Roman" w:hAnsi="Times New Roman"/>
          <w:sz w:val="24"/>
          <w:szCs w:val="24"/>
        </w:rPr>
        <w:t xml:space="preserve">, A., </w:t>
      </w:r>
      <w:r>
        <w:rPr>
          <w:rFonts w:ascii="Times New Roman" w:cs="Times New Roman" w:eastAsia="Times New Roman" w:hAnsi="Times New Roman"/>
          <w:sz w:val="24"/>
          <w:szCs w:val="24"/>
        </w:rPr>
        <w:t>Lorgis</w:t>
      </w:r>
      <w:r>
        <w:rPr>
          <w:rFonts w:ascii="Times New Roman" w:cs="Times New Roman" w:eastAsia="Times New Roman" w:hAnsi="Times New Roman"/>
          <w:sz w:val="24"/>
          <w:szCs w:val="24"/>
        </w:rPr>
        <w:t xml:space="preserve">, L., </w:t>
      </w:r>
      <w:r>
        <w:rPr>
          <w:rFonts w:ascii="Times New Roman" w:cs="Times New Roman" w:eastAsia="Times New Roman" w:hAnsi="Times New Roman"/>
          <w:sz w:val="24"/>
          <w:szCs w:val="24"/>
        </w:rPr>
        <w:t>Cottin</w:t>
      </w:r>
      <w:r>
        <w:rPr>
          <w:rFonts w:ascii="Times New Roman" w:cs="Times New Roman" w:eastAsia="Times New Roman" w:hAnsi="Times New Roman"/>
          <w:sz w:val="24"/>
          <w:szCs w:val="24"/>
        </w:rPr>
        <w:t xml:space="preserve">, Y.,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(2010). Impact of type of preadmission sulfonylureas on mortality and cardiovascular outcomes in diabetic patients with acute myocardial infarction. </w:t>
      </w:r>
      <w:r>
        <w:rPr>
          <w:rFonts w:ascii="Times New Roman" w:cs="Times New Roman" w:eastAsia="Times New Roman" w:hAnsi="Times New Roman"/>
          <w:i/>
          <w:iCs/>
          <w:sz w:val="24"/>
          <w:szCs w:val="24"/>
        </w:rPr>
        <w:t>The Journal of Clinical Endocrinology &amp; Metabolism, 95</w:t>
      </w:r>
      <w:r>
        <w:rPr>
          <w:rFonts w:ascii="Times New Roman" w:cs="Times New Roman" w:eastAsia="Times New Roman" w:hAnsi="Times New Roman"/>
          <w:sz w:val="24"/>
          <w:szCs w:val="24"/>
        </w:rPr>
        <w:t xml:space="preserve">(11), 4993–5002. </w:t>
      </w:r>
      <w:r>
        <w:rPr/>
        <w:fldChar w:fldCharType="begin"/>
      </w:r>
      <w:r>
        <w:instrText xml:space="preserve"> HYPERLINK "https://doi.org/10.1210/jc.2010-0449" </w:instrText>
      </w:r>
      <w:r>
        <w:rPr/>
        <w:fldChar w:fldCharType="separate"/>
      </w:r>
      <w:r>
        <w:rPr>
          <w:rFonts w:ascii="Times New Roman" w:cs="Times New Roman" w:eastAsia="Times New Roman" w:hAnsi="Times New Roman"/>
          <w:color w:val="0000ff"/>
          <w:sz w:val="24"/>
          <w:szCs w:val="24"/>
          <w:u w:val="single"/>
        </w:rPr>
        <w:t>https://doi.org/10.1210/jc.2010-0449</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Zhelyazkov</w:t>
      </w:r>
      <w:r>
        <w:rPr>
          <w:rFonts w:ascii="Times New Roman" w:cs="Times New Roman" w:eastAsia="Times New Roman" w:hAnsi="Times New Roman"/>
          <w:sz w:val="24"/>
          <w:szCs w:val="24"/>
        </w:rPr>
        <w:t xml:space="preserve">, S., </w:t>
      </w:r>
      <w:r>
        <w:rPr>
          <w:rFonts w:ascii="Times New Roman" w:cs="Times New Roman" w:eastAsia="Times New Roman" w:hAnsi="Times New Roman"/>
          <w:sz w:val="24"/>
          <w:szCs w:val="24"/>
        </w:rPr>
        <w:t>Zsivanovits</w:t>
      </w:r>
      <w:r>
        <w:rPr>
          <w:rFonts w:ascii="Times New Roman" w:cs="Times New Roman" w:eastAsia="Times New Roman" w:hAnsi="Times New Roman"/>
          <w:sz w:val="24"/>
          <w:szCs w:val="24"/>
        </w:rPr>
        <w:t xml:space="preserve">, G., </w:t>
      </w:r>
      <w:r>
        <w:rPr>
          <w:rFonts w:ascii="Times New Roman" w:cs="Times New Roman" w:eastAsia="Times New Roman" w:hAnsi="Times New Roman"/>
          <w:sz w:val="24"/>
          <w:szCs w:val="24"/>
        </w:rPr>
        <w:t>Stamenova</w:t>
      </w:r>
      <w:r>
        <w:rPr>
          <w:rFonts w:ascii="Times New Roman" w:cs="Times New Roman" w:eastAsia="Times New Roman" w:hAnsi="Times New Roman"/>
          <w:sz w:val="24"/>
          <w:szCs w:val="24"/>
        </w:rPr>
        <w:t xml:space="preserve">, E., &amp; </w:t>
      </w:r>
      <w:r>
        <w:rPr>
          <w:rFonts w:ascii="Times New Roman" w:cs="Times New Roman" w:eastAsia="Times New Roman" w:hAnsi="Times New Roman"/>
          <w:sz w:val="24"/>
          <w:szCs w:val="24"/>
        </w:rPr>
        <w:t>Marudova</w:t>
      </w:r>
      <w:r>
        <w:rPr>
          <w:rFonts w:ascii="Times New Roman" w:cs="Times New Roman" w:eastAsia="Times New Roman" w:hAnsi="Times New Roman"/>
          <w:sz w:val="24"/>
          <w:szCs w:val="24"/>
        </w:rPr>
        <w:t xml:space="preserve">, M. (2022). Physical and barrier properties of clove essential oil-loaded potato starch edible films. </w:t>
      </w:r>
      <w:r>
        <w:rPr>
          <w:rFonts w:ascii="Times New Roman" w:cs="Times New Roman" w:eastAsia="Times New Roman" w:hAnsi="Times New Roman"/>
          <w:i/>
          <w:iCs/>
          <w:sz w:val="24"/>
          <w:szCs w:val="24"/>
        </w:rPr>
        <w:t>Biointerface</w:t>
      </w:r>
      <w:r>
        <w:rPr>
          <w:rFonts w:ascii="Times New Roman" w:cs="Times New Roman" w:eastAsia="Times New Roman" w:hAnsi="Times New Roman"/>
          <w:i/>
          <w:iCs/>
          <w:sz w:val="24"/>
          <w:szCs w:val="24"/>
        </w:rPr>
        <w:t xml:space="preserve"> Research in Applied Chemistry, 12,</w:t>
      </w:r>
      <w:r>
        <w:rPr>
          <w:rFonts w:ascii="Times New Roman" w:cs="Times New Roman" w:eastAsia="Times New Roman" w:hAnsi="Times New Roman"/>
          <w:sz w:val="24"/>
          <w:szCs w:val="24"/>
        </w:rPr>
        <w:t xml:space="preserve"> 4603–4612. </w:t>
      </w:r>
      <w:r>
        <w:rPr/>
        <w:fldChar w:fldCharType="begin"/>
      </w:r>
      <w:r>
        <w:instrText xml:space="preserve"> HYPERLINK "https://doi.org/10.33263/BRIAC124.46034612" </w:instrText>
      </w:r>
      <w:r>
        <w:rPr/>
        <w:fldChar w:fldCharType="separate"/>
      </w:r>
      <w:r>
        <w:rPr>
          <w:rFonts w:ascii="Times New Roman" w:cs="Times New Roman" w:eastAsia="Times New Roman" w:hAnsi="Times New Roman"/>
          <w:color w:val="0000ff"/>
          <w:sz w:val="24"/>
          <w:szCs w:val="24"/>
          <w:u w:val="single"/>
        </w:rPr>
        <w:t>https://doi.org/10.33263/BRIAC124.46034612</w:t>
      </w:r>
      <w:r>
        <w:rPr/>
        <w:fldChar w:fldCharType="end"/>
      </w:r>
    </w:p>
    <w:sectPr>
      <w:type w:val="continuous"/>
      <w:pgSz w:w="11906" w:h="16838" w:orient="portrait"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0002AFF" w:usb1="4000ACFF" w:usb2="00000001" w:usb3="00000000" w:csb0="000001FF" w:csb1="00000000"/>
  </w:font>
  <w:font w:name="Calibri Light">
    <w:altName w:val="Calibri Light"/>
    <w:panose1 w:val="020f0302020000030204"/>
    <w:charset w:val="00"/>
    <w:family w:val="swiss"/>
    <w:pitch w:val="variable"/>
    <w:sig w:usb0="A0002AEF" w:usb1="4000207B" w:usb2="00000000"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MS Gothic">
    <w:altName w:val="ＭＳ ゴシック"/>
    <w:panose1 w:val="020b0609070000080204"/>
    <w:charset w:val="80"/>
    <w:family w:val="modern"/>
    <w:pitch w:val="fixed"/>
    <w:sig w:usb0="E00002FF" w:usb1="6AC7FDFB" w:usb2="08000012" w:usb3="00000000" w:csb0="0002009F" w:csb1="00000000"/>
  </w:font>
  <w:font w:name="宋体">
    <w:altName w:val="Wingdings 2"/>
    <w:panose1 w:val="05020102010000070707"/>
    <w:charset w:val="02"/>
    <w:family w:val="roman"/>
    <w:pitch w:val="default"/>
    <w:sig w:usb0="00000000" w:usb1="10000000" w:usb2="00000000" w:usb3="00000000" w:csb0="8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1C04172"/>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1A1E739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333CCB92"/>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87E61C14"/>
    <w:lvl w:ilvl="0">
      <w:start w:val="1"/>
      <w:numFmt w:val="lowerRoman"/>
      <w:lvlText w:val="%1."/>
      <w:lvlJc w:val="right"/>
      <w:pPr>
        <w:tabs>
          <w:tab w:val="left" w:leader="none" w:pos="720"/>
        </w:tabs>
        <w:ind w:left="720" w:hanging="360"/>
      </w:pPr>
      <w:rPr>
        <w:rFonts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24D6901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3F643A2E"/>
    <w:lvl w:ilvl="0">
      <w:start w:val="1"/>
      <w:numFmt w:val="lowerRoman"/>
      <w:lvlText w:val="%1."/>
      <w:lvlJc w:val="right"/>
      <w:pPr>
        <w:tabs>
          <w:tab w:val="left" w:leader="none" w:pos="720"/>
        </w:tabs>
        <w:ind w:left="720" w:hanging="360"/>
      </w:pPr>
      <w:rPr>
        <w:rFonts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multilevel"/>
    <w:tmpl w:val="406CE6CE"/>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7">
    <w:nsid w:val="00000007"/>
    <w:multiLevelType w:val="multilevel"/>
    <w:tmpl w:val="A1CE05B6"/>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multilevel"/>
    <w:tmpl w:val="CDE0C96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A442F63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A9BC1CD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1">
    <w:nsid w:val="0000000B"/>
    <w:multiLevelType w:val="hybridMultilevel"/>
    <w:tmpl w:val="420C40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000000C"/>
    <w:multiLevelType w:val="multilevel"/>
    <w:tmpl w:val="EE48FAE4"/>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3">
    <w:nsid w:val="0000000D"/>
    <w:multiLevelType w:val="multilevel"/>
    <w:tmpl w:val="3EEEA780"/>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4">
    <w:nsid w:val="0000000E"/>
    <w:multiLevelType w:val="multilevel"/>
    <w:tmpl w:val="F43427D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5">
    <w:nsid w:val="0000000F"/>
    <w:multiLevelType w:val="multilevel"/>
    <w:tmpl w:val="4790B9B4"/>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6">
    <w:nsid w:val="00000010"/>
    <w:multiLevelType w:val="multilevel"/>
    <w:tmpl w:val="D0225F9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7">
    <w:nsid w:val="00000011"/>
    <w:multiLevelType w:val="multilevel"/>
    <w:tmpl w:val="D026C394"/>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8">
    <w:nsid w:val="00000012"/>
    <w:multiLevelType w:val="multilevel"/>
    <w:tmpl w:val="B5CC027A"/>
    <w:lvl w:ilvl="0">
      <w:start w:val="1"/>
      <w:numFmt w:val="lowerRoman"/>
      <w:lvlText w:val="%1."/>
      <w:lvlJc w:val="left"/>
      <w:pPr>
        <w:tabs>
          <w:tab w:val="left" w:leader="none" w:pos="720"/>
        </w:tabs>
        <w:ind w:left="720" w:hanging="360"/>
      </w:pPr>
      <w:rPr>
        <w:rFonts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9">
    <w:nsid w:val="00000013"/>
    <w:multiLevelType w:val="multilevel"/>
    <w:tmpl w:val="8BF8310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0">
    <w:nsid w:val="00000014"/>
    <w:multiLevelType w:val="multilevel"/>
    <w:tmpl w:val="C5F018B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1">
    <w:nsid w:val="00000015"/>
    <w:multiLevelType w:val="multilevel"/>
    <w:tmpl w:val="49B051E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2">
    <w:nsid w:val="00000016"/>
    <w:multiLevelType w:val="multilevel"/>
    <w:tmpl w:val="AD84306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3">
    <w:nsid w:val="00000017"/>
    <w:multiLevelType w:val="multilevel"/>
    <w:tmpl w:val="F5DEE64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4">
    <w:nsid w:val="00000018"/>
    <w:multiLevelType w:val="multilevel"/>
    <w:tmpl w:val="05AE483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5">
    <w:nsid w:val="00000019"/>
    <w:multiLevelType w:val="multilevel"/>
    <w:tmpl w:val="27A2DDB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6">
    <w:nsid w:val="0000001A"/>
    <w:multiLevelType w:val="multilevel"/>
    <w:tmpl w:val="4088FAB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7">
    <w:nsid w:val="0000001B"/>
    <w:multiLevelType w:val="multilevel"/>
    <w:tmpl w:val="E758D9EE"/>
    <w:lvl w:ilvl="0">
      <w:start w:val="1"/>
      <w:numFmt w:val="lowerRoman"/>
      <w:lvlText w:val="%1."/>
      <w:lvlJc w:val="left"/>
      <w:pPr>
        <w:ind w:left="720" w:hanging="360"/>
      </w:pPr>
      <w:rPr>
        <w:rFonts w:ascii="宋体" w:cs="宋体" w:eastAsia="宋体" w:hAnsi="宋体"/>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val="fals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0000001C"/>
    <w:multiLevelType w:val="multilevel"/>
    <w:tmpl w:val="9BB8899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9">
    <w:nsid w:val="0000001D"/>
    <w:multiLevelType w:val="multilevel"/>
    <w:tmpl w:val="6D6E965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5"/>
  </w:num>
  <w:num w:numId="2">
    <w:abstractNumId w:val="20"/>
  </w:num>
  <w:num w:numId="3">
    <w:abstractNumId w:val="8"/>
  </w:num>
  <w:num w:numId="4">
    <w:abstractNumId w:val="29"/>
  </w:num>
  <w:num w:numId="5">
    <w:abstractNumId w:val="1"/>
  </w:num>
  <w:num w:numId="6">
    <w:abstractNumId w:val="19"/>
  </w:num>
  <w:num w:numId="7">
    <w:abstractNumId w:val="28"/>
  </w:num>
  <w:num w:numId="8">
    <w:abstractNumId w:val="26"/>
  </w:num>
  <w:num w:numId="9">
    <w:abstractNumId w:val="2"/>
  </w:num>
  <w:num w:numId="10">
    <w:abstractNumId w:val="27"/>
  </w:num>
  <w:num w:numId="11">
    <w:abstractNumId w:val="15"/>
  </w:num>
  <w:num w:numId="12">
    <w:abstractNumId w:val="6"/>
  </w:num>
  <w:num w:numId="13">
    <w:abstractNumId w:val="18"/>
  </w:num>
  <w:num w:numId="14">
    <w:abstractNumId w:val="3"/>
  </w:num>
  <w:num w:numId="15">
    <w:abstractNumId w:val="9"/>
  </w:num>
  <w:num w:numId="16">
    <w:abstractNumId w:val="22"/>
  </w:num>
  <w:num w:numId="17">
    <w:abstractNumId w:val="25"/>
  </w:num>
  <w:num w:numId="18">
    <w:abstractNumId w:val="4"/>
  </w:num>
  <w:num w:numId="19">
    <w:abstractNumId w:val="21"/>
  </w:num>
  <w:num w:numId="20">
    <w:abstractNumId w:val="23"/>
  </w:num>
  <w:num w:numId="21">
    <w:abstractNumId w:val="14"/>
  </w:num>
  <w:num w:numId="22">
    <w:abstractNumId w:val="10"/>
  </w:num>
  <w:num w:numId="23">
    <w:abstractNumId w:val="24"/>
  </w:num>
  <w:num w:numId="24">
    <w:abstractNumId w:val="16"/>
  </w:num>
  <w:num w:numId="25">
    <w:abstractNumId w:val="17"/>
  </w:num>
  <w:num w:numId="26">
    <w:abstractNumId w:val="11"/>
  </w:num>
  <w:num w:numId="27">
    <w:abstractNumId w:val="7"/>
  </w:num>
  <w:num w:numId="28">
    <w:abstractNumId w:val="12"/>
  </w:num>
  <w:num w:numId="29">
    <w:abstractNumId w:val="0"/>
  </w:num>
  <w:num w:numId="30">
    <w:abstractNumId w:val="1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0"/>
    <w:qFormat/>
    <w:uiPriority w:val="9"/>
    <w:pPr>
      <w:keepNext/>
      <w:keepLines/>
      <w:spacing w:before="240" w:after="0"/>
      <w:outlineLvl w:val="0"/>
    </w:pPr>
    <w:rPr>
      <w:rFonts w:ascii="Calibri Light" w:cs="宋体" w:eastAsia="宋体" w:hAnsi="Calibri Light"/>
      <w:color w:val="2f5496"/>
      <w:sz w:val="32"/>
      <w:szCs w:val="32"/>
    </w:rPr>
  </w:style>
  <w:style w:type="paragraph" w:styleId="style2">
    <w:name w:val="heading 2"/>
    <w:basedOn w:val="style0"/>
    <w:next w:val="style2"/>
    <w:link w:val="style4097"/>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098"/>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099"/>
    <w:qFormat/>
    <w:uiPriority w:val="9"/>
    <w:pPr>
      <w:keepNext/>
      <w:keepLines/>
      <w:spacing w:before="40" w:after="0"/>
      <w:outlineLvl w:val="3"/>
    </w:pPr>
    <w:rPr>
      <w:rFonts w:ascii="Calibri Light" w:cs="宋体" w:eastAsia="宋体" w:hAnsi="Calibri Light"/>
      <w:i/>
      <w:iCs/>
      <w:color w:val="2f549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88d334ea-3750-45c3-8b4f-7203d3ff934b"/>
    <w:basedOn w:val="style65"/>
    <w:next w:val="style4097"/>
    <w:link w:val="style2"/>
    <w:uiPriority w:val="9"/>
    <w:rPr>
      <w:rFonts w:ascii="Times New Roman" w:cs="Times New Roman" w:eastAsia="Times New Roman" w:hAnsi="Times New Roman"/>
      <w:b/>
      <w:bCs/>
      <w:sz w:val="36"/>
      <w:szCs w:val="36"/>
    </w:rPr>
  </w:style>
  <w:style w:type="character" w:customStyle="1" w:styleId="style4098">
    <w:name w:val="Heading 3 Char_4c2b142c-0164-446a-8028-7e14b04ca599"/>
    <w:basedOn w:val="style65"/>
    <w:next w:val="style4098"/>
    <w:link w:val="style3"/>
    <w:uiPriority w:val="9"/>
    <w:rPr>
      <w:rFonts w:ascii="Times New Roman" w:cs="Times New Roman" w:eastAsia="Times New Roman" w:hAnsi="Times New Roman"/>
      <w:b/>
      <w:bCs/>
      <w:sz w:val="27"/>
      <w:szCs w:val="27"/>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character" w:customStyle="1" w:styleId="style4099">
    <w:name w:val="Heading 4 Char_30631fcb-e2af-424b-a024-2cf914d92212"/>
    <w:basedOn w:val="style65"/>
    <w:next w:val="style4099"/>
    <w:link w:val="style4"/>
    <w:uiPriority w:val="9"/>
    <w:rPr>
      <w:rFonts w:ascii="Calibri Light" w:cs="宋体" w:eastAsia="宋体" w:hAnsi="Calibri Light"/>
      <w:i/>
      <w:iCs/>
      <w:color w:val="2f5496"/>
    </w:rPr>
  </w:style>
  <w:style w:type="paragraph" w:styleId="style179">
    <w:name w:val="List Paragraph"/>
    <w:basedOn w:val="style0"/>
    <w:next w:val="style179"/>
    <w:qFormat/>
    <w:uiPriority w:val="34"/>
    <w:pPr>
      <w:ind w:left="720"/>
      <w:contextualSpacing/>
    </w:pPr>
    <w:rPr>
      <w:rFonts w:eastAsia="宋体"/>
      <w:lang w:val="en-GB" w:eastAsia="zh-CN"/>
    </w:rPr>
  </w:style>
  <w:style w:type="character" w:styleId="style85">
    <w:name w:val="Hyperlink"/>
    <w:basedOn w:val="style65"/>
    <w:next w:val="style85"/>
    <w:uiPriority w:val="99"/>
    <w:rPr>
      <w:color w:val="0000ff"/>
      <w:u w:val="single"/>
    </w:rPr>
  </w:style>
  <w:style w:type="character" w:customStyle="1" w:styleId="style4100">
    <w:name w:val="Heading 1 Char_cb247d35-3bd8-452f-b95d-c913adb6d3ed"/>
    <w:basedOn w:val="style65"/>
    <w:next w:val="style4100"/>
    <w:link w:val="style1"/>
    <w:uiPriority w:val="9"/>
    <w:rPr>
      <w:rFonts w:ascii="Calibri Light" w:cs="宋体" w:eastAsia="宋体" w:hAnsi="Calibri Light"/>
      <w:color w:val="2f5496"/>
      <w:sz w:val="32"/>
      <w:szCs w:val="32"/>
    </w:rPr>
  </w:style>
  <w:style w:type="paragraph" w:styleId="style31">
    <w:name w:val="header"/>
    <w:basedOn w:val="style0"/>
    <w:next w:val="style31"/>
    <w:link w:val="style4101"/>
    <w:uiPriority w:val="99"/>
    <w:pPr>
      <w:tabs>
        <w:tab w:val="center" w:leader="none" w:pos="4513"/>
        <w:tab w:val="right" w:leader="none" w:pos="9026"/>
      </w:tabs>
      <w:spacing w:after="0" w:lineRule="auto" w:line="240"/>
    </w:pPr>
    <w:rPr>
      <w:rFonts w:eastAsia="宋体"/>
      <w:lang w:val="en-GB" w:eastAsia="zh-CN"/>
    </w:rPr>
  </w:style>
  <w:style w:type="character" w:customStyle="1" w:styleId="style4101">
    <w:name w:val="Header Char_4fc94a23-cd63-44c0-bd70-5084d8d52f3d"/>
    <w:basedOn w:val="style65"/>
    <w:next w:val="style4101"/>
    <w:link w:val="style31"/>
    <w:uiPriority w:val="99"/>
    <w:rPr>
      <w:rFonts w:eastAsia="宋体"/>
      <w:lang w:val="en-GB" w:eastAsia="zh-CN"/>
    </w:rPr>
  </w:style>
  <w:style w:type="paragraph" w:styleId="style266">
    <w:name w:val="TOC Heading"/>
    <w:basedOn w:val="style1"/>
    <w:next w:val="style0"/>
    <w:qFormat/>
    <w:uiPriority w:val="39"/>
    <w:pPr>
      <w:outlineLvl w:val="9"/>
    </w:pPr>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 w:type="paragraph" w:styleId="style32">
    <w:name w:val="footer"/>
    <w:basedOn w:val="style0"/>
    <w:next w:val="style32"/>
    <w:link w:val="style4102"/>
    <w:uiPriority w:val="99"/>
    <w:pPr>
      <w:tabs>
        <w:tab w:val="center" w:leader="none" w:pos="4680"/>
        <w:tab w:val="right" w:leader="none" w:pos="9360"/>
      </w:tabs>
      <w:spacing w:after="0" w:lineRule="auto" w:line="240"/>
    </w:pPr>
    <w:rPr/>
  </w:style>
  <w:style w:type="character" w:customStyle="1" w:styleId="style4102">
    <w:name w:val="Footer Char_5f9059f9-47da-462f-9bd6-c09277beaaae"/>
    <w:basedOn w:val="style65"/>
    <w:next w:val="style4102"/>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6AC23-684D-4464-AD0E-F41C325FD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Words>9794</Words>
  <Pages>43</Pages>
  <Characters>59453</Characters>
  <Application>WPS Office</Application>
  <DocSecurity>0</DocSecurity>
  <Paragraphs>571</Paragraphs>
  <ScaleCrop>false</ScaleCrop>
  <LinksUpToDate>false</LinksUpToDate>
  <CharactersWithSpaces>69501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2025-07-06T03:26:00Z</dcterms:created>
  <dc:creator>Jibril</dc:creator>
  <lastModifiedBy>Infinix X6817</lastModifiedBy>
  <dcterms:modified xsi:type="dcterms:W3CDTF">2025-07-10T22:04:10Z</dcterms:modified>
  <revision>55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b58194904a60498ea8571740d19414eb</vt:lpwstr>
  </property>
</Properties>
</file>