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sz w:val="28"/>
          <w:szCs w:val="28"/>
        </w:rPr>
      </w:pPr>
      <w:r>
        <w:rPr>
          <w:rFonts w:ascii="Times New Roman" w:hAnsi="Times New Roman" w:cs="Times New Roman"/>
          <w:b/>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55675" cy="900430"/>
                    </a:xfrm>
                    <a:prstGeom prst="rect">
                      <a:avLst/>
                    </a:prstGeom>
                    <a:noFill/>
                    <a:ln>
                      <a:noFill/>
                    </a:ln>
                  </pic:spPr>
                </pic:pic>
              </a:graphicData>
            </a:graphic>
          </wp:inline>
        </w:drawing>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PROJECT REPORT</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pPr>
        <w:jc w:val="center"/>
        <w:rPr>
          <w:rFonts w:asciiTheme="majorBidi" w:hAnsiTheme="majorBidi" w:cstheme="majorBidi"/>
          <w:b/>
          <w:bCs/>
          <w:sz w:val="24"/>
          <w:szCs w:val="24"/>
        </w:rPr>
      </w:pPr>
      <w:r>
        <w:rPr>
          <w:rFonts w:asciiTheme="majorBidi" w:hAnsiTheme="majorBidi" w:cstheme="majorBidi"/>
          <w:b/>
          <w:bCs/>
          <w:sz w:val="24"/>
          <w:szCs w:val="24"/>
        </w:rPr>
        <w:t>ANTIBACTERIAL ACTIVITY OF CLOVE EXTRACTS AGAINST PSEUDOMONAS AERUGINOSA AND ESCHERICHIA COLI</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BY</w:t>
      </w:r>
    </w:p>
    <w:p>
      <w:pPr>
        <w:tabs>
          <w:tab w:val="left" w:pos="720"/>
        </w:tabs>
        <w:spacing w:line="276" w:lineRule="auto"/>
        <w:rPr>
          <w:rFonts w:asciiTheme="majorBidi" w:hAnsiTheme="majorBidi" w:cstheme="majorBidi"/>
          <w:b/>
          <w:color w:val="000000"/>
          <w:sz w:val="24"/>
          <w:szCs w:val="24"/>
        </w:rPr>
      </w:pPr>
    </w:p>
    <w:p>
      <w:pPr>
        <w:tabs>
          <w:tab w:val="left" w:pos="720"/>
        </w:tabs>
        <w:spacing w:line="27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ANOFI SULIAT AJOKE</w:t>
      </w:r>
    </w:p>
    <w:p>
      <w:pPr>
        <w:tabs>
          <w:tab w:val="left" w:pos="720"/>
        </w:tabs>
        <w:spacing w:line="27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HND/23/SLT/FT/0010</w:t>
      </w:r>
    </w:p>
    <w:p>
      <w:pPr>
        <w:tabs>
          <w:tab w:val="left" w:pos="720"/>
        </w:tabs>
        <w:spacing w:line="27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SUBMITTED TO:</w:t>
      </w:r>
    </w:p>
    <w:p>
      <w:pPr>
        <w:tabs>
          <w:tab w:val="left" w:pos="720"/>
        </w:tabs>
        <w:spacing w:line="276" w:lineRule="auto"/>
        <w:jc w:val="center"/>
        <w:rPr>
          <w:rFonts w:ascii="Times New Roman" w:hAnsi="Times New Roman" w:eastAsia="Calibri" w:cs="Times New Roman"/>
          <w:b/>
          <w:sz w:val="24"/>
          <w:szCs w:val="24"/>
        </w:rPr>
      </w:pP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THE DEPARTMENT OF SCIENCE LABORATORY TECHNOLOGY, INSTITUTE OF APPLIED SCIENCES (IAS),</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KWARA STATE POLYTECHNIC, ILORIN,</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Pr>
          <w:rFonts w:asciiTheme="majorBidi" w:hAnsiTheme="majorBidi" w:cstheme="majorBidi"/>
          <w:b/>
          <w:color w:val="000000"/>
          <w:sz w:val="24"/>
          <w:szCs w:val="24"/>
        </w:rPr>
        <w:t>OPTION</w:t>
      </w:r>
      <w:r>
        <w:rPr>
          <w:rFonts w:asciiTheme="majorBidi" w:hAnsiTheme="majorBidi" w:cstheme="majorBidi"/>
          <w:b/>
          <w:color w:val="000000"/>
          <w:sz w:val="24"/>
          <w:szCs w:val="24"/>
        </w:rPr>
        <w:t>)</w:t>
      </w:r>
    </w:p>
    <w:p>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SUPERVISED BY:</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MR. ABDULLAHI M.N </w:t>
      </w:r>
    </w:p>
    <w:p>
      <w:pPr>
        <w:tabs>
          <w:tab w:val="center" w:pos="446"/>
          <w:tab w:val="center" w:pos="4796"/>
          <w:tab w:val="center" w:pos="5747"/>
        </w:tabs>
        <w:spacing w:after="51"/>
        <w:jc w:val="right"/>
        <w:rPr>
          <w:rFonts w:ascii="Times New Roman" w:hAnsi="Times New Roman" w:eastAsia="Times New Roman" w:cs="Times New Roman"/>
          <w:sz w:val="24"/>
          <w:szCs w:val="24"/>
        </w:rPr>
      </w:pPr>
      <w:r>
        <w:rPr>
          <w:rFonts w:ascii="Times New Roman" w:hAnsi="Times New Roman" w:cs="Times New Roman"/>
          <w:b/>
          <w:bCs/>
          <w:sz w:val="24"/>
          <w:szCs w:val="24"/>
        </w:rPr>
        <w:t>2024/2025 SESSION</w:t>
      </w:r>
      <w:bookmarkStart w:id="0" w:name="_Toc172144250"/>
      <w:bookmarkEnd w:id="0"/>
    </w:p>
    <w:p>
      <w:pPr>
        <w:jc w:val="center"/>
        <w:rPr>
          <w:rFonts w:asciiTheme="majorBidi" w:hAnsiTheme="majorBidi" w:cstheme="majorBidi"/>
          <w:b/>
          <w:bCs/>
          <w:sz w:val="28"/>
          <w:szCs w:val="28"/>
        </w:rPr>
      </w:pPr>
    </w:p>
    <w:p>
      <w:pPr>
        <w:tabs>
          <w:tab w:val="left" w:pos="720"/>
        </w:tabs>
        <w:spacing w:line="276" w:lineRule="auto"/>
        <w:jc w:val="right"/>
        <w:rPr>
          <w:rFonts w:asciiTheme="majorBidi" w:hAnsiTheme="majorBidi" w:cstheme="majorBidi"/>
          <w:b/>
          <w:color w:val="000000"/>
          <w:sz w:val="28"/>
          <w:szCs w:val="28"/>
        </w:rPr>
      </w:pPr>
    </w:p>
    <w:p>
      <w:pPr>
        <w:tabs>
          <w:tab w:val="left" w:pos="720"/>
        </w:tabs>
        <w:spacing w:line="276" w:lineRule="auto"/>
        <w:jc w:val="right"/>
        <w:rPr>
          <w:rFonts w:asciiTheme="majorBidi" w:hAnsiTheme="majorBidi" w:cstheme="majorBidi"/>
          <w:b/>
          <w:color w:val="000000"/>
          <w:sz w:val="28"/>
          <w:szCs w:val="28"/>
        </w:rPr>
      </w:pPr>
    </w:p>
    <w:p>
      <w:pPr>
        <w:pStyle w:val="2"/>
        <w:jc w:val="center"/>
        <w:rPr>
          <w:rFonts w:asciiTheme="majorBidi" w:hAnsiTheme="majorBidi"/>
          <w:b/>
          <w:bCs/>
          <w:color w:val="auto"/>
          <w:sz w:val="28"/>
          <w:szCs w:val="28"/>
        </w:rPr>
      </w:pPr>
      <w:bookmarkStart w:id="1" w:name="_Toc202853891"/>
      <w:bookmarkStart w:id="2" w:name="_Toc198482800"/>
      <w:r>
        <w:rPr>
          <w:rFonts w:asciiTheme="majorBidi" w:hAnsiTheme="majorBidi"/>
          <w:b/>
          <w:bCs/>
          <w:color w:val="auto"/>
          <w:sz w:val="28"/>
          <w:szCs w:val="28"/>
        </w:rPr>
        <w:t>CERTIFICATION</w:t>
      </w:r>
      <w:bookmarkEnd w:id="1"/>
      <w:bookmarkEnd w:id="2"/>
    </w:p>
    <w:p>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is to certify that this project work was carried out by ANOFI SULIAT AJOKE, with Matriculation Number HND/23/SLT/FT/0010, as part of the requirements for the Award of Higher National Diploma (HND) in Science Laboratory Technology (SLT).</w:t>
      </w: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line="240" w:lineRule="auto"/>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spacing w:line="240" w:lineRule="auto"/>
        <w:jc w:val="both"/>
        <w:rPr>
          <w:rFonts w:ascii="Times New Roman" w:hAnsi="Times New Roman"/>
          <w:sz w:val="24"/>
          <w:szCs w:val="24"/>
        </w:rPr>
      </w:pPr>
      <w:r>
        <w:rPr>
          <w:rFonts w:ascii="Times New Roman" w:hAnsi="Times New Roman"/>
          <w:sz w:val="24"/>
          <w:szCs w:val="24"/>
        </w:rPr>
        <w:t xml:space="preserve"> MR. ABDULLAHI M. N.</w:t>
      </w:r>
      <w:r>
        <w:rPr>
          <w:rFonts w:ascii="Times New Roman" w:hAnsi="Times New Roman"/>
          <w:sz w:val="24"/>
          <w:szCs w:val="24"/>
        </w:rPr>
        <w:tab/>
      </w:r>
      <w:r>
        <w:rPr>
          <w:rFonts w:ascii="Times New Roman" w:hAnsi="Times New Roman"/>
          <w:sz w:val="24"/>
          <w:szCs w:val="24"/>
        </w:rPr>
        <w:t xml:space="preserve">                                                                            DATE                                                 (</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spacing w:line="240" w:lineRule="auto"/>
        <w:jc w:val="both"/>
        <w:rPr>
          <w:rFonts w:ascii="Times New Roman" w:hAnsi="Times New Roman"/>
          <w:sz w:val="24"/>
          <w:szCs w:val="24"/>
        </w:rPr>
      </w:pPr>
      <w:r>
        <w:rPr>
          <w:rFonts w:ascii="Times New Roman" w:hAnsi="Times New Roman"/>
          <w:sz w:val="24"/>
          <w:szCs w:val="24"/>
        </w:rPr>
        <w:t xml:space="preserve">                                                                                                        </w:t>
      </w:r>
    </w:p>
    <w:p>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______________________</w:t>
      </w:r>
    </w:p>
    <w:p>
      <w:pPr>
        <w:spacing w:after="0" w:line="240" w:lineRule="auto"/>
        <w:jc w:val="both"/>
        <w:rPr>
          <w:rFonts w:ascii="Times New Roman" w:hAnsi="Times New Roman"/>
          <w:sz w:val="24"/>
          <w:szCs w:val="24"/>
        </w:rPr>
      </w:pPr>
      <w:r>
        <w:rPr>
          <w:rFonts w:ascii="Times New Roman" w:hAnsi="Times New Roman"/>
          <w:sz w:val="24"/>
          <w:szCs w:val="24"/>
        </w:rPr>
        <w:t xml:space="preserve">DR. ABDULKAREEM USMAN                                                                      DATE   </w:t>
      </w:r>
    </w:p>
    <w:p>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spacing w:line="240" w:lineRule="auto"/>
        <w:jc w:val="both"/>
        <w:rPr>
          <w:rFonts w:ascii="Times New Roman" w:hAnsi="Times New Roman"/>
          <w:sz w:val="24"/>
          <w:szCs w:val="24"/>
        </w:rPr>
      </w:pPr>
    </w:p>
    <w:p>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                                                                                        </w:t>
      </w:r>
    </w:p>
    <w:p>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tabs>
          <w:tab w:val="left" w:pos="7380"/>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spacing w:before="100" w:beforeAutospacing="1" w:after="0"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rPr>
          <w:rFonts w:ascii="Times New Roman" w:hAnsi="Times New Roman" w:eastAsia="Times New Roman" w:cs="Times New Roman"/>
          <w:b/>
          <w:bCs/>
          <w:sz w:val="28"/>
          <w:szCs w:val="28"/>
        </w:rPr>
      </w:pPr>
    </w:p>
    <w:p>
      <w:pPr>
        <w:spacing w:before="100" w:beforeAutospacing="1" w:after="100" w:afterAutospacing="1" w:line="480" w:lineRule="auto"/>
        <w:rPr>
          <w:rFonts w:ascii="Times New Roman" w:hAnsi="Times New Roman" w:eastAsia="Times New Roman" w:cs="Times New Roman"/>
          <w:b/>
          <w:bCs/>
          <w:sz w:val="28"/>
          <w:szCs w:val="28"/>
        </w:rPr>
      </w:pPr>
    </w:p>
    <w:p>
      <w:pPr>
        <w:pStyle w:val="2"/>
        <w:jc w:val="center"/>
        <w:rPr>
          <w:rFonts w:asciiTheme="majorBidi" w:hAnsiTheme="majorBidi"/>
          <w:b/>
          <w:bCs/>
          <w:color w:val="auto"/>
          <w:sz w:val="28"/>
          <w:szCs w:val="28"/>
        </w:rPr>
      </w:pPr>
      <w:bookmarkStart w:id="3" w:name="_Toc202853892"/>
      <w:bookmarkStart w:id="4" w:name="_Toc198482801"/>
      <w:r>
        <w:rPr>
          <w:rFonts w:asciiTheme="majorBidi" w:hAnsiTheme="majorBidi"/>
          <w:b/>
          <w:bCs/>
          <w:color w:val="auto"/>
          <w:sz w:val="28"/>
          <w:szCs w:val="28"/>
        </w:rPr>
        <w:t>DEDICATION</w:t>
      </w:r>
      <w:bookmarkEnd w:id="3"/>
      <w:bookmarkEnd w:id="4"/>
    </w:p>
    <w:p>
      <w:pPr>
        <w:pStyle w:val="25"/>
        <w:rPr>
          <w:rFonts w:ascii="Times New Roman" w:hAnsi="Times New Roman" w:eastAsia="Times New Roman"/>
          <w:b/>
          <w:bCs/>
          <w:sz w:val="28"/>
          <w:szCs w:val="28"/>
          <w:lang w:eastAsia="en-US"/>
        </w:rPr>
      </w:pPr>
    </w:p>
    <w:p>
      <w:pPr>
        <w:pStyle w:val="29"/>
        <w:rPr>
          <w:rFonts w:ascii="Times New Roman" w:hAnsi="Times New Roman" w:cs="Times New Roman"/>
          <w:sz w:val="24"/>
          <w:szCs w:val="24"/>
        </w:rPr>
      </w:pPr>
      <w:r>
        <w:rPr>
          <w:rFonts w:ascii="Times New Roman" w:hAnsi="Times New Roman" w:cs="Times New Roman"/>
          <w:sz w:val="24"/>
          <w:szCs w:val="24"/>
        </w:rPr>
        <w:t>This project is dedicated to Almighty Allah and to my loving family (ANOFI) with gratitude and love.</w:t>
      </w: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spacing w:before="100" w:beforeAutospacing="1" w:after="100" w:afterAutospacing="1" w:line="480" w:lineRule="auto"/>
        <w:jc w:val="both"/>
        <w:rPr>
          <w:rFonts w:ascii="Times New Roman" w:hAnsi="Times New Roman" w:eastAsia="Times New Roman" w:cs="Times New Roman"/>
          <w:b/>
          <w:bCs/>
          <w:sz w:val="28"/>
          <w:szCs w:val="28"/>
        </w:rPr>
      </w:pPr>
    </w:p>
    <w:p>
      <w:pPr>
        <w:pStyle w:val="2"/>
        <w:jc w:val="center"/>
        <w:rPr>
          <w:rFonts w:asciiTheme="majorBidi" w:hAnsiTheme="majorBidi"/>
          <w:b/>
          <w:bCs/>
          <w:color w:val="auto"/>
          <w:sz w:val="28"/>
          <w:szCs w:val="28"/>
        </w:rPr>
      </w:pPr>
      <w:bookmarkStart w:id="5" w:name="_Toc198482802"/>
      <w:bookmarkStart w:id="6" w:name="_Toc202853893"/>
      <w:r>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pPr>
        <w:keepNext/>
        <w:keepLines/>
        <w:spacing w:before="240" w:after="0"/>
        <w:jc w:val="center"/>
        <w:outlineLvl w:val="0"/>
        <w:rPr>
          <w:rFonts w:ascii="Times New Roman" w:hAnsi="Times New Roman" w:eastAsia="SimSun" w:cs="Times New Roman"/>
          <w:b/>
          <w:sz w:val="28"/>
          <w:szCs w:val="28"/>
          <w:lang w:eastAsia="zh-CN"/>
        </w:rPr>
      </w:pPr>
    </w:p>
    <w:p>
      <w:pPr>
        <w:pStyle w:val="25"/>
        <w:jc w:val="both"/>
        <w:rPr>
          <w:rFonts w:ascii="Times New Roman" w:hAnsi="Times New Roman"/>
          <w:sz w:val="28"/>
          <w:szCs w:val="28"/>
        </w:rPr>
      </w:pPr>
      <w:r>
        <w:rPr>
          <w:rStyle w:val="27"/>
          <w:rFonts w:ascii="Times New Roman" w:hAnsi="Times New Roman"/>
          <w:sz w:val="28"/>
          <w:szCs w:val="28"/>
        </w:rPr>
        <w:t xml:space="preserve">When kindness cannot be returned, it needs to be appreciated and pass to others. To God Almighty, I return all glory and adoration to HIM for his mercy forever. </w:t>
      </w:r>
    </w:p>
    <w:p>
      <w:pPr>
        <w:pStyle w:val="25"/>
        <w:jc w:val="both"/>
        <w:rPr>
          <w:rStyle w:val="28"/>
          <w:rFonts w:ascii="Times New Roman" w:hAnsi="Times New Roman"/>
          <w:sz w:val="28"/>
          <w:szCs w:val="28"/>
        </w:rPr>
      </w:pPr>
      <w:r>
        <w:rPr>
          <w:rStyle w:val="27"/>
          <w:rFonts w:ascii="Times New Roman" w:hAnsi="Times New Roman"/>
          <w:sz w:val="28"/>
          <w:szCs w:val="28"/>
        </w:rPr>
        <w:t>I am sincerely in debt to my supervisor</w:t>
      </w:r>
      <w:r>
        <w:rPr>
          <w:rStyle w:val="27"/>
          <w:rFonts w:ascii="Times New Roman" w:hAnsi="Times New Roman"/>
          <w:sz w:val="28"/>
          <w:szCs w:val="28"/>
          <w:lang w:val="en-US"/>
        </w:rPr>
        <w:t>,</w:t>
      </w:r>
      <w:bookmarkStart w:id="75" w:name="_GoBack"/>
      <w:bookmarkEnd w:id="75"/>
      <w:r>
        <w:rPr>
          <w:rStyle w:val="27"/>
          <w:rFonts w:ascii="Times New Roman" w:hAnsi="Times New Roman"/>
          <w:sz w:val="28"/>
          <w:szCs w:val="28"/>
        </w:rPr>
        <w:t xml:space="preserve"> Mr. Abdullahi M. N. I say a big thank you for your support, effort, and development of my project. Also, I’m so lucky to have you as my supervisor. May almighty Allah bless you beyond your expectations Amin.</w:t>
      </w:r>
      <w:r>
        <w:rPr>
          <w:rStyle w:val="28"/>
          <w:rFonts w:ascii="Times New Roman" w:hAnsi="Times New Roman"/>
          <w:sz w:val="28"/>
          <w:szCs w:val="28"/>
        </w:rPr>
        <w:t> </w:t>
      </w:r>
    </w:p>
    <w:p>
      <w:pPr>
        <w:pStyle w:val="25"/>
        <w:jc w:val="both"/>
        <w:rPr>
          <w:rStyle w:val="28"/>
          <w:rFonts w:ascii="Times New Roman" w:hAnsi="Times New Roman"/>
          <w:sz w:val="28"/>
          <w:szCs w:val="28"/>
        </w:rPr>
      </w:pPr>
      <w:r>
        <w:rPr>
          <w:rStyle w:val="28"/>
          <w:rFonts w:ascii="Times New Roman" w:hAnsi="Times New Roman"/>
          <w:sz w:val="28"/>
          <w:szCs w:val="28"/>
        </w:rPr>
        <w:t xml:space="preserve">And I also appreciate all my lectures I say big thank you may God almighty bless you all </w:t>
      </w:r>
    </w:p>
    <w:p>
      <w:pPr>
        <w:pStyle w:val="25"/>
        <w:jc w:val="both"/>
        <w:rPr>
          <w:rStyle w:val="28"/>
          <w:rFonts w:ascii="Times New Roman" w:hAnsi="Times New Roman"/>
          <w:sz w:val="28"/>
          <w:szCs w:val="28"/>
        </w:rPr>
      </w:pPr>
    </w:p>
    <w:p>
      <w:pPr>
        <w:pStyle w:val="25"/>
        <w:jc w:val="both"/>
        <w:rPr>
          <w:rFonts w:ascii="Times New Roman" w:hAnsi="Times New Roman"/>
          <w:sz w:val="28"/>
          <w:szCs w:val="28"/>
        </w:rPr>
      </w:pPr>
      <w:r>
        <w:rPr>
          <w:rStyle w:val="27"/>
          <w:rFonts w:ascii="Times New Roman" w:hAnsi="Times New Roman"/>
          <w:sz w:val="28"/>
          <w:szCs w:val="28"/>
        </w:rPr>
        <w:t>I also record my sincere appreciation to my parent Mr. And Mrs. ANOFI may the Almighty Allah allows you to reap the fruits of your labor and to my wonderful siblings and to my man Abidemi AbdulKareem Babatunde I really appreciate you all and I pray Almighty Allah bless you.</w:t>
      </w:r>
    </w:p>
    <w:p>
      <w:pPr>
        <w:pStyle w:val="26"/>
        <w:jc w:val="both"/>
        <w:rPr>
          <w:rFonts w:ascii="Times New Roman" w:hAnsi="Times New Roman"/>
          <w:sz w:val="28"/>
          <w:szCs w:val="28"/>
        </w:rPr>
      </w:pPr>
    </w:p>
    <w:p>
      <w:pPr>
        <w:pStyle w:val="25"/>
        <w:jc w:val="both"/>
        <w:rPr>
          <w:rFonts w:ascii="Times New Roman" w:hAnsi="Times New Roman"/>
          <w:sz w:val="28"/>
          <w:szCs w:val="28"/>
        </w:rPr>
      </w:pPr>
      <w:r>
        <w:rPr>
          <w:rStyle w:val="27"/>
          <w:rFonts w:ascii="Times New Roman" w:hAnsi="Times New Roman"/>
          <w:sz w:val="28"/>
          <w:szCs w:val="28"/>
        </w:rPr>
        <w:t xml:space="preserve">And my appreciation also goes to my friends I appreciate you all thank you for your support throughout my experience in this academic session. </w:t>
      </w:r>
    </w:p>
    <w:p>
      <w:pPr>
        <w:spacing w:line="480" w:lineRule="auto"/>
        <w:ind w:firstLine="720"/>
        <w:jc w:val="both"/>
        <w:rPr>
          <w:rFonts w:ascii="Times New Roman" w:hAnsi="Times New Roman" w:eastAsia="Calibri" w:cs="Times New Roman"/>
          <w:sz w:val="28"/>
          <w:szCs w:val="28"/>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spacing w:line="480" w:lineRule="auto"/>
        <w:ind w:firstLine="720"/>
        <w:jc w:val="both"/>
        <w:rPr>
          <w:rFonts w:ascii="Times New Roman" w:hAnsi="Times New Roman" w:eastAsia="Calibri" w:cs="SimSun"/>
          <w:sz w:val="24"/>
          <w:szCs w:val="24"/>
        </w:rPr>
      </w:pPr>
    </w:p>
    <w:p>
      <w:pPr>
        <w:pStyle w:val="2"/>
        <w:jc w:val="center"/>
        <w:rPr>
          <w:rFonts w:eastAsia="Calibri" w:asciiTheme="majorBidi" w:hAnsiTheme="majorBidi"/>
          <w:b/>
          <w:bCs/>
          <w:color w:val="auto"/>
          <w:sz w:val="28"/>
          <w:szCs w:val="28"/>
        </w:rPr>
      </w:pPr>
      <w:bookmarkStart w:id="7" w:name="_Toc202853894"/>
      <w:bookmarkStart w:id="8" w:name="_Toc201509687"/>
      <w:r>
        <w:rPr>
          <w:rFonts w:eastAsia="Calibri" w:asciiTheme="majorBidi" w:hAnsiTheme="majorBidi"/>
          <w:b/>
          <w:bCs/>
          <w:color w:val="auto"/>
          <w:sz w:val="28"/>
          <w:szCs w:val="28"/>
        </w:rPr>
        <w:t>TABLE OF CONTENTS</w:t>
      </w:r>
      <w:bookmarkEnd w:id="7"/>
      <w:bookmarkEnd w:id="8"/>
    </w:p>
    <w:p>
      <w:pPr>
        <w:pStyle w:val="23"/>
      </w:pPr>
    </w:p>
    <w:sdt>
      <w:sdtPr>
        <w:rPr>
          <w:rFonts w:asciiTheme="minorHAnsi" w:hAnsiTheme="minorHAnsi" w:eastAsiaTheme="minorHAnsi" w:cstheme="minorBidi"/>
          <w:color w:val="auto"/>
          <w:sz w:val="22"/>
          <w:szCs w:val="22"/>
        </w:rPr>
        <w:id w:val="-1114984623"/>
      </w:sdtPr>
      <w:sdtEndPr>
        <w:rPr>
          <w:rFonts w:asciiTheme="minorHAnsi" w:hAnsiTheme="minorHAnsi" w:eastAsiaTheme="minorHAnsi" w:cstheme="minorBidi"/>
          <w:b/>
          <w:bCs/>
          <w:color w:val="auto"/>
          <w:sz w:val="22"/>
          <w:szCs w:val="22"/>
        </w:rPr>
      </w:sdtEndPr>
      <w:sdtContent>
        <w:p>
          <w:pPr>
            <w:pStyle w:val="23"/>
          </w:pPr>
        </w:p>
        <w:p>
          <w:pPr>
            <w:pStyle w:val="9"/>
            <w:tabs>
              <w:tab w:val="right" w:leader="dot" w:pos="9350"/>
            </w:tabs>
            <w:rPr>
              <w:rFonts w:eastAsiaTheme="minorEastAsia"/>
            </w:rPr>
          </w:pPr>
          <w:r>
            <w:fldChar w:fldCharType="begin"/>
          </w:r>
          <w:r>
            <w:instrText xml:space="preserve"> TOC \o "1-3" \h \z \u </w:instrText>
          </w:r>
          <w:r>
            <w:fldChar w:fldCharType="separate"/>
          </w:r>
          <w:r>
            <w:fldChar w:fldCharType="begin"/>
          </w:r>
          <w:r>
            <w:instrText xml:space="preserve"> HYPERLINK \l "_Toc202853891" </w:instrText>
          </w:r>
          <w:r>
            <w:fldChar w:fldCharType="separate"/>
          </w:r>
          <w:r>
            <w:rPr>
              <w:rStyle w:val="14"/>
              <w:rFonts w:asciiTheme="majorBidi" w:hAnsiTheme="majorBidi"/>
              <w:b/>
              <w:bCs/>
            </w:rPr>
            <w:t>CERTIFICATION</w:t>
          </w:r>
          <w:r>
            <w:tab/>
          </w:r>
          <w:r>
            <w:fldChar w:fldCharType="begin"/>
          </w:r>
          <w:r>
            <w:instrText xml:space="preserve"> PAGEREF _Toc202853891 \h </w:instrText>
          </w:r>
          <w:r>
            <w:fldChar w:fldCharType="separate"/>
          </w:r>
          <w:r>
            <w:t>ii</w:t>
          </w:r>
          <w:r>
            <w:fldChar w:fldCharType="end"/>
          </w:r>
          <w:r>
            <w:fldChar w:fldCharType="end"/>
          </w:r>
        </w:p>
        <w:p>
          <w:pPr>
            <w:pStyle w:val="9"/>
            <w:tabs>
              <w:tab w:val="right" w:leader="dot" w:pos="9350"/>
            </w:tabs>
            <w:rPr>
              <w:rFonts w:eastAsiaTheme="minorEastAsia"/>
            </w:rPr>
          </w:pPr>
          <w:r>
            <w:fldChar w:fldCharType="begin"/>
          </w:r>
          <w:r>
            <w:instrText xml:space="preserve"> HYPERLINK \l "_Toc202853892" </w:instrText>
          </w:r>
          <w:r>
            <w:fldChar w:fldCharType="separate"/>
          </w:r>
          <w:r>
            <w:rPr>
              <w:rStyle w:val="14"/>
              <w:rFonts w:asciiTheme="majorBidi" w:hAnsiTheme="majorBidi"/>
              <w:b/>
              <w:bCs/>
            </w:rPr>
            <w:t>DEDICATION</w:t>
          </w:r>
          <w:r>
            <w:tab/>
          </w:r>
          <w:r>
            <w:fldChar w:fldCharType="begin"/>
          </w:r>
          <w:r>
            <w:instrText xml:space="preserve"> PAGEREF _Toc202853892 \h </w:instrText>
          </w:r>
          <w:r>
            <w:fldChar w:fldCharType="separate"/>
          </w:r>
          <w:r>
            <w:t>iii</w:t>
          </w:r>
          <w:r>
            <w:fldChar w:fldCharType="end"/>
          </w:r>
          <w:r>
            <w:fldChar w:fldCharType="end"/>
          </w:r>
        </w:p>
        <w:p>
          <w:pPr>
            <w:pStyle w:val="9"/>
            <w:tabs>
              <w:tab w:val="right" w:leader="dot" w:pos="9350"/>
            </w:tabs>
            <w:rPr>
              <w:rFonts w:eastAsiaTheme="minorEastAsia"/>
            </w:rPr>
          </w:pPr>
          <w:r>
            <w:fldChar w:fldCharType="begin"/>
          </w:r>
          <w:r>
            <w:instrText xml:space="preserve"> HYPERLINK \l "_Toc202853893" </w:instrText>
          </w:r>
          <w:r>
            <w:fldChar w:fldCharType="separate"/>
          </w:r>
          <w:r>
            <w:rPr>
              <w:rStyle w:val="14"/>
              <w:rFonts w:asciiTheme="majorBidi" w:hAnsiTheme="majorBidi"/>
              <w:b/>
              <w:bCs/>
            </w:rPr>
            <w:t>ACKNOWLEDGEMENTS</w:t>
          </w:r>
          <w:r>
            <w:tab/>
          </w:r>
          <w:r>
            <w:fldChar w:fldCharType="begin"/>
          </w:r>
          <w:r>
            <w:instrText xml:space="preserve"> PAGEREF _Toc202853893 \h </w:instrText>
          </w:r>
          <w:r>
            <w:fldChar w:fldCharType="separate"/>
          </w:r>
          <w:r>
            <w:t>iv</w:t>
          </w:r>
          <w:r>
            <w:fldChar w:fldCharType="end"/>
          </w:r>
          <w:r>
            <w:fldChar w:fldCharType="end"/>
          </w:r>
        </w:p>
        <w:p>
          <w:pPr>
            <w:pStyle w:val="9"/>
            <w:tabs>
              <w:tab w:val="right" w:leader="dot" w:pos="9350"/>
            </w:tabs>
            <w:rPr>
              <w:rFonts w:eastAsiaTheme="minorEastAsia"/>
            </w:rPr>
          </w:pPr>
          <w:r>
            <w:fldChar w:fldCharType="begin"/>
          </w:r>
          <w:r>
            <w:instrText xml:space="preserve"> HYPERLINK \l "_Toc202853894" </w:instrText>
          </w:r>
          <w:r>
            <w:fldChar w:fldCharType="separate"/>
          </w:r>
          <w:r>
            <w:rPr>
              <w:rStyle w:val="14"/>
              <w:rFonts w:eastAsia="Calibri" w:asciiTheme="majorBidi" w:hAnsiTheme="majorBidi"/>
              <w:b/>
              <w:bCs/>
            </w:rPr>
            <w:t>TABLE OF CONTENTS</w:t>
          </w:r>
          <w:r>
            <w:tab/>
          </w:r>
          <w:r>
            <w:fldChar w:fldCharType="begin"/>
          </w:r>
          <w:r>
            <w:instrText xml:space="preserve"> PAGEREF _Toc202853894 \h </w:instrText>
          </w:r>
          <w:r>
            <w:fldChar w:fldCharType="separate"/>
          </w:r>
          <w:r>
            <w:t>v</w:t>
          </w:r>
          <w:r>
            <w:fldChar w:fldCharType="end"/>
          </w:r>
          <w:r>
            <w:fldChar w:fldCharType="end"/>
          </w:r>
        </w:p>
        <w:p>
          <w:pPr>
            <w:pStyle w:val="9"/>
            <w:tabs>
              <w:tab w:val="right" w:leader="dot" w:pos="9350"/>
            </w:tabs>
            <w:rPr>
              <w:rFonts w:eastAsiaTheme="minorEastAsia"/>
            </w:rPr>
          </w:pPr>
          <w:r>
            <w:fldChar w:fldCharType="begin"/>
          </w:r>
          <w:r>
            <w:instrText xml:space="preserve"> HYPERLINK \l "_Toc202853895" </w:instrText>
          </w:r>
          <w:r>
            <w:fldChar w:fldCharType="separate"/>
          </w:r>
          <w:r>
            <w:rPr>
              <w:rStyle w:val="14"/>
              <w:rFonts w:eastAsia="Calibri" w:asciiTheme="majorBidi" w:hAnsiTheme="majorBidi"/>
              <w:b/>
              <w:bCs/>
            </w:rPr>
            <w:t>ABSTRACT</w:t>
          </w:r>
          <w:r>
            <w:tab/>
          </w:r>
          <w:r>
            <w:fldChar w:fldCharType="begin"/>
          </w:r>
          <w:r>
            <w:instrText xml:space="preserve"> PAGEREF _Toc202853895 \h </w:instrText>
          </w:r>
          <w:r>
            <w:fldChar w:fldCharType="separate"/>
          </w:r>
          <w:r>
            <w:t>vii</w:t>
          </w:r>
          <w:r>
            <w:fldChar w:fldCharType="end"/>
          </w:r>
          <w:r>
            <w:fldChar w:fldCharType="end"/>
          </w:r>
        </w:p>
        <w:p>
          <w:pPr>
            <w:pStyle w:val="9"/>
            <w:tabs>
              <w:tab w:val="right" w:leader="dot" w:pos="9350"/>
            </w:tabs>
            <w:rPr>
              <w:rFonts w:eastAsiaTheme="minorEastAsia"/>
            </w:rPr>
          </w:pPr>
          <w:r>
            <w:fldChar w:fldCharType="begin"/>
          </w:r>
          <w:r>
            <w:instrText xml:space="preserve"> HYPERLINK \l "_Toc202853896" </w:instrText>
          </w:r>
          <w:r>
            <w:fldChar w:fldCharType="separate"/>
          </w:r>
          <w:r>
            <w:rPr>
              <w:rStyle w:val="14"/>
              <w:rFonts w:eastAsia="Calibri" w:asciiTheme="majorBidi" w:hAnsiTheme="majorBidi"/>
              <w:b/>
              <w:bCs/>
            </w:rPr>
            <w:t>CHAPTER ONE</w:t>
          </w:r>
          <w:r>
            <w:tab/>
          </w:r>
          <w:r>
            <w:fldChar w:fldCharType="begin"/>
          </w:r>
          <w:r>
            <w:instrText xml:space="preserve"> PAGEREF _Toc202853896 \h </w:instrText>
          </w:r>
          <w:r>
            <w:fldChar w:fldCharType="separate"/>
          </w:r>
          <w:r>
            <w:t>7</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"_Toc202853897" </w:instrText>
          </w:r>
          <w:r>
            <w:fldChar w:fldCharType="separate"/>
          </w:r>
          <w:r>
            <w:rPr>
              <w:rStyle w:val="14"/>
              <w:rFonts w:asciiTheme="majorBidi" w:hAnsiTheme="majorBidi"/>
            </w:rPr>
            <w:t>1.0 Introduction</w:t>
          </w:r>
          <w:r>
            <w:tab/>
          </w:r>
          <w:r>
            <w:fldChar w:fldCharType="begin"/>
          </w:r>
          <w:r>
            <w:instrText xml:space="preserve"> PAGEREF _Toc202853897 \h </w:instrText>
          </w:r>
          <w:r>
            <w:fldChar w:fldCharType="separate"/>
          </w:r>
          <w:r>
            <w:t>7</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"_Toc202853898" </w:instrText>
          </w:r>
          <w:r>
            <w:fldChar w:fldCharType="separate"/>
          </w:r>
          <w:r>
            <w:rPr>
              <w:rStyle w:val="14"/>
              <w:rFonts w:asciiTheme="majorBidi" w:hAnsiTheme="majorBidi"/>
            </w:rPr>
            <w:t>1.1 Statement of the Problem</w:t>
          </w:r>
          <w:r>
            <w:tab/>
          </w:r>
          <w:r>
            <w:fldChar w:fldCharType="begin"/>
          </w:r>
          <w:r>
            <w:instrText xml:space="preserve"> PAGEREF _Toc202853898 \h </w:instrText>
          </w:r>
          <w:r>
            <w:fldChar w:fldCharType="separate"/>
          </w:r>
          <w:r>
            <w:t>9</w:t>
          </w:r>
          <w:r>
            <w:fldChar w:fldCharType="end"/>
          </w:r>
          <w:r>
            <w:fldChar w:fldCharType="end"/>
          </w:r>
        </w:p>
        <w:p>
          <w:pPr>
            <w:pStyle w:val="10"/>
            <w:tabs>
              <w:tab w:val="right" w:leader="dot" w:pos="9350"/>
            </w:tabs>
            <w:rPr>
              <w:rFonts w:eastAsiaTheme="minorEastAsia"/>
            </w:rPr>
          </w:pPr>
          <w:r>
            <w:fldChar w:fldCharType="begin"/>
          </w:r>
          <w:r>
            <w:instrText xml:space="preserve"> HYPERLINK \l "_Toc202853899" </w:instrText>
          </w:r>
          <w:r>
            <w:fldChar w:fldCharType="separate"/>
          </w:r>
          <w:r>
            <w:rPr>
              <w:rStyle w:val="14"/>
              <w:rFonts w:asciiTheme="majorBidi" w:hAnsiTheme="majorBidi"/>
            </w:rPr>
            <w:t>1.2 Justification of the Study</w:t>
          </w:r>
          <w:r>
            <w:tab/>
          </w:r>
          <w:r>
            <w:fldChar w:fldCharType="begin"/>
          </w:r>
          <w:r>
            <w:instrText xml:space="preserve"> PAGEREF _Toc202853899 \h </w:instrText>
          </w:r>
          <w:r>
            <w:fldChar w:fldCharType="separate"/>
          </w:r>
          <w:r>
            <w:t>10</w:t>
          </w:r>
          <w:r>
            <w:fldChar w:fldCharType="end"/>
          </w:r>
          <w:r>
            <w:fldChar w:fldCharType="end"/>
          </w:r>
        </w:p>
        <w:p>
          <w:pPr>
            <w:pStyle w:val="10"/>
            <w:tabs>
              <w:tab w:val="right" w:leader="dot" w:pos="9350"/>
            </w:tabs>
            <w:rPr>
              <w:rFonts w:eastAsiaTheme="minorEastAsia"/>
            </w:rPr>
          </w:pPr>
          <w:r>
            <w:fldChar w:fldCharType="begin"/>
          </w:r>
          <w:r>
            <w:instrText xml:space="preserve"> HYPERLINK \l "_Toc202853900" </w:instrText>
          </w:r>
          <w:r>
            <w:fldChar w:fldCharType="separate"/>
          </w:r>
          <w:r>
            <w:rPr>
              <w:rStyle w:val="14"/>
              <w:rFonts w:asciiTheme="majorBidi" w:hAnsiTheme="majorBidi"/>
            </w:rPr>
            <w:t>1.3 Aim of Study</w:t>
          </w:r>
          <w:r>
            <w:tab/>
          </w:r>
          <w:r>
            <w:fldChar w:fldCharType="begin"/>
          </w:r>
          <w:r>
            <w:instrText xml:space="preserve"> PAGEREF _Toc202853900 \h </w:instrText>
          </w:r>
          <w:r>
            <w:fldChar w:fldCharType="separate"/>
          </w:r>
          <w:r>
            <w:t>10</w:t>
          </w:r>
          <w:r>
            <w:fldChar w:fldCharType="end"/>
          </w:r>
          <w:r>
            <w:fldChar w:fldCharType="end"/>
          </w:r>
        </w:p>
        <w:p>
          <w:pPr>
            <w:pStyle w:val="10"/>
            <w:tabs>
              <w:tab w:val="right" w:leader="dot" w:pos="9350"/>
            </w:tabs>
            <w:rPr>
              <w:rFonts w:eastAsiaTheme="minorEastAsia"/>
            </w:rPr>
          </w:pPr>
          <w:r>
            <w:fldChar w:fldCharType="begin"/>
          </w:r>
          <w:r>
            <w:instrText xml:space="preserve"> HYPERLINK \l "_Toc202853901" </w:instrText>
          </w:r>
          <w:r>
            <w:fldChar w:fldCharType="separate"/>
          </w:r>
          <w:r>
            <w:rPr>
              <w:rStyle w:val="14"/>
              <w:rFonts w:asciiTheme="majorBidi" w:hAnsiTheme="majorBidi"/>
            </w:rPr>
            <w:t>1.4 Objectives of Study</w:t>
          </w:r>
          <w:r>
            <w:tab/>
          </w:r>
          <w:r>
            <w:fldChar w:fldCharType="begin"/>
          </w:r>
          <w:r>
            <w:instrText xml:space="preserve"> PAGEREF _Toc202853901 \h </w:instrText>
          </w:r>
          <w:r>
            <w:fldChar w:fldCharType="separate"/>
          </w:r>
          <w:r>
            <w:t>10</w:t>
          </w:r>
          <w:r>
            <w:fldChar w:fldCharType="end"/>
          </w:r>
          <w:r>
            <w:fldChar w:fldCharType="end"/>
          </w:r>
        </w:p>
        <w:p>
          <w:pPr>
            <w:pStyle w:val="9"/>
            <w:tabs>
              <w:tab w:val="right" w:leader="dot" w:pos="9350"/>
            </w:tabs>
            <w:rPr>
              <w:rFonts w:eastAsiaTheme="minorEastAsia"/>
            </w:rPr>
          </w:pPr>
          <w:r>
            <w:fldChar w:fldCharType="begin"/>
          </w:r>
          <w:r>
            <w:instrText xml:space="preserve"> HYPERLINK \l "_Toc202853902" </w:instrText>
          </w:r>
          <w:r>
            <w:fldChar w:fldCharType="separate"/>
          </w:r>
          <w:r>
            <w:rPr>
              <w:rStyle w:val="14"/>
              <w:rFonts w:eastAsia="Calibri" w:asciiTheme="majorBidi" w:hAnsiTheme="majorBidi"/>
              <w:b/>
              <w:bCs/>
            </w:rPr>
            <w:t>CHAPTER TWO</w:t>
          </w:r>
          <w:r>
            <w:tab/>
          </w:r>
          <w:r>
            <w:fldChar w:fldCharType="begin"/>
          </w:r>
          <w:r>
            <w:instrText xml:space="preserve"> PAGEREF _Toc202853902 \h </w:instrText>
          </w:r>
          <w:r>
            <w:fldChar w:fldCharType="separate"/>
          </w:r>
          <w:r>
            <w:t>11</w:t>
          </w:r>
          <w:r>
            <w:fldChar w:fldCharType="end"/>
          </w:r>
          <w:r>
            <w:fldChar w:fldCharType="end"/>
          </w:r>
        </w:p>
        <w:p>
          <w:pPr>
            <w:pStyle w:val="10"/>
            <w:tabs>
              <w:tab w:val="right" w:leader="dot" w:pos="9350"/>
            </w:tabs>
            <w:rPr>
              <w:rFonts w:eastAsiaTheme="minorEastAsia"/>
            </w:rPr>
          </w:pPr>
          <w:r>
            <w:fldChar w:fldCharType="begin"/>
          </w:r>
          <w:r>
            <w:instrText xml:space="preserve"> HYPERLINK \l "_Toc202853903" </w:instrText>
          </w:r>
          <w:r>
            <w:fldChar w:fldCharType="separate"/>
          </w:r>
          <w:r>
            <w:rPr>
              <w:rStyle w:val="14"/>
              <w:rFonts w:asciiTheme="majorBidi" w:hAnsiTheme="majorBidi"/>
            </w:rPr>
            <w:t>2.0 LITERATURE REVIEW</w:t>
          </w:r>
          <w:r>
            <w:tab/>
          </w:r>
          <w:r>
            <w:fldChar w:fldCharType="begin"/>
          </w:r>
          <w:r>
            <w:instrText xml:space="preserve"> PAGEREF _Toc202853903 \h </w:instrText>
          </w:r>
          <w:r>
            <w:fldChar w:fldCharType="separate"/>
          </w:r>
          <w:r>
            <w:t>11</w:t>
          </w:r>
          <w:r>
            <w:fldChar w:fldCharType="end"/>
          </w:r>
          <w:r>
            <w:fldChar w:fldCharType="end"/>
          </w:r>
        </w:p>
        <w:p>
          <w:pPr>
            <w:pStyle w:val="10"/>
            <w:tabs>
              <w:tab w:val="right" w:leader="dot" w:pos="9350"/>
            </w:tabs>
            <w:rPr>
              <w:rFonts w:eastAsiaTheme="minorEastAsia"/>
            </w:rPr>
          </w:pPr>
          <w:r>
            <w:fldChar w:fldCharType="begin"/>
          </w:r>
          <w:r>
            <w:instrText xml:space="preserve"> HYPERLINK \l "_Toc202853904" </w:instrText>
          </w:r>
          <w:r>
            <w:fldChar w:fldCharType="separate"/>
          </w:r>
          <w:r>
            <w:rPr>
              <w:rStyle w:val="14"/>
              <w:rFonts w:asciiTheme="majorBidi" w:hAnsiTheme="majorBidi"/>
            </w:rPr>
            <w:t>2.1 Overview of Antimicrobial Resistance</w:t>
          </w:r>
          <w:r>
            <w:tab/>
          </w:r>
          <w:r>
            <w:fldChar w:fldCharType="begin"/>
          </w:r>
          <w:r>
            <w:instrText xml:space="preserve"> PAGEREF _Toc202853904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"_Toc202853905" </w:instrText>
          </w:r>
          <w:r>
            <w:fldChar w:fldCharType="separate"/>
          </w:r>
          <w:r>
            <w:rPr>
              <w:rStyle w:val="14"/>
            </w:rPr>
            <w:t>2.1.1 Global Burden of Antibiotic Resistance</w:t>
          </w:r>
          <w:r>
            <w:tab/>
          </w:r>
          <w:r>
            <w:fldChar w:fldCharType="begin"/>
          </w:r>
          <w:r>
            <w:instrText xml:space="preserve"> PAGEREF _Toc202853905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"_Toc202853906" </w:instrText>
          </w:r>
          <w:r>
            <w:fldChar w:fldCharType="separate"/>
          </w:r>
          <w:r>
            <w:rPr>
              <w:rStyle w:val="14"/>
            </w:rPr>
            <w:t>2.1.2 Emergence of Multidrug-Resistant Bacteria</w:t>
          </w:r>
          <w:r>
            <w:tab/>
          </w:r>
          <w:r>
            <w:fldChar w:fldCharType="begin"/>
          </w:r>
          <w:r>
            <w:instrText xml:space="preserve"> PAGEREF _Toc202853906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"_Toc202853907" </w:instrText>
          </w:r>
          <w:r>
            <w:fldChar w:fldCharType="separate"/>
          </w:r>
          <w:r>
            <w:rPr>
              <w:rStyle w:val="14"/>
            </w:rPr>
            <w:t>2.1.3 Need for Alternative Therapies</w:t>
          </w:r>
          <w:r>
            <w:tab/>
          </w:r>
          <w:r>
            <w:fldChar w:fldCharType="begin"/>
          </w:r>
          <w:r>
            <w:instrText xml:space="preserve"> PAGEREF _Toc202853907 \h </w:instrText>
          </w:r>
          <w:r>
            <w:fldChar w:fldCharType="separate"/>
          </w:r>
          <w:r>
            <w:t>11</w:t>
          </w:r>
          <w:r>
            <w:fldChar w:fldCharType="end"/>
          </w:r>
          <w:r>
            <w:fldChar w:fldCharType="end"/>
          </w:r>
        </w:p>
        <w:p>
          <w:pPr>
            <w:pStyle w:val="10"/>
            <w:tabs>
              <w:tab w:val="right" w:leader="dot" w:pos="9350"/>
            </w:tabs>
            <w:rPr>
              <w:rFonts w:eastAsiaTheme="minorEastAsia"/>
            </w:rPr>
          </w:pPr>
          <w:r>
            <w:fldChar w:fldCharType="begin"/>
          </w:r>
          <w:r>
            <w:instrText xml:space="preserve"> HYPERLINK \l "_Toc202853908" </w:instrText>
          </w:r>
          <w:r>
            <w:fldChar w:fldCharType="separate"/>
          </w:r>
          <w:r>
            <w:rPr>
              <w:rStyle w:val="14"/>
              <w:rFonts w:asciiTheme="majorBidi" w:hAnsiTheme="majorBidi"/>
            </w:rPr>
            <w:t>2.2 Clinical Relevance of the Test Organisms</w:t>
          </w:r>
          <w:r>
            <w:tab/>
          </w:r>
          <w:r>
            <w:fldChar w:fldCharType="begin"/>
          </w:r>
          <w:r>
            <w:instrText xml:space="preserve"> PAGEREF _Toc202853908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"_Toc202853909" </w:instrText>
          </w:r>
          <w:r>
            <w:fldChar w:fldCharType="separate"/>
          </w:r>
          <w:r>
            <w:rPr>
              <w:rStyle w:val="14"/>
            </w:rPr>
            <w:t>2.2.1 Staphylococcus aureus (MRSA and MSSA)</w:t>
          </w:r>
          <w:r>
            <w:tab/>
          </w:r>
          <w:r>
            <w:fldChar w:fldCharType="begin"/>
          </w:r>
          <w:r>
            <w:instrText xml:space="preserve"> PAGEREF _Toc202853909 \h </w:instrText>
          </w:r>
          <w:r>
            <w:fldChar w:fldCharType="separate"/>
          </w:r>
          <w:r>
            <w:t>11</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"_Toc202853910" </w:instrText>
          </w:r>
          <w:r>
            <w:fldChar w:fldCharType="separate"/>
          </w:r>
          <w:r>
            <w:rPr>
              <w:rStyle w:val="14"/>
            </w:rPr>
            <w:t>2.2.2 Escherichia coli</w:t>
          </w:r>
          <w:r>
            <w:tab/>
          </w:r>
          <w:r>
            <w:fldChar w:fldCharType="begin"/>
          </w:r>
          <w:r>
            <w:instrText xml:space="preserve"> PAGEREF _Toc202853910 \h </w:instrText>
          </w:r>
          <w:r>
            <w:fldChar w:fldCharType="separate"/>
          </w:r>
          <w:r>
            <w:t>12</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"_Toc202853911" </w:instrText>
          </w:r>
          <w:r>
            <w:fldChar w:fldCharType="separate"/>
          </w:r>
          <w:r>
            <w:rPr>
              <w:rStyle w:val="14"/>
            </w:rPr>
            <w:t>2.2.3 Pseudomonas aeruginosa</w:t>
          </w:r>
          <w:r>
            <w:tab/>
          </w:r>
          <w:r>
            <w:fldChar w:fldCharType="begin"/>
          </w:r>
          <w:r>
            <w:instrText xml:space="preserve"> PAGEREF _Toc202853911 \h </w:instrText>
          </w:r>
          <w:r>
            <w:fldChar w:fldCharType="separate"/>
          </w:r>
          <w:r>
            <w:t>13</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"_Toc202853912" </w:instrText>
          </w:r>
          <w:r>
            <w:fldChar w:fldCharType="separate"/>
          </w:r>
          <w:r>
            <w:rPr>
              <w:rStyle w:val="14"/>
            </w:rPr>
            <w:t>2.2.4 Klebsiella pneumoniae</w:t>
          </w:r>
          <w:r>
            <w:tab/>
          </w:r>
          <w:r>
            <w:fldChar w:fldCharType="begin"/>
          </w:r>
          <w:r>
            <w:instrText xml:space="preserve"> PAGEREF _Toc202853912 \h </w:instrText>
          </w:r>
          <w:r>
            <w:fldChar w:fldCharType="separate"/>
          </w:r>
          <w:r>
            <w:t>13</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"_Toc202853913" </w:instrText>
          </w:r>
          <w:r>
            <w:fldChar w:fldCharType="separate"/>
          </w:r>
          <w:r>
            <w:rPr>
              <w:rStyle w:val="14"/>
            </w:rPr>
            <w:t>2.2.5 Salmonella typhi</w:t>
          </w:r>
          <w:r>
            <w:tab/>
          </w:r>
          <w:r>
            <w:fldChar w:fldCharType="begin"/>
          </w:r>
          <w:r>
            <w:instrText xml:space="preserve"> PAGEREF _Toc202853913 \h </w:instrText>
          </w:r>
          <w:r>
            <w:fldChar w:fldCharType="separate"/>
          </w:r>
          <w:r>
            <w:t>14</w:t>
          </w:r>
          <w:r>
            <w:fldChar w:fldCharType="end"/>
          </w:r>
          <w:r>
            <w:fldChar w:fldCharType="end"/>
          </w:r>
        </w:p>
        <w:p>
          <w:pPr>
            <w:pStyle w:val="10"/>
            <w:tabs>
              <w:tab w:val="right" w:leader="dot" w:pos="9350"/>
            </w:tabs>
            <w:rPr>
              <w:rFonts w:eastAsiaTheme="minorEastAsia"/>
            </w:rPr>
          </w:pPr>
          <w:r>
            <w:fldChar w:fldCharType="begin"/>
          </w:r>
          <w:r>
            <w:instrText xml:space="preserve"> HYPERLINK \l "_Toc202853914" </w:instrText>
          </w:r>
          <w:r>
            <w:fldChar w:fldCharType="separate"/>
          </w:r>
          <w:r>
            <w:rPr>
              <w:rStyle w:val="14"/>
              <w:rFonts w:asciiTheme="majorBidi" w:hAnsiTheme="majorBidi"/>
            </w:rPr>
            <w:t>2.3 Overview of Clove</w:t>
          </w:r>
          <w:r>
            <w:tab/>
          </w:r>
          <w:r>
            <w:fldChar w:fldCharType="begin"/>
          </w:r>
          <w:r>
            <w:instrText xml:space="preserve"> PAGEREF _Toc202853914 \h </w:instrText>
          </w:r>
          <w:r>
            <w:fldChar w:fldCharType="separate"/>
          </w:r>
          <w:r>
            <w:t>14</w:t>
          </w:r>
          <w:r>
            <w:fldChar w:fldCharType="end"/>
          </w:r>
          <w:r>
            <w:fldChar w:fldCharType="end"/>
          </w:r>
        </w:p>
        <w:p>
          <w:pPr>
            <w:pStyle w:val="10"/>
            <w:tabs>
              <w:tab w:val="right" w:leader="dot" w:pos="9350"/>
            </w:tabs>
            <w:rPr>
              <w:rFonts w:eastAsiaTheme="minorEastAsia"/>
            </w:rPr>
          </w:pPr>
          <w:r>
            <w:fldChar w:fldCharType="begin"/>
          </w:r>
          <w:r>
            <w:instrText xml:space="preserve"> HYPERLINK \l "_Toc202853915" </w:instrText>
          </w:r>
          <w:r>
            <w:fldChar w:fldCharType="separate"/>
          </w:r>
          <w:r>
            <w:rPr>
              <w:rStyle w:val="14"/>
              <w:rFonts w:asciiTheme="majorBidi" w:hAnsiTheme="majorBidi"/>
            </w:rPr>
            <w:t>2.4 Bioactive Compounds of Clove Extract</w:t>
          </w:r>
          <w:r>
            <w:tab/>
          </w:r>
          <w:r>
            <w:fldChar w:fldCharType="begin"/>
          </w:r>
          <w:r>
            <w:instrText xml:space="preserve"> PAGEREF _Toc202853915 \h </w:instrText>
          </w:r>
          <w:r>
            <w:fldChar w:fldCharType="separate"/>
          </w:r>
          <w:r>
            <w:t>15</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"_Toc202853916" </w:instrText>
          </w:r>
          <w:r>
            <w:fldChar w:fldCharType="separate"/>
          </w:r>
          <w:r>
            <w:rPr>
              <w:rStyle w:val="14"/>
            </w:rPr>
            <w:t>2.4.1 Eugenol</w:t>
          </w:r>
          <w:r>
            <w:tab/>
          </w:r>
          <w:r>
            <w:fldChar w:fldCharType="begin"/>
          </w:r>
          <w:r>
            <w:instrText xml:space="preserve"> PAGEREF _Toc202853916 \h </w:instrText>
          </w:r>
          <w:r>
            <w:fldChar w:fldCharType="separate"/>
          </w:r>
          <w:r>
            <w:t>16</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"_Toc202853917" </w:instrText>
          </w:r>
          <w:r>
            <w:fldChar w:fldCharType="separate"/>
          </w:r>
          <w:r>
            <w:rPr>
              <w:rStyle w:val="14"/>
            </w:rPr>
            <w:t>2.4.2 Acetyl Eugenol</w:t>
          </w:r>
          <w:r>
            <w:tab/>
          </w:r>
          <w:r>
            <w:fldChar w:fldCharType="begin"/>
          </w:r>
          <w:r>
            <w:instrText xml:space="preserve"> PAGEREF _Toc202853917 \h </w:instrText>
          </w:r>
          <w:r>
            <w:fldChar w:fldCharType="separate"/>
          </w:r>
          <w:r>
            <w:t>17</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"_Toc202853918" </w:instrText>
          </w:r>
          <w:r>
            <w:fldChar w:fldCharType="separate"/>
          </w:r>
          <w:r>
            <w:rPr>
              <w:rStyle w:val="14"/>
            </w:rPr>
            <w:t>2.4.3 β-Caryophyllene</w:t>
          </w:r>
          <w:r>
            <w:tab/>
          </w:r>
          <w:r>
            <w:fldChar w:fldCharType="begin"/>
          </w:r>
          <w:r>
            <w:instrText xml:space="preserve"> PAGEREF _Toc202853918 \h </w:instrText>
          </w:r>
          <w:r>
            <w:fldChar w:fldCharType="separate"/>
          </w:r>
          <w:r>
            <w:t>18</w:t>
          </w:r>
          <w:r>
            <w:fldChar w:fldCharType="end"/>
          </w:r>
          <w:r>
            <w:fldChar w:fldCharType="end"/>
          </w:r>
        </w:p>
        <w:p>
          <w:pPr>
            <w:pStyle w:val="11"/>
            <w:tabs>
              <w:tab w:val="right" w:leader="dot" w:pos="9350"/>
            </w:tabs>
            <w:rPr>
              <w:rFonts w:eastAsiaTheme="minorEastAsia"/>
            </w:rPr>
          </w:pPr>
          <w:r>
            <w:fldChar w:fldCharType="begin"/>
          </w:r>
          <w:r>
            <w:instrText xml:space="preserve"> HYPERLINK \l "_Toc202853919" </w:instrText>
          </w:r>
          <w:r>
            <w:fldChar w:fldCharType="separate"/>
          </w:r>
          <w:r>
            <w:rPr>
              <w:rStyle w:val="14"/>
            </w:rPr>
            <w:t>2.4.4 α-Humulene</w:t>
          </w:r>
          <w:r>
            <w:tab/>
          </w:r>
          <w:r>
            <w:fldChar w:fldCharType="begin"/>
          </w:r>
          <w:r>
            <w:instrText xml:space="preserve"> PAGEREF _Toc202853919 \h </w:instrText>
          </w:r>
          <w:r>
            <w:fldChar w:fldCharType="separate"/>
          </w:r>
          <w:r>
            <w:t>18</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"_Toc202853920" </w:instrText>
          </w:r>
          <w:r>
            <w:fldChar w:fldCharType="separate"/>
          </w:r>
          <w:r>
            <w:rPr>
              <w:rStyle w:val="14"/>
            </w:rPr>
            <w:t>2.4.5 α-Caryophyllene Oxide</w:t>
          </w:r>
          <w:r>
            <w:tab/>
          </w:r>
          <w:r>
            <w:fldChar w:fldCharType="begin"/>
          </w:r>
          <w:r>
            <w:instrText xml:space="preserve"> PAGEREF _Toc202853920 \h </w:instrText>
          </w:r>
          <w:r>
            <w:fldChar w:fldCharType="separate"/>
          </w:r>
          <w:r>
            <w:t>18</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"_Toc202853921" </w:instrText>
          </w:r>
          <w:r>
            <w:fldChar w:fldCharType="separate"/>
          </w:r>
          <w:r>
            <w:rPr>
              <w:rStyle w:val="14"/>
            </w:rPr>
            <w:t>2.4.6 α-Murolene and γ-Murolene</w:t>
          </w:r>
          <w:r>
            <w:tab/>
          </w:r>
          <w:r>
            <w:fldChar w:fldCharType="begin"/>
          </w:r>
          <w:r>
            <w:instrText xml:space="preserve"> PAGEREF _Toc202853921 \h </w:instrText>
          </w:r>
          <w:r>
            <w:fldChar w:fldCharType="separate"/>
          </w:r>
          <w:r>
            <w:t>18</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"_Toc202853922" </w:instrText>
          </w:r>
          <w:r>
            <w:fldChar w:fldCharType="separate"/>
          </w:r>
          <w:r>
            <w:rPr>
              <w:rStyle w:val="14"/>
            </w:rPr>
            <w:t>2.4.7 α-Selinene and β-Selinene</w:t>
          </w:r>
          <w:r>
            <w:tab/>
          </w:r>
          <w:r>
            <w:fldChar w:fldCharType="begin"/>
          </w:r>
          <w:r>
            <w:instrText xml:space="preserve"> PAGEREF _Toc202853922 \h </w:instrText>
          </w:r>
          <w:r>
            <w:fldChar w:fldCharType="separate"/>
          </w:r>
          <w:r>
            <w:t>19</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"_Toc202853923" </w:instrText>
          </w:r>
          <w:r>
            <w:fldChar w:fldCharType="separate"/>
          </w:r>
          <w:r>
            <w:rPr>
              <w:rStyle w:val="14"/>
            </w:rPr>
            <w:t>2.4.8 δ-cadinene</w:t>
          </w:r>
          <w:r>
            <w:tab/>
          </w:r>
          <w:r>
            <w:fldChar w:fldCharType="begin"/>
          </w:r>
          <w:r>
            <w:instrText xml:space="preserve"> PAGEREF _Toc202853923 \h </w:instrText>
          </w:r>
          <w:r>
            <w:fldChar w:fldCharType="separate"/>
          </w:r>
          <w:r>
            <w:t>19</w:t>
          </w:r>
          <w:r>
            <w:fldChar w:fldCharType="end"/>
          </w:r>
          <w:r>
            <w:fldChar w:fldCharType="end"/>
          </w:r>
        </w:p>
        <w:p>
          <w:pPr>
            <w:pStyle w:val="10"/>
            <w:tabs>
              <w:tab w:val="right" w:leader="dot" w:pos="9350"/>
            </w:tabs>
            <w:rPr>
              <w:rFonts w:eastAsiaTheme="minorEastAsia"/>
            </w:rPr>
          </w:pPr>
          <w:r>
            <w:fldChar w:fldCharType="begin"/>
          </w:r>
          <w:r>
            <w:instrText xml:space="preserve"> HYPERLINK \l "_Toc202853924" </w:instrText>
          </w:r>
          <w:r>
            <w:fldChar w:fldCharType="separate"/>
          </w:r>
          <w:r>
            <w:rPr>
              <w:rStyle w:val="14"/>
              <w:rFonts w:asciiTheme="majorBidi" w:hAnsiTheme="majorBidi"/>
            </w:rPr>
            <w:t>2.5 Biological Activities of Clove</w:t>
          </w:r>
          <w:r>
            <w:tab/>
          </w:r>
          <w:r>
            <w:fldChar w:fldCharType="begin"/>
          </w:r>
          <w:r>
            <w:instrText xml:space="preserve"> PAGEREF _Toc202853924 \h </w:instrText>
          </w:r>
          <w:r>
            <w:fldChar w:fldCharType="separate"/>
          </w:r>
          <w:r>
            <w:t>19</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"_Toc202853925" </w:instrText>
          </w:r>
          <w:r>
            <w:fldChar w:fldCharType="separate"/>
          </w:r>
          <w:r>
            <w:rPr>
              <w:rStyle w:val="14"/>
            </w:rPr>
            <w:t>2.5.1 Anti-Diabetic Activity</w:t>
          </w:r>
          <w:r>
            <w:tab/>
          </w:r>
          <w:r>
            <w:fldChar w:fldCharType="begin"/>
          </w:r>
          <w:r>
            <w:instrText xml:space="preserve"> PAGEREF _Toc202853925 \h </w:instrText>
          </w:r>
          <w:r>
            <w:fldChar w:fldCharType="separate"/>
          </w:r>
          <w:r>
            <w:t>20</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"_Toc202853926" </w:instrText>
          </w:r>
          <w:r>
            <w:fldChar w:fldCharType="separate"/>
          </w:r>
          <w:r>
            <w:rPr>
              <w:rStyle w:val="14"/>
            </w:rPr>
            <w:t>2.5.2 Antioxidant Activity</w:t>
          </w:r>
          <w:r>
            <w:tab/>
          </w:r>
          <w:r>
            <w:fldChar w:fldCharType="begin"/>
          </w:r>
          <w:r>
            <w:instrText xml:space="preserve"> PAGEREF _Toc202853926 \h </w:instrText>
          </w:r>
          <w:r>
            <w:fldChar w:fldCharType="separate"/>
          </w:r>
          <w:r>
            <w:t>20</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"_Toc202853927" </w:instrText>
          </w:r>
          <w:r>
            <w:fldChar w:fldCharType="separate"/>
          </w:r>
          <w:r>
            <w:rPr>
              <w:rStyle w:val="14"/>
            </w:rPr>
            <w:t>2.5.3 Antimicrobial Activity</w:t>
          </w:r>
          <w:r>
            <w:tab/>
          </w:r>
          <w:r>
            <w:fldChar w:fldCharType="begin"/>
          </w:r>
          <w:r>
            <w:instrText xml:space="preserve"> PAGEREF _Toc202853927 \h </w:instrText>
          </w:r>
          <w:r>
            <w:fldChar w:fldCharType="separate"/>
          </w:r>
          <w:r>
            <w:t>23</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"_Toc202853928" </w:instrText>
          </w:r>
          <w:r>
            <w:fldChar w:fldCharType="separate"/>
          </w:r>
          <w:r>
            <w:rPr>
              <w:rStyle w:val="14"/>
            </w:rPr>
            <w:t>2.5.4 Antinociceptive</w:t>
          </w:r>
          <w:r>
            <w:tab/>
          </w:r>
          <w:r>
            <w:fldChar w:fldCharType="begin"/>
          </w:r>
          <w:r>
            <w:instrText xml:space="preserve"> PAGEREF _Toc202853928 \h </w:instrText>
          </w:r>
          <w:r>
            <w:fldChar w:fldCharType="separate"/>
          </w:r>
          <w:r>
            <w:t>25</w:t>
          </w:r>
          <w:r>
            <w:fldChar w:fldCharType="end"/>
          </w:r>
          <w:r>
            <w:fldChar w:fldCharType="end"/>
          </w:r>
        </w:p>
        <w:p>
          <w:pPr>
            <w:pStyle w:val="11"/>
            <w:tabs>
              <w:tab w:val="right" w:leader="dot" w:pos="9350"/>
            </w:tabs>
            <w:rPr>
              <w:rFonts w:eastAsiaTheme="minorEastAsia"/>
            </w:rPr>
          </w:pPr>
          <w:r>
            <w:fldChar w:fldCharType="begin"/>
          </w:r>
          <w:r>
            <w:instrText xml:space="preserve"> HYPERLINK \l "_Toc202853929" </w:instrText>
          </w:r>
          <w:r>
            <w:fldChar w:fldCharType="separate"/>
          </w:r>
          <w:r>
            <w:rPr>
              <w:rStyle w:val="14"/>
            </w:rPr>
            <w:t>2.5.5 Antiviral Activity</w:t>
          </w:r>
          <w:r>
            <w:tab/>
          </w:r>
          <w:r>
            <w:fldChar w:fldCharType="begin"/>
          </w:r>
          <w:r>
            <w:instrText xml:space="preserve"> PAGEREF _Toc202853929 \h </w:instrText>
          </w:r>
          <w:r>
            <w:fldChar w:fldCharType="separate"/>
          </w:r>
          <w:r>
            <w:t>25</w:t>
          </w:r>
          <w:r>
            <w:fldChar w:fldCharType="end"/>
          </w:r>
          <w:r>
            <w:fldChar w:fldCharType="end"/>
          </w:r>
        </w:p>
        <w:p>
          <w:pPr>
            <w:pStyle w:val="9"/>
            <w:tabs>
              <w:tab w:val="right" w:leader="dot" w:pos="9350"/>
            </w:tabs>
            <w:rPr>
              <w:rFonts w:eastAsiaTheme="minorEastAsia"/>
            </w:rPr>
          </w:pPr>
          <w:r>
            <w:fldChar w:fldCharType="begin"/>
          </w:r>
          <w:r>
            <w:instrText xml:space="preserve"> HYPERLINK \l "_Toc202853930" </w:instrText>
          </w:r>
          <w:r>
            <w:fldChar w:fldCharType="separate"/>
          </w:r>
          <w:r>
            <w:rPr>
              <w:rStyle w:val="14"/>
              <w:rFonts w:eastAsia="Calibri" w:asciiTheme="majorBidi" w:hAnsiTheme="majorBidi"/>
              <w:b/>
              <w:bCs/>
            </w:rPr>
            <w:t>CHAPTER THREE</w:t>
          </w:r>
          <w:r>
            <w:tab/>
          </w:r>
          <w:r>
            <w:fldChar w:fldCharType="begin"/>
          </w:r>
          <w:r>
            <w:instrText xml:space="preserve"> PAGEREF _Toc202853930 \h </w:instrText>
          </w:r>
          <w:r>
            <w:fldChar w:fldCharType="separate"/>
          </w:r>
          <w:r>
            <w:t>26</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"_Toc202853931" </w:instrText>
          </w:r>
          <w:r>
            <w:fldChar w:fldCharType="separate"/>
          </w:r>
          <w:r>
            <w:rPr>
              <w:rStyle w:val="14"/>
              <w:rFonts w:asciiTheme="majorBidi" w:hAnsiTheme="majorBidi"/>
            </w:rPr>
            <w:t>3.0 MATERIALS AND METHODS</w:t>
          </w:r>
          <w:r>
            <w:tab/>
          </w:r>
          <w:r>
            <w:fldChar w:fldCharType="begin"/>
          </w:r>
          <w:r>
            <w:instrText xml:space="preserve"> PAGEREF _Toc202853931 \h </w:instrText>
          </w:r>
          <w:r>
            <w:fldChar w:fldCharType="separate"/>
          </w:r>
          <w:r>
            <w:t>26</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"_Toc202853932" </w:instrText>
          </w:r>
          <w:r>
            <w:fldChar w:fldCharType="separate"/>
          </w:r>
          <w:r>
            <w:rPr>
              <w:rStyle w:val="14"/>
              <w:rFonts w:asciiTheme="majorBidi" w:hAnsiTheme="majorBidi"/>
            </w:rPr>
            <w:t>3.1 Collection and Preparation of Clove Flower Buds</w:t>
          </w:r>
          <w:r>
            <w:tab/>
          </w:r>
          <w:r>
            <w:fldChar w:fldCharType="begin"/>
          </w:r>
          <w:r>
            <w:instrText xml:space="preserve"> PAGEREF _Toc202853932 \h </w:instrText>
          </w:r>
          <w:r>
            <w:fldChar w:fldCharType="separate"/>
          </w:r>
          <w:r>
            <w:t>26</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"_Toc202853933" </w:instrText>
          </w:r>
          <w:r>
            <w:fldChar w:fldCharType="separate"/>
          </w:r>
          <w:r>
            <w:rPr>
              <w:rStyle w:val="14"/>
              <w:rFonts w:asciiTheme="majorBidi" w:hAnsiTheme="majorBidi"/>
            </w:rPr>
            <w:t>3.2 Preparation of Clove Extracts</w:t>
          </w:r>
          <w:r>
            <w:tab/>
          </w:r>
          <w:r>
            <w:fldChar w:fldCharType="begin"/>
          </w:r>
          <w:r>
            <w:instrText xml:space="preserve"> PAGEREF _Toc202853933 \h </w:instrText>
          </w:r>
          <w:r>
            <w:fldChar w:fldCharType="separate"/>
          </w:r>
          <w:r>
            <w:t>26</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"_Toc202853934" </w:instrText>
          </w:r>
          <w:r>
            <w:fldChar w:fldCharType="separate"/>
          </w:r>
          <w:r>
            <w:rPr>
              <w:rStyle w:val="14"/>
              <w:rFonts w:asciiTheme="majorBidi" w:hAnsiTheme="majorBidi"/>
            </w:rPr>
            <w:t>3.3 Collection of Test Organisms</w:t>
          </w:r>
          <w:r>
            <w:tab/>
          </w:r>
          <w:r>
            <w:fldChar w:fldCharType="begin"/>
          </w:r>
          <w:r>
            <w:instrText xml:space="preserve"> PAGEREF _Toc202853934 \h </w:instrText>
          </w:r>
          <w:r>
            <w:fldChar w:fldCharType="separate"/>
          </w:r>
          <w:r>
            <w:t>26</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"_Toc202853935" </w:instrText>
          </w:r>
          <w:r>
            <w:fldChar w:fldCharType="separate"/>
          </w:r>
          <w:r>
            <w:rPr>
              <w:rStyle w:val="14"/>
              <w:rFonts w:asciiTheme="majorBidi" w:hAnsiTheme="majorBidi"/>
            </w:rPr>
            <w:t>3.4 Standardization of Test Organisms</w:t>
          </w:r>
          <w:r>
            <w:tab/>
          </w:r>
          <w:r>
            <w:fldChar w:fldCharType="begin"/>
          </w:r>
          <w:r>
            <w:instrText xml:space="preserve"> PAGEREF _Toc202853935 \h </w:instrText>
          </w:r>
          <w:r>
            <w:fldChar w:fldCharType="separate"/>
          </w:r>
          <w:r>
            <w:t>26</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"_Toc202853936" </w:instrText>
          </w:r>
          <w:r>
            <w:fldChar w:fldCharType="separate"/>
          </w:r>
          <w:r>
            <w:rPr>
              <w:rStyle w:val="14"/>
              <w:rFonts w:asciiTheme="majorBidi" w:hAnsiTheme="majorBidi"/>
            </w:rPr>
            <w:t>3.5 Antibacterial Activity Assay</w:t>
          </w:r>
          <w:r>
            <w:tab/>
          </w:r>
          <w:r>
            <w:fldChar w:fldCharType="begin"/>
          </w:r>
          <w:r>
            <w:instrText xml:space="preserve"> PAGEREF _Toc202853936 \h </w:instrText>
          </w:r>
          <w:r>
            <w:fldChar w:fldCharType="separate"/>
          </w:r>
          <w:r>
            <w:t>27</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"_Toc202853937" </w:instrText>
          </w:r>
          <w:r>
            <w:fldChar w:fldCharType="separate"/>
          </w:r>
          <w:r>
            <w:rPr>
              <w:rStyle w:val="14"/>
              <w:rFonts w:asciiTheme="majorBidi" w:hAnsiTheme="majorBidi"/>
            </w:rPr>
            <w:t>3.6 Determination of Minimum Inhibitory Concentration (MIC)</w:t>
          </w:r>
          <w:r>
            <w:tab/>
          </w:r>
          <w:r>
            <w:fldChar w:fldCharType="begin"/>
          </w:r>
          <w:r>
            <w:instrText xml:space="preserve"> PAGEREF _Toc202853937 \h </w:instrText>
          </w:r>
          <w:r>
            <w:fldChar w:fldCharType="separate"/>
          </w:r>
          <w:r>
            <w:t>27</w:t>
          </w:r>
          <w:r>
            <w:fldChar w:fldCharType="end"/>
          </w:r>
          <w:r>
            <w:fldChar w:fldCharType="end"/>
          </w:r>
        </w:p>
        <w:p>
          <w:pPr>
            <w:pStyle w:val="10"/>
            <w:tabs>
              <w:tab w:val="right" w:leader="dot" w:pos="9350"/>
            </w:tabs>
            <w:rPr>
              <w:rFonts w:eastAsiaTheme="minorEastAsia"/>
            </w:rPr>
          </w:pPr>
          <w:r>
            <w:fldChar w:fldCharType="begin"/>
          </w:r>
          <w:r>
            <w:instrText xml:space="preserve"> HYPERLINK \l "_Toc202853938" </w:instrText>
          </w:r>
          <w:r>
            <w:fldChar w:fldCharType="separate"/>
          </w:r>
          <w:r>
            <w:rPr>
              <w:rStyle w:val="14"/>
              <w:rFonts w:asciiTheme="majorBidi" w:hAnsiTheme="majorBidi"/>
            </w:rPr>
            <w:t>3.7 Determination of Minimum Bactericidal Concentration (MBC)</w:t>
          </w:r>
          <w:r>
            <w:tab/>
          </w:r>
          <w:r>
            <w:fldChar w:fldCharType="begin"/>
          </w:r>
          <w:r>
            <w:instrText xml:space="preserve"> PAGEREF _Toc202853938 \h </w:instrText>
          </w:r>
          <w:r>
            <w:fldChar w:fldCharType="separate"/>
          </w:r>
          <w:r>
            <w:t>28</w:t>
          </w:r>
          <w:r>
            <w:fldChar w:fldCharType="end"/>
          </w:r>
          <w:r>
            <w:fldChar w:fldCharType="end"/>
          </w:r>
        </w:p>
        <w:p>
          <w:pPr>
            <w:pStyle w:val="9"/>
            <w:tabs>
              <w:tab w:val="right" w:leader="dot" w:pos="9350"/>
            </w:tabs>
            <w:rPr>
              <w:rFonts w:eastAsiaTheme="minorEastAsia"/>
            </w:rPr>
          </w:pPr>
          <w:r>
            <w:fldChar w:fldCharType="begin"/>
          </w:r>
          <w:r>
            <w:instrText xml:space="preserve"> HYPERLINK \l "_Toc202853939" </w:instrText>
          </w:r>
          <w:r>
            <w:fldChar w:fldCharType="separate"/>
          </w:r>
          <w:r>
            <w:rPr>
              <w:rStyle w:val="14"/>
              <w:rFonts w:eastAsia="Calibri" w:asciiTheme="majorBidi" w:hAnsiTheme="majorBidi"/>
              <w:b/>
              <w:bCs/>
            </w:rPr>
            <w:t>CHAPTER FOUR</w:t>
          </w:r>
          <w:r>
            <w:tab/>
          </w:r>
          <w:r>
            <w:fldChar w:fldCharType="begin"/>
          </w:r>
          <w:r>
            <w:instrText xml:space="preserve"> PAGEREF _Toc202853939 \h </w:instrText>
          </w:r>
          <w:r>
            <w:fldChar w:fldCharType="separate"/>
          </w:r>
          <w:r>
            <w:t>29</w:t>
          </w:r>
          <w:r>
            <w:fldChar w:fldCharType="end"/>
          </w:r>
          <w:r>
            <w:fldChar w:fldCharType="end"/>
          </w:r>
        </w:p>
        <w:p>
          <w:pPr>
            <w:pStyle w:val="10"/>
            <w:tabs>
              <w:tab w:val="left" w:pos="880"/>
              <w:tab w:val="right" w:leader="dot" w:pos="9350"/>
            </w:tabs>
            <w:rPr>
              <w:rFonts w:eastAsiaTheme="minorEastAsia"/>
            </w:rPr>
          </w:pPr>
          <w:r>
            <w:fldChar w:fldCharType="begin"/>
          </w:r>
          <w:r>
            <w:instrText xml:space="preserve"> HYPERLINK \l "_Toc202853940" </w:instrText>
          </w:r>
          <w:r>
            <w:fldChar w:fldCharType="separate"/>
          </w:r>
          <w:r>
            <w:rPr>
              <w:rStyle w:val="14"/>
              <w:rFonts w:asciiTheme="majorBidi" w:hAnsiTheme="majorBidi"/>
            </w:rPr>
            <w:t>4.0</w:t>
          </w:r>
          <w:r>
            <w:rPr>
              <w:rFonts w:eastAsiaTheme="minorEastAsia"/>
            </w:rPr>
            <w:tab/>
          </w:r>
          <w:r>
            <w:rPr>
              <w:rStyle w:val="14"/>
              <w:rFonts w:asciiTheme="majorBidi" w:hAnsiTheme="majorBidi"/>
            </w:rPr>
            <w:t>RESULTS</w:t>
          </w:r>
          <w:r>
            <w:tab/>
          </w:r>
          <w:r>
            <w:fldChar w:fldCharType="begin"/>
          </w:r>
          <w:r>
            <w:instrText xml:space="preserve"> PAGEREF _Toc202853940 \h </w:instrText>
          </w:r>
          <w:r>
            <w:fldChar w:fldCharType="separate"/>
          </w:r>
          <w:r>
            <w:t>29</w:t>
          </w:r>
          <w:r>
            <w:fldChar w:fldCharType="end"/>
          </w:r>
          <w:r>
            <w:fldChar w:fldCharType="end"/>
          </w:r>
        </w:p>
        <w:p>
          <w:pPr>
            <w:pStyle w:val="10"/>
            <w:tabs>
              <w:tab w:val="right" w:leader="dot" w:pos="9350"/>
            </w:tabs>
            <w:rPr>
              <w:rFonts w:eastAsiaTheme="minorEastAsia"/>
            </w:rPr>
          </w:pPr>
          <w:r>
            <w:fldChar w:fldCharType="begin"/>
          </w:r>
          <w:r>
            <w:instrText xml:space="preserve"> HYPERLINK \l "_Toc202853941" </w:instrText>
          </w:r>
          <w:r>
            <w:fldChar w:fldCharType="separate"/>
          </w:r>
          <w:r>
            <w:rPr>
              <w:rStyle w:val="14"/>
              <w:rFonts w:asciiTheme="majorBidi" w:hAnsiTheme="majorBidi"/>
            </w:rPr>
            <w:t>4.1 Antibacterial Activity of Clove Extracts</w:t>
          </w:r>
          <w:r>
            <w:tab/>
          </w:r>
          <w:r>
            <w:fldChar w:fldCharType="begin"/>
          </w:r>
          <w:r>
            <w:instrText xml:space="preserve"> PAGEREF _Toc202853941 \h </w:instrText>
          </w:r>
          <w:r>
            <w:fldChar w:fldCharType="separate"/>
          </w:r>
          <w:r>
            <w:t>29</w:t>
          </w:r>
          <w:r>
            <w:fldChar w:fldCharType="end"/>
          </w:r>
          <w:r>
            <w:fldChar w:fldCharType="end"/>
          </w:r>
        </w:p>
        <w:p>
          <w:pPr>
            <w:pStyle w:val="10"/>
            <w:tabs>
              <w:tab w:val="right" w:leader="dot" w:pos="9350"/>
            </w:tabs>
            <w:rPr>
              <w:rFonts w:eastAsiaTheme="minorEastAsia"/>
            </w:rPr>
          </w:pPr>
          <w:r>
            <w:fldChar w:fldCharType="begin"/>
          </w:r>
          <w:r>
            <w:instrText xml:space="preserve"> HYPERLINK \l "_Toc202853942" </w:instrText>
          </w:r>
          <w:r>
            <w:fldChar w:fldCharType="separate"/>
          </w:r>
          <w:r>
            <w:rPr>
              <w:rStyle w:val="14"/>
              <w:rFonts w:asciiTheme="majorBidi" w:hAnsiTheme="majorBidi"/>
            </w:rPr>
            <w:t>4.2 Minimum Inhibitory Concentration (MIC) and Minimum Bactericidal Concentration</w:t>
          </w:r>
          <w:r>
            <w:tab/>
          </w:r>
          <w:r>
            <w:fldChar w:fldCharType="begin"/>
          </w:r>
          <w:r>
            <w:instrText xml:space="preserve"> PAGEREF _Toc202853942 \h </w:instrText>
          </w:r>
          <w:r>
            <w:fldChar w:fldCharType="separate"/>
          </w:r>
          <w:r>
            <w:t>29</w:t>
          </w:r>
          <w:r>
            <w:fldChar w:fldCharType="end"/>
          </w:r>
          <w:r>
            <w:fldChar w:fldCharType="end"/>
          </w:r>
        </w:p>
        <w:p>
          <w:pPr>
            <w:pStyle w:val="9"/>
            <w:tabs>
              <w:tab w:val="right" w:leader="dot" w:pos="9350"/>
            </w:tabs>
            <w:rPr>
              <w:rFonts w:eastAsiaTheme="minorEastAsia"/>
            </w:rPr>
          </w:pPr>
          <w:r>
            <w:fldChar w:fldCharType="begin"/>
          </w:r>
          <w:r>
            <w:instrText xml:space="preserve"> HYPERLINK \l "_Toc202853943" </w:instrText>
          </w:r>
          <w:r>
            <w:fldChar w:fldCharType="separate"/>
          </w:r>
          <w:r>
            <w:rPr>
              <w:rStyle w:val="14"/>
              <w:rFonts w:eastAsia="Calibri" w:asciiTheme="majorBidi" w:hAnsiTheme="majorBidi"/>
              <w:b/>
              <w:bCs/>
            </w:rPr>
            <w:t>CHAPTER FIVE</w:t>
          </w:r>
          <w:r>
            <w:tab/>
          </w:r>
          <w:r>
            <w:fldChar w:fldCharType="begin"/>
          </w:r>
          <w:r>
            <w:instrText xml:space="preserve"> PAGEREF _Toc202853943 \h </w:instrText>
          </w:r>
          <w:r>
            <w:fldChar w:fldCharType="separate"/>
          </w:r>
          <w:r>
            <w:t>32</w:t>
          </w:r>
          <w:r>
            <w:fldChar w:fldCharType="end"/>
          </w:r>
          <w:r>
            <w:fldChar w:fldCharType="end"/>
          </w:r>
        </w:p>
        <w:p>
          <w:pPr>
            <w:pStyle w:val="10"/>
            <w:tabs>
              <w:tab w:val="right" w:leader="dot" w:pos="9350"/>
            </w:tabs>
            <w:rPr>
              <w:rFonts w:eastAsiaTheme="minorEastAsia"/>
            </w:rPr>
          </w:pPr>
          <w:r>
            <w:fldChar w:fldCharType="begin"/>
          </w:r>
          <w:r>
            <w:instrText xml:space="preserve"> HYPERLINK \l "_Toc202853944" </w:instrText>
          </w:r>
          <w:r>
            <w:fldChar w:fldCharType="separate"/>
          </w:r>
          <w:r>
            <w:rPr>
              <w:rStyle w:val="14"/>
              <w:rFonts w:asciiTheme="majorBidi" w:hAnsiTheme="majorBidi"/>
            </w:rPr>
            <w:t>5.0 Discussion</w:t>
          </w:r>
          <w:r>
            <w:tab/>
          </w:r>
          <w:r>
            <w:fldChar w:fldCharType="begin"/>
          </w:r>
          <w:r>
            <w:instrText xml:space="preserve"> PAGEREF _Toc202853944 \h </w:instrText>
          </w:r>
          <w:r>
            <w:fldChar w:fldCharType="separate"/>
          </w:r>
          <w:r>
            <w:t>32</w:t>
          </w:r>
          <w:r>
            <w:fldChar w:fldCharType="end"/>
          </w:r>
          <w:r>
            <w:fldChar w:fldCharType="end"/>
          </w:r>
        </w:p>
        <w:p>
          <w:pPr>
            <w:pStyle w:val="10"/>
            <w:tabs>
              <w:tab w:val="right" w:leader="dot" w:pos="9350"/>
            </w:tabs>
            <w:rPr>
              <w:rFonts w:eastAsiaTheme="minorEastAsia"/>
            </w:rPr>
          </w:pPr>
          <w:r>
            <w:fldChar w:fldCharType="begin"/>
          </w:r>
          <w:r>
            <w:instrText xml:space="preserve"> HYPERLINK \l "_Toc202853945" </w:instrText>
          </w:r>
          <w:r>
            <w:fldChar w:fldCharType="separate"/>
          </w:r>
          <w:r>
            <w:rPr>
              <w:rStyle w:val="14"/>
              <w:rFonts w:asciiTheme="majorBidi" w:hAnsiTheme="majorBidi"/>
            </w:rPr>
            <w:t>5.1 Conclusion</w:t>
          </w:r>
          <w:r>
            <w:tab/>
          </w:r>
          <w:r>
            <w:fldChar w:fldCharType="begin"/>
          </w:r>
          <w:r>
            <w:instrText xml:space="preserve"> PAGEREF _Toc202853945 \h </w:instrText>
          </w:r>
          <w:r>
            <w:fldChar w:fldCharType="separate"/>
          </w:r>
          <w:r>
            <w:t>35</w:t>
          </w:r>
          <w:r>
            <w:fldChar w:fldCharType="end"/>
          </w:r>
          <w:r>
            <w:fldChar w:fldCharType="end"/>
          </w:r>
        </w:p>
        <w:p>
          <w:pPr>
            <w:pStyle w:val="10"/>
            <w:tabs>
              <w:tab w:val="right" w:leader="dot" w:pos="9350"/>
            </w:tabs>
            <w:rPr>
              <w:rFonts w:eastAsiaTheme="minorEastAsia"/>
            </w:rPr>
          </w:pPr>
          <w:r>
            <w:fldChar w:fldCharType="begin"/>
          </w:r>
          <w:r>
            <w:instrText xml:space="preserve"> HYPERLINK \l "_Toc202853946" </w:instrText>
          </w:r>
          <w:r>
            <w:fldChar w:fldCharType="separate"/>
          </w:r>
          <w:r>
            <w:rPr>
              <w:rStyle w:val="14"/>
              <w:rFonts w:asciiTheme="majorBidi" w:hAnsiTheme="majorBidi"/>
            </w:rPr>
            <w:t>5.2 Recommendations</w:t>
          </w:r>
          <w:r>
            <w:tab/>
          </w:r>
          <w:r>
            <w:fldChar w:fldCharType="begin"/>
          </w:r>
          <w:r>
            <w:instrText xml:space="preserve"> PAGEREF _Toc202853946 \h </w:instrText>
          </w:r>
          <w:r>
            <w:fldChar w:fldCharType="separate"/>
          </w:r>
          <w:r>
            <w:t>36</w:t>
          </w:r>
          <w:r>
            <w:fldChar w:fldCharType="end"/>
          </w:r>
          <w:r>
            <w:fldChar w:fldCharType="end"/>
          </w:r>
        </w:p>
        <w:p>
          <w:pPr/>
          <w:r>
            <w:rPr>
              <w:b/>
              <w:bCs/>
            </w:rPr>
            <w:fldChar w:fldCharType="end"/>
          </w:r>
        </w:p>
      </w:sdtContent>
    </w:sdt>
    <w:p>
      <w:pPr/>
    </w:p>
    <w:p>
      <w:pPr/>
    </w:p>
    <w:p>
      <w:pPr/>
    </w:p>
    <w:p>
      <w:pPr>
        <w:spacing w:before="100" w:beforeAutospacing="1" w:after="100" w:afterAutospacing="1" w:line="480" w:lineRule="auto"/>
        <w:jc w:val="both"/>
        <w:rPr>
          <w:rFonts w:eastAsia="Times New Roman" w:asciiTheme="majorBidi" w:hAnsiTheme="majorBidi" w:cstheme="majorBidi"/>
          <w:sz w:val="24"/>
          <w:szCs w:val="24"/>
        </w:rPr>
      </w:pPr>
    </w:p>
    <w:p>
      <w:pPr>
        <w:spacing w:before="100" w:beforeAutospacing="1" w:after="100" w:afterAutospacing="1" w:line="480" w:lineRule="auto"/>
        <w:jc w:val="both"/>
        <w:rPr>
          <w:rFonts w:eastAsia="Times New Roman" w:asciiTheme="majorBidi" w:hAnsiTheme="majorBidi" w:cstheme="majorBidi"/>
          <w:sz w:val="24"/>
          <w:szCs w:val="24"/>
        </w:rPr>
      </w:pPr>
    </w:p>
    <w:p>
      <w:pPr>
        <w:pStyle w:val="2"/>
        <w:jc w:val="center"/>
        <w:rPr>
          <w:rFonts w:eastAsia="Calibri" w:asciiTheme="majorBidi" w:hAnsiTheme="majorBidi"/>
          <w:b/>
          <w:bCs/>
          <w:color w:val="auto"/>
          <w:sz w:val="28"/>
          <w:szCs w:val="28"/>
        </w:rPr>
      </w:pPr>
      <w:bookmarkStart w:id="9" w:name="_Toc202853895"/>
      <w:bookmarkStart w:id="10" w:name="_Toc201509692"/>
      <w:r>
        <w:rPr>
          <w:rFonts w:eastAsia="Calibri" w:asciiTheme="majorBidi" w:hAnsiTheme="majorBidi"/>
          <w:b/>
          <w:bCs/>
          <w:color w:val="auto"/>
          <w:sz w:val="28"/>
          <w:szCs w:val="28"/>
        </w:rPr>
        <w:t>ABSTRACT</w:t>
      </w:r>
      <w:bookmarkEnd w:id="9"/>
      <w:bookmarkEnd w:id="10"/>
    </w:p>
    <w:p>
      <w:pPr>
        <w:pStyle w:val="8"/>
        <w:spacing w:line="480" w:lineRule="auto"/>
        <w:jc w:val="both"/>
      </w:pPr>
      <w:r>
        <w:rPr>
          <w:rStyle w:val="13"/>
        </w:rPr>
        <w:t>Pseudomonas aeruginosa</w:t>
      </w:r>
      <w:r>
        <w:t xml:space="preserve"> and </w:t>
      </w:r>
      <w:r>
        <w:rPr>
          <w:rStyle w:val="13"/>
        </w:rPr>
        <w:t>Escherichia coli</w:t>
      </w:r>
      <w:r>
        <w:t xml:space="preserve"> are common nosocomial pathogens known for their multidrug resistance. This study evaluated the antibacterial activity of aqueous, ethanolic, and methanolic extracts of </w:t>
      </w:r>
      <w:r>
        <w:rPr>
          <w:rStyle w:val="13"/>
        </w:rPr>
        <w:t>Syzygium aromaticum</w:t>
      </w:r>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methanolic and ethanolic extracts exhibited higher inhibition, with zones reaching 24.40 mm and 25.10 mm respectively, while the aqueous extract produced moderate effects. MIC for both organisms was 80 mg/mL, while MBC ranged from 80–100 mg/mL. The results affirm the broad-spectrum antibacterial potential of clove, especially when extracted with organic solvents.</w:t>
      </w:r>
    </w:p>
    <w:p>
      <w:pPr>
        <w:keepNext/>
        <w:keepLines/>
        <w:spacing w:before="240" w:after="0"/>
        <w:outlineLvl w:val="0"/>
        <w:rPr>
          <w:rFonts w:ascii="Times New Roman" w:hAnsi="Times New Roman" w:cs="Times New Roman" w:eastAsiaTheme="majorEastAsia"/>
          <w:b/>
          <w:sz w:val="28"/>
          <w:szCs w:val="28"/>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spacing w:before="100" w:beforeAutospacing="1" w:after="100" w:afterAutospacing="1" w:line="480" w:lineRule="auto"/>
        <w:jc w:val="both"/>
        <w:outlineLvl w:val="1"/>
        <w:rPr>
          <w:rFonts w:ascii="Times New Roman" w:hAnsi="Times New Roman" w:eastAsia="Times New Roman" w:cs="Times New Roman"/>
          <w:b/>
          <w:bCs/>
          <w:sz w:val="24"/>
          <w:szCs w:val="24"/>
        </w:rPr>
      </w:pPr>
    </w:p>
    <w:p>
      <w:pPr>
        <w:pStyle w:val="2"/>
        <w:spacing w:after="100" w:afterAutospacing="1"/>
        <w:jc w:val="center"/>
        <w:rPr>
          <w:rFonts w:eastAsia="Calibri" w:asciiTheme="majorBidi" w:hAnsiTheme="majorBidi"/>
          <w:b/>
          <w:bCs/>
          <w:color w:val="auto"/>
          <w:sz w:val="28"/>
          <w:szCs w:val="28"/>
        </w:rPr>
        <w:sectPr>
          <w:footerReference r:id="rId3" w:type="default"/>
          <w:type w:val="continuous"/>
          <w:pgSz w:w="11906" w:h="16838"/>
          <w:pgMar w:top="1440" w:right="1440" w:bottom="1440" w:left="1440" w:header="720" w:footer="720" w:gutter="0"/>
          <w:pgNumType w:fmt="lowerRoman" w:start="1"/>
          <w:cols w:space="720" w:num="1"/>
          <w:titlePg/>
          <w:docGrid w:linePitch="360" w:charSpace="0"/>
        </w:sectPr>
      </w:pPr>
      <w:bookmarkStart w:id="11" w:name="_Toc201509693"/>
      <w:bookmarkStart w:id="12" w:name="_Toc85116914"/>
    </w:p>
    <w:p>
      <w:pPr>
        <w:pStyle w:val="2"/>
        <w:spacing w:after="100" w:afterAutospacing="1"/>
        <w:jc w:val="center"/>
        <w:rPr>
          <w:rFonts w:eastAsia="Calibri" w:asciiTheme="majorBidi" w:hAnsiTheme="majorBidi"/>
          <w:b/>
          <w:bCs/>
          <w:color w:val="auto"/>
          <w:sz w:val="28"/>
          <w:szCs w:val="28"/>
        </w:rPr>
      </w:pPr>
      <w:bookmarkStart w:id="13" w:name="_Toc202853896"/>
      <w:r>
        <w:rPr>
          <w:rFonts w:eastAsia="Calibri" w:asciiTheme="majorBidi" w:hAnsiTheme="majorBidi"/>
          <w:b/>
          <w:bCs/>
          <w:color w:val="auto"/>
          <w:sz w:val="28"/>
          <w:szCs w:val="28"/>
        </w:rPr>
        <w:t>CHAPTER ONE</w:t>
      </w:r>
      <w:bookmarkEnd w:id="11"/>
      <w:bookmarkEnd w:id="13"/>
    </w:p>
    <w:p>
      <w:pPr>
        <w:pStyle w:val="3"/>
        <w:rPr>
          <w:rFonts w:asciiTheme="majorBidi" w:hAnsiTheme="majorBidi"/>
          <w:b w:val="0"/>
          <w:bCs w:val="0"/>
          <w:sz w:val="24"/>
          <w:szCs w:val="24"/>
        </w:rPr>
      </w:pPr>
      <w:bookmarkStart w:id="14" w:name="_Toc201509694"/>
      <w:bookmarkStart w:id="15" w:name="_Toc202853897"/>
      <w:r>
        <w:rPr>
          <w:rFonts w:asciiTheme="majorBidi" w:hAnsiTheme="majorBidi"/>
          <w:sz w:val="24"/>
          <w:szCs w:val="24"/>
        </w:rPr>
        <w:t>1.0 Introduction</w:t>
      </w:r>
      <w:bookmarkEnd w:id="12"/>
      <w:bookmarkEnd w:id="14"/>
      <w:bookmarkEnd w:id="15"/>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One of the most troubling examples of antibiotic resistance is observed in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especially the methicillin-resistant strain (MRSA), which is known to cause a range of infections, including wound infections, sepsis, and pneumonia. Similarly, </w:t>
      </w:r>
      <w:r>
        <w:rPr>
          <w:rFonts w:ascii="Times New Roman" w:hAnsi="Times New Roman" w:eastAsia="Times New Roman" w:cs="Times New Roman"/>
          <w:i/>
          <w:iCs/>
          <w:sz w:val="24"/>
          <w:szCs w:val="24"/>
        </w:rPr>
        <w:t>Escherichia coli</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Klebsiella pneumoniae</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Salmonella typhi</w:t>
      </w:r>
      <w:r>
        <w:rPr>
          <w:rFonts w:ascii="Times New Roman" w:hAnsi="Times New Roman" w:eastAsia="Times New Roman" w:cs="Times New Roman"/>
          <w:sz w:val="24"/>
          <w:szCs w:val="24"/>
        </w:rPr>
        <w:t xml:space="preserve"> have developed resistance to multiple antibiotics, posing a challenge to clinicians and microbiologists alike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Nirwati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 These natural products have historically contributed to drug discovery and are gaining popularity for their availability, low toxicity, and cost-effectiveness.</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Aziz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 Hence, comparative evaluations of different solvents are important to identify the most effective extraction method for antibacterial activity.</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Clove extracts prepared with various solvents have been investigated for their activity against both Gram-positive and Gram-negative bacteria. Gram-positive bacteria like </w:t>
      </w:r>
      <w:r>
        <w:rPr>
          <w:rFonts w:ascii="Times New Roman" w:hAnsi="Times New Roman" w:eastAsia="Times New Roman" w:cs="Times New Roman"/>
          <w:iCs/>
          <w:sz w:val="24"/>
          <w:szCs w:val="24"/>
        </w:rPr>
        <w:t>Staphylococcus aureus</w:t>
      </w:r>
      <w:r>
        <w:rPr>
          <w:rFonts w:ascii="Times New Roman" w:hAnsi="Times New Roman" w:eastAsia="Times New Roman" w:cs="Times New Roman"/>
          <w:sz w:val="24"/>
          <w:szCs w:val="24"/>
        </w:rPr>
        <w:t xml:space="preserve"> have a thick peptidoglycan cell wall that can be penetrated by certain phytochemicals, while Gram-negative bacteria like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2021).</w:t>
      </w:r>
    </w:p>
    <w:p>
      <w:pPr>
        <w:pStyle w:val="3"/>
        <w:rPr>
          <w:rFonts w:asciiTheme="majorBidi" w:hAnsiTheme="majorBidi"/>
          <w:sz w:val="24"/>
          <w:szCs w:val="24"/>
        </w:rPr>
      </w:pPr>
      <w:bookmarkStart w:id="16" w:name="_Toc202853898"/>
      <w:r>
        <w:rPr>
          <w:rFonts w:asciiTheme="majorBidi" w:hAnsiTheme="majorBidi"/>
          <w:sz w:val="24"/>
          <w:szCs w:val="24"/>
        </w:rPr>
        <w:t>1.1 Statement of the Problem</w:t>
      </w:r>
      <w:bookmarkEnd w:id="16"/>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pStyle w:val="3"/>
        <w:rPr>
          <w:rFonts w:asciiTheme="majorBidi" w:hAnsiTheme="majorBidi"/>
          <w:sz w:val="24"/>
          <w:szCs w:val="24"/>
        </w:rPr>
      </w:pPr>
      <w:bookmarkStart w:id="17" w:name="_Toc202853899"/>
      <w:r>
        <w:rPr>
          <w:rFonts w:asciiTheme="majorBidi" w:hAnsiTheme="majorBidi"/>
          <w:sz w:val="24"/>
          <w:szCs w:val="24"/>
        </w:rPr>
        <w:t>1.2 Justification of the Study</w:t>
      </w:r>
      <w:bookmarkEnd w:id="17"/>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is significant because it explores the antibacterial potential of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pPr>
        <w:pStyle w:val="3"/>
        <w:rPr>
          <w:rFonts w:asciiTheme="majorBidi" w:hAnsiTheme="majorBidi"/>
          <w:b w:val="0"/>
          <w:bCs w:val="0"/>
          <w:sz w:val="24"/>
          <w:szCs w:val="24"/>
        </w:rPr>
      </w:pPr>
      <w:bookmarkStart w:id="18" w:name="_Toc202853900"/>
      <w:r>
        <w:rPr>
          <w:rFonts w:asciiTheme="majorBidi" w:hAnsiTheme="majorBidi"/>
          <w:sz w:val="24"/>
          <w:szCs w:val="24"/>
        </w:rPr>
        <w:t>1.3 Aim of Study</w:t>
      </w:r>
      <w:bookmarkEnd w:id="18"/>
    </w:p>
    <w:p>
      <w:pPr>
        <w:spacing w:before="100" w:beforeAutospacing="1" w:after="100" w:afterAutospacing="1" w:line="480" w:lineRule="auto"/>
        <w:ind w:firstLine="720"/>
        <w:jc w:val="both"/>
        <w:rPr>
          <w:rFonts w:ascii="Times New Roman" w:hAnsi="Times New Roman" w:cs="Times New Roman"/>
          <w:sz w:val="24"/>
          <w:szCs w:val="24"/>
        </w:rPr>
      </w:pPr>
      <w:r>
        <w:rPr>
          <w:rFonts w:eastAsia="SimSun" w:asciiTheme="majorBidi" w:hAnsiTheme="majorBidi" w:cstheme="majorBidi"/>
          <w:kern w:val="2"/>
          <w:sz w:val="24"/>
          <w:szCs w:val="24"/>
          <w:lang w:eastAsia="zh-CN"/>
        </w:rPr>
        <w:t>The major aims of this study were to</w:t>
      </w:r>
      <w:r>
        <w:rPr>
          <w:rFonts w:eastAsia="Times New Roman" w:asciiTheme="majorBidi" w:hAnsiTheme="majorBidi" w:cstheme="majorBidi"/>
          <w:sz w:val="24"/>
          <w:szCs w:val="24"/>
        </w:rPr>
        <w:t xml:space="preserve"> </w:t>
      </w:r>
      <w:r>
        <w:rPr>
          <w:rFonts w:ascii="Times New Roman" w:hAnsi="Times New Roman" w:cs="Times New Roman"/>
          <w:sz w:val="24"/>
          <w:szCs w:val="24"/>
        </w:rPr>
        <w:t xml:space="preserve">evaluate the antibacterial effects of ethanol, methanol, and aqueous extracts of </w:t>
      </w:r>
      <w:r>
        <w:rPr>
          <w:rStyle w:val="13"/>
          <w:rFonts w:ascii="Times New Roman" w:hAnsi="Times New Roman" w:cs="Times New Roman"/>
          <w:sz w:val="24"/>
          <w:szCs w:val="24"/>
        </w:rPr>
        <w:t>Syzygium aromaticum</w:t>
      </w:r>
      <w:r>
        <w:rPr>
          <w:rFonts w:ascii="Times New Roman" w:hAnsi="Times New Roman" w:cs="Times New Roman"/>
          <w:sz w:val="24"/>
          <w:szCs w:val="24"/>
        </w:rPr>
        <w:t xml:space="preserve"> (clove) against </w:t>
      </w:r>
      <w:r>
        <w:rPr>
          <w:rFonts w:ascii="Times New Roman" w:hAnsi="Times New Roman" w:cs="Times New Roman"/>
          <w:i/>
          <w:sz w:val="24"/>
          <w:szCs w:val="24"/>
        </w:rPr>
        <w:t>Pseudomonas aeruginosa</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w:t>
      </w:r>
    </w:p>
    <w:p>
      <w:pPr>
        <w:pStyle w:val="3"/>
        <w:rPr>
          <w:rFonts w:asciiTheme="majorBidi" w:hAnsiTheme="majorBidi"/>
          <w:b w:val="0"/>
          <w:bCs w:val="0"/>
          <w:sz w:val="24"/>
          <w:szCs w:val="24"/>
        </w:rPr>
      </w:pPr>
      <w:bookmarkStart w:id="19" w:name="_Toc202853901"/>
      <w:r>
        <w:rPr>
          <w:rFonts w:asciiTheme="majorBidi" w:hAnsiTheme="majorBidi"/>
          <w:sz w:val="24"/>
          <w:szCs w:val="24"/>
        </w:rPr>
        <w:t>1.4 Objectives of Study</w:t>
      </w:r>
      <w:bookmarkEnd w:id="19"/>
    </w:p>
    <w:p>
      <w:pPr>
        <w:widowControl w:val="0"/>
        <w:spacing w:after="0" w:line="480" w:lineRule="auto"/>
        <w:ind w:firstLine="360"/>
        <w:jc w:val="both"/>
        <w:rPr>
          <w:rFonts w:eastAsia="SimSun" w:asciiTheme="majorBidi" w:hAnsiTheme="majorBidi" w:cstheme="majorBidi"/>
          <w:kern w:val="2"/>
          <w:sz w:val="24"/>
          <w:szCs w:val="24"/>
          <w:lang w:eastAsia="zh-CN"/>
        </w:rPr>
      </w:pPr>
      <w:r>
        <w:rPr>
          <w:rFonts w:eastAsia="SimSun" w:asciiTheme="majorBidi" w:hAnsiTheme="majorBidi" w:cstheme="majorBidi"/>
          <w:kern w:val="2"/>
          <w:sz w:val="24"/>
          <w:szCs w:val="24"/>
          <w:lang w:eastAsia="zh-CN"/>
        </w:rPr>
        <w:t>The specific objectives of this study were to:</w:t>
      </w:r>
    </w:p>
    <w:p>
      <w:pPr>
        <w:pStyle w:val="8"/>
        <w:numPr>
          <w:ilvl w:val="0"/>
          <w:numId w:val="1"/>
        </w:numPr>
        <w:spacing w:line="480" w:lineRule="auto"/>
      </w:pPr>
      <w:r>
        <w:t>prepare three different extracts (ethanol, methanol, and aqueous) of clove;</w:t>
      </w:r>
    </w:p>
    <w:p>
      <w:pPr>
        <w:pStyle w:val="8"/>
        <w:numPr>
          <w:ilvl w:val="0"/>
          <w:numId w:val="1"/>
        </w:numPr>
        <w:spacing w:line="480" w:lineRule="auto"/>
      </w:pPr>
      <w:r>
        <w:t xml:space="preserve">collect </w:t>
      </w:r>
      <w:r>
        <w:rPr>
          <w:rStyle w:val="13"/>
        </w:rPr>
        <w:t xml:space="preserve">Pseudomonas aeruginosa </w:t>
      </w:r>
      <w:r>
        <w:t xml:space="preserve">and </w:t>
      </w:r>
      <w:r>
        <w:rPr>
          <w:rStyle w:val="13"/>
        </w:rPr>
        <w:t>Escherichia coli</w:t>
      </w:r>
      <w:r>
        <w:t xml:space="preserve"> from microbiology lab;</w:t>
      </w:r>
    </w:p>
    <w:p>
      <w:pPr>
        <w:pStyle w:val="8"/>
        <w:numPr>
          <w:ilvl w:val="0"/>
          <w:numId w:val="1"/>
        </w:numPr>
        <w:spacing w:line="480" w:lineRule="auto"/>
      </w:pPr>
      <w:r>
        <w:t>determine the antibacterial activity of the extracts on clinical pathogen;</w:t>
      </w:r>
    </w:p>
    <w:p>
      <w:pPr>
        <w:pStyle w:val="20"/>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inhibitory concentration and</w:t>
      </w:r>
    </w:p>
    <w:p>
      <w:pPr>
        <w:pStyle w:val="20"/>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bactericidal concentration</w:t>
      </w:r>
    </w:p>
    <w:p>
      <w:pPr>
        <w:spacing w:line="480" w:lineRule="auto"/>
        <w:jc w:val="both"/>
        <w:rPr>
          <w:rFonts w:asciiTheme="majorBidi" w:hAnsiTheme="majorBidi" w:cstheme="majorBidi"/>
          <w:sz w:val="24"/>
          <w:szCs w:val="24"/>
        </w:rPr>
      </w:pPr>
    </w:p>
    <w:p>
      <w:pPr>
        <w:pStyle w:val="3"/>
        <w:rPr>
          <w:rFonts w:asciiTheme="majorBidi" w:hAnsiTheme="majorBidi"/>
          <w:sz w:val="24"/>
          <w:szCs w:val="24"/>
        </w:rPr>
      </w:pPr>
    </w:p>
    <w:p>
      <w:pPr/>
    </w:p>
    <w:p>
      <w:pPr>
        <w:pStyle w:val="8"/>
        <w:ind w:left="720" w:hanging="720"/>
        <w:jc w:val="both"/>
      </w:pPr>
    </w:p>
    <w:p>
      <w:pPr>
        <w:pStyle w:val="8"/>
        <w:ind w:left="720" w:hanging="720"/>
        <w:jc w:val="both"/>
      </w:pPr>
    </w:p>
    <w:p>
      <w:pPr>
        <w:pStyle w:val="8"/>
        <w:jc w:val="both"/>
      </w:pPr>
    </w:p>
    <w:p>
      <w:pPr>
        <w:pStyle w:val="2"/>
        <w:spacing w:after="100" w:afterAutospacing="1"/>
        <w:jc w:val="center"/>
        <w:rPr>
          <w:rFonts w:eastAsia="Calibri" w:asciiTheme="majorBidi" w:hAnsiTheme="majorBidi"/>
          <w:b/>
          <w:bCs/>
          <w:color w:val="auto"/>
          <w:sz w:val="28"/>
          <w:szCs w:val="28"/>
        </w:rPr>
      </w:pPr>
      <w:bookmarkStart w:id="20" w:name="_Toc201509699"/>
      <w:bookmarkStart w:id="21" w:name="_Toc202853902"/>
      <w:r>
        <w:rPr>
          <w:rFonts w:eastAsia="Calibri" w:asciiTheme="majorBidi" w:hAnsiTheme="majorBidi"/>
          <w:b/>
          <w:bCs/>
          <w:color w:val="auto"/>
          <w:sz w:val="28"/>
          <w:szCs w:val="28"/>
        </w:rPr>
        <w:t>CHAPTER TWO</w:t>
      </w:r>
      <w:bookmarkEnd w:id="20"/>
      <w:bookmarkEnd w:id="21"/>
    </w:p>
    <w:p>
      <w:pPr>
        <w:pStyle w:val="3"/>
        <w:tabs>
          <w:tab w:val="center" w:pos="4513"/>
        </w:tabs>
        <w:rPr>
          <w:rFonts w:asciiTheme="majorBidi" w:hAnsiTheme="majorBidi"/>
          <w:b w:val="0"/>
          <w:bCs w:val="0"/>
          <w:sz w:val="24"/>
          <w:szCs w:val="24"/>
        </w:rPr>
      </w:pPr>
      <w:bookmarkStart w:id="22" w:name="_Toc202853903"/>
      <w:bookmarkStart w:id="23" w:name="_Toc201509700"/>
      <w:r>
        <w:rPr>
          <w:rFonts w:asciiTheme="majorBidi" w:hAnsiTheme="majorBidi"/>
          <w:sz w:val="24"/>
          <w:szCs w:val="24"/>
        </w:rPr>
        <w:t>2.0 LITERATURE REVIEW</w:t>
      </w:r>
      <w:bookmarkEnd w:id="22"/>
      <w:bookmarkEnd w:id="23"/>
    </w:p>
    <w:p>
      <w:pPr>
        <w:pStyle w:val="3"/>
        <w:tabs>
          <w:tab w:val="center" w:pos="4513"/>
        </w:tabs>
        <w:rPr>
          <w:rFonts w:asciiTheme="majorBidi" w:hAnsiTheme="majorBidi"/>
          <w:sz w:val="24"/>
          <w:szCs w:val="24"/>
        </w:rPr>
      </w:pPr>
      <w:bookmarkStart w:id="24" w:name="_Toc202853904"/>
      <w:r>
        <w:rPr>
          <w:rFonts w:asciiTheme="majorBidi" w:hAnsiTheme="majorBidi"/>
          <w:sz w:val="24"/>
          <w:szCs w:val="24"/>
        </w:rPr>
        <w:t>2.1 Overview of Antimicrobial Resistance</w:t>
      </w:r>
      <w:bookmarkEnd w:id="24"/>
    </w:p>
    <w:p>
      <w:pPr>
        <w:pStyle w:val="4"/>
        <w:rPr>
          <w:sz w:val="24"/>
          <w:szCs w:val="24"/>
        </w:rPr>
      </w:pPr>
      <w:bookmarkStart w:id="25" w:name="_Toc202853905"/>
      <w:r>
        <w:rPr>
          <w:sz w:val="24"/>
          <w:szCs w:val="24"/>
        </w:rPr>
        <w:t>2.1.1 Global Burden of Antibiotic Resistance</w:t>
      </w:r>
      <w:bookmarkEnd w:id="25"/>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pStyle w:val="4"/>
        <w:rPr>
          <w:sz w:val="24"/>
          <w:szCs w:val="24"/>
        </w:rPr>
      </w:pPr>
      <w:bookmarkStart w:id="26" w:name="_Toc202853906"/>
      <w:r>
        <w:rPr>
          <w:sz w:val="24"/>
          <w:szCs w:val="24"/>
        </w:rPr>
        <w:t>2.1.2 Emergence of Multidrug-Resistant Bacteria</w:t>
      </w:r>
      <w:bookmarkEnd w:id="26"/>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extended-spectrum β-lactamase (ESBL)-producing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Klebsiella pneumoniae</w:t>
      </w:r>
      <w:r>
        <w:rPr>
          <w:rFonts w:ascii="Times New Roman" w:hAnsi="Times New Roman" w:eastAsia="Times New Roman" w:cs="Times New Roman"/>
          <w:sz w:val="24"/>
          <w:szCs w:val="24"/>
        </w:rPr>
        <w:t xml:space="preserve"> are now resistant to multiple classes of antibiotics. The continued evolution of these strains highlights the urgent need for novel antimicrobial solutions (Nirwati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2022).</w:t>
      </w:r>
    </w:p>
    <w:p>
      <w:pPr>
        <w:pStyle w:val="4"/>
        <w:rPr>
          <w:sz w:val="24"/>
          <w:szCs w:val="24"/>
        </w:rPr>
      </w:pPr>
      <w:bookmarkStart w:id="27" w:name="_Toc202853907"/>
      <w:r>
        <w:rPr>
          <w:sz w:val="24"/>
          <w:szCs w:val="24"/>
        </w:rPr>
        <w:t>2.1.3 Need for Alternative Therapies</w:t>
      </w:r>
      <w:bookmarkEnd w:id="27"/>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2023).</w:t>
      </w:r>
    </w:p>
    <w:p>
      <w:pPr>
        <w:pStyle w:val="3"/>
        <w:tabs>
          <w:tab w:val="center" w:pos="4513"/>
        </w:tabs>
        <w:rPr>
          <w:rFonts w:asciiTheme="majorBidi" w:hAnsiTheme="majorBidi"/>
          <w:sz w:val="24"/>
          <w:szCs w:val="24"/>
        </w:rPr>
      </w:pPr>
      <w:bookmarkStart w:id="28" w:name="_Toc202853908"/>
      <w:r>
        <w:rPr>
          <w:rFonts w:asciiTheme="majorBidi" w:hAnsiTheme="majorBidi"/>
          <w:sz w:val="24"/>
          <w:szCs w:val="24"/>
        </w:rPr>
        <w:t>2.2 Clinical Relevance of the Test Organisms</w:t>
      </w:r>
      <w:bookmarkEnd w:id="28"/>
    </w:p>
    <w:p>
      <w:pPr>
        <w:pStyle w:val="4"/>
        <w:rPr>
          <w:sz w:val="24"/>
          <w:szCs w:val="24"/>
        </w:rPr>
      </w:pPr>
      <w:bookmarkStart w:id="29" w:name="_Toc202853909"/>
      <w:r>
        <w:rPr>
          <w:sz w:val="24"/>
          <w:szCs w:val="24"/>
        </w:rPr>
        <w:t>2.2.1 Staphylococcus aureus (MRSA and MSSA)</w:t>
      </w:r>
      <w:bookmarkEnd w:id="29"/>
    </w:p>
    <w:p>
      <w:pPr>
        <w:spacing w:line="480" w:lineRule="auto"/>
        <w:ind w:firstLine="720"/>
        <w:jc w:val="both"/>
        <w:rPr>
          <w:rFonts w:ascii="Times New Roman" w:hAnsi="Times New Roman" w:cs="Times New Roman"/>
          <w:sz w:val="24"/>
          <w:szCs w:val="24"/>
        </w:rPr>
      </w:pPr>
      <w:r>
        <w:rPr>
          <w:rStyle w:val="13"/>
          <w:rFonts w:ascii="Times New Roman" w:hAnsi="Times New Roman" w:cs="Times New Roman"/>
          <w:sz w:val="24"/>
          <w:szCs w:val="24"/>
        </w:rPr>
        <w:t>Staphylococcus aureus</w:t>
      </w:r>
      <w:r>
        <w:rPr>
          <w:rFonts w:ascii="Times New Roman" w:hAnsi="Times New Roman" w:cs="Times New Roman"/>
          <w:sz w:val="24"/>
          <w:szCs w:val="24"/>
        </w:rPr>
        <w:t xml:space="preserve"> is a Gram-positive coccal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13"/>
          <w:rFonts w:ascii="Times New Roman" w:hAnsi="Times New Roman" w:cs="Times New Roman"/>
          <w:sz w:val="24"/>
          <w:szCs w:val="24"/>
        </w:rPr>
        <w:t>S. aureus</w:t>
      </w:r>
      <w:r>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Pr>
          <w:rStyle w:val="13"/>
          <w:rFonts w:ascii="Times New Roman" w:hAnsi="Times New Roman" w:cs="Times New Roman"/>
          <w:sz w:val="24"/>
          <w:szCs w:val="24"/>
        </w:rPr>
        <w:t>S. aureus</w:t>
      </w:r>
      <w:r>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13"/>
          <w:rFonts w:ascii="Times New Roman" w:hAnsi="Times New Roman" w:cs="Times New Roman"/>
          <w:sz w:val="24"/>
          <w:szCs w:val="24"/>
        </w:rPr>
        <w:t>S. aureus</w:t>
      </w:r>
      <w:r>
        <w:rPr>
          <w:rFonts w:ascii="Times New Roman" w:hAnsi="Times New Roman" w:cs="Times New Roman"/>
          <w:sz w:val="24"/>
          <w:szCs w:val="24"/>
        </w:rPr>
        <w:t xml:space="preserve">, indicating potential use as adjunct therapies (Nassar </w:t>
      </w:r>
      <w:r>
        <w:rPr>
          <w:rFonts w:ascii="Times New Roman" w:hAnsi="Times New Roman" w:cs="Times New Roman"/>
          <w:i/>
          <w:sz w:val="24"/>
          <w:szCs w:val="24"/>
        </w:rPr>
        <w:t>et al</w:t>
      </w:r>
      <w:r>
        <w:rPr>
          <w:rFonts w:ascii="Times New Roman" w:hAnsi="Times New Roman" w:cs="Times New Roman"/>
          <w:sz w:val="24"/>
          <w:szCs w:val="24"/>
        </w:rPr>
        <w:t>., 2017).</w:t>
      </w:r>
    </w:p>
    <w:p>
      <w:pPr>
        <w:pStyle w:val="4"/>
        <w:rPr>
          <w:sz w:val="24"/>
          <w:szCs w:val="24"/>
        </w:rPr>
      </w:pPr>
      <w:bookmarkStart w:id="30" w:name="_Toc202853910"/>
      <w:r>
        <w:rPr>
          <w:sz w:val="24"/>
          <w:szCs w:val="24"/>
        </w:rPr>
        <w:t>2.2.2 Escherichia coli</w:t>
      </w:r>
      <w:bookmarkEnd w:id="30"/>
    </w:p>
    <w:p>
      <w:pPr>
        <w:spacing w:line="480" w:lineRule="auto"/>
        <w:ind w:firstLine="720"/>
        <w:jc w:val="both"/>
        <w:rPr>
          <w:rFonts w:ascii="Times New Roman" w:hAnsi="Times New Roman" w:cs="Times New Roman"/>
          <w:sz w:val="24"/>
          <w:szCs w:val="24"/>
        </w:rPr>
      </w:pPr>
      <w:r>
        <w:rPr>
          <w:rStyle w:val="13"/>
          <w:rFonts w:ascii="Times New Roman" w:hAnsi="Times New Roman" w:cs="Times New Roman"/>
          <w:sz w:val="24"/>
          <w:szCs w:val="24"/>
        </w:rPr>
        <w:t>Escherichia coli</w:t>
      </w:r>
      <w:r>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13"/>
          <w:rFonts w:ascii="Times New Roman" w:hAnsi="Times New Roman" w:cs="Times New Roman"/>
          <w:sz w:val="24"/>
          <w:szCs w:val="24"/>
        </w:rPr>
        <w:t>E. coli</w:t>
      </w:r>
      <w:r>
        <w:rPr>
          <w:rFonts w:ascii="Times New Roman" w:hAnsi="Times New Roman" w:cs="Times New Roman"/>
          <w:sz w:val="24"/>
          <w:szCs w:val="24"/>
        </w:rPr>
        <w:t xml:space="preserve"> (EPEC), Enterotoxigenic </w:t>
      </w:r>
      <w:r>
        <w:rPr>
          <w:rStyle w:val="13"/>
          <w:rFonts w:ascii="Times New Roman" w:hAnsi="Times New Roman" w:cs="Times New Roman"/>
          <w:sz w:val="24"/>
          <w:szCs w:val="24"/>
        </w:rPr>
        <w:t>E. coli</w:t>
      </w:r>
      <w:r>
        <w:rPr>
          <w:rFonts w:ascii="Times New Roman" w:hAnsi="Times New Roman" w:cs="Times New Roman"/>
          <w:sz w:val="24"/>
          <w:szCs w:val="24"/>
        </w:rPr>
        <w:t xml:space="preserve"> (ETEC), and Uropathogenic </w:t>
      </w:r>
      <w:r>
        <w:rPr>
          <w:rStyle w:val="13"/>
          <w:rFonts w:ascii="Times New Roman" w:hAnsi="Times New Roman" w:cs="Times New Roman"/>
          <w:sz w:val="24"/>
          <w:szCs w:val="24"/>
        </w:rPr>
        <w:t>E. coli</w:t>
      </w:r>
      <w:r>
        <w:rPr>
          <w:rFonts w:ascii="Times New Roman" w:hAnsi="Times New Roman" w:cs="Times New Roman"/>
          <w:sz w:val="24"/>
          <w:szCs w:val="24"/>
        </w:rPr>
        <w:t xml:space="preserve"> (UPEC) are significant causes of diarrhea, urinary tract infections, and sepsis, respectively (Kaper </w:t>
      </w:r>
      <w:r>
        <w:rPr>
          <w:rFonts w:ascii="Times New Roman" w:hAnsi="Times New Roman" w:cs="Times New Roman"/>
          <w:i/>
          <w:sz w:val="24"/>
          <w:szCs w:val="24"/>
        </w:rPr>
        <w:t>et al</w:t>
      </w:r>
      <w:r>
        <w:rPr>
          <w:rFonts w:ascii="Times New Roman" w:hAnsi="Times New Roman" w:cs="Times New Roman"/>
          <w:sz w:val="24"/>
          <w:szCs w:val="24"/>
        </w:rPr>
        <w:t xml:space="preserve">., 2004). The rise of extended-spectrum beta-lactamase (ESBL)-producing </w:t>
      </w:r>
      <w:r>
        <w:rPr>
          <w:rStyle w:val="13"/>
          <w:rFonts w:ascii="Times New Roman" w:hAnsi="Times New Roman" w:cs="Times New Roman"/>
          <w:sz w:val="24"/>
          <w:szCs w:val="24"/>
        </w:rPr>
        <w:t>E. coli</w:t>
      </w:r>
      <w:r>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Pr>
          <w:rStyle w:val="13"/>
          <w:rFonts w:ascii="Times New Roman" w:hAnsi="Times New Roman" w:cs="Times New Roman"/>
          <w:sz w:val="24"/>
          <w:szCs w:val="24"/>
        </w:rPr>
        <w:t>E. coli</w:t>
      </w:r>
      <w:r>
        <w:rPr>
          <w:rFonts w:ascii="Times New Roman" w:hAnsi="Times New Roman" w:cs="Times New Roman"/>
          <w:sz w:val="24"/>
          <w:szCs w:val="24"/>
        </w:rPr>
        <w:t xml:space="preserve"> in vitro (Marchese </w:t>
      </w:r>
      <w:r>
        <w:rPr>
          <w:rFonts w:ascii="Times New Roman" w:hAnsi="Times New Roman" w:cs="Times New Roman"/>
          <w:i/>
          <w:sz w:val="24"/>
          <w:szCs w:val="24"/>
        </w:rPr>
        <w:t>et al</w:t>
      </w:r>
      <w:r>
        <w:rPr>
          <w:rFonts w:ascii="Times New Roman" w:hAnsi="Times New Roman" w:cs="Times New Roman"/>
          <w:sz w:val="24"/>
          <w:szCs w:val="24"/>
        </w:rPr>
        <w:t xml:space="preserve">., 2017). </w:t>
      </w:r>
    </w:p>
    <w:p>
      <w:pPr>
        <w:pStyle w:val="4"/>
        <w:rPr>
          <w:sz w:val="24"/>
          <w:szCs w:val="24"/>
        </w:rPr>
      </w:pPr>
      <w:bookmarkStart w:id="31" w:name="_Toc202853911"/>
      <w:r>
        <w:rPr>
          <w:sz w:val="24"/>
          <w:szCs w:val="24"/>
        </w:rPr>
        <w:t>2.2.3 Pseudomonas aeruginosa</w:t>
      </w:r>
      <w:bookmarkEnd w:id="31"/>
    </w:p>
    <w:p>
      <w:pPr>
        <w:spacing w:line="480" w:lineRule="auto"/>
        <w:ind w:firstLine="720"/>
        <w:jc w:val="both"/>
        <w:rPr>
          <w:rFonts w:ascii="Times New Roman" w:hAnsi="Times New Roman" w:cs="Times New Roman"/>
          <w:sz w:val="24"/>
          <w:szCs w:val="24"/>
        </w:rPr>
      </w:pPr>
      <w:r>
        <w:rPr>
          <w:rStyle w:val="13"/>
          <w:rFonts w:ascii="Times New Roman" w:hAnsi="Times New Roman" w:cs="Times New Roman"/>
          <w:sz w:val="24"/>
          <w:szCs w:val="24"/>
        </w:rPr>
        <w:t>Pseudomonas aeruginosa</w:t>
      </w:r>
      <w:r>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xml:space="preserve">., 2015). In addition, </w:t>
      </w:r>
      <w:r>
        <w:rPr>
          <w:rStyle w:val="13"/>
          <w:rFonts w:ascii="Times New Roman" w:hAnsi="Times New Roman" w:cs="Times New Roman"/>
          <w:sz w:val="24"/>
          <w:szCs w:val="24"/>
        </w:rPr>
        <w:t>P. aeruginosa</w:t>
      </w:r>
      <w:r>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biofilm formation, and reduce the growth of </w:t>
      </w:r>
      <w:r>
        <w:rPr>
          <w:rStyle w:val="13"/>
          <w:rFonts w:ascii="Times New Roman" w:hAnsi="Times New Roman" w:cs="Times New Roman"/>
          <w:sz w:val="24"/>
          <w:szCs w:val="24"/>
        </w:rPr>
        <w:t>P. aeruginosa</w:t>
      </w:r>
      <w:r>
        <w:rPr>
          <w:rFonts w:ascii="Times New Roman" w:hAnsi="Times New Roman" w:cs="Times New Roman"/>
          <w:sz w:val="24"/>
          <w:szCs w:val="24"/>
        </w:rPr>
        <w:t xml:space="preserve"> in laboratory settings, highlighting their potential in the management of persistent infections (Jeyakumar </w:t>
      </w:r>
      <w:r>
        <w:rPr>
          <w:rFonts w:ascii="Times New Roman" w:hAnsi="Times New Roman" w:cs="Times New Roman"/>
          <w:i/>
          <w:sz w:val="24"/>
          <w:szCs w:val="24"/>
        </w:rPr>
        <w:t>et al</w:t>
      </w:r>
      <w:r>
        <w:rPr>
          <w:rFonts w:ascii="Times New Roman" w:hAnsi="Times New Roman" w:cs="Times New Roman"/>
          <w:sz w:val="24"/>
          <w:szCs w:val="24"/>
        </w:rPr>
        <w:t>., 2020).</w:t>
      </w:r>
    </w:p>
    <w:p>
      <w:pPr>
        <w:pStyle w:val="4"/>
        <w:rPr>
          <w:sz w:val="24"/>
          <w:szCs w:val="24"/>
        </w:rPr>
      </w:pPr>
      <w:bookmarkStart w:id="32" w:name="_Toc202853912"/>
      <w:r>
        <w:rPr>
          <w:sz w:val="24"/>
          <w:szCs w:val="24"/>
        </w:rPr>
        <w:t>2.2.4 Klebsiella pneumoniae</w:t>
      </w:r>
      <w:bookmarkEnd w:id="32"/>
    </w:p>
    <w:p>
      <w:pPr>
        <w:spacing w:line="480" w:lineRule="auto"/>
        <w:ind w:firstLine="720"/>
        <w:jc w:val="both"/>
        <w:rPr>
          <w:rFonts w:ascii="Times New Roman" w:hAnsi="Times New Roman" w:cs="Times New Roman"/>
          <w:sz w:val="24"/>
          <w:szCs w:val="24"/>
        </w:rPr>
      </w:pPr>
      <w:r>
        <w:rPr>
          <w:rStyle w:val="13"/>
          <w:rFonts w:ascii="Times New Roman" w:hAnsi="Times New Roman" w:cs="Times New Roman"/>
          <w:sz w:val="24"/>
          <w:szCs w:val="24"/>
        </w:rPr>
        <w:t>Klebsiella pneumoniae</w:t>
      </w:r>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carbapenem-resistant </w:t>
      </w:r>
      <w:r>
        <w:rPr>
          <w:rStyle w:val="13"/>
          <w:rFonts w:ascii="Times New Roman" w:hAnsi="Times New Roman" w:cs="Times New Roman"/>
          <w:sz w:val="24"/>
          <w:szCs w:val="24"/>
        </w:rPr>
        <w:t>K. pneumoniae</w:t>
      </w:r>
      <w:r>
        <w:rPr>
          <w:rFonts w:ascii="Times New Roman" w:hAnsi="Times New Roman" w:cs="Times New Roman"/>
          <w:sz w:val="24"/>
          <w:szCs w:val="24"/>
        </w:rPr>
        <w:t xml:space="preserve"> (CRKP) has posed a major public health threat due to limited treatment options and high mortality rates (Pitout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13"/>
          <w:rFonts w:ascii="Times New Roman" w:hAnsi="Times New Roman" w:cs="Times New Roman"/>
          <w:sz w:val="24"/>
          <w:szCs w:val="24"/>
        </w:rPr>
        <w:t>K. pneumoniae</w:t>
      </w:r>
      <w:r>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Pr>
          <w:rFonts w:ascii="Times New Roman" w:hAnsi="Times New Roman" w:cs="Times New Roman"/>
          <w:i/>
          <w:sz w:val="24"/>
          <w:szCs w:val="24"/>
        </w:rPr>
        <w:t>et al</w:t>
      </w:r>
      <w:r>
        <w:rPr>
          <w:rFonts w:ascii="Times New Roman" w:hAnsi="Times New Roman" w:cs="Times New Roman"/>
          <w:sz w:val="24"/>
          <w:szCs w:val="24"/>
        </w:rPr>
        <w:t>., 2015).</w:t>
      </w:r>
    </w:p>
    <w:p>
      <w:pPr>
        <w:pStyle w:val="4"/>
        <w:rPr>
          <w:sz w:val="24"/>
          <w:szCs w:val="24"/>
        </w:rPr>
      </w:pPr>
      <w:bookmarkStart w:id="33" w:name="_Toc202853913"/>
      <w:r>
        <w:rPr>
          <w:sz w:val="24"/>
          <w:szCs w:val="24"/>
        </w:rPr>
        <w:t>2.2.5 Salmonella typhi</w:t>
      </w:r>
      <w:bookmarkEnd w:id="33"/>
    </w:p>
    <w:p>
      <w:pPr>
        <w:spacing w:line="480" w:lineRule="auto"/>
        <w:ind w:firstLine="720"/>
        <w:jc w:val="both"/>
        <w:rPr>
          <w:rFonts w:ascii="Times New Roman" w:hAnsi="Times New Roman" w:cs="Times New Roman"/>
          <w:sz w:val="24"/>
          <w:szCs w:val="24"/>
        </w:rPr>
      </w:pPr>
      <w:r>
        <w:rPr>
          <w:rStyle w:val="13"/>
          <w:rFonts w:ascii="Times New Roman" w:hAnsi="Times New Roman" w:cs="Times New Roman"/>
          <w:sz w:val="24"/>
          <w:szCs w:val="24"/>
        </w:rPr>
        <w:t>Salmonella enterica</w:t>
      </w:r>
      <w:r>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13"/>
          <w:rFonts w:ascii="Times New Roman" w:hAnsi="Times New Roman" w:cs="Times New Roman"/>
          <w:sz w:val="24"/>
          <w:szCs w:val="24"/>
        </w:rPr>
        <w:t>S. typhi</w:t>
      </w:r>
      <w:r>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13"/>
          <w:rFonts w:ascii="Times New Roman" w:hAnsi="Times New Roman" w:cs="Times New Roman"/>
          <w:sz w:val="24"/>
          <w:szCs w:val="24"/>
        </w:rPr>
        <w:t>S. typhi</w:t>
      </w:r>
      <w:r>
        <w:rPr>
          <w:rFonts w:ascii="Times New Roman" w:hAnsi="Times New Roman" w:cs="Times New Roman"/>
          <w:sz w:val="24"/>
          <w:szCs w:val="24"/>
        </w:rPr>
        <w:t xml:space="preserve"> in vitro, particularly when extracted with methanol or ethanol (Akinpelu </w:t>
      </w:r>
      <w:r>
        <w:rPr>
          <w:rFonts w:ascii="Times New Roman" w:hAnsi="Times New Roman" w:cs="Times New Roman"/>
          <w:i/>
          <w:sz w:val="24"/>
          <w:szCs w:val="24"/>
        </w:rPr>
        <w:t>et al</w:t>
      </w:r>
      <w:r>
        <w:rPr>
          <w:rFonts w:ascii="Times New Roman" w:hAnsi="Times New Roman" w:cs="Times New Roman"/>
          <w:sz w:val="24"/>
          <w:szCs w:val="24"/>
        </w:rPr>
        <w:t>., 2015). This suggests a valuable role for clove-based formulations in areas where conventional antibiotic therapy may be ineffective or inaccessible.</w:t>
      </w:r>
    </w:p>
    <w:p>
      <w:pPr>
        <w:pStyle w:val="3"/>
        <w:tabs>
          <w:tab w:val="center" w:pos="4513"/>
        </w:tabs>
        <w:rPr>
          <w:rFonts w:asciiTheme="majorBidi" w:hAnsiTheme="majorBidi"/>
          <w:sz w:val="24"/>
          <w:szCs w:val="24"/>
        </w:rPr>
      </w:pPr>
      <w:bookmarkStart w:id="34" w:name="_Toc202853914"/>
      <w:r>
        <w:rPr>
          <w:rFonts w:asciiTheme="majorBidi" w:hAnsiTheme="majorBidi"/>
          <w:sz w:val="24"/>
          <w:szCs w:val="24"/>
        </w:rPr>
        <w:t>2.3 Overview of Clove</w:t>
      </w:r>
      <w:bookmarkEnd w:id="34"/>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Pr>
          <w:rFonts w:asciiTheme="majorBidi" w:hAnsiTheme="majorBidi" w:cstheme="majorBidi"/>
          <w:i/>
          <w:iCs/>
          <w:sz w:val="24"/>
          <w:szCs w:val="24"/>
        </w:rPr>
        <w:t>et al</w:t>
      </w:r>
      <w:r>
        <w:rPr>
          <w:rFonts w:asciiTheme="majorBidi" w:hAnsiTheme="majorBidi" w:cstheme="majorBidi"/>
          <w:sz w:val="24"/>
          <w:szCs w:val="24"/>
        </w:rPr>
        <w:t>., 2015).</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i/>
          <w:iCs/>
          <w:sz w:val="24"/>
          <w:szCs w:val="24"/>
        </w:rPr>
        <w:t>Syzygium aromaticum (S. aromaticum</w:t>
      </w:r>
      <w:r>
        <w:rPr>
          <w:rFonts w:asciiTheme="majorBidi" w:hAnsiTheme="majorBidi" w:cstheme="majorBidi"/>
          <w:sz w:val="24"/>
          <w:szCs w:val="24"/>
        </w:rPr>
        <w:t xml:space="preserve">) (synonym: </w:t>
      </w:r>
      <w:r>
        <w:rPr>
          <w:rFonts w:asciiTheme="majorBidi" w:hAnsiTheme="majorBidi" w:cstheme="majorBidi"/>
          <w:i/>
          <w:iCs/>
          <w:sz w:val="24"/>
          <w:szCs w:val="24"/>
        </w:rPr>
        <w:t>Eugenia cariophylata</w:t>
      </w:r>
      <w:r>
        <w:rPr>
          <w:rFonts w:asciiTheme="majorBidi" w:hAnsiTheme="majorBidi" w:cstheme="majorBidi"/>
          <w:sz w:val="24"/>
          <w:szCs w:val="24"/>
        </w:rPr>
        <w:t xml:space="preserve">) commonly known as clove, is a median size tree (8-12 m) from the Mirtaceae family native from the Maluku islands in east Indonesia. For centuries the trade of clove and the search of this valuable spice stimulated the economic development of this Asiatic region (Kamatou </w:t>
      </w:r>
      <w:r>
        <w:rPr>
          <w:rFonts w:asciiTheme="majorBidi" w:hAnsiTheme="majorBidi" w:cstheme="majorBidi"/>
          <w:i/>
          <w:iCs/>
          <w:sz w:val="24"/>
          <w:szCs w:val="24"/>
        </w:rPr>
        <w:t>et al</w:t>
      </w:r>
      <w:r>
        <w:rPr>
          <w:rFonts w:asciiTheme="majorBidi" w:hAnsiTheme="majorBidi" w:cstheme="majorBidi"/>
          <w:sz w:val="24"/>
          <w:szCs w:val="24"/>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Pr>
          <w:rFonts w:asciiTheme="majorBidi" w:hAnsiTheme="majorBidi" w:cstheme="majorBidi"/>
          <w:i/>
          <w:iCs/>
          <w:sz w:val="24"/>
          <w:szCs w:val="24"/>
        </w:rPr>
        <w:t>et al</w:t>
      </w:r>
      <w:r>
        <w:rPr>
          <w:rFonts w:asciiTheme="majorBidi" w:hAnsiTheme="majorBidi" w:cstheme="majorBidi"/>
          <w:sz w:val="24"/>
          <w:szCs w:val="24"/>
        </w:rPr>
        <w:t>., 2013).</w:t>
      </w:r>
    </w:p>
    <w:p>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Valença, Ituberá, Taperoá, Camamu and Nilo Peçanha, where approximately 8 000 hectares are cultivated, producing near 2 500 tons per year (Oliveira </w:t>
      </w:r>
      <w:r>
        <w:rPr>
          <w:rFonts w:asciiTheme="majorBidi" w:hAnsiTheme="majorBidi" w:cstheme="majorBidi"/>
          <w:i/>
          <w:iCs/>
          <w:sz w:val="24"/>
          <w:szCs w:val="24"/>
        </w:rPr>
        <w:t>et al</w:t>
      </w:r>
      <w:r>
        <w:rPr>
          <w:rFonts w:asciiTheme="majorBidi" w:hAnsiTheme="majorBidi" w:cstheme="majorBidi"/>
          <w:sz w:val="24"/>
          <w:szCs w:val="24"/>
        </w:rPr>
        <w:t xml:space="preserve">., 2017). </w:t>
      </w:r>
    </w:p>
    <w:p>
      <w:pPr>
        <w:pStyle w:val="3"/>
        <w:tabs>
          <w:tab w:val="center" w:pos="4513"/>
        </w:tabs>
        <w:rPr>
          <w:rFonts w:asciiTheme="majorBidi" w:hAnsiTheme="majorBidi"/>
          <w:sz w:val="24"/>
          <w:szCs w:val="24"/>
        </w:rPr>
      </w:pPr>
      <w:bookmarkStart w:id="35" w:name="_Toc202853915"/>
      <w:r>
        <w:rPr>
          <w:rFonts w:asciiTheme="majorBidi" w:hAnsiTheme="majorBidi"/>
          <w:sz w:val="24"/>
          <w:szCs w:val="24"/>
        </w:rPr>
        <w:t>2.4 Bioactive Compounds of Clove Extract</w:t>
      </w:r>
      <w:bookmarkEnd w:id="35"/>
      <w:r>
        <w:rPr>
          <w:rFonts w:asciiTheme="majorBidi" w:hAnsiTheme="majorBidi"/>
          <w:sz w:val="24"/>
          <w:szCs w:val="24"/>
        </w:rPr>
        <w:t xml:space="preserve">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Clove represents one of the major vegetal sources of phenolic compounds such as flavonoids, hidroxibenzoic acids, hidroxicinamic acids and hidroxiphenyl propens. Eugenol is the main bioactive compound of clove, which is found in concentrations ranging from 9 381.70 to 14 650.00 mg per 100 g of fresh plant material (Jirovetz </w:t>
      </w:r>
      <w:r>
        <w:rPr>
          <w:rFonts w:asciiTheme="majorBidi" w:hAnsiTheme="majorBidi" w:cstheme="majorBidi"/>
          <w:i/>
          <w:iCs/>
          <w:sz w:val="24"/>
          <w:szCs w:val="24"/>
        </w:rPr>
        <w:t>et al.,</w:t>
      </w:r>
      <w:r>
        <w:rPr>
          <w:rFonts w:asciiTheme="majorBidi" w:hAnsiTheme="majorBidi" w:cstheme="majorBidi"/>
          <w:sz w:val="24"/>
          <w:szCs w:val="24"/>
        </w:rPr>
        <w:t xml:space="preserve"> 2016). With regard to the phenolic acids, gallic acid is the compound found in higher concentration (783.50 mg/100g fresh weight) (Cooke and Plot nick, 2018). However, other gallic acid derivates such as hidrolizable tannins are present in higher concentrations (2 375.8 mg/100 g). Other phenolic acids found in clove are the caffeic, ferulic, elagic and salicylic acids. Flavonoids as kaempferol, quercetin and its derivates (glycosilated) are also found in clove in lower concentrations (Tahir </w:t>
      </w:r>
      <w:r>
        <w:rPr>
          <w:rFonts w:asciiTheme="majorBidi" w:hAnsiTheme="majorBidi" w:cstheme="majorBidi"/>
          <w:i/>
          <w:iCs/>
          <w:sz w:val="24"/>
          <w:szCs w:val="24"/>
        </w:rPr>
        <w:t>et al</w:t>
      </w:r>
      <w:r>
        <w:rPr>
          <w:rFonts w:asciiTheme="majorBidi" w:hAnsiTheme="majorBidi" w:cstheme="majorBidi"/>
          <w:sz w:val="24"/>
          <w:szCs w:val="24"/>
        </w:rPr>
        <w:t xml:space="preserve">., 2016).  Concentrations up to 18% of essential oil can be found in the clove flower buds. Roughly, 89% of the clove essential oil is eugenol and 5% to 15% is eugenol acetate and β-cariofileno (Pérez-Jiménez </w:t>
      </w:r>
      <w:r>
        <w:rPr>
          <w:rFonts w:asciiTheme="majorBidi" w:hAnsiTheme="majorBidi" w:cstheme="majorBidi"/>
          <w:i/>
          <w:iCs/>
          <w:sz w:val="24"/>
          <w:szCs w:val="24"/>
        </w:rPr>
        <w:t>et al</w:t>
      </w:r>
      <w:r>
        <w:rPr>
          <w:rFonts w:asciiTheme="majorBidi" w:hAnsiTheme="majorBidi" w:cstheme="majorBidi"/>
          <w:sz w:val="24"/>
          <w:szCs w:val="24"/>
        </w:rPr>
        <w:t xml:space="preserve">., 2010). Another important compound found in the essential oil of clove in concentrations up to 2.1% is α-humulen. Other volatile compounds present in lower concentrations in clove essential oil are β-pinene, limonene, farnesol, benzaldehyde, 2-heptanone and ethyl hexanoate (Bamdad </w:t>
      </w:r>
      <w:r>
        <w:rPr>
          <w:rFonts w:asciiTheme="majorBidi" w:hAnsiTheme="majorBidi" w:cstheme="majorBidi"/>
          <w:i/>
          <w:iCs/>
          <w:sz w:val="24"/>
          <w:szCs w:val="24"/>
        </w:rPr>
        <w:t>et al</w:t>
      </w:r>
      <w:r>
        <w:rPr>
          <w:rFonts w:asciiTheme="majorBidi" w:hAnsiTheme="majorBidi" w:cstheme="majorBidi"/>
          <w:sz w:val="24"/>
          <w:szCs w:val="24"/>
        </w:rPr>
        <w:t>., 2016).</w:t>
      </w:r>
    </w:p>
    <w:p>
      <w:pPr>
        <w:pStyle w:val="4"/>
        <w:rPr>
          <w:sz w:val="24"/>
          <w:szCs w:val="24"/>
        </w:rPr>
      </w:pPr>
      <w:bookmarkStart w:id="36" w:name="_Toc202853916"/>
      <w:r>
        <w:rPr>
          <w:sz w:val="24"/>
          <w:szCs w:val="24"/>
        </w:rPr>
        <w:t>2.4.1 Eugenol</w:t>
      </w:r>
      <w:bookmarkEnd w:id="36"/>
      <w:r>
        <w:rPr>
          <w:sz w:val="24"/>
          <w:szCs w:val="24"/>
        </w:rPr>
        <w:t xml:space="preserve"> </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minutes in pressurized water at 125 °C (257 °F) (Chen </w:t>
      </w:r>
      <w:r>
        <w:rPr>
          <w:rFonts w:asciiTheme="majorBidi" w:hAnsiTheme="majorBidi" w:cstheme="majorBidi"/>
          <w:i/>
          <w:iCs/>
          <w:sz w:val="24"/>
          <w:szCs w:val="24"/>
        </w:rPr>
        <w:t>et al</w:t>
      </w:r>
      <w:r>
        <w:rPr>
          <w:rFonts w:asciiTheme="majorBidi" w:hAnsiTheme="majorBidi" w:cstheme="majorBidi"/>
          <w:sz w:val="24"/>
          <w:szCs w:val="24"/>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37" w:name="_Hlk185407426"/>
      <w:r>
        <w:rPr>
          <w:rFonts w:asciiTheme="majorBidi" w:hAnsiTheme="majorBidi" w:cstheme="majorBidi"/>
          <w:sz w:val="24"/>
          <w:szCs w:val="24"/>
        </w:rPr>
        <w:t xml:space="preserve">(Aguilar-González </w:t>
      </w:r>
      <w:r>
        <w:rPr>
          <w:rFonts w:asciiTheme="majorBidi" w:hAnsiTheme="majorBidi" w:cstheme="majorBidi"/>
          <w:i/>
          <w:iCs/>
          <w:sz w:val="24"/>
          <w:szCs w:val="24"/>
        </w:rPr>
        <w:t>et al</w:t>
      </w:r>
      <w:r>
        <w:rPr>
          <w:rFonts w:asciiTheme="majorBidi" w:hAnsiTheme="majorBidi" w:cstheme="majorBidi"/>
          <w:sz w:val="24"/>
          <w:szCs w:val="24"/>
        </w:rPr>
        <w:t xml:space="preserve">., 2015). </w:t>
      </w:r>
      <w:bookmarkEnd w:id="37"/>
      <w:r>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eugenol that advertises its use for the treatment of toothache (Donsì </w:t>
      </w:r>
      <w:r>
        <w:rPr>
          <w:rFonts w:asciiTheme="majorBidi" w:hAnsiTheme="majorBidi" w:cstheme="majorBidi"/>
          <w:i/>
          <w:iCs/>
          <w:sz w:val="24"/>
          <w:szCs w:val="24"/>
        </w:rPr>
        <w:t>et al</w:t>
      </w:r>
      <w:r>
        <w:rPr>
          <w:rFonts w:asciiTheme="majorBidi" w:hAnsiTheme="majorBidi" w:cstheme="majorBidi"/>
          <w:sz w:val="24"/>
          <w:szCs w:val="24"/>
        </w:rPr>
        <w:t xml:space="preserve">., 2011).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 (Sebaaly </w:t>
      </w:r>
      <w:r>
        <w:rPr>
          <w:rFonts w:asciiTheme="majorBidi" w:hAnsiTheme="majorBidi" w:cstheme="majorBidi"/>
          <w:i/>
          <w:iCs/>
          <w:sz w:val="24"/>
          <w:szCs w:val="24"/>
        </w:rPr>
        <w:t>et al</w:t>
      </w:r>
      <w:r>
        <w:rPr>
          <w:rFonts w:asciiTheme="majorBidi" w:hAnsiTheme="majorBidi" w:cstheme="majorBidi"/>
          <w:sz w:val="24"/>
          <w:szCs w:val="24"/>
        </w:rPr>
        <w:t xml:space="preserve">., 2015). Eugenol is an allyl chain-substituted guaiacol, i.e. 2-methoxy-4-(2-propenyl) 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 (Vahedikia </w:t>
      </w:r>
      <w:r>
        <w:rPr>
          <w:rFonts w:asciiTheme="majorBidi" w:hAnsiTheme="majorBidi" w:cstheme="majorBidi"/>
          <w:i/>
          <w:iCs/>
          <w:sz w:val="24"/>
          <w:szCs w:val="24"/>
        </w:rPr>
        <w:t>et al</w:t>
      </w:r>
      <w:r>
        <w:rPr>
          <w:rFonts w:asciiTheme="majorBidi" w:hAnsiTheme="majorBidi" w:cstheme="majorBidi"/>
          <w:sz w:val="24"/>
          <w:szCs w:val="24"/>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Pr>
          <w:rFonts w:asciiTheme="majorBidi" w:hAnsiTheme="majorBidi" w:cstheme="majorBidi"/>
          <w:sz w:val="24"/>
          <w:szCs w:val="24"/>
        </w:rPr>
        <w:t>(Assadpour and Mahdi, 2019).</w:t>
      </w:r>
    </w:p>
    <w:bookmarkEnd w:id="38"/>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Pr>
          <w:rFonts w:asciiTheme="majorBidi" w:hAnsiTheme="majorBidi" w:cstheme="majorBidi"/>
          <w:i/>
          <w:iCs/>
          <w:sz w:val="24"/>
          <w:szCs w:val="24"/>
        </w:rPr>
        <w:t>et al</w:t>
      </w:r>
      <w:r>
        <w:rPr>
          <w:rFonts w:asciiTheme="majorBidi" w:hAnsiTheme="majorBidi" w:cstheme="majorBidi"/>
          <w:sz w:val="24"/>
          <w:szCs w:val="24"/>
        </w:rPr>
        <w:t xml:space="preserve">., 2017).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(Zhelyazkov </w:t>
      </w:r>
      <w:r>
        <w:rPr>
          <w:rFonts w:asciiTheme="majorBidi" w:hAnsiTheme="majorBidi" w:cstheme="majorBidi"/>
          <w:i/>
          <w:iCs/>
          <w:sz w:val="24"/>
          <w:szCs w:val="24"/>
        </w:rPr>
        <w:t>et al</w:t>
      </w:r>
      <w:r>
        <w:rPr>
          <w:rFonts w:asciiTheme="majorBidi" w:hAnsiTheme="majorBidi" w:cstheme="majorBidi"/>
          <w:sz w:val="24"/>
          <w:szCs w:val="24"/>
        </w:rPr>
        <w:t>., 2022).</w:t>
      </w:r>
    </w:p>
    <w:p>
      <w:pPr>
        <w:pStyle w:val="4"/>
        <w:rPr>
          <w:sz w:val="24"/>
          <w:szCs w:val="24"/>
        </w:rPr>
      </w:pPr>
      <w:bookmarkStart w:id="39" w:name="_Toc202853917"/>
      <w:r>
        <w:rPr>
          <w:sz w:val="24"/>
          <w:szCs w:val="24"/>
        </w:rPr>
        <w:t>2.4.2 Acetyl Eugenol</w:t>
      </w:r>
      <w:bookmarkEnd w:id="39"/>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Acetyl eugenol is a phenylpropanoid compound found in cloves. It is the second in abundance to the related compound eugenol in certain extract preparations.</w:t>
      </w:r>
      <w:r>
        <w:t xml:space="preserve"> </w:t>
      </w:r>
      <w:r>
        <w:rPr>
          <w:rFonts w:asciiTheme="majorBidi" w:hAnsiTheme="majorBidi" w:cstheme="majorBidi"/>
          <w:sz w:val="24"/>
          <w:szCs w:val="24"/>
        </w:rPr>
        <w:t xml:space="preserve">Eugenol acetate (Eugenyl acetate), a major phytochemical constituent of the essential oil exhibits antibacterial, antioxidant, and anti-virulence activities (Haro-González </w:t>
      </w:r>
      <w:r>
        <w:rPr>
          <w:rFonts w:asciiTheme="majorBidi" w:hAnsiTheme="majorBidi" w:cstheme="majorBidi"/>
          <w:i/>
          <w:iCs/>
          <w:sz w:val="24"/>
          <w:szCs w:val="24"/>
        </w:rPr>
        <w:t>et al</w:t>
      </w:r>
      <w:r>
        <w:rPr>
          <w:rFonts w:asciiTheme="majorBidi" w:hAnsiTheme="majorBidi" w:cstheme="majorBidi"/>
          <w:sz w:val="24"/>
          <w:szCs w:val="24"/>
        </w:rPr>
        <w:t xml:space="preserve">., 2021). Eugenol acetate (Eugenyl acetate), a phytochemical in clove essential oil, against clinical isolates of Candida albicans, Candida parapsilosis, Candida tropicalis, and Candida glabrata. It inhibits aggregation and alters arachidonic acid metabolism in human blood platelets (Cortés-Rojas </w:t>
      </w:r>
      <w:r>
        <w:rPr>
          <w:rFonts w:asciiTheme="majorBidi" w:hAnsiTheme="majorBidi" w:cstheme="majorBidi"/>
          <w:i/>
          <w:iCs/>
          <w:sz w:val="24"/>
          <w:szCs w:val="24"/>
        </w:rPr>
        <w:t>et al</w:t>
      </w:r>
      <w:r>
        <w:rPr>
          <w:rFonts w:asciiTheme="majorBidi" w:hAnsiTheme="majorBidi" w:cstheme="majorBidi"/>
          <w:sz w:val="24"/>
          <w:szCs w:val="24"/>
        </w:rPr>
        <w:t>., 2014). In high doses, however, eugenol appears to be a direct cytotoxin and several instances of severe acute liver and kidney injury have been reported after accidental overdose of eugenol containing herbal products, largely in children (Assadpour and Mahdi, 2019).</w:t>
      </w:r>
    </w:p>
    <w:p>
      <w:pPr>
        <w:pStyle w:val="4"/>
        <w:rPr>
          <w:sz w:val="24"/>
          <w:szCs w:val="24"/>
        </w:rPr>
      </w:pPr>
      <w:bookmarkStart w:id="40" w:name="_Toc202853918"/>
      <w:r>
        <w:rPr>
          <w:sz w:val="24"/>
          <w:szCs w:val="24"/>
        </w:rPr>
        <w:t>2.4.3 β-Caryophyllene</w:t>
      </w:r>
      <w:bookmarkEnd w:id="40"/>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Pr>
          <w:rFonts w:asciiTheme="majorBidi" w:hAnsiTheme="majorBidi" w:cstheme="majorBidi"/>
          <w:i/>
          <w:iCs/>
          <w:sz w:val="24"/>
          <w:szCs w:val="24"/>
        </w:rPr>
        <w:t>Syzygium aromaticum</w:t>
      </w:r>
      <w:r>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 (Nuñez and D'Aquino, 2012).</w:t>
      </w:r>
    </w:p>
    <w:p>
      <w:pPr>
        <w:pStyle w:val="4"/>
        <w:rPr>
          <w:sz w:val="24"/>
          <w:szCs w:val="24"/>
        </w:rPr>
      </w:pPr>
      <w:bookmarkStart w:id="41" w:name="_Toc202853919"/>
      <w:r>
        <w:rPr>
          <w:sz w:val="24"/>
          <w:szCs w:val="24"/>
        </w:rPr>
        <w:t>2.4.4 α-Humulene</w:t>
      </w:r>
      <w:bookmarkEnd w:id="41"/>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 (Matan </w:t>
      </w:r>
      <w:r>
        <w:rPr>
          <w:rFonts w:asciiTheme="majorBidi" w:hAnsiTheme="majorBidi" w:cstheme="majorBidi"/>
          <w:i/>
          <w:iCs/>
          <w:sz w:val="24"/>
          <w:szCs w:val="24"/>
        </w:rPr>
        <w:t>et al</w:t>
      </w:r>
      <w:r>
        <w:rPr>
          <w:rFonts w:asciiTheme="majorBidi" w:hAnsiTheme="majorBidi" w:cstheme="majorBidi"/>
          <w:sz w:val="24"/>
          <w:szCs w:val="24"/>
        </w:rPr>
        <w:t xml:space="preserve">., 2016). </w:t>
      </w:r>
    </w:p>
    <w:p>
      <w:pPr>
        <w:pStyle w:val="4"/>
        <w:rPr>
          <w:sz w:val="24"/>
          <w:szCs w:val="24"/>
        </w:rPr>
      </w:pPr>
      <w:bookmarkStart w:id="42" w:name="_Toc202853920"/>
      <w:r>
        <w:rPr>
          <w:sz w:val="24"/>
          <w:szCs w:val="24"/>
        </w:rPr>
        <w:t>2.4.5 α-Caryophyllene Oxide</w:t>
      </w:r>
      <w:bookmarkEnd w:id="42"/>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Caryophyllene oxide is a sesquiterpene that results from the oxidation of β-caryophyllene, which can occur during the harvest's cure. It is also considered non-toxic, non-sensitizing, and has been indicated as an anticoagulant with platelets (Bajpai </w:t>
      </w:r>
      <w:r>
        <w:rPr>
          <w:rFonts w:asciiTheme="majorBidi" w:hAnsiTheme="majorBidi" w:cstheme="majorBidi"/>
          <w:i/>
          <w:iCs/>
          <w:sz w:val="24"/>
          <w:szCs w:val="24"/>
        </w:rPr>
        <w:t>et al.,</w:t>
      </w:r>
      <w:r>
        <w:rPr>
          <w:rFonts w:asciiTheme="majorBidi" w:hAnsiTheme="majorBidi" w:cstheme="majorBidi"/>
          <w:sz w:val="24"/>
          <w:szCs w:val="24"/>
        </w:rPr>
        <w:t xml:space="preserve"> 2012).</w:t>
      </w:r>
    </w:p>
    <w:p>
      <w:pPr>
        <w:pStyle w:val="4"/>
        <w:rPr>
          <w:sz w:val="24"/>
          <w:szCs w:val="24"/>
        </w:rPr>
      </w:pPr>
      <w:bookmarkStart w:id="43" w:name="_Toc202853921"/>
      <w:r>
        <w:rPr>
          <w:sz w:val="24"/>
          <w:szCs w:val="24"/>
        </w:rPr>
        <w:t>2.4.6 α-Murolene and γ-Murolene</w:t>
      </w:r>
      <w:bookmarkEnd w:id="43"/>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 (Li </w:t>
      </w:r>
      <w:r>
        <w:rPr>
          <w:rFonts w:asciiTheme="majorBidi" w:hAnsiTheme="majorBidi" w:cstheme="majorBidi"/>
          <w:i/>
          <w:iCs/>
          <w:sz w:val="24"/>
          <w:szCs w:val="24"/>
        </w:rPr>
        <w:t>et al</w:t>
      </w:r>
      <w:r>
        <w:rPr>
          <w:rFonts w:asciiTheme="majorBidi" w:hAnsiTheme="majorBidi" w:cstheme="majorBidi"/>
          <w:sz w:val="24"/>
          <w:szCs w:val="24"/>
        </w:rPr>
        <w:t>., 2012).</w:t>
      </w:r>
    </w:p>
    <w:p>
      <w:pPr>
        <w:pStyle w:val="4"/>
        <w:rPr>
          <w:sz w:val="24"/>
          <w:szCs w:val="24"/>
        </w:rPr>
      </w:pPr>
      <w:bookmarkStart w:id="44" w:name="_Toc202853922"/>
      <w:r>
        <w:rPr>
          <w:sz w:val="24"/>
          <w:szCs w:val="24"/>
        </w:rPr>
        <w:t>2.4.7 α-Selinene and β-Selinene</w:t>
      </w:r>
      <w:bookmarkEnd w:id="44"/>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(Delgado-Adámez </w:t>
      </w:r>
      <w:r>
        <w:rPr>
          <w:rFonts w:asciiTheme="majorBidi" w:hAnsiTheme="majorBidi" w:cstheme="majorBidi"/>
          <w:i/>
          <w:iCs/>
          <w:sz w:val="24"/>
          <w:szCs w:val="24"/>
        </w:rPr>
        <w:t>et al</w:t>
      </w:r>
      <w:r>
        <w:rPr>
          <w:rFonts w:asciiTheme="majorBidi" w:hAnsiTheme="majorBidi" w:cstheme="majorBidi"/>
          <w:sz w:val="24"/>
          <w:szCs w:val="24"/>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Pr>
          <w:rFonts w:asciiTheme="majorBidi" w:hAnsiTheme="majorBidi" w:cstheme="majorBidi"/>
          <w:i/>
          <w:iCs/>
          <w:sz w:val="24"/>
          <w:szCs w:val="24"/>
        </w:rPr>
        <w:t>et al</w:t>
      </w:r>
      <w:r>
        <w:rPr>
          <w:rFonts w:asciiTheme="majorBidi" w:hAnsiTheme="majorBidi" w:cstheme="majorBidi"/>
          <w:sz w:val="24"/>
          <w:szCs w:val="24"/>
        </w:rPr>
        <w:t xml:space="preserve">., 2012). Alpha-selinene is an isomer of selinene where the double bond in the octahydronaphthalene ring system is endocyclic (2R,4aR,8aR)-configuration. It has a role as a plant metabolite. It is a selinene and a member of octahydronaphthalenes (Matan </w:t>
      </w:r>
      <w:r>
        <w:rPr>
          <w:rFonts w:asciiTheme="majorBidi" w:hAnsiTheme="majorBidi" w:cstheme="majorBidi"/>
          <w:i/>
          <w:iCs/>
          <w:sz w:val="24"/>
          <w:szCs w:val="24"/>
        </w:rPr>
        <w:t>et al</w:t>
      </w:r>
      <w:r>
        <w:rPr>
          <w:rFonts w:asciiTheme="majorBidi" w:hAnsiTheme="majorBidi" w:cstheme="majorBidi"/>
          <w:sz w:val="24"/>
          <w:szCs w:val="24"/>
        </w:rPr>
        <w:t>., 2016).</w:t>
      </w:r>
    </w:p>
    <w:p>
      <w:pPr>
        <w:pStyle w:val="4"/>
        <w:rPr>
          <w:sz w:val="24"/>
          <w:szCs w:val="24"/>
        </w:rPr>
      </w:pPr>
      <w:bookmarkStart w:id="45" w:name="_Toc202853923"/>
      <w:r>
        <w:rPr>
          <w:sz w:val="24"/>
          <w:szCs w:val="24"/>
        </w:rPr>
        <w:t>2.4.8 δ-cadinene</w:t>
      </w:r>
      <w:bookmarkEnd w:id="45"/>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 anticancer effects against human ovary cancer cells through the mediation of apoptosis, nuclear membrane rupture, cell cycle arrest and caspase activation (Li </w:t>
      </w:r>
      <w:r>
        <w:rPr>
          <w:rFonts w:asciiTheme="majorBidi" w:hAnsiTheme="majorBidi" w:cstheme="majorBidi"/>
          <w:i/>
          <w:iCs/>
          <w:sz w:val="24"/>
          <w:szCs w:val="24"/>
        </w:rPr>
        <w:t>et al</w:t>
      </w:r>
      <w:r>
        <w:rPr>
          <w:rFonts w:asciiTheme="majorBidi" w:hAnsiTheme="majorBidi" w:cstheme="majorBidi"/>
          <w:sz w:val="24"/>
          <w:szCs w:val="24"/>
        </w:rPr>
        <w:t>., 2012).</w:t>
      </w:r>
    </w:p>
    <w:p>
      <w:pPr>
        <w:pStyle w:val="3"/>
        <w:tabs>
          <w:tab w:val="center" w:pos="4513"/>
        </w:tabs>
        <w:rPr>
          <w:rFonts w:asciiTheme="majorBidi" w:hAnsiTheme="majorBidi"/>
          <w:sz w:val="24"/>
          <w:szCs w:val="24"/>
        </w:rPr>
      </w:pPr>
      <w:bookmarkStart w:id="46" w:name="_Toc202853924"/>
      <w:r>
        <w:rPr>
          <w:rFonts w:asciiTheme="majorBidi" w:hAnsiTheme="majorBidi"/>
          <w:sz w:val="24"/>
          <w:szCs w:val="24"/>
        </w:rPr>
        <w:t>2.5 Biological Activities of Clove</w:t>
      </w:r>
      <w:bookmarkEnd w:id="46"/>
    </w:p>
    <w:p>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pPr>
        <w:pStyle w:val="4"/>
        <w:rPr>
          <w:sz w:val="24"/>
          <w:szCs w:val="24"/>
        </w:rPr>
      </w:pPr>
      <w:bookmarkStart w:id="47" w:name="_Toc202853925"/>
      <w:r>
        <w:rPr>
          <w:sz w:val="24"/>
          <w:szCs w:val="24"/>
        </w:rPr>
        <w:t>2.5.1 Anti-Diabetic Activity</w:t>
      </w:r>
      <w:bookmarkEnd w:id="47"/>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Clove extract acts like insulin in hepatocytes and hepatoma cells by reducing phosphoenolpyruvate carboxykinase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Pr>
          <w:rFonts w:asciiTheme="majorBidi" w:hAnsiTheme="majorBidi" w:cstheme="majorBidi"/>
          <w:i/>
          <w:iCs/>
          <w:sz w:val="24"/>
          <w:szCs w:val="24"/>
        </w:rPr>
        <w:t>et al.,</w:t>
      </w:r>
      <w:r>
        <w:rPr>
          <w:rFonts w:asciiTheme="majorBidi" w:hAnsiTheme="majorBidi" w:cstheme="majorBidi"/>
          <w:sz w:val="24"/>
          <w:szCs w:val="24"/>
        </w:rPr>
        <w:t xml:space="preserve"> 2021)</w:t>
      </w:r>
    </w:p>
    <w:p>
      <w:pPr>
        <w:pStyle w:val="4"/>
        <w:rPr>
          <w:sz w:val="24"/>
          <w:szCs w:val="24"/>
        </w:rPr>
      </w:pPr>
      <w:bookmarkStart w:id="48" w:name="_Toc202853926"/>
      <w:r>
        <w:rPr>
          <w:sz w:val="24"/>
          <w:szCs w:val="24"/>
        </w:rPr>
        <w:t>2.5.2 Antioxidant Activity</w:t>
      </w:r>
      <w:bookmarkEnd w:id="48"/>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Theme="majorBidi" w:hAnsiTheme="majorBidi" w:cstheme="majorBidi"/>
          <w:i/>
          <w:sz w:val="24"/>
          <w:szCs w:val="24"/>
        </w:rPr>
        <w:t>et al</w:t>
      </w:r>
      <w:r>
        <w:rPr>
          <w:rFonts w:asciiTheme="majorBidi" w:hAnsiTheme="majorBidi" w:cstheme="majorBidi"/>
          <w:sz w:val="24"/>
          <w:szCs w:val="24"/>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Pr>
          <w:rFonts w:asciiTheme="majorBidi" w:hAnsiTheme="majorBidi" w:cstheme="majorBidi"/>
          <w:i/>
          <w:sz w:val="24"/>
          <w:szCs w:val="24"/>
        </w:rPr>
        <w:t>et al</w:t>
      </w:r>
      <w:r>
        <w:rPr>
          <w:rFonts w:asciiTheme="majorBidi" w:hAnsiTheme="majorBidi" w:cstheme="majorBidi"/>
          <w:sz w:val="24"/>
          <w:szCs w:val="24"/>
        </w:rPr>
        <w:t>. (2015),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hint="eastAsia" w:ascii="MS Gothic" w:hAnsi="MS Gothic" w:eastAsia="MS Gothic" w:cs="MS Gothic"/>
          <w:sz w:val="24"/>
          <w:szCs w:val="24"/>
        </w:rPr>
        <w:t>±</w:t>
      </w:r>
      <w:r>
        <w:rPr>
          <w:rFonts w:asciiTheme="majorBidi" w:hAnsiTheme="majorBidi" w:cstheme="majorBidi"/>
          <w:sz w:val="24"/>
          <w:szCs w:val="24"/>
        </w:rPr>
        <w:t>0.024) tetraethylammonium chloride (mmol of Trolox/100g dried weight) and (14.380</w:t>
      </w:r>
      <w:r>
        <w:rPr>
          <w:rFonts w:hint="eastAsia" w:ascii="MS Gothic" w:hAnsi="MS Gothic" w:eastAsia="MS Gothic" w:cs="MS Gothic"/>
          <w:sz w:val="24"/>
          <w:szCs w:val="24"/>
        </w:rPr>
        <w:t>±</w:t>
      </w:r>
      <w:r>
        <w:rPr>
          <w:rFonts w:asciiTheme="majorBidi" w:hAnsiTheme="majorBidi" w:cstheme="majorBidi"/>
          <w:sz w:val="24"/>
          <w:szCs w:val="24"/>
        </w:rPr>
        <w:t xml:space="preserve">0.006) g of gallic acid (equivalents/100g of dried weight) respectively. The major types of phenolic compounds found were phenolic acids (gallic acid), flavonol glucosides, phenolic volatile oils (eugenol, acetyl eugenol) and tannins. It was highlighted the huge potential of clove as radical 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(Bamdad </w:t>
      </w:r>
      <w:r>
        <w:rPr>
          <w:rFonts w:asciiTheme="majorBidi" w:hAnsiTheme="majorBidi" w:cstheme="majorBidi"/>
          <w:i/>
          <w:iCs/>
          <w:sz w:val="24"/>
          <w:szCs w:val="24"/>
        </w:rPr>
        <w:t>et al.,</w:t>
      </w:r>
      <w:r>
        <w:rPr>
          <w:rFonts w:asciiTheme="majorBidi" w:hAnsiTheme="majorBidi" w:cstheme="majorBidi"/>
          <w:sz w:val="24"/>
          <w:szCs w:val="24"/>
        </w:rPr>
        <w:t xml:space="preserve"> 2016). According to Gülçin </w:t>
      </w:r>
      <w:r>
        <w:rPr>
          <w:rFonts w:asciiTheme="majorBidi" w:hAnsiTheme="majorBidi" w:cstheme="majorBidi"/>
          <w:i/>
          <w:sz w:val="24"/>
          <w:szCs w:val="24"/>
        </w:rPr>
        <w:t>et al</w:t>
      </w:r>
      <w:r>
        <w:rPr>
          <w:rFonts w:asciiTheme="majorBidi" w:hAnsiTheme="majorBidi" w:cstheme="majorBidi"/>
          <w:sz w:val="24"/>
          <w:szCs w:val="24"/>
        </w:rPr>
        <w:t xml:space="preserve">. (2012), the antioxidant activity of clove oil compared with synthetic antioxidants measured as the scavenging of the DPPH radical decreased in the following order: clove oil&gt;BHT&gt;alfatocopherol&gt;butylated hydroxyanisole&gt;Trolox. The antioxidant activity of aqueous extracts of clove has been tested by different in vitro methods as 2,2-diphenyl-1-picrylhydrazyl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 among the other 30 plants analyzed (Dudonné </w:t>
      </w:r>
      <w:r>
        <w:rPr>
          <w:rFonts w:asciiTheme="majorBidi" w:hAnsiTheme="majorBidi" w:cstheme="majorBidi"/>
          <w:i/>
          <w:iCs/>
          <w:sz w:val="24"/>
          <w:szCs w:val="24"/>
        </w:rPr>
        <w:t>et al.,</w:t>
      </w:r>
      <w:r>
        <w:rPr>
          <w:rFonts w:asciiTheme="majorBidi" w:hAnsiTheme="majorBidi" w:cstheme="majorBidi"/>
          <w:sz w:val="24"/>
          <w:szCs w:val="24"/>
        </w:rPr>
        <w:t xml:space="preserve"> 2019).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 (Gülçin </w:t>
      </w:r>
      <w:r>
        <w:rPr>
          <w:rFonts w:asciiTheme="majorBidi" w:hAnsiTheme="majorBidi" w:cstheme="majorBidi"/>
          <w:i/>
          <w:iCs/>
          <w:sz w:val="24"/>
          <w:szCs w:val="24"/>
        </w:rPr>
        <w:t>et al</w:t>
      </w:r>
      <w:r>
        <w:rPr>
          <w:rFonts w:asciiTheme="majorBidi" w:hAnsiTheme="majorBidi" w:cstheme="majorBidi"/>
          <w:sz w:val="24"/>
          <w:szCs w:val="24"/>
        </w:rPr>
        <w:t>., 2012).</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Gülcin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reducing assay. It was remarked that plant polyphenols are multifunctional in the sense that they can act as reducing agents, hydrogen atom donators, and singlet oxygen scavengers. Eugenol allows the donation of an 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 with two phenolic hidroxyl groups originated from eugenyl intermediate radicals has also been proposed as mechanism between eugenol and DPPH radicals.  In the same way, </w:t>
      </w:r>
      <w:r>
        <w:rPr>
          <w:rFonts w:asciiTheme="majorBidi" w:hAnsiTheme="majorBidi" w:cstheme="majorBidi"/>
          <w:i/>
          <w:iCs/>
          <w:sz w:val="24"/>
          <w:szCs w:val="24"/>
        </w:rPr>
        <w:t>S. aromaticum</w:t>
      </w:r>
      <w:r>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 (Abdel-Wahhab and Aly, 2015).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 (Mehta </w:t>
      </w:r>
      <w:r>
        <w:rPr>
          <w:rFonts w:asciiTheme="majorBidi" w:hAnsiTheme="majorBidi" w:cstheme="majorBidi"/>
          <w:i/>
          <w:iCs/>
          <w:sz w:val="24"/>
          <w:szCs w:val="24"/>
        </w:rPr>
        <w:t>et al</w:t>
      </w:r>
      <w:r>
        <w:rPr>
          <w:rFonts w:asciiTheme="majorBidi" w:hAnsiTheme="majorBidi" w:cstheme="majorBidi"/>
          <w:sz w:val="24"/>
          <w:szCs w:val="24"/>
        </w:rPr>
        <w:t xml:space="preserve">., 2010). 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 (Halder </w:t>
      </w:r>
      <w:r>
        <w:rPr>
          <w:rFonts w:asciiTheme="majorBidi" w:hAnsiTheme="majorBidi" w:cstheme="majorBidi"/>
          <w:i/>
          <w:iCs/>
          <w:sz w:val="24"/>
          <w:szCs w:val="24"/>
        </w:rPr>
        <w:t>et al.,</w:t>
      </w:r>
      <w:r>
        <w:rPr>
          <w:rFonts w:asciiTheme="majorBidi" w:hAnsiTheme="majorBidi" w:cstheme="majorBidi"/>
          <w:sz w:val="24"/>
          <w:szCs w:val="24"/>
        </w:rPr>
        <w:t xml:space="preserve"> 2014). </w:t>
      </w:r>
    </w:p>
    <w:p>
      <w:pPr>
        <w:pStyle w:val="4"/>
        <w:rPr>
          <w:sz w:val="24"/>
          <w:szCs w:val="24"/>
        </w:rPr>
      </w:pPr>
      <w:bookmarkStart w:id="49" w:name="_Toc202853927"/>
      <w:r>
        <w:rPr>
          <w:sz w:val="24"/>
          <w:szCs w:val="24"/>
        </w:rPr>
        <w:t>2.5.3 Antimicrobial Activity</w:t>
      </w:r>
      <w:bookmarkEnd w:id="49"/>
    </w:p>
    <w:p>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 xml:space="preserve">The antimicrobial activities of clove have been proved against several bacteria and fungal strains. Sofia </w:t>
      </w:r>
      <w:r>
        <w:rPr>
          <w:rFonts w:asciiTheme="majorBidi" w:hAnsiTheme="majorBidi" w:cstheme="majorBidi"/>
          <w:i/>
          <w:sz w:val="24"/>
          <w:szCs w:val="24"/>
        </w:rPr>
        <w:t>et al</w:t>
      </w:r>
      <w:r>
        <w:rPr>
          <w:rFonts w:asciiTheme="majorBidi" w:hAnsiTheme="majorBidi" w:cstheme="majorBidi"/>
          <w:sz w:val="24"/>
          <w:szCs w:val="24"/>
        </w:rPr>
        <w:t>. (2017) tested the antimicrobial activity of different Indian spice plants as mint, cinnamon, mustard, ginger, garlic and clove. The only sampled that showed complete bactericidal effect against all the food-borne pathogens tested Escherichia coli (</w:t>
      </w:r>
      <w:r>
        <w:rPr>
          <w:rFonts w:asciiTheme="majorBidi" w:hAnsiTheme="majorBidi" w:cstheme="majorBidi"/>
          <w:i/>
          <w:iCs/>
          <w:sz w:val="24"/>
          <w:szCs w:val="24"/>
        </w:rPr>
        <w:t>E. coli), Staphylococcus aureus and Bacillus cereus</w:t>
      </w:r>
      <w:r>
        <w:rPr>
          <w:rFonts w:asciiTheme="majorBidi" w:hAnsiTheme="majorBidi" w:cstheme="majorBidi"/>
          <w:sz w:val="24"/>
          <w:szCs w:val="24"/>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Pr>
          <w:rFonts w:asciiTheme="majorBidi" w:hAnsiTheme="majorBidi" w:cstheme="majorBidi"/>
          <w:i/>
          <w:iCs/>
          <w:sz w:val="24"/>
          <w:szCs w:val="24"/>
        </w:rPr>
        <w:t>E. coli</w:t>
      </w:r>
      <w:r>
        <w:rPr>
          <w:rFonts w:asciiTheme="majorBidi" w:hAnsiTheme="majorBidi" w:cstheme="majorBidi"/>
          <w:sz w:val="24"/>
          <w:szCs w:val="24"/>
        </w:rPr>
        <w:t xml:space="preserve"> O157:H7showing the different grades of inhibition of these essential oils (Burt and Reinders, 2013). Likewise, formulations containing eugenol and carvacrol encapsulated in a non-ionic surfactant were tested against four strains of two important foodborne pathogens, </w:t>
      </w:r>
      <w:r>
        <w:rPr>
          <w:rFonts w:asciiTheme="majorBidi" w:hAnsiTheme="majorBidi" w:cstheme="majorBidi"/>
          <w:i/>
          <w:iCs/>
          <w:sz w:val="24"/>
          <w:szCs w:val="24"/>
        </w:rPr>
        <w:t>E. coli</w:t>
      </w:r>
      <w:r>
        <w:rPr>
          <w:rFonts w:asciiTheme="majorBidi" w:hAnsiTheme="majorBidi" w:cstheme="majorBidi"/>
          <w:sz w:val="24"/>
          <w:szCs w:val="24"/>
        </w:rPr>
        <w:t xml:space="preserve"> O157:H7 and </w:t>
      </w:r>
      <w:r>
        <w:rPr>
          <w:rFonts w:asciiTheme="majorBidi" w:hAnsiTheme="majorBidi" w:cstheme="majorBidi"/>
          <w:i/>
          <w:iCs/>
          <w:sz w:val="24"/>
          <w:szCs w:val="24"/>
        </w:rPr>
        <w:t>Listeria monocitogenes</w:t>
      </w:r>
      <w:r>
        <w:rPr>
          <w:rFonts w:asciiTheme="majorBidi" w:hAnsiTheme="majorBidi" w:cstheme="majorBidi"/>
          <w:sz w:val="24"/>
          <w:szCs w:val="24"/>
        </w:rPr>
        <w:t xml:space="preserve">, results reinforces the employment of eugenol to inhibit the growth of these microorganisms in surfaces in contact with food (Pérez-Conesa </w:t>
      </w:r>
      <w:r>
        <w:rPr>
          <w:rFonts w:asciiTheme="majorBidi" w:hAnsiTheme="majorBidi" w:cstheme="majorBidi"/>
          <w:i/>
          <w:iCs/>
          <w:sz w:val="24"/>
          <w:szCs w:val="24"/>
        </w:rPr>
        <w:t>et al</w:t>
      </w:r>
      <w:r>
        <w:rPr>
          <w:rFonts w:asciiTheme="majorBidi" w:hAnsiTheme="majorBidi" w:cstheme="majorBidi"/>
          <w:sz w:val="24"/>
          <w:szCs w:val="24"/>
        </w:rPr>
        <w:t xml:space="preserve">., 2016). Rana </w:t>
      </w:r>
      <w:r>
        <w:rPr>
          <w:rFonts w:asciiTheme="majorBidi" w:hAnsiTheme="majorBidi" w:cstheme="majorBidi"/>
          <w:i/>
          <w:sz w:val="24"/>
          <w:szCs w:val="24"/>
        </w:rPr>
        <w:t>et al</w:t>
      </w:r>
      <w:r>
        <w:rPr>
          <w:rFonts w:asciiTheme="majorBidi" w:hAnsiTheme="majorBidi" w:cstheme="majorBidi"/>
          <w:sz w:val="24"/>
          <w:szCs w:val="24"/>
        </w:rPr>
        <w:t xml:space="preserve">. (2011) determined the 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Theme="majorBidi" w:hAnsiTheme="majorBidi" w:cstheme="majorBidi"/>
          <w:i/>
          <w:sz w:val="24"/>
          <w:szCs w:val="24"/>
        </w:rPr>
        <w:t>et al</w:t>
      </w:r>
      <w:r>
        <w:rPr>
          <w:rFonts w:asciiTheme="majorBidi" w:hAnsiTheme="majorBidi" w:cstheme="majorBidi"/>
          <w:sz w:val="24"/>
          <w:szCs w:val="24"/>
        </w:rPr>
        <w:t xml:space="preserve">. (2010). The activities of clove oil against different dermatophytes as </w:t>
      </w:r>
      <w:r>
        <w:rPr>
          <w:rFonts w:asciiTheme="majorBidi" w:hAnsiTheme="majorBidi" w:cstheme="majorBidi"/>
          <w:i/>
          <w:iCs/>
          <w:sz w:val="24"/>
          <w:szCs w:val="24"/>
        </w:rPr>
        <w:t>Microsporum canis</w:t>
      </w:r>
      <w:r>
        <w:rPr>
          <w:rFonts w:asciiTheme="majorBidi" w:hAnsiTheme="majorBidi" w:cstheme="majorBidi"/>
          <w:sz w:val="24"/>
          <w:szCs w:val="24"/>
        </w:rPr>
        <w:t xml:space="preserve"> (KCTC 6591), </w:t>
      </w:r>
      <w:r>
        <w:rPr>
          <w:rFonts w:asciiTheme="majorBidi" w:hAnsiTheme="majorBidi" w:cstheme="majorBidi"/>
          <w:i/>
          <w:iCs/>
          <w:sz w:val="24"/>
          <w:szCs w:val="24"/>
        </w:rPr>
        <w:t>Trichophyton mentagrophytes</w:t>
      </w:r>
      <w:r>
        <w:rPr>
          <w:rFonts w:asciiTheme="majorBidi" w:hAnsiTheme="majorBidi" w:cstheme="majorBidi"/>
          <w:sz w:val="24"/>
          <w:szCs w:val="24"/>
        </w:rPr>
        <w:t xml:space="preserve"> (KCTC 6077), </w:t>
      </w:r>
      <w:r>
        <w:rPr>
          <w:rFonts w:asciiTheme="majorBidi" w:hAnsiTheme="majorBidi" w:cstheme="majorBidi"/>
          <w:i/>
          <w:iCs/>
          <w:sz w:val="24"/>
          <w:szCs w:val="24"/>
        </w:rPr>
        <w:t>Trichophyton rubrum</w:t>
      </w:r>
      <w:r>
        <w:rPr>
          <w:rFonts w:asciiTheme="majorBidi" w:hAnsiTheme="majorBidi" w:cstheme="majorBidi"/>
          <w:sz w:val="24"/>
          <w:szCs w:val="24"/>
        </w:rPr>
        <w:t xml:space="preserve"> (KCCM 60443), </w:t>
      </w:r>
      <w:r>
        <w:rPr>
          <w:rFonts w:asciiTheme="majorBidi" w:hAnsiTheme="majorBidi" w:cstheme="majorBidi"/>
          <w:i/>
          <w:iCs/>
          <w:sz w:val="24"/>
          <w:szCs w:val="24"/>
        </w:rPr>
        <w:t>Epidermophyton floccosum</w:t>
      </w:r>
      <w:r>
        <w:rPr>
          <w:rFonts w:asciiTheme="majorBidi" w:hAnsiTheme="majorBidi" w:cstheme="majorBidi"/>
          <w:sz w:val="24"/>
          <w:szCs w:val="24"/>
        </w:rPr>
        <w:t xml:space="preserve"> (KCCM 11667) and </w:t>
      </w:r>
      <w:r>
        <w:rPr>
          <w:rFonts w:asciiTheme="majorBidi" w:hAnsiTheme="majorBidi" w:cstheme="majorBidi"/>
          <w:i/>
          <w:iCs/>
          <w:sz w:val="24"/>
          <w:szCs w:val="24"/>
        </w:rPr>
        <w:t>Microsporum gypseum</w:t>
      </w:r>
      <w:r>
        <w:rPr>
          <w:rFonts w:asciiTheme="majorBidi" w:hAnsiTheme="majorBidi" w:cstheme="majorBidi"/>
          <w:sz w:val="24"/>
          <w:szCs w:val="24"/>
        </w:rPr>
        <w:t xml:space="preserve"> were tested and results indicate a maximum activity at concentration of 0.2 mg/mL with an effectiveness of up to 60% (Park </w:t>
      </w:r>
      <w:r>
        <w:rPr>
          <w:rFonts w:asciiTheme="majorBidi" w:hAnsiTheme="majorBidi" w:cstheme="majorBidi"/>
          <w:i/>
          <w:iCs/>
          <w:sz w:val="24"/>
          <w:szCs w:val="24"/>
        </w:rPr>
        <w:t>et al</w:t>
      </w:r>
      <w:r>
        <w:rPr>
          <w:rFonts w:asciiTheme="majorBidi" w:hAnsiTheme="majorBidi" w:cstheme="majorBidi"/>
          <w:sz w:val="24"/>
          <w:szCs w:val="24"/>
        </w:rPr>
        <w:t>., 2017). Pure clove oil or mixes with rosemary (</w:t>
      </w:r>
      <w:r>
        <w:rPr>
          <w:rFonts w:asciiTheme="majorBidi" w:hAnsiTheme="majorBidi" w:cstheme="majorBidi"/>
          <w:i/>
          <w:iCs/>
          <w:sz w:val="24"/>
          <w:szCs w:val="24"/>
        </w:rPr>
        <w:t>Rosmarinus officinalis</w:t>
      </w:r>
      <w:r>
        <w:rPr>
          <w:rFonts w:asciiTheme="majorBidi" w:hAnsiTheme="majorBidi" w:cstheme="majorBidi"/>
          <w:sz w:val="24"/>
          <w:szCs w:val="24"/>
        </w:rPr>
        <w:t xml:space="preserve"> spp.) oil were tested against </w:t>
      </w:r>
      <w:r>
        <w:rPr>
          <w:rFonts w:asciiTheme="majorBidi" w:hAnsiTheme="majorBidi" w:cstheme="majorBidi"/>
          <w:i/>
          <w:iCs/>
          <w:sz w:val="24"/>
          <w:szCs w:val="24"/>
        </w:rPr>
        <w:t>Staphylococcus epidermidis, Staphylococcus aureus, Bacillus subtilis, E. coli, Proteus vulgaris, Pseudomonas aeruginosa</w:t>
      </w:r>
      <w:r>
        <w:rPr>
          <w:rFonts w:asciiTheme="majorBidi" w:hAnsiTheme="majorBidi" w:cstheme="majorBidi"/>
          <w:sz w:val="24"/>
          <w:szCs w:val="24"/>
        </w:rPr>
        <w:t xml:space="preserve"> and results showed minimum inhibitory concentrations between 0.062% and 0.500% (v/v) which is promising as anti-infecticious agents or as food preservative </w:t>
      </w:r>
      <w:bookmarkStart w:id="50" w:name="_Hlk185410869"/>
      <w:r>
        <w:rPr>
          <w:rFonts w:asciiTheme="majorBidi" w:hAnsiTheme="majorBidi" w:cstheme="majorBidi"/>
          <w:sz w:val="24"/>
          <w:szCs w:val="24"/>
        </w:rPr>
        <w:t xml:space="preserve">(Fu </w:t>
      </w:r>
      <w:r>
        <w:rPr>
          <w:rFonts w:asciiTheme="majorBidi" w:hAnsiTheme="majorBidi" w:cstheme="majorBidi"/>
          <w:i/>
          <w:iCs/>
          <w:sz w:val="24"/>
          <w:szCs w:val="24"/>
        </w:rPr>
        <w:t>et al</w:t>
      </w:r>
      <w:r>
        <w:rPr>
          <w:rFonts w:asciiTheme="majorBidi" w:hAnsiTheme="majorBidi" w:cstheme="majorBidi"/>
          <w:sz w:val="24"/>
          <w:szCs w:val="24"/>
        </w:rPr>
        <w:t xml:space="preserve">., 2017). </w:t>
      </w:r>
      <w:bookmarkEnd w:id="50"/>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Pr>
          <w:rFonts w:asciiTheme="majorBidi" w:hAnsiTheme="majorBidi" w:cstheme="majorBidi"/>
          <w:i/>
          <w:iCs/>
          <w:sz w:val="24"/>
          <w:szCs w:val="24"/>
        </w:rPr>
        <w:t>et al.,</w:t>
      </w:r>
      <w:r>
        <w:rPr>
          <w:rFonts w:asciiTheme="majorBidi" w:hAnsiTheme="majorBidi" w:cstheme="majorBidi"/>
          <w:sz w:val="24"/>
          <w:szCs w:val="24"/>
        </w:rPr>
        <w:t xml:space="preserve"> 2014). 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 resistance. The activity and stability of those compounds was checked at low pH values since </w:t>
      </w:r>
      <w:r>
        <w:rPr>
          <w:rFonts w:asciiTheme="majorBidi" w:hAnsiTheme="majorBidi" w:cstheme="majorBidi"/>
          <w:i/>
          <w:iCs/>
          <w:sz w:val="24"/>
          <w:szCs w:val="24"/>
        </w:rPr>
        <w:t>Helicobacter pylori</w:t>
      </w:r>
      <w:r>
        <w:rPr>
          <w:rFonts w:asciiTheme="majorBidi" w:hAnsiTheme="majorBidi" w:cstheme="majorBidi"/>
          <w:sz w:val="24"/>
          <w:szCs w:val="24"/>
        </w:rPr>
        <w:t xml:space="preserve"> resides in the stomach (Ali </w:t>
      </w:r>
      <w:r>
        <w:rPr>
          <w:rFonts w:asciiTheme="majorBidi" w:hAnsiTheme="majorBidi" w:cstheme="majorBidi"/>
          <w:i/>
          <w:iCs/>
          <w:sz w:val="24"/>
          <w:szCs w:val="24"/>
        </w:rPr>
        <w:t>et al</w:t>
      </w:r>
      <w:r>
        <w:rPr>
          <w:rFonts w:asciiTheme="majorBidi" w:hAnsiTheme="majorBidi" w:cstheme="majorBidi"/>
          <w:sz w:val="24"/>
          <w:szCs w:val="24"/>
        </w:rPr>
        <w:t>., 2015). Solid lipid nanoparticles containing eugenol were 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 (Garg and Singh, 2011).</w:t>
      </w:r>
    </w:p>
    <w:p>
      <w:pPr>
        <w:pStyle w:val="4"/>
        <w:rPr>
          <w:sz w:val="24"/>
          <w:szCs w:val="24"/>
        </w:rPr>
      </w:pPr>
      <w:bookmarkStart w:id="51" w:name="_Toc202853928"/>
      <w:r>
        <w:rPr>
          <w:sz w:val="24"/>
          <w:szCs w:val="24"/>
        </w:rPr>
        <w:t>2.5.4 Antinociceptive</w:t>
      </w:r>
      <w:bookmarkEnd w:id="51"/>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ganglionar cells tree (Matan </w:t>
      </w:r>
      <w:r>
        <w:rPr>
          <w:rFonts w:asciiTheme="majorBidi" w:hAnsiTheme="majorBidi" w:cstheme="majorBidi"/>
          <w:i/>
          <w:iCs/>
          <w:sz w:val="24"/>
          <w:szCs w:val="24"/>
        </w:rPr>
        <w:t>et al</w:t>
      </w:r>
      <w:r>
        <w:rPr>
          <w:rFonts w:asciiTheme="majorBidi" w:hAnsiTheme="majorBidi" w:cstheme="majorBidi"/>
          <w:sz w:val="24"/>
          <w:szCs w:val="24"/>
        </w:rPr>
        <w:t xml:space="preserve">., 2016). The voltage dependant effects of eugenol in sodium and calcium channels and in receptors expressed in the trigeminal ganglio also contributed to the analgesic effect of clove (Li </w:t>
      </w:r>
      <w:r>
        <w:rPr>
          <w:rFonts w:asciiTheme="majorBidi" w:hAnsiTheme="majorBidi" w:cstheme="majorBidi"/>
          <w:i/>
          <w:iCs/>
          <w:sz w:val="24"/>
          <w:szCs w:val="24"/>
        </w:rPr>
        <w:t>et al.,</w:t>
      </w:r>
      <w:r>
        <w:rPr>
          <w:rFonts w:asciiTheme="majorBidi" w:hAnsiTheme="majorBidi" w:cstheme="majorBidi"/>
          <w:sz w:val="24"/>
          <w:szCs w:val="24"/>
        </w:rPr>
        <w:t xml:space="preserve"> 2018). Other results show that the analgesic effect of clove is due to the action as capsaicin agonist (Ohkubo and Shibata, 2017). The peripheral antinociceptive activity of eugenol was reported by Daniel </w:t>
      </w:r>
      <w:r>
        <w:rPr>
          <w:rFonts w:asciiTheme="majorBidi" w:hAnsiTheme="majorBidi" w:cstheme="majorBidi"/>
          <w:i/>
          <w:sz w:val="24"/>
          <w:szCs w:val="24"/>
        </w:rPr>
        <w:t>et al</w:t>
      </w:r>
      <w:r>
        <w:rPr>
          <w:rFonts w:asciiTheme="majorBidi" w:hAnsiTheme="majorBidi" w:cstheme="majorBidi"/>
          <w:sz w:val="24"/>
          <w:szCs w:val="24"/>
        </w:rPr>
        <w:t>. (2009) showing significant activity at doses of 50, 75 and 100 mg/kg.</w:t>
      </w:r>
    </w:p>
    <w:p>
      <w:pPr>
        <w:pStyle w:val="4"/>
        <w:rPr>
          <w:sz w:val="24"/>
          <w:szCs w:val="24"/>
        </w:rPr>
      </w:pPr>
      <w:bookmarkStart w:id="52" w:name="_Toc202853929"/>
      <w:r>
        <w:rPr>
          <w:sz w:val="24"/>
          <w:szCs w:val="24"/>
        </w:rPr>
        <w:t>2.5.5 Antiviral Activity</w:t>
      </w:r>
      <w:bookmarkEnd w:id="52"/>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The antiviral activity of eugeniin, a compound isolated from </w:t>
      </w:r>
      <w:r>
        <w:rPr>
          <w:rFonts w:asciiTheme="majorBidi" w:hAnsiTheme="majorBidi" w:cstheme="majorBidi"/>
          <w:i/>
          <w:iCs/>
          <w:sz w:val="24"/>
          <w:szCs w:val="24"/>
        </w:rPr>
        <w:t>S. aromaticum</w:t>
      </w:r>
      <w:r>
        <w:rPr>
          <w:rFonts w:asciiTheme="majorBidi" w:hAnsiTheme="majorBidi" w:cstheme="majorBidi"/>
          <w:sz w:val="24"/>
          <w:szCs w:val="24"/>
        </w:rPr>
        <w:t xml:space="preserve"> and from </w:t>
      </w:r>
      <w:r>
        <w:rPr>
          <w:rFonts w:asciiTheme="majorBidi" w:hAnsiTheme="majorBidi" w:cstheme="majorBidi"/>
          <w:i/>
          <w:iCs/>
          <w:sz w:val="24"/>
          <w:szCs w:val="24"/>
        </w:rPr>
        <w:t>Geum japonicum</w:t>
      </w:r>
      <w:r>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 polymerase (Li </w:t>
      </w:r>
      <w:r>
        <w:rPr>
          <w:rFonts w:asciiTheme="majorBidi" w:hAnsiTheme="majorBidi" w:cstheme="majorBidi"/>
          <w:i/>
          <w:iCs/>
          <w:sz w:val="24"/>
          <w:szCs w:val="24"/>
        </w:rPr>
        <w:t>et al</w:t>
      </w:r>
      <w:r>
        <w:rPr>
          <w:rFonts w:asciiTheme="majorBidi" w:hAnsiTheme="majorBidi" w:cstheme="majorBidi"/>
          <w:sz w:val="24"/>
          <w:szCs w:val="24"/>
        </w:rPr>
        <w:t xml:space="preserve">., 2012). In another study, aqueous extracts of </w:t>
      </w:r>
      <w:r>
        <w:rPr>
          <w:rFonts w:asciiTheme="majorBidi" w:hAnsiTheme="majorBidi" w:cstheme="majorBidi"/>
          <w:i/>
          <w:iCs/>
          <w:sz w:val="24"/>
          <w:szCs w:val="24"/>
        </w:rPr>
        <w:t>S. aromaticum</w:t>
      </w:r>
      <w:r>
        <w:rPr>
          <w:rFonts w:asciiTheme="majorBidi" w:hAnsiTheme="majorBidi" w:cstheme="majorBidi"/>
          <w:sz w:val="24"/>
          <w:szCs w:val="24"/>
        </w:rPr>
        <w:t xml:space="preserve"> (L.) Merr. et Perry and other plants as Geum japonicum Thunb., Rhus javanica L., and Terminalia chebula Retzus among others showed strong antiherpes simplex virus type 1 (HSV-1) activity when combined with acyclovir. This synergic activity was stronger in the brain that in the skin and it was also proved that those combinations were not toxic to mice </w:t>
      </w:r>
      <w:bookmarkStart w:id="53" w:name="_Hlk185407514"/>
      <w:r>
        <w:rPr>
          <w:rFonts w:asciiTheme="majorBidi" w:hAnsiTheme="majorBidi" w:cstheme="majorBidi"/>
          <w:sz w:val="24"/>
          <w:szCs w:val="24"/>
        </w:rPr>
        <w:t xml:space="preserve">(Kurokawa </w:t>
      </w:r>
      <w:r>
        <w:rPr>
          <w:rFonts w:asciiTheme="majorBidi" w:hAnsiTheme="majorBidi" w:cstheme="majorBidi"/>
          <w:i/>
          <w:iCs/>
          <w:sz w:val="24"/>
          <w:szCs w:val="24"/>
        </w:rPr>
        <w:t>et al</w:t>
      </w:r>
      <w:r>
        <w:rPr>
          <w:rFonts w:asciiTheme="majorBidi" w:hAnsiTheme="majorBidi" w:cstheme="majorBidi"/>
          <w:sz w:val="24"/>
          <w:szCs w:val="24"/>
        </w:rPr>
        <w:t>., 2018)</w:t>
      </w:r>
      <w:bookmarkEnd w:id="53"/>
      <w:r>
        <w:rPr>
          <w:rFonts w:asciiTheme="majorBidi" w:hAnsiTheme="majorBidi" w:cstheme="majorBidi"/>
          <w:sz w:val="24"/>
          <w:szCs w:val="24"/>
        </w:rPr>
        <w:t>.</w:t>
      </w:r>
    </w:p>
    <w:p>
      <w:pPr>
        <w:pStyle w:val="2"/>
        <w:jc w:val="center"/>
        <w:rPr>
          <w:rFonts w:eastAsia="Calibri" w:asciiTheme="majorBidi" w:hAnsiTheme="majorBidi"/>
          <w:b/>
          <w:bCs/>
          <w:color w:val="auto"/>
          <w:sz w:val="28"/>
          <w:szCs w:val="28"/>
        </w:rPr>
      </w:pPr>
      <w:bookmarkStart w:id="54" w:name="_Toc202853930"/>
      <w:bookmarkStart w:id="55" w:name="_Toc201509724"/>
      <w:bookmarkStart w:id="56" w:name="_Toc85116954"/>
      <w:r>
        <w:rPr>
          <w:rFonts w:eastAsia="Calibri" w:asciiTheme="majorBidi" w:hAnsiTheme="majorBidi"/>
          <w:b/>
          <w:bCs/>
          <w:color w:val="auto"/>
          <w:sz w:val="28"/>
          <w:szCs w:val="28"/>
        </w:rPr>
        <w:t>CHAPTER THREE</w:t>
      </w:r>
      <w:bookmarkEnd w:id="54"/>
      <w:bookmarkEnd w:id="55"/>
      <w:bookmarkEnd w:id="56"/>
    </w:p>
    <w:p>
      <w:pPr>
        <w:jc w:val="center"/>
        <w:rPr>
          <w:rFonts w:ascii="Times New Roman" w:hAnsi="Times New Roman" w:cs="Times New Roman"/>
          <w:b/>
          <w:sz w:val="28"/>
          <w:szCs w:val="28"/>
        </w:rPr>
      </w:pPr>
    </w:p>
    <w:p>
      <w:pPr>
        <w:pStyle w:val="3"/>
        <w:rPr>
          <w:rFonts w:asciiTheme="majorBidi" w:hAnsiTheme="majorBidi"/>
          <w:b w:val="0"/>
          <w:bCs w:val="0"/>
          <w:sz w:val="24"/>
          <w:szCs w:val="24"/>
        </w:rPr>
      </w:pPr>
      <w:bookmarkStart w:id="57" w:name="_Toc201509725"/>
      <w:bookmarkStart w:id="58" w:name="_Toc85116955"/>
      <w:bookmarkStart w:id="59" w:name="_Toc202853931"/>
      <w:r>
        <w:rPr>
          <w:rFonts w:asciiTheme="majorBidi" w:hAnsiTheme="majorBidi"/>
          <w:sz w:val="24"/>
          <w:szCs w:val="24"/>
        </w:rPr>
        <w:t>3.0 MATERIALS AND METHODS</w:t>
      </w:r>
      <w:bookmarkEnd w:id="57"/>
      <w:bookmarkEnd w:id="58"/>
      <w:bookmarkEnd w:id="59"/>
      <w:r>
        <w:rPr>
          <w:rFonts w:asciiTheme="majorBidi" w:hAnsiTheme="majorBidi"/>
          <w:sz w:val="24"/>
          <w:szCs w:val="24"/>
        </w:rPr>
        <w:t xml:space="preserve"> </w:t>
      </w:r>
    </w:p>
    <w:p>
      <w:pPr>
        <w:pStyle w:val="3"/>
        <w:rPr>
          <w:rFonts w:asciiTheme="majorBidi" w:hAnsiTheme="majorBidi"/>
          <w:sz w:val="24"/>
          <w:szCs w:val="24"/>
        </w:rPr>
      </w:pPr>
      <w:bookmarkStart w:id="60" w:name="_Toc202853932"/>
      <w:r>
        <w:rPr>
          <w:rFonts w:asciiTheme="majorBidi" w:hAnsiTheme="majorBidi"/>
          <w:sz w:val="24"/>
          <w:szCs w:val="24"/>
        </w:rPr>
        <w:t>3.1 Collection and Preparation of Clove Flower Buds</w:t>
      </w:r>
      <w:bookmarkEnd w:id="60"/>
    </w:p>
    <w:p>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r>
        <w:rPr>
          <w:rFonts w:ascii="Times New Roman" w:hAnsi="Times New Roman"/>
          <w:i/>
          <w:iCs/>
          <w:sz w:val="24"/>
          <w:szCs w:val="24"/>
        </w:rPr>
        <w:t>Syzygium aromaticum</w:t>
      </w:r>
      <w:r>
        <w:rPr>
          <w:rFonts w:ascii="Times New Roman" w:hAnsi="Times New Roman"/>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pPr>
        <w:pStyle w:val="3"/>
        <w:rPr>
          <w:rFonts w:asciiTheme="majorBidi" w:hAnsiTheme="majorBidi"/>
          <w:sz w:val="24"/>
          <w:szCs w:val="24"/>
        </w:rPr>
      </w:pPr>
      <w:bookmarkStart w:id="61" w:name="_Toc202853933"/>
      <w:r>
        <w:rPr>
          <w:rFonts w:asciiTheme="majorBidi" w:hAnsiTheme="majorBidi"/>
          <w:sz w:val="24"/>
          <w:szCs w:val="24"/>
        </w:rPr>
        <w:t>3.2 Preparation of Clove Extracts</w:t>
      </w:r>
      <w:bookmarkEnd w:id="61"/>
    </w:p>
    <w:p>
      <w:pPr>
        <w:spacing w:line="480" w:lineRule="auto"/>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using rotatory evaporator at 40°C.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 (Sarker </w:t>
      </w:r>
      <w:r>
        <w:rPr>
          <w:rFonts w:ascii="Times New Roman" w:hAnsi="Times New Roman"/>
          <w:i/>
          <w:iCs/>
          <w:sz w:val="24"/>
          <w:szCs w:val="24"/>
        </w:rPr>
        <w:t>et al</w:t>
      </w:r>
      <w:r>
        <w:rPr>
          <w:rFonts w:ascii="Times New Roman" w:hAnsi="Times New Roman"/>
          <w:sz w:val="24"/>
          <w:szCs w:val="24"/>
        </w:rPr>
        <w:t>., 2006).</w:t>
      </w:r>
    </w:p>
    <w:p>
      <w:pPr>
        <w:pStyle w:val="3"/>
        <w:rPr>
          <w:rFonts w:asciiTheme="majorBidi" w:hAnsiTheme="majorBidi"/>
          <w:sz w:val="24"/>
          <w:szCs w:val="24"/>
        </w:rPr>
      </w:pPr>
      <w:bookmarkStart w:id="62" w:name="_Toc202853934"/>
      <w:r>
        <w:rPr>
          <w:rFonts w:asciiTheme="majorBidi" w:hAnsiTheme="majorBidi"/>
          <w:sz w:val="24"/>
          <w:szCs w:val="24"/>
        </w:rPr>
        <w:t>3.3 Collection of Test Organisms</w:t>
      </w:r>
      <w:bookmarkEnd w:id="62"/>
    </w:p>
    <w:p>
      <w:pPr>
        <w:pStyle w:val="8"/>
        <w:spacing w:line="480" w:lineRule="auto"/>
        <w:ind w:firstLine="720"/>
        <w:jc w:val="both"/>
      </w:pPr>
      <w:r>
        <w:t xml:space="preserve">The test organisms were collected from the microbiology laboratory of University of Ilorin. The bacterial pathogen selected for the study were </w:t>
      </w:r>
      <w:r>
        <w:rPr>
          <w:rStyle w:val="13"/>
        </w:rPr>
        <w:t>Escherichia coli</w:t>
      </w:r>
      <w:r>
        <w:t xml:space="preserve">, and </w:t>
      </w:r>
      <w:r>
        <w:rPr>
          <w:rStyle w:val="13"/>
        </w:rPr>
        <w:t>Pseudomonas aeruginosa</w:t>
      </w:r>
      <w:r>
        <w:t>.</w:t>
      </w:r>
    </w:p>
    <w:p>
      <w:pPr>
        <w:pStyle w:val="3"/>
        <w:rPr>
          <w:rFonts w:asciiTheme="majorBidi" w:hAnsiTheme="majorBidi"/>
          <w:sz w:val="24"/>
          <w:szCs w:val="24"/>
        </w:rPr>
      </w:pPr>
      <w:bookmarkStart w:id="63" w:name="_Toc202853935"/>
      <w:r>
        <w:rPr>
          <w:rFonts w:asciiTheme="majorBidi" w:hAnsiTheme="majorBidi"/>
          <w:sz w:val="24"/>
          <w:szCs w:val="24"/>
        </w:rPr>
        <w:t>3.4 Standardization of Test Organisms</w:t>
      </w:r>
      <w:bookmarkEnd w:id="63"/>
    </w:p>
    <w:p>
      <w:pPr>
        <w:spacing w:line="480" w:lineRule="auto"/>
        <w:ind w:firstLine="720"/>
        <w:jc w:val="both"/>
        <w:rPr>
          <w:rFonts w:ascii="Times New Roman" w:hAnsi="Times New Roman"/>
          <w:sz w:val="24"/>
          <w:szCs w:val="24"/>
        </w:rPr>
      </w:pPr>
      <w:r>
        <w:rPr>
          <w:rFonts w:ascii="Times New Roman" w:hAnsi="Times New Roman"/>
          <w:sz w:val="24"/>
          <w:szCs w:val="24"/>
        </w:rPr>
        <w:t xml:space="preserve">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(Katerere and Eloff, 2008).  </w:t>
      </w:r>
    </w:p>
    <w:p>
      <w:pPr>
        <w:pStyle w:val="3"/>
        <w:rPr>
          <w:rFonts w:asciiTheme="majorBidi" w:hAnsiTheme="majorBidi"/>
          <w:sz w:val="24"/>
          <w:szCs w:val="24"/>
        </w:rPr>
      </w:pPr>
      <w:bookmarkStart w:id="64" w:name="_Toc202853936"/>
      <w:r>
        <w:rPr>
          <w:rFonts w:asciiTheme="majorBidi" w:hAnsiTheme="majorBidi"/>
          <w:sz w:val="24"/>
          <w:szCs w:val="24"/>
        </w:rPr>
        <w:t>3.5 Antibacterial Activity Assay</w:t>
      </w:r>
      <w:bookmarkEnd w:id="64"/>
      <w:r>
        <w:rPr>
          <w:rFonts w:asciiTheme="majorBidi" w:hAnsiTheme="majorBidi"/>
          <w:sz w:val="24"/>
          <w:szCs w:val="24"/>
        </w:rPr>
        <w:t xml:space="preserve"> </w:t>
      </w:r>
    </w:p>
    <w:p>
      <w:pPr>
        <w:spacing w:line="48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microliter of 100mg/ml, 80mg/ml, 60mg/ml, 40mg/ml, and 20mg/ml concentrations of the plant extracts. The plates were allowed to stand for about 15 minutes at room temperature for the extracts to diffuse and then the agar plates were incubated at 37 </w:t>
      </w:r>
      <w:r>
        <w:rPr>
          <w:rFonts w:ascii="Times New Roman" w:hAnsi="Times New Roman"/>
          <w:sz w:val="24"/>
          <w:szCs w:val="24"/>
          <w:vertAlign w:val="superscript"/>
        </w:rPr>
        <w:t>o</w:t>
      </w:r>
      <w:r>
        <w:rPr>
          <w:rFonts w:ascii="Times New Roman" w:hAnsi="Times New Roman"/>
          <w:sz w:val="24"/>
          <w:szCs w:val="24"/>
        </w:rPr>
        <w:t>C for 24 hours. The antibacterial activities of the plant extracts were evaluated by appearance of zones of inhibition around the wells while lack of activity was observed by absence of zones of inhibition. The same procedure was repeated for other solvent extracts (Katerere and Eloff, 2008).</w:t>
      </w:r>
    </w:p>
    <w:p>
      <w:pPr>
        <w:pStyle w:val="3"/>
        <w:rPr>
          <w:rFonts w:asciiTheme="majorBidi" w:hAnsiTheme="majorBidi"/>
          <w:sz w:val="24"/>
          <w:szCs w:val="24"/>
        </w:rPr>
      </w:pPr>
      <w:bookmarkStart w:id="65" w:name="_Toc202853937"/>
      <w:r>
        <w:rPr>
          <w:rFonts w:asciiTheme="majorBidi" w:hAnsiTheme="majorBidi"/>
          <w:sz w:val="24"/>
          <w:szCs w:val="24"/>
        </w:rPr>
        <w:t>3.6 Determination of Minimum Inhibitory Concentration (MIC)</w:t>
      </w:r>
      <w:bookmarkEnd w:id="65"/>
      <w:r>
        <w:rPr>
          <w:rFonts w:asciiTheme="majorBidi" w:hAnsiTheme="majorBidi"/>
          <w:sz w:val="24"/>
          <w:szCs w:val="24"/>
        </w:rPr>
        <w:t xml:space="preserve"> </w:t>
      </w:r>
    </w:p>
    <w:p>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 (CLSI, 2018).</w:t>
      </w:r>
    </w:p>
    <w:p>
      <w:pPr>
        <w:pStyle w:val="3"/>
        <w:rPr>
          <w:rFonts w:asciiTheme="majorBidi" w:hAnsiTheme="majorBidi"/>
          <w:sz w:val="24"/>
          <w:szCs w:val="24"/>
        </w:rPr>
      </w:pPr>
      <w:bookmarkStart w:id="66" w:name="_Toc202853938"/>
      <w:r>
        <w:rPr>
          <w:rFonts w:asciiTheme="majorBidi" w:hAnsiTheme="majorBidi"/>
          <w:sz w:val="24"/>
          <w:szCs w:val="24"/>
        </w:rPr>
        <w:t>3.7 Determination of Minimum Bactericidal Concentration (MBC)</w:t>
      </w:r>
      <w:bookmarkEnd w:id="66"/>
    </w:p>
    <w:p>
      <w:pPr>
        <w:spacing w:line="480" w:lineRule="auto"/>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Style w:val="8"/>
        <w:ind w:left="720" w:hanging="720"/>
        <w:jc w:val="both"/>
      </w:pPr>
    </w:p>
    <w:p>
      <w:pPr/>
    </w:p>
    <w:p>
      <w:pPr/>
    </w:p>
    <w:p>
      <w:pPr>
        <w:pStyle w:val="2"/>
        <w:jc w:val="center"/>
        <w:rPr>
          <w:rFonts w:eastAsia="Calibri" w:asciiTheme="majorBidi" w:hAnsiTheme="majorBidi"/>
          <w:b/>
          <w:bCs/>
          <w:color w:val="auto"/>
          <w:sz w:val="28"/>
          <w:szCs w:val="28"/>
        </w:rPr>
      </w:pPr>
      <w:bookmarkStart w:id="67" w:name="_Toc202853939"/>
      <w:r>
        <w:rPr>
          <w:rFonts w:eastAsia="Calibri" w:asciiTheme="majorBidi" w:hAnsiTheme="majorBidi"/>
          <w:b/>
          <w:bCs/>
          <w:color w:val="auto"/>
          <w:sz w:val="28"/>
          <w:szCs w:val="28"/>
        </w:rPr>
        <w:t>CHAPTER FOUR</w:t>
      </w:r>
      <w:bookmarkEnd w:id="67"/>
    </w:p>
    <w:p>
      <w:pPr>
        <w:jc w:val="center"/>
        <w:rPr>
          <w:rFonts w:ascii="Times New Roman" w:hAnsi="Times New Roman" w:cs="Times New Roman"/>
          <w:b/>
          <w:sz w:val="28"/>
          <w:szCs w:val="28"/>
        </w:rPr>
      </w:pPr>
    </w:p>
    <w:p>
      <w:pPr>
        <w:pStyle w:val="3"/>
        <w:tabs>
          <w:tab w:val="center" w:pos="4513"/>
        </w:tabs>
        <w:rPr>
          <w:rFonts w:asciiTheme="majorBidi" w:hAnsiTheme="majorBidi"/>
          <w:b w:val="0"/>
          <w:bCs w:val="0"/>
          <w:sz w:val="24"/>
          <w:szCs w:val="24"/>
        </w:rPr>
      </w:pPr>
      <w:bookmarkStart w:id="68" w:name="_Toc202853940"/>
      <w:r>
        <w:rPr>
          <w:rFonts w:asciiTheme="majorBidi" w:hAnsiTheme="majorBidi"/>
          <w:sz w:val="24"/>
          <w:szCs w:val="24"/>
        </w:rPr>
        <w:t>4.0</w:t>
      </w:r>
      <w:r>
        <w:rPr>
          <w:rFonts w:asciiTheme="majorBidi" w:hAnsiTheme="majorBidi"/>
          <w:sz w:val="24"/>
          <w:szCs w:val="24"/>
        </w:rPr>
        <w:tab/>
      </w:r>
      <w:r>
        <w:rPr>
          <w:rFonts w:asciiTheme="majorBidi" w:hAnsiTheme="majorBidi"/>
          <w:sz w:val="24"/>
          <w:szCs w:val="24"/>
        </w:rPr>
        <w:t>RESULTS</w:t>
      </w:r>
      <w:bookmarkEnd w:id="68"/>
    </w:p>
    <w:p>
      <w:pPr>
        <w:pStyle w:val="3"/>
        <w:rPr>
          <w:rFonts w:asciiTheme="majorBidi" w:hAnsiTheme="majorBidi"/>
          <w:sz w:val="24"/>
          <w:szCs w:val="24"/>
        </w:rPr>
      </w:pPr>
      <w:bookmarkStart w:id="69" w:name="_Toc202853941"/>
      <w:r>
        <w:rPr>
          <w:rFonts w:asciiTheme="majorBidi" w:hAnsiTheme="majorBidi"/>
          <w:sz w:val="24"/>
          <w:szCs w:val="24"/>
        </w:rPr>
        <w:t>4.1 Antibacterial Activity of Clove Extracts</w:t>
      </w:r>
      <w:bookmarkEnd w:id="69"/>
    </w:p>
    <w:p>
      <w:pPr>
        <w:pStyle w:val="8"/>
        <w:spacing w:line="480" w:lineRule="auto"/>
        <w:jc w:val="both"/>
        <w:rPr>
          <w:rStyle w:val="13"/>
          <w:i w:val="0"/>
        </w:rPr>
      </w:pPr>
      <w:r>
        <w:t xml:space="preserve">The antibacterial activity of aqueous, ethanolic, and methanolic extracts of </w:t>
      </w:r>
      <w:r>
        <w:rPr>
          <w:rStyle w:val="13"/>
        </w:rPr>
        <w:t>Syzygium aromaticum</w:t>
      </w:r>
      <w:r>
        <w:t xml:space="preserve"> (clove) against </w:t>
      </w:r>
      <w:r>
        <w:rPr>
          <w:rStyle w:val="13"/>
        </w:rPr>
        <w:t>Pseudomonas aeruginosa</w:t>
      </w:r>
      <w:r>
        <w:t xml:space="preserve"> and </w:t>
      </w:r>
      <w:r>
        <w:rPr>
          <w:rStyle w:val="13"/>
        </w:rPr>
        <w:t>Escherichia coli</w:t>
      </w:r>
      <w:r>
        <w:t xml:space="preserve"> is presented in </w:t>
      </w:r>
      <w:r>
        <w:rPr>
          <w:rStyle w:val="15"/>
          <w:b w:val="0"/>
        </w:rPr>
        <w:t>Table 1</w:t>
      </w:r>
      <w:r>
        <w:t xml:space="preserve">. The activity (zone of inhibition) of all extracts against </w:t>
      </w:r>
      <w:r>
        <w:rPr>
          <w:rStyle w:val="13"/>
        </w:rPr>
        <w:t>Pseudomonas aeruginosa</w:t>
      </w:r>
      <w:r>
        <w:t xml:space="preserve">, ranged between 0.00 mm to 25.10 mm, while the zone of inhibition of all extracts against </w:t>
      </w:r>
      <w:r>
        <w:rPr>
          <w:rStyle w:val="13"/>
        </w:rPr>
        <w:t xml:space="preserve">Escherichia coli </w:t>
      </w:r>
      <w:r>
        <w:rPr>
          <w:rStyle w:val="13"/>
          <w:i w:val="0"/>
        </w:rPr>
        <w:t xml:space="preserve">ranged between </w:t>
      </w:r>
      <w:r>
        <w:t>0.00 mm to 24.00 mm.</w:t>
      </w:r>
    </w:p>
    <w:p>
      <w:pPr>
        <w:pStyle w:val="3"/>
        <w:rPr>
          <w:rFonts w:asciiTheme="majorBidi" w:hAnsiTheme="majorBidi"/>
          <w:sz w:val="24"/>
          <w:szCs w:val="24"/>
        </w:rPr>
      </w:pPr>
      <w:bookmarkStart w:id="70" w:name="_Toc202853942"/>
      <w:r>
        <w:rPr>
          <w:rFonts w:asciiTheme="majorBidi" w:hAnsiTheme="majorBidi"/>
          <w:sz w:val="24"/>
          <w:szCs w:val="24"/>
        </w:rPr>
        <w:t>4.2 Minimum Inhibitory Concentration (MIC) and Minimum Bactericidal Concentration</w:t>
      </w:r>
      <w:bookmarkEnd w:id="70"/>
    </w:p>
    <w:p>
      <w:pPr>
        <w:pStyle w:val="8"/>
        <w:spacing w:line="480" w:lineRule="auto"/>
        <w:jc w:val="both"/>
      </w:pPr>
      <w:r>
        <w:t xml:space="preserve">The MIC and MBC values of the clove extracts against </w:t>
      </w:r>
      <w:r>
        <w:rPr>
          <w:rStyle w:val="13"/>
        </w:rPr>
        <w:t>P. aeruginosa</w:t>
      </w:r>
      <w:r>
        <w:t xml:space="preserve"> and </w:t>
      </w:r>
      <w:r>
        <w:rPr>
          <w:rStyle w:val="13"/>
        </w:rPr>
        <w:t>E. coli</w:t>
      </w:r>
      <w:r>
        <w:t xml:space="preserve"> are presented in </w:t>
      </w:r>
      <w:r>
        <w:rPr>
          <w:rStyle w:val="15"/>
          <w:b w:val="0"/>
        </w:rPr>
        <w:t>Table 2</w:t>
      </w:r>
      <w:r>
        <w:t xml:space="preserve">. All three extracts showed similar MIC (80 mg/mL) and MBC (100 mg/mL) values across both organisms. </w:t>
      </w: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pPr>
      <w:r>
        <mc:AlternateContent>
          <mc:Choice Requires="wps">
            <w:drawing>
              <wp:anchor distT="0" distB="0" distL="0" distR="0" simplePos="0" relativeHeight="251702272" behindDoc="0" locked="0" layoutInCell="1" allowOverlap="1">
                <wp:simplePos x="0" y="0"/>
                <wp:positionH relativeFrom="column">
                  <wp:posOffset>19050</wp:posOffset>
                </wp:positionH>
                <wp:positionV relativeFrom="paragraph">
                  <wp:posOffset>791210</wp:posOffset>
                </wp:positionV>
                <wp:extent cx="5629910" cy="0"/>
                <wp:effectExtent l="9525" t="12700" r="8890" b="6350"/>
                <wp:wrapNone/>
                <wp:docPr id="29" name="Straight Connector 29"/>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1.5pt;margin-top:62.3pt;height:0pt;width:443.3pt;z-index:251702272;mso-width-relative:page;mso-height-relative:page;" filled="f" stroked="t" coordsize="21600,21600" o:gfxdata="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NFiLM1QAAAAkBAAAPAAAAAAAAAAEAIAAAACIAAABkcnMvZG93bnJldi54bWxQSwEC&#10;FAAUAAAACACHTuJAMzoZ5L4BAABuAwAADgAAAAAAAAABACAAAAAkAQAAZHJzL2Uyb0RvYy54bWxQ&#10;SwUGAAAAAAYABgBZAQAAVAUAAAAA&#10;">
                <v:fill on="f" focussize="0,0"/>
                <v:stroke weight="0.5pt" color="#000000" miterlimit="8" joinstyle="miter"/>
                <v:imagedata o:title=""/>
                <o:lock v:ext="edit" aspectratio="f"/>
              </v:line>
            </w:pict>
          </mc:Fallback>
        </mc:AlternateContent>
      </w:r>
      <w:r>
        <w:rPr>
          <w:rStyle w:val="15"/>
          <w:b w:val="0"/>
        </w:rPr>
        <w:t>Table 1</w:t>
      </w:r>
      <w:r>
        <w:t xml:space="preserve">: Antibacterial Activity of Aqueous, Ethanolic, and Methanolic Clove Extracts Against </w:t>
      </w:r>
      <w:r>
        <w:rPr>
          <w:rStyle w:val="13"/>
        </w:rPr>
        <w:t>Pseudomonas aeruginosa</w:t>
      </w:r>
      <w:r>
        <w:t xml:space="preserve"> and </w:t>
      </w:r>
      <w:r>
        <w:rPr>
          <w:rStyle w:val="13"/>
        </w:rPr>
        <w:t>Escherichia coli</w:t>
      </w:r>
      <w:r>
        <w:t xml:space="preserve"> (Zone of Inhibition in mm)</w:t>
      </w:r>
    </w:p>
    <w:tbl>
      <w:tblPr>
        <w:tblStyle w:val="16"/>
        <w:tblW w:w="7936" w:type="dxa"/>
        <w:tblCellSpacing w:w="15" w:type="dxa"/>
        <w:tblInd w:w="0" w:type="dxa"/>
        <w:tblLayout w:type="fixed"/>
        <w:tblCellMar>
          <w:top w:w="15" w:type="dxa"/>
          <w:left w:w="15" w:type="dxa"/>
          <w:bottom w:w="15" w:type="dxa"/>
          <w:right w:w="15" w:type="dxa"/>
        </w:tblCellMar>
      </w:tblPr>
      <w:tblGrid>
        <w:gridCol w:w="1812"/>
        <w:gridCol w:w="3235"/>
        <w:gridCol w:w="1935"/>
        <w:gridCol w:w="954"/>
      </w:tblGrid>
      <w:tr>
        <w:tblPrEx>
          <w:tblLayout w:type="fixed"/>
        </w:tblPrEx>
        <w:trPr>
          <w:trHeight w:val="441" w:hRule="atLeast"/>
          <w:tblHeader/>
          <w:tblCellSpacing w:w="15" w:type="dxa"/>
        </w:trPr>
        <w:tc>
          <w:tcPr>
            <w:tcW w:w="1812"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sz w:val="24"/>
                <w:szCs w:val="24"/>
              </w:rPr>
              <mc:AlternateContent>
                <mc:Choice Requires="wps">
                  <w:drawing>
                    <wp:anchor distT="0" distB="0" distL="0" distR="0" simplePos="0" relativeHeight="251704320" behindDoc="0" locked="0" layoutInCell="1" allowOverlap="1">
                      <wp:simplePos x="0" y="0"/>
                      <wp:positionH relativeFrom="column">
                        <wp:posOffset>-19050</wp:posOffset>
                      </wp:positionH>
                      <wp:positionV relativeFrom="paragraph">
                        <wp:posOffset>307975</wp:posOffset>
                      </wp:positionV>
                      <wp:extent cx="5629910" cy="0"/>
                      <wp:effectExtent l="9525" t="12700" r="8890" b="6350"/>
                      <wp:wrapNone/>
                      <wp:docPr id="30" name="Straight Connector 30"/>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1.5pt;margin-top:24.25pt;height:0pt;width:443.3pt;z-index:251704320;mso-width-relative:page;mso-height-relative:page;" filled="f" stroked="t" coordsize="21600,21600" o:gfxdata="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dki+dYAAAAIAQAADwAAAAAAAAABACAAAAAiAAAAZHJzL2Rvd25yZXYueG1sUEsB&#10;AhQAFAAAAAgAh07iQLBL3Xm+AQAAbgMAAA4AAAAAAAAAAQAgAAAAJQEAAGRycy9lMm9Eb2MueG1s&#10;UEsFBgAAAAAGAAYAWQEAAFUFAAAAAAAA&#10;">
                      <v:fill on="f" focussize="0,0"/>
                      <v:stroke weight="0.5pt" color="#000000" miterlimit="8" joinstyle="miter"/>
                      <v:imagedata o:title=""/>
                      <o:lock v:ext="edit" aspectratio="f"/>
                    </v:line>
                  </w:pict>
                </mc:Fallback>
              </mc:AlternateContent>
            </w:r>
            <w:r>
              <w:rPr>
                <w:rFonts w:ascii="Times New Roman" w:hAnsi="Times New Roman" w:cs="Times New Roman"/>
                <w:bCs/>
                <w:sz w:val="24"/>
                <w:szCs w:val="24"/>
              </w:rPr>
              <w:t>Extract Type</w:t>
            </w:r>
          </w:p>
        </w:tc>
        <w:tc>
          <w:tcPr>
            <w:tcW w:w="3235"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Concentration (mg/mL)</w:t>
            </w:r>
          </w:p>
        </w:tc>
        <w:tc>
          <w:tcPr>
            <w:tcW w:w="1935" w:type="dxa"/>
            <w:vAlign w:val="center"/>
          </w:tcPr>
          <w:p>
            <w:pPr>
              <w:spacing w:line="480" w:lineRule="auto"/>
              <w:jc w:val="both"/>
              <w:rPr>
                <w:rFonts w:ascii="Times New Roman" w:hAnsi="Times New Roman" w:cs="Times New Roman"/>
                <w:bCs/>
                <w:sz w:val="24"/>
                <w:szCs w:val="24"/>
              </w:rPr>
            </w:pPr>
            <w:r>
              <w:rPr>
                <w:rStyle w:val="13"/>
                <w:rFonts w:ascii="Times New Roman" w:hAnsi="Times New Roman" w:cs="Times New Roman"/>
                <w:bCs/>
                <w:sz w:val="24"/>
                <w:szCs w:val="24"/>
              </w:rPr>
              <w:t>P. aeruginosa</w:t>
            </w:r>
          </w:p>
        </w:tc>
        <w:tc>
          <w:tcPr>
            <w:tcW w:w="954" w:type="dxa"/>
            <w:vAlign w:val="center"/>
          </w:tcPr>
          <w:p>
            <w:pPr>
              <w:spacing w:line="480" w:lineRule="auto"/>
              <w:jc w:val="both"/>
              <w:rPr>
                <w:rFonts w:ascii="Times New Roman" w:hAnsi="Times New Roman" w:cs="Times New Roman"/>
                <w:bCs/>
                <w:sz w:val="24"/>
                <w:szCs w:val="24"/>
              </w:rPr>
            </w:pPr>
            <w:r>
              <w:rPr>
                <w:rStyle w:val="13"/>
                <w:rFonts w:ascii="Times New Roman" w:hAnsi="Times New Roman" w:cs="Times New Roman"/>
                <w:bCs/>
                <w:sz w:val="24"/>
                <w:szCs w:val="24"/>
              </w:rPr>
              <w:t>E. coli</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r>
              <w:rPr>
                <w:rStyle w:val="15"/>
                <w:rFonts w:ascii="Times New Roman" w:hAnsi="Times New Roman" w:cs="Times New Roman"/>
                <w:b w:val="0"/>
                <w:sz w:val="24"/>
                <w:szCs w:val="24"/>
              </w:rPr>
              <w:t>Aqueous</w:t>
            </w: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13.00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17.10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21.10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r>
              <w:rPr>
                <w:rStyle w:val="15"/>
                <w:rFonts w:ascii="Times New Roman" w:hAnsi="Times New Roman" w:cs="Times New Roman"/>
                <w:b w:val="0"/>
                <w:sz w:val="24"/>
                <w:szCs w:val="24"/>
              </w:rPr>
              <w:t>Ethanol</w:t>
            </w: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9.00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11.90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11.04</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19.30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21.11</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25.10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24.00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r>
              <w:rPr>
                <w:rStyle w:val="15"/>
                <w:rFonts w:ascii="Times New Roman" w:hAnsi="Times New Roman" w:cs="Times New Roman"/>
                <w:b w:val="0"/>
                <w:sz w:val="24"/>
                <w:szCs w:val="24"/>
              </w:rPr>
              <w:t>Methanol</w:t>
            </w: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6.20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10.20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10.12</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18.20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14.30</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20.10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20.25</w:t>
            </w:r>
          </w:p>
        </w:tc>
      </w:tr>
      <w:tr>
        <w:tblPrEx>
          <w:tblLayout w:type="fixed"/>
        </w:tblPrEx>
        <w:trPr>
          <w:trHeight w:val="441" w:hRule="atLeast"/>
          <w:tblCellSpacing w:w="15" w:type="dxa"/>
        </w:trPr>
        <w:tc>
          <w:tcPr>
            <w:tcW w:w="1812" w:type="dxa"/>
            <w:vAlign w:val="center"/>
          </w:tcPr>
          <w:p>
            <w:pPr>
              <w:spacing w:line="240" w:lineRule="auto"/>
              <w:jc w:val="both"/>
              <w:rPr>
                <w:rFonts w:ascii="Times New Roman" w:hAnsi="Times New Roman" w:cs="Times New Roman"/>
                <w:sz w:val="24"/>
                <w:szCs w:val="24"/>
              </w:rPr>
            </w:pPr>
          </w:p>
        </w:tc>
        <w:tc>
          <w:tcPr>
            <w:tcW w:w="32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954" w:type="dxa"/>
            <w:vAlign w:val="center"/>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23.14</w:t>
            </w:r>
          </w:p>
        </w:tc>
      </w:tr>
    </w:tbl>
    <w:p>
      <w:pPr>
        <w:spacing w:line="48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706368" behindDoc="0" locked="0" layoutInCell="1" allowOverlap="1">
                <wp:simplePos x="0" y="0"/>
                <wp:positionH relativeFrom="column">
                  <wp:posOffset>0</wp:posOffset>
                </wp:positionH>
                <wp:positionV relativeFrom="paragraph">
                  <wp:posOffset>12065</wp:posOffset>
                </wp:positionV>
                <wp:extent cx="5629910" cy="0"/>
                <wp:effectExtent l="9525" t="12700" r="8890" b="6350"/>
                <wp:wrapNone/>
                <wp:docPr id="31" name="Straight Connector 31"/>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0pt;margin-top:0.95pt;height:0pt;width:443.3pt;z-index:251706368;mso-width-relative:page;mso-height-relative:page;" filled="f" stroked="t" coordsize="21600,21600" o:gfxdata="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AnhyHRAAAABAEAAA8AAAAAAAAAAQAgAAAAIgAAAGRycy9kb3ducmV2LnhtbFBLAQIUABQA&#10;AAAIAIdO4kDQtd+vvgEAAG4DAAAOAAAAAAAAAAEAIAAAACABAABkcnMvZTJvRG9jLnhtbFBLBQYA&#10;AAAABgAGAFkBAABQBQAAAAAA&#10;">
                <v:fill on="f" focussize="0,0"/>
                <v:stroke weight="0.5pt" color="#000000" miterlimit="8" joinstyle="miter"/>
                <v:imagedata o:title=""/>
                <o:lock v:ext="edit" aspectratio="f"/>
              </v:line>
            </w:pict>
          </mc:Fallback>
        </mc:AlternateContent>
      </w: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rPr>
          <w:rStyle w:val="15"/>
          <w:b w:val="0"/>
        </w:rPr>
      </w:pPr>
    </w:p>
    <w:p>
      <w:pPr>
        <w:pStyle w:val="8"/>
        <w:spacing w:line="480" w:lineRule="auto"/>
        <w:jc w:val="both"/>
      </w:pPr>
      <w:r>
        <mc:AlternateContent>
          <mc:Choice Requires="wps">
            <w:drawing>
              <wp:anchor distT="0" distB="0" distL="0" distR="0" simplePos="0" relativeHeight="251708416" behindDoc="0" locked="0" layoutInCell="1" allowOverlap="1">
                <wp:simplePos x="0" y="0"/>
                <wp:positionH relativeFrom="margin">
                  <wp:align>left</wp:align>
                </wp:positionH>
                <wp:positionV relativeFrom="paragraph">
                  <wp:posOffset>735965</wp:posOffset>
                </wp:positionV>
                <wp:extent cx="5629910" cy="0"/>
                <wp:effectExtent l="0" t="0" r="0" b="0"/>
                <wp:wrapNone/>
                <wp:docPr id="32" name="Straight Connector 32"/>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top:57.95pt;height:0pt;width:443.3pt;mso-position-horizontal:left;mso-position-horizontal-relative:margin;z-index:251708416;mso-width-relative:page;mso-height-relative:page;" filled="f" stroked="t" coordsize="21600,21600" o:gfxdata="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cAaqnUAAAACAEAAA8AAAAAAAAAAQAgAAAAIgAAAGRycy9kb3ducmV2LnhtbFBLAQIU&#10;ABQAAAAIAIdO4kAxsakOvgEAAG4DAAAOAAAAAAAAAAEAIAAAACMBAABkcnMvZTJvRG9jLnhtbFBL&#10;BQYAAAAABgAGAFkBAABTBQAAAAAA&#10;">
                <v:fill on="f" focussize="0,0"/>
                <v:stroke weight="0.5pt" color="#000000" miterlimit="8" joinstyle="miter"/>
                <v:imagedata o:title=""/>
                <o:lock v:ext="edit" aspectratio="f"/>
              </v:line>
            </w:pict>
          </mc:Fallback>
        </mc:AlternateContent>
      </w:r>
      <w:r>
        <w:rPr>
          <w:rStyle w:val="15"/>
          <w:b w:val="0"/>
        </w:rPr>
        <w:t>Table 2</w:t>
      </w:r>
      <w:r>
        <w:t xml:space="preserve">: MIC and MBC of Clove Extracts Against </w:t>
      </w:r>
      <w:r>
        <w:rPr>
          <w:rStyle w:val="13"/>
        </w:rPr>
        <w:t>Pseudomonas aeruginosa</w:t>
      </w:r>
      <w:r>
        <w:t xml:space="preserve"> and </w:t>
      </w:r>
      <w:r>
        <w:rPr>
          <w:rStyle w:val="13"/>
        </w:rPr>
        <w:t>Escherichia coli</w:t>
      </w:r>
    </w:p>
    <w:tbl>
      <w:tblPr>
        <w:tblStyle w:val="16"/>
        <w:tblW w:w="7556" w:type="dxa"/>
        <w:tblCellSpacing w:w="15" w:type="dxa"/>
        <w:tblInd w:w="0" w:type="dxa"/>
        <w:tblLayout w:type="fixed"/>
        <w:tblCellMar>
          <w:top w:w="15" w:type="dxa"/>
          <w:left w:w="15" w:type="dxa"/>
          <w:bottom w:w="15" w:type="dxa"/>
          <w:right w:w="15" w:type="dxa"/>
        </w:tblCellMar>
      </w:tblPr>
      <w:tblGrid>
        <w:gridCol w:w="1747"/>
        <w:gridCol w:w="1866"/>
        <w:gridCol w:w="1910"/>
        <w:gridCol w:w="2033"/>
      </w:tblGrid>
      <w:tr>
        <w:tblPrEx>
          <w:tblLayout w:type="fixed"/>
        </w:tblPrEx>
        <w:trPr>
          <w:trHeight w:val="433" w:hRule="atLeast"/>
          <w:tblHeader/>
          <w:tblCellSpacing w:w="15" w:type="dxa"/>
        </w:trPr>
        <w:tc>
          <w:tcPr>
            <w:tcW w:w="1747"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Extract Type</w:t>
            </w:r>
          </w:p>
        </w:tc>
        <w:tc>
          <w:tcPr>
            <w:tcW w:w="1866"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sz w:val="24"/>
                <w:szCs w:val="24"/>
              </w:rPr>
              <mc:AlternateContent>
                <mc:Choice Requires="wps">
                  <w:drawing>
                    <wp:anchor distT="0" distB="0" distL="0" distR="0" simplePos="0" relativeHeight="251710464" behindDoc="0" locked="0" layoutInCell="1" allowOverlap="1">
                      <wp:simplePos x="0" y="0"/>
                      <wp:positionH relativeFrom="column">
                        <wp:posOffset>-1114425</wp:posOffset>
                      </wp:positionH>
                      <wp:positionV relativeFrom="paragraph">
                        <wp:posOffset>298450</wp:posOffset>
                      </wp:positionV>
                      <wp:extent cx="5629910" cy="0"/>
                      <wp:effectExtent l="9525" t="12700" r="8890" b="6350"/>
                      <wp:wrapNone/>
                      <wp:docPr id="33" name="Straight Connector 33"/>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87.75pt;margin-top:23.5pt;height:0pt;width:443.3pt;z-index:251710464;mso-width-relative:page;mso-height-relative:page;" filled="f" stroked="t" coordsize="21600,21600" o:gfxdata="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EIIxtYAAAAKAQAADwAAAAAAAAABACAAAAAiAAAAZHJzL2Rvd25yZXYueG1sUEsB&#10;AhQAFAAAAAgAh07iQFFPq9i+AQAAbgMAAA4AAAAAAAAAAQAgAAAAJQEAAGRycy9lMm9Eb2MueG1s&#10;UEsFBgAAAAAGAAYAWQEAAFUFAAAAAAAA&#10;">
                      <v:fill on="f" focussize="0,0"/>
                      <v:stroke weight="0.5pt" color="#000000" miterlimit="8" joinstyle="miter"/>
                      <v:imagedata o:title=""/>
                      <o:lock v:ext="edit" aspectratio="f"/>
                    </v:line>
                  </w:pict>
                </mc:Fallback>
              </mc:AlternateContent>
            </w:r>
            <w:r>
              <w:rPr>
                <w:rFonts w:ascii="Times New Roman" w:hAnsi="Times New Roman" w:cs="Times New Roman"/>
                <w:bCs/>
                <w:sz w:val="24"/>
                <w:szCs w:val="24"/>
              </w:rPr>
              <w:t>Organism</w:t>
            </w:r>
          </w:p>
        </w:tc>
        <w:tc>
          <w:tcPr>
            <w:tcW w:w="1910"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MIC (mg/mL)</w:t>
            </w:r>
          </w:p>
        </w:tc>
        <w:tc>
          <w:tcPr>
            <w:tcW w:w="2033" w:type="dxa"/>
            <w:vAlign w:val="center"/>
          </w:tcPr>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MBC (mg/mL)</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Aqueous</w:t>
            </w:r>
          </w:p>
        </w:tc>
        <w:tc>
          <w:tcPr>
            <w:tcW w:w="1866" w:type="dxa"/>
            <w:vAlign w:val="center"/>
          </w:tcPr>
          <w:p>
            <w:pPr>
              <w:spacing w:line="480" w:lineRule="auto"/>
              <w:jc w:val="both"/>
              <w:rPr>
                <w:rFonts w:ascii="Times New Roman" w:hAnsi="Times New Roman" w:cs="Times New Roman"/>
                <w:sz w:val="24"/>
                <w:szCs w:val="24"/>
              </w:rPr>
            </w:pPr>
            <w:r>
              <w:rPr>
                <w:rStyle w:val="13"/>
                <w:rFonts w:ascii="Times New Roman" w:hAnsi="Times New Roman" w:cs="Times New Roman"/>
                <w:sz w:val="24"/>
                <w:szCs w:val="24"/>
              </w:rPr>
              <w:t>P. aeruginosa</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p>
        </w:tc>
        <w:tc>
          <w:tcPr>
            <w:tcW w:w="1866" w:type="dxa"/>
            <w:vAlign w:val="center"/>
          </w:tcPr>
          <w:p>
            <w:pPr>
              <w:spacing w:line="480" w:lineRule="auto"/>
              <w:jc w:val="both"/>
              <w:rPr>
                <w:rFonts w:ascii="Times New Roman" w:hAnsi="Times New Roman" w:cs="Times New Roman"/>
                <w:sz w:val="24"/>
                <w:szCs w:val="24"/>
              </w:rPr>
            </w:pPr>
            <w:r>
              <w:rPr>
                <w:rStyle w:val="13"/>
                <w:rFonts w:ascii="Times New Roman" w:hAnsi="Times New Roman" w:cs="Times New Roman"/>
                <w:sz w:val="24"/>
                <w:szCs w:val="24"/>
              </w:rPr>
              <w:t>E. coli</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Ethanolic</w:t>
            </w:r>
          </w:p>
        </w:tc>
        <w:tc>
          <w:tcPr>
            <w:tcW w:w="1866" w:type="dxa"/>
            <w:vAlign w:val="center"/>
          </w:tcPr>
          <w:p>
            <w:pPr>
              <w:spacing w:line="480" w:lineRule="auto"/>
              <w:jc w:val="both"/>
              <w:rPr>
                <w:rFonts w:ascii="Times New Roman" w:hAnsi="Times New Roman" w:cs="Times New Roman"/>
                <w:sz w:val="24"/>
                <w:szCs w:val="24"/>
              </w:rPr>
            </w:pPr>
            <w:r>
              <w:rPr>
                <w:rStyle w:val="13"/>
                <w:rFonts w:ascii="Times New Roman" w:hAnsi="Times New Roman" w:cs="Times New Roman"/>
                <w:sz w:val="24"/>
                <w:szCs w:val="24"/>
              </w:rPr>
              <w:t>P. aeruginosa</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p>
        </w:tc>
        <w:tc>
          <w:tcPr>
            <w:tcW w:w="1866" w:type="dxa"/>
            <w:vAlign w:val="center"/>
          </w:tcPr>
          <w:p>
            <w:pPr>
              <w:spacing w:line="480" w:lineRule="auto"/>
              <w:jc w:val="both"/>
              <w:rPr>
                <w:rFonts w:ascii="Times New Roman" w:hAnsi="Times New Roman" w:cs="Times New Roman"/>
                <w:sz w:val="24"/>
                <w:szCs w:val="24"/>
              </w:rPr>
            </w:pPr>
            <w:r>
              <w:rPr>
                <w:rStyle w:val="13"/>
                <w:rFonts w:ascii="Times New Roman" w:hAnsi="Times New Roman" w:cs="Times New Roman"/>
                <w:sz w:val="24"/>
                <w:szCs w:val="24"/>
              </w:rPr>
              <w:t>E. coli</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Methanolic</w:t>
            </w:r>
          </w:p>
        </w:tc>
        <w:tc>
          <w:tcPr>
            <w:tcW w:w="1866" w:type="dxa"/>
            <w:vAlign w:val="center"/>
          </w:tcPr>
          <w:p>
            <w:pPr>
              <w:spacing w:line="480" w:lineRule="auto"/>
              <w:jc w:val="both"/>
              <w:rPr>
                <w:rFonts w:ascii="Times New Roman" w:hAnsi="Times New Roman" w:cs="Times New Roman"/>
                <w:sz w:val="24"/>
                <w:szCs w:val="24"/>
              </w:rPr>
            </w:pPr>
            <w:r>
              <w:rPr>
                <w:rStyle w:val="13"/>
                <w:rFonts w:ascii="Times New Roman" w:hAnsi="Times New Roman" w:cs="Times New Roman"/>
                <w:sz w:val="24"/>
                <w:szCs w:val="24"/>
              </w:rPr>
              <w:t>P. aeruginosa</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33" w:hRule="atLeast"/>
          <w:tblCellSpacing w:w="15" w:type="dxa"/>
        </w:trPr>
        <w:tc>
          <w:tcPr>
            <w:tcW w:w="1747" w:type="dxa"/>
            <w:vAlign w:val="center"/>
          </w:tcPr>
          <w:p>
            <w:pPr>
              <w:spacing w:line="480" w:lineRule="auto"/>
              <w:jc w:val="both"/>
              <w:rPr>
                <w:rFonts w:ascii="Times New Roman" w:hAnsi="Times New Roman" w:cs="Times New Roman"/>
                <w:sz w:val="24"/>
                <w:szCs w:val="24"/>
              </w:rPr>
            </w:pPr>
          </w:p>
        </w:tc>
        <w:tc>
          <w:tcPr>
            <w:tcW w:w="1866"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712512" behindDoc="0" locked="0" layoutInCell="1" allowOverlap="1">
                      <wp:simplePos x="0" y="0"/>
                      <wp:positionH relativeFrom="column">
                        <wp:posOffset>-1095375</wp:posOffset>
                      </wp:positionH>
                      <wp:positionV relativeFrom="paragraph">
                        <wp:posOffset>273685</wp:posOffset>
                      </wp:positionV>
                      <wp:extent cx="5629910" cy="0"/>
                      <wp:effectExtent l="9525" t="12700" r="8890" b="6350"/>
                      <wp:wrapNone/>
                      <wp:docPr id="34" name="Straight Connector 34"/>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86.25pt;margin-top:21.55pt;height:0pt;width:443.3pt;z-index:251712512;mso-width-relative:page;mso-height-relative:page;" filled="f" stroked="t" coordsize="21600,21600" o:gfxdata="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B3Rn/XAAAACgEAAA8AAAAAAAAAAQAgAAAAIgAAAGRycy9kb3ducmV2LnhtbFBL&#10;AQIUABQAAAAIAIdO4kCyvjSXvgEAAG4DAAAOAAAAAAAAAAEAIAAAACYBAABkcnMvZTJvRG9jLnht&#10;bFBLBQYAAAAABgAGAFkBAABWBQAAAAAA&#10;">
                      <v:fill on="f" focussize="0,0"/>
                      <v:stroke weight="0.5pt" color="#000000" miterlimit="8" joinstyle="miter"/>
                      <v:imagedata o:title=""/>
                      <o:lock v:ext="edit" aspectratio="f"/>
                    </v:line>
                  </w:pict>
                </mc:Fallback>
              </mc:AlternateContent>
            </w:r>
            <w:r>
              <w:rPr>
                <w:rStyle w:val="13"/>
                <w:rFonts w:ascii="Times New Roman" w:hAnsi="Times New Roman" w:cs="Times New Roman"/>
                <w:sz w:val="24"/>
                <w:szCs w:val="24"/>
              </w:rPr>
              <w:t>E. coli</w:t>
            </w:r>
          </w:p>
        </w:tc>
        <w:tc>
          <w:tcPr>
            <w:tcW w:w="1910"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jc w:val="center"/>
        <w:rPr>
          <w:rFonts w:eastAsia="Calibri" w:asciiTheme="majorBidi" w:hAnsiTheme="majorBidi"/>
          <w:b/>
          <w:bCs/>
          <w:color w:val="auto"/>
          <w:sz w:val="28"/>
          <w:szCs w:val="28"/>
        </w:rPr>
      </w:pPr>
    </w:p>
    <w:p>
      <w:pPr>
        <w:pStyle w:val="2"/>
        <w:rPr>
          <w:rFonts w:eastAsia="Calibri" w:asciiTheme="majorBidi" w:hAnsiTheme="majorBidi"/>
          <w:b/>
          <w:bCs/>
          <w:color w:val="auto"/>
          <w:sz w:val="28"/>
          <w:szCs w:val="28"/>
        </w:rPr>
      </w:pPr>
    </w:p>
    <w:p>
      <w:pPr/>
    </w:p>
    <w:p>
      <w:pPr/>
    </w:p>
    <w:p>
      <w:pPr/>
    </w:p>
    <w:p>
      <w:pPr>
        <w:pStyle w:val="2"/>
        <w:jc w:val="center"/>
        <w:rPr>
          <w:rFonts w:eastAsia="Calibri" w:asciiTheme="majorBidi" w:hAnsiTheme="majorBidi"/>
          <w:b/>
          <w:bCs/>
          <w:color w:val="auto"/>
          <w:sz w:val="28"/>
          <w:szCs w:val="28"/>
        </w:rPr>
      </w:pPr>
      <w:bookmarkStart w:id="71" w:name="_Toc202853943"/>
      <w:r>
        <w:rPr>
          <w:rFonts w:eastAsia="Calibri" w:asciiTheme="majorBidi" w:hAnsiTheme="majorBidi"/>
          <w:b/>
          <w:bCs/>
          <w:color w:val="auto"/>
          <w:sz w:val="28"/>
          <w:szCs w:val="28"/>
        </w:rPr>
        <w:t>CHAPTER FIVE</w:t>
      </w:r>
      <w:bookmarkEnd w:id="71"/>
    </w:p>
    <w:p>
      <w:pPr>
        <w:rPr>
          <w:lang w:eastAsia="zh-CN"/>
        </w:rPr>
      </w:pPr>
    </w:p>
    <w:p>
      <w:pPr>
        <w:pStyle w:val="3"/>
        <w:rPr>
          <w:rFonts w:asciiTheme="majorBidi" w:hAnsiTheme="majorBidi"/>
          <w:b w:val="0"/>
          <w:bCs w:val="0"/>
          <w:sz w:val="24"/>
          <w:szCs w:val="24"/>
        </w:rPr>
      </w:pPr>
      <w:bookmarkStart w:id="72" w:name="_Toc202853944"/>
      <w:r>
        <w:rPr>
          <w:rFonts w:asciiTheme="majorBidi" w:hAnsiTheme="majorBidi"/>
          <w:sz w:val="24"/>
          <w:szCs w:val="24"/>
        </w:rPr>
        <w:t>5.0 Discussion</w:t>
      </w:r>
      <w:bookmarkEnd w:id="72"/>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antibacterial activity exhibited by aqueous, ethanolic, and methanolic extracts of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against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highlights the effectiveness of clove-derived phytochemicals in combating Gram-negative pathogens. Among the three extracts, the ethanolic and methanolic extracts demonstrated superior antibacterial activity, as evident from their broader zones of inhibition and comparable MIC/MBC values. This variation in extract potency can largely be attributed to the differential solubility of phytoconstituents in each solvent.</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higher activity observed with the ethanolic and methanolic extracts can be explained by their ability to extract a broader range of bioactive compounds, including both polar and moderately non-polar molecules such as eugenol, flavonoids, tannins, and saponins. These compounds are known to disrupt bacterial membranes, denature proteins, interfere with nucleic acid synthesis, and ultimately lead to cell death (Burt, 2004; Marchese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eugenol—one of the major antimicrobial constituents of clove—are poorly soluble in water (Cortés-Rojas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ability of all three extracts to inhibit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(Nazzaro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2013).</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The consistent pattern of dose-dependent inhibition across all extracts against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supports the broad-spectrum potential of </w:t>
      </w:r>
      <w:r>
        <w:rPr>
          <w:rFonts w:ascii="Times New Roman" w:hAnsi="Times New Roman" w:eastAsia="Times New Roman" w:cs="Times New Roman"/>
          <w:i/>
          <w:iCs/>
          <w:sz w:val="24"/>
          <w:szCs w:val="24"/>
        </w:rPr>
        <w:t>S. aromaticum</w:t>
      </w:r>
      <w:r>
        <w:rPr>
          <w:rFonts w:ascii="Times New Roman" w:hAnsi="Times New Roman" w:eastAsia="Times New Roman" w:cs="Times New Roman"/>
          <w:sz w:val="24"/>
          <w:szCs w:val="24"/>
        </w:rPr>
        <w:t xml:space="preserve"> as an antimicrobial agent.</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findings are consistent with previous studies. Iqbal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(2013) and Rahman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(2011) demonstrated that ethanolic and methanolic extracts of clove exhibited potent antibacterial effects against both Gram-positive and Gram-negative bacteria, including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Similarly, Devi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reported that clove extracts could disrupt biofilm formation in </w:t>
      </w:r>
      <w:r>
        <w:rPr>
          <w:rFonts w:ascii="Times New Roman" w:hAnsi="Times New Roman" w:eastAsia="Times New Roman" w:cs="Times New Roman"/>
          <w:i/>
          <w:iCs/>
          <w:sz w:val="24"/>
          <w:szCs w:val="24"/>
        </w:rPr>
        <w:t>Pseudomonas</w:t>
      </w:r>
      <w:r>
        <w:rPr>
          <w:rFonts w:ascii="Times New Roman" w:hAnsi="Times New Roman" w:eastAsia="Times New Roman" w:cs="Times New Roman"/>
          <w:sz w:val="24"/>
          <w:szCs w:val="24"/>
        </w:rPr>
        <w:t xml:space="preserve"> species, further supporting its anti-pathogenic capabilities.</w:t>
      </w:r>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Overall, all three solvent extracts of clove displayed antibacterial activity against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with ethanolic and methanolic extracts being more potent than the aqueous extract. These results suggest that </w:t>
      </w:r>
      <w:r>
        <w:rPr>
          <w:rFonts w:ascii="Times New Roman" w:hAnsi="Times New Roman" w:eastAsia="Times New Roman" w:cs="Times New Roman"/>
          <w:i/>
          <w:iCs/>
          <w:sz w:val="24"/>
          <w:szCs w:val="24"/>
        </w:rPr>
        <w:t>S. aromaticum</w:t>
      </w:r>
      <w:r>
        <w:rPr>
          <w:rFonts w:ascii="Times New Roman" w:hAnsi="Times New Roman" w:eastAsia="Times New Roman" w:cs="Times New Roman"/>
          <w:sz w:val="24"/>
          <w:szCs w:val="24"/>
        </w:rPr>
        <w:t xml:space="preserve"> possesses multiple antimicrobial compounds, some of which are extractable in polar organic solvents and effective against resistant Gram-negative pathogens. </w:t>
      </w: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b w:val="0"/>
          <w:bCs w:val="0"/>
          <w:sz w:val="24"/>
          <w:szCs w:val="24"/>
        </w:rPr>
      </w:pPr>
      <w:bookmarkStart w:id="73" w:name="_Toc202853945"/>
      <w:r>
        <w:rPr>
          <w:rFonts w:asciiTheme="majorBidi" w:hAnsiTheme="majorBidi"/>
          <w:sz w:val="24"/>
          <w:szCs w:val="24"/>
        </w:rPr>
        <w:t>5.1 Conclusion</w:t>
      </w:r>
      <w:bookmarkEnd w:id="73"/>
    </w:p>
    <w:p>
      <w:pPr>
        <w:spacing w:before="100" w:beforeAutospacing="1" w:after="100" w:afterAutospacing="1"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demonstrates that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possesses significant antibacterial activity against </w:t>
      </w:r>
      <w:r>
        <w:rPr>
          <w:rStyle w:val="13"/>
          <w:rFonts w:ascii="Times New Roman" w:hAnsi="Times New Roman" w:cs="Times New Roman"/>
          <w:sz w:val="24"/>
          <w:szCs w:val="24"/>
        </w:rPr>
        <w:t>Pseudomonas aeruginosa</w:t>
      </w:r>
      <w:r>
        <w:rPr>
          <w:rFonts w:ascii="Times New Roman" w:hAnsi="Times New Roman" w:cs="Times New Roman"/>
          <w:sz w:val="24"/>
          <w:szCs w:val="24"/>
        </w:rPr>
        <w:t xml:space="preserve"> and </w:t>
      </w:r>
      <w:r>
        <w:rPr>
          <w:rStyle w:val="13"/>
          <w:rFonts w:ascii="Times New Roman" w:hAnsi="Times New Roman" w:cs="Times New Roman"/>
          <w:sz w:val="24"/>
          <w:szCs w:val="24"/>
        </w:rPr>
        <w:t>Escherichia coli</w:t>
      </w:r>
      <w:r>
        <w:rPr>
          <w:rFonts w:ascii="Times New Roman" w:hAnsi="Times New Roman" w:eastAsia="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sz w:val="24"/>
          <w:szCs w:val="24"/>
        </w:rPr>
      </w:pPr>
    </w:p>
    <w:p>
      <w:pPr>
        <w:pStyle w:val="3"/>
        <w:rPr>
          <w:rFonts w:asciiTheme="majorBidi" w:hAnsiTheme="majorBidi"/>
          <w:b w:val="0"/>
          <w:bCs w:val="0"/>
          <w:sz w:val="24"/>
          <w:szCs w:val="24"/>
        </w:rPr>
      </w:pPr>
      <w:bookmarkStart w:id="74" w:name="_Toc202853946"/>
      <w:r>
        <w:rPr>
          <w:rFonts w:asciiTheme="majorBidi" w:hAnsiTheme="majorBidi"/>
          <w:sz w:val="24"/>
          <w:szCs w:val="24"/>
        </w:rPr>
        <w:t>5.2 Recommendations</w:t>
      </w:r>
      <w:bookmarkEnd w:id="74"/>
    </w:p>
    <w:p>
      <w:pPr>
        <w:widowControl w:val="0"/>
        <w:spacing w:after="0" w:line="480" w:lineRule="auto"/>
        <w:jc w:val="both"/>
        <w:rPr>
          <w:rFonts w:ascii="Times New Roman" w:hAnsi="Times New Roman" w:eastAsia="SimSun" w:cs="Times New Roman"/>
          <w:kern w:val="2"/>
          <w:sz w:val="24"/>
          <w:szCs w:val="24"/>
          <w:lang w:eastAsia="zh-CN"/>
        </w:rPr>
      </w:pPr>
      <w:r>
        <w:rPr>
          <w:rFonts w:ascii="Times New Roman" w:hAnsi="Times New Roman" w:eastAsia="SimSun" w:cs="Times New Roman"/>
          <w:kern w:val="2"/>
          <w:sz w:val="24"/>
          <w:szCs w:val="24"/>
          <w:lang w:eastAsia="zh-CN"/>
        </w:rPr>
        <w:t>It could be recommended from the study that:</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due to the resistance profile of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further studies should explore clove extract’s mechanism of action on its efflux pumps and biofilm formation.</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three extracts should be compared under standard pharmaceutical formulations (gel, ointment, etc.) to assess application potential.</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consider expanding the study to include carbapenem-resistant </w:t>
      </w:r>
      <w:r>
        <w:rPr>
          <w:rFonts w:ascii="Times New Roman" w:hAnsi="Times New Roman" w:eastAsia="Times New Roman" w:cs="Times New Roman"/>
          <w:i/>
          <w:iCs/>
          <w:sz w:val="24"/>
          <w:szCs w:val="24"/>
        </w:rPr>
        <w:t>p. aeruginosa</w:t>
      </w:r>
      <w:r>
        <w:rPr>
          <w:rFonts w:ascii="Times New Roman" w:hAnsi="Times New Roman" w:eastAsia="Times New Roman" w:cs="Times New Roman"/>
          <w:sz w:val="24"/>
          <w:szCs w:val="24"/>
        </w:rPr>
        <w:t xml:space="preserve"> strains for broader resistance evaluation.</w:t>
      </w: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480" w:lineRule="auto"/>
        <w:jc w:val="both"/>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b/>
          <w:bCs/>
          <w:sz w:val="28"/>
          <w:szCs w:val="28"/>
        </w:rPr>
      </w:pPr>
    </w:p>
    <w:p>
      <w:pPr>
        <w:spacing w:before="100" w:beforeAutospacing="1" w:after="100" w:afterAutospacing="1" w:line="240" w:lineRule="auto"/>
        <w:ind w:left="720" w:hanging="72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REFERENCES</w:t>
      </w:r>
    </w:p>
    <w:p>
      <w:pPr>
        <w:spacing w:line="480" w:lineRule="auto"/>
        <w:jc w:val="both"/>
      </w:pP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Abdel-Wahhab, M. A., &amp; Aly, S. E. (2015). Antioxidant property of </w:t>
      </w:r>
      <w:r>
        <w:rPr>
          <w:rFonts w:ascii="Times New Roman" w:hAnsi="Times New Roman" w:eastAsia="Times New Roman" w:cs="Times New Roman"/>
          <w:i/>
          <w:iCs/>
          <w:sz w:val="24"/>
          <w:szCs w:val="24"/>
        </w:rPr>
        <w:t>Nigella sativa</w:t>
      </w:r>
      <w:r>
        <w:rPr>
          <w:rFonts w:ascii="Times New Roman" w:hAnsi="Times New Roman" w:eastAsia="Times New Roman" w:cs="Times New Roman"/>
          <w:sz w:val="24"/>
          <w:szCs w:val="24"/>
        </w:rPr>
        <w:t xml:space="preserve"> (black cumin) and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(clove) in rats during aflatoxicosis. </w:t>
      </w:r>
      <w:r>
        <w:rPr>
          <w:rFonts w:ascii="Times New Roman" w:hAnsi="Times New Roman" w:eastAsia="Times New Roman" w:cs="Times New Roman"/>
          <w:i/>
          <w:iCs/>
          <w:sz w:val="24"/>
          <w:szCs w:val="24"/>
        </w:rPr>
        <w:t>Journal of Applied Toxicology, 25</w:t>
      </w:r>
      <w:r>
        <w:rPr>
          <w:rFonts w:ascii="Times New Roman" w:hAnsi="Times New Roman" w:eastAsia="Times New Roman" w:cs="Times New Roman"/>
          <w:sz w:val="24"/>
          <w:szCs w:val="24"/>
        </w:rPr>
        <w:t>(3), 218–223.</w:t>
      </w:r>
    </w:p>
    <w:p>
      <w:pPr>
        <w:pStyle w:val="8"/>
        <w:ind w:left="720" w:hanging="720"/>
        <w:jc w:val="both"/>
      </w:pPr>
      <w:r>
        <w:t xml:space="preserve">Adeyemi, O. S., Ogundele, O. M., &amp; Akintayo, C. O. (2021). Antibacterial and antioxidant potentials of </w:t>
      </w:r>
      <w:r>
        <w:rPr>
          <w:rStyle w:val="13"/>
        </w:rPr>
        <w:t>Syzygium aromaticum</w:t>
      </w:r>
      <w:r>
        <w:t xml:space="preserve"> (clove) extract on multidrug-resistant bacteria. </w:t>
      </w:r>
      <w:r>
        <w:rPr>
          <w:rStyle w:val="13"/>
        </w:rPr>
        <w:t>Journal of Applied Microbiology</w:t>
      </w:r>
      <w:r>
        <w:t xml:space="preserve">, 130(3), 797–805. </w:t>
      </w:r>
      <w:r>
        <w:fldChar w:fldCharType="begin"/>
      </w:r>
      <w:r>
        <w:instrText xml:space="preserve"> HYPERLINK "https://doi.org/10.1111/jam.14883" </w:instrText>
      </w:r>
      <w:r>
        <w:fldChar w:fldCharType="separate"/>
      </w:r>
      <w:r>
        <w:rPr>
          <w:rStyle w:val="14"/>
          <w:rFonts w:eastAsiaTheme="majorEastAsia"/>
        </w:rPr>
        <w:t>https://doi.org/10.1111/jam.14883</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Aguilar-González, A. E., Palou, E., &amp; López-Malo, A. (2015). Antifungal activity of essential oils of clove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and/or mustard (</w:t>
      </w:r>
      <w:r>
        <w:rPr>
          <w:rFonts w:ascii="Times New Roman" w:hAnsi="Times New Roman" w:eastAsia="Times New Roman" w:cs="Times New Roman"/>
          <w:i/>
          <w:iCs/>
          <w:sz w:val="24"/>
          <w:szCs w:val="24"/>
        </w:rPr>
        <w:t>Brassica nigra</w:t>
      </w:r>
      <w:r>
        <w:rPr>
          <w:rFonts w:ascii="Times New Roman" w:hAnsi="Times New Roman" w:eastAsia="Times New Roman" w:cs="Times New Roman"/>
          <w:sz w:val="24"/>
          <w:szCs w:val="24"/>
        </w:rPr>
        <w:t>) in vapor phase against gray mold (</w:t>
      </w:r>
      <w:r>
        <w:rPr>
          <w:rFonts w:ascii="Times New Roman" w:hAnsi="Times New Roman" w:eastAsia="Times New Roman" w:cs="Times New Roman"/>
          <w:i/>
          <w:iCs/>
          <w:sz w:val="24"/>
          <w:szCs w:val="24"/>
        </w:rPr>
        <w:t>Botrytis cinerea</w:t>
      </w:r>
      <w:r>
        <w:rPr>
          <w:rFonts w:ascii="Times New Roman" w:hAnsi="Times New Roman" w:eastAsia="Times New Roman" w:cs="Times New Roman"/>
          <w:sz w:val="24"/>
          <w:szCs w:val="24"/>
        </w:rPr>
        <w:t xml:space="preserve">) in strawberries. </w:t>
      </w:r>
      <w:r>
        <w:rPr>
          <w:rFonts w:ascii="Times New Roman" w:hAnsi="Times New Roman" w:eastAsia="Times New Roman" w:cs="Times New Roman"/>
          <w:i/>
          <w:iCs/>
          <w:sz w:val="24"/>
          <w:szCs w:val="24"/>
        </w:rPr>
        <w:t>Innovative Food Science &amp; Emerging Technologies, 32,</w:t>
      </w:r>
      <w:r>
        <w:rPr>
          <w:rFonts w:ascii="Times New Roman" w:hAnsi="Times New Roman" w:eastAsia="Times New Roman" w:cs="Times New Roman"/>
          <w:sz w:val="24"/>
          <w:szCs w:val="24"/>
        </w:rPr>
        <w:t xml:space="preserve"> 181–185. </w:t>
      </w:r>
      <w:r>
        <w:fldChar w:fldCharType="begin"/>
      </w:r>
      <w:r>
        <w:instrText xml:space="preserve"> HYPERLINK "https://doi.org/10.1016/j.ifset.2015.09.003" </w:instrText>
      </w:r>
      <w:r>
        <w:fldChar w:fldCharType="separate"/>
      </w:r>
      <w:r>
        <w:rPr>
          <w:rFonts w:ascii="Times New Roman" w:hAnsi="Times New Roman" w:eastAsia="Times New Roman" w:cs="Times New Roman"/>
          <w:color w:val="0000FF"/>
          <w:sz w:val="24"/>
          <w:szCs w:val="24"/>
          <w:u w:val="single"/>
        </w:rPr>
        <w:t>https://doi.org/10.1016/j.ifset.2015.09.003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Ali, S. M., Khan, A. A., Ahmed, I., Musaddiq, M., Ahmed, K. S., Polasa, 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(2015). Antimicrobial activities of eugenol and cinnamaldehyde against the human gastric pathogen </w:t>
      </w:r>
      <w:r>
        <w:rPr>
          <w:rFonts w:ascii="Times New Roman" w:hAnsi="Times New Roman" w:eastAsia="Times New Roman" w:cs="Times New Roman"/>
          <w:i/>
          <w:iCs/>
          <w:sz w:val="24"/>
          <w:szCs w:val="24"/>
        </w:rPr>
        <w:t>Helicobacter pylori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Annals of Clinical Microbiology and Antimicrobials, 4,</w:t>
      </w:r>
      <w:r>
        <w:rPr>
          <w:rFonts w:ascii="Times New Roman" w:hAnsi="Times New Roman" w:eastAsia="Times New Roman" w:cs="Times New Roman"/>
          <w:sz w:val="24"/>
          <w:szCs w:val="24"/>
        </w:rPr>
        <w:t xml:space="preserve"> 20.</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Alqahtani, O., Mirajkar, K. K., Kumar, K. R. A., Mahnashi, M. H., Shaikh, I. A., Mitra,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In vitro antibacterial activity of green synthesized silver nanoparticles using </w:t>
      </w:r>
      <w:r>
        <w:rPr>
          <w:rFonts w:ascii="Times New Roman" w:hAnsi="Times New Roman" w:eastAsia="Times New Roman" w:cs="Times New Roman"/>
          <w:i/>
          <w:iCs/>
          <w:sz w:val="24"/>
          <w:szCs w:val="24"/>
        </w:rPr>
        <w:t>Azadirachta indica</w:t>
      </w:r>
      <w:r>
        <w:rPr>
          <w:rFonts w:ascii="Times New Roman" w:hAnsi="Times New Roman" w:eastAsia="Times New Roman" w:cs="Times New Roman"/>
          <w:sz w:val="24"/>
          <w:szCs w:val="24"/>
        </w:rPr>
        <w:t xml:space="preserve"> aqueous leaf extract against MDR pathogens.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 xml:space="preserve"> </w:t>
      </w:r>
      <w:r>
        <w:fldChar w:fldCharType="begin"/>
      </w:r>
      <w:r>
        <w:instrText xml:space="preserve"> HYPERLINK "https://doi.org/10.3390/molecules27217244" </w:instrText>
      </w:r>
      <w:r>
        <w:fldChar w:fldCharType="separate"/>
      </w:r>
      <w:r>
        <w:rPr>
          <w:rFonts w:ascii="Times New Roman" w:hAnsi="Times New Roman" w:eastAsia="Times New Roman" w:cs="Times New Roman"/>
          <w:color w:val="0000FF"/>
          <w:sz w:val="24"/>
          <w:szCs w:val="24"/>
          <w:u w:val="single"/>
        </w:rPr>
        <w:t>https://doi.org/10.3390/molecules27217244</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American Diabetes Association. (2014). </w:t>
      </w:r>
      <w:r>
        <w:rPr>
          <w:rFonts w:ascii="Times New Roman" w:hAnsi="Times New Roman" w:eastAsia="Times New Roman" w:cs="Times New Roman"/>
          <w:i/>
          <w:iCs/>
          <w:sz w:val="24"/>
          <w:szCs w:val="24"/>
        </w:rPr>
        <w:t>Type 1 diabetes</w:t>
      </w:r>
      <w:r>
        <w:rPr>
          <w:rFonts w:ascii="Times New Roman" w:hAnsi="Times New Roman" w:eastAsia="Times New Roman" w:cs="Times New Roman"/>
          <w:sz w:val="24"/>
          <w:szCs w:val="24"/>
        </w:rPr>
        <w:t xml:space="preserve">. Retrieved December 15, 2024, from http://www.diabetes.org/diabetes-basics/type-1 </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Arora, D. S., &amp; Kaur, J. (2019). Antimicrobial activity of spices. </w:t>
      </w:r>
      <w:r>
        <w:rPr>
          <w:rFonts w:ascii="Times New Roman" w:hAnsi="Times New Roman" w:eastAsia="Times New Roman" w:cs="Times New Roman"/>
          <w:i/>
          <w:iCs/>
          <w:sz w:val="24"/>
          <w:szCs w:val="24"/>
        </w:rPr>
        <w:t>International Journal of Antimicrobial Agents, 12,</w:t>
      </w:r>
      <w:r>
        <w:rPr>
          <w:rFonts w:ascii="Times New Roman" w:hAnsi="Times New Roman" w:eastAsia="Times New Roman" w:cs="Times New Roman"/>
          <w:sz w:val="24"/>
          <w:szCs w:val="24"/>
        </w:rPr>
        <w:t xml:space="preserve"> 257–262. </w:t>
      </w:r>
      <w:r>
        <w:fldChar w:fldCharType="begin"/>
      </w:r>
      <w:r>
        <w:instrText xml:space="preserve"> HYPERLINK "https://doi.org/10.1016/s0924-8579(99)00074-6" </w:instrText>
      </w:r>
      <w:r>
        <w:fldChar w:fldCharType="separate"/>
      </w:r>
      <w:r>
        <w:rPr>
          <w:rFonts w:ascii="Times New Roman" w:hAnsi="Times New Roman" w:eastAsia="Times New Roman" w:cs="Times New Roman"/>
          <w:color w:val="0000FF"/>
          <w:sz w:val="24"/>
          <w:szCs w:val="24"/>
          <w:u w:val="single"/>
        </w:rPr>
        <w:t>https://doi.org/10.1016/s0924-8579(99)00074-6</w:t>
      </w:r>
      <w:r>
        <w:rPr>
          <w:rFonts w:ascii="Times New Roman" w:hAnsi="Times New Roman" w:eastAsia="Times New Roman" w:cs="Times New Roman"/>
          <w:color w:val="0000FF"/>
          <w:sz w:val="24"/>
          <w:szCs w:val="24"/>
          <w:u w:val="single"/>
        </w:rPr>
        <w:fldChar w:fldCharType="end"/>
      </w:r>
    </w:p>
    <w:p>
      <w:pPr>
        <w:pStyle w:val="8"/>
        <w:ind w:left="720" w:hanging="720"/>
        <w:jc w:val="both"/>
      </w:pPr>
      <w:r>
        <w:t xml:space="preserve">Aslam, B., Khurshid, M., Arshad, M. I., Muzammil, S., Rasool, M. H., Yasmeen, N., &amp; Baloch, Z. (2022). Antibiotic resistance: A rundown of a global crisis. </w:t>
      </w:r>
      <w:r>
        <w:rPr>
          <w:rStyle w:val="13"/>
        </w:rPr>
        <w:t>Infection and Drug Resistance</w:t>
      </w:r>
      <w:r>
        <w:t xml:space="preserve">, 15, 1825–1844. </w:t>
      </w:r>
      <w:r>
        <w:fldChar w:fldCharType="begin"/>
      </w:r>
      <w:r>
        <w:instrText xml:space="preserve"> HYPERLINK "https://doi.org/10.2147/IDR.S346547" </w:instrText>
      </w:r>
      <w:r>
        <w:fldChar w:fldCharType="separate"/>
      </w:r>
      <w:r>
        <w:rPr>
          <w:rStyle w:val="14"/>
          <w:rFonts w:eastAsiaTheme="majorEastAsia"/>
        </w:rPr>
        <w:t>https://doi.org/10.2147/IDR.S346547</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Assadpour, E., &amp; Mahdi Jafari, S. (2019). A systematic review on nanoencapsulation of food bioactive ingredients and nutraceuticals by various nanocarriers. </w:t>
      </w:r>
      <w:r>
        <w:rPr>
          <w:rFonts w:ascii="Times New Roman" w:hAnsi="Times New Roman" w:eastAsia="Times New Roman" w:cs="Times New Roman"/>
          <w:i/>
          <w:iCs/>
          <w:sz w:val="24"/>
          <w:szCs w:val="24"/>
        </w:rPr>
        <w:t>Critical Reviews in Food Science and Nutrition, 59,</w:t>
      </w:r>
      <w:r>
        <w:rPr>
          <w:rFonts w:ascii="Times New Roman" w:hAnsi="Times New Roman" w:eastAsia="Times New Roman" w:cs="Times New Roman"/>
          <w:sz w:val="24"/>
          <w:szCs w:val="24"/>
        </w:rPr>
        <w:t xml:space="preserve"> 3129–3151. </w:t>
      </w:r>
      <w:r>
        <w:fldChar w:fldCharType="begin"/>
      </w:r>
      <w:r>
        <w:instrText xml:space="preserve"> HYPERLINK "https://doi.org/10.1080/10408398.2018.1484687" </w:instrText>
      </w:r>
      <w:r>
        <w:fldChar w:fldCharType="separate"/>
      </w:r>
      <w:r>
        <w:rPr>
          <w:rFonts w:ascii="Times New Roman" w:hAnsi="Times New Roman" w:eastAsia="Times New Roman" w:cs="Times New Roman"/>
          <w:color w:val="0000FF"/>
          <w:sz w:val="24"/>
          <w:szCs w:val="24"/>
          <w:u w:val="single"/>
        </w:rPr>
        <w:t>https://doi.org/10.1080/10408398.2018.1484687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Atkinson, M. A., &amp; Eisenbarth, G. S. (2011). Type 1 diabetes: New perspectives on disease pathogenesis and treatment. </w:t>
      </w:r>
      <w:r>
        <w:rPr>
          <w:rFonts w:ascii="Times New Roman" w:hAnsi="Times New Roman" w:eastAsia="Times New Roman" w:cs="Times New Roman"/>
          <w:i/>
          <w:iCs/>
          <w:sz w:val="24"/>
          <w:szCs w:val="24"/>
        </w:rPr>
        <w:t>The Lancet, 358,</w:t>
      </w:r>
      <w:r>
        <w:rPr>
          <w:rFonts w:ascii="Times New Roman" w:hAnsi="Times New Roman" w:eastAsia="Times New Roman" w:cs="Times New Roman"/>
          <w:sz w:val="24"/>
          <w:szCs w:val="24"/>
        </w:rPr>
        <w:t xml:space="preserve"> 221–229.</w:t>
      </w:r>
    </w:p>
    <w:p>
      <w:pPr>
        <w:pStyle w:val="8"/>
        <w:ind w:left="720" w:hanging="720"/>
        <w:jc w:val="both"/>
      </w:pPr>
      <w:r>
        <w:t xml:space="preserve">Aziz, M. M., Omar, A. R., &amp; Al-Ani, I. (2023). Phytochemical and antibacterial properties of </w:t>
      </w:r>
      <w:r>
        <w:rPr>
          <w:rStyle w:val="13"/>
        </w:rPr>
        <w:t>Syzygium aromaticum</w:t>
      </w:r>
      <w:r>
        <w:t xml:space="preserve"> against clinical bacterial isolates. </w:t>
      </w:r>
      <w:r>
        <w:rPr>
          <w:rStyle w:val="13"/>
        </w:rPr>
        <w:t>Evidence-Based Complementary and Alternative Medicine</w:t>
      </w:r>
      <w:r>
        <w:t xml:space="preserve">, 2023, 1–8. </w:t>
      </w:r>
      <w:r>
        <w:fldChar w:fldCharType="begin"/>
      </w:r>
      <w:r>
        <w:instrText xml:space="preserve"> HYPERLINK "https://doi.org/10.1155/2023/5586473" </w:instrText>
      </w:r>
      <w:r>
        <w:fldChar w:fldCharType="separate"/>
      </w:r>
      <w:r>
        <w:rPr>
          <w:rStyle w:val="14"/>
          <w:rFonts w:eastAsiaTheme="majorEastAsia"/>
        </w:rPr>
        <w:t>https://doi.org/10.1155/2023/5586473</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Bajpai, V. K., Baek, K. H., &amp; Kang, S. C. (2012). Control of </w:t>
      </w:r>
      <w:r>
        <w:rPr>
          <w:rFonts w:ascii="Times New Roman" w:hAnsi="Times New Roman" w:eastAsia="Times New Roman" w:cs="Times New Roman"/>
          <w:i/>
          <w:iCs/>
          <w:sz w:val="24"/>
          <w:szCs w:val="24"/>
        </w:rPr>
        <w:t>Salmonella</w:t>
      </w:r>
      <w:r>
        <w:rPr>
          <w:rFonts w:ascii="Times New Roman" w:hAnsi="Times New Roman" w:eastAsia="Times New Roman" w:cs="Times New Roman"/>
          <w:sz w:val="24"/>
          <w:szCs w:val="24"/>
        </w:rPr>
        <w:t xml:space="preserve"> in foods by using essential oils: A review. </w:t>
      </w:r>
      <w:r>
        <w:rPr>
          <w:rFonts w:ascii="Times New Roman" w:hAnsi="Times New Roman" w:eastAsia="Times New Roman" w:cs="Times New Roman"/>
          <w:i/>
          <w:iCs/>
          <w:sz w:val="24"/>
          <w:szCs w:val="24"/>
        </w:rPr>
        <w:t>Food Research International, 45,</w:t>
      </w:r>
      <w:r>
        <w:rPr>
          <w:rFonts w:ascii="Times New Roman" w:hAnsi="Times New Roman" w:eastAsia="Times New Roman" w:cs="Times New Roman"/>
          <w:sz w:val="24"/>
          <w:szCs w:val="24"/>
        </w:rPr>
        <w:t xml:space="preserve"> 722–734. </w:t>
      </w:r>
      <w:r>
        <w:fldChar w:fldCharType="begin"/>
      </w:r>
      <w:r>
        <w:instrText xml:space="preserve"> HYPERLINK "https://doi.org/10.1016/j.foodres.2011.04.052" </w:instrText>
      </w:r>
      <w:r>
        <w:fldChar w:fldCharType="separate"/>
      </w:r>
      <w:r>
        <w:rPr>
          <w:rFonts w:ascii="Times New Roman" w:hAnsi="Times New Roman" w:eastAsia="Times New Roman" w:cs="Times New Roman"/>
          <w:color w:val="0000FF"/>
          <w:sz w:val="24"/>
          <w:szCs w:val="24"/>
          <w:u w:val="single"/>
        </w:rPr>
        <w:t>https://doi.org/10.1016/j.foodres.2011.04.052</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Bamdad, F., Kadivar, M., &amp; Keramat, J. (2016). Evaluation of phenolic content and antioxidant activity of Iranian caraway in comparison with clove and BHT using model systems and vegetable oil. </w:t>
      </w:r>
      <w:r>
        <w:rPr>
          <w:rFonts w:ascii="Times New Roman" w:hAnsi="Times New Roman" w:eastAsia="Times New Roman" w:cs="Times New Roman"/>
          <w:i/>
          <w:iCs/>
          <w:sz w:val="24"/>
          <w:szCs w:val="24"/>
        </w:rPr>
        <w:t>International Journal of Food Science and Technology, 41</w:t>
      </w:r>
      <w:r>
        <w:rPr>
          <w:rFonts w:ascii="Times New Roman" w:hAnsi="Times New Roman" w:eastAsia="Times New Roman" w:cs="Times New Roman"/>
          <w:sz w:val="24"/>
          <w:szCs w:val="24"/>
        </w:rPr>
        <w:t>(Suppl 1), S20–S27.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Burt, S. A., &amp; Reinders, R. D. (2013). Antibacterial activity of selected plant essential oils against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O157:H7. </w:t>
      </w:r>
      <w:r>
        <w:rPr>
          <w:rFonts w:ascii="Times New Roman" w:hAnsi="Times New Roman" w:eastAsia="Times New Roman" w:cs="Times New Roman"/>
          <w:i/>
          <w:iCs/>
          <w:sz w:val="24"/>
          <w:szCs w:val="24"/>
        </w:rPr>
        <w:t>Letters in Applied Microbiology, 36</w:t>
      </w:r>
      <w:r>
        <w:rPr>
          <w:rFonts w:ascii="Times New Roman" w:hAnsi="Times New Roman" w:eastAsia="Times New Roman" w:cs="Times New Roman"/>
          <w:sz w:val="24"/>
          <w:szCs w:val="24"/>
        </w:rPr>
        <w:t>(3), 162–167.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CABI Crop Protection Compendium. (2018). </w:t>
      </w:r>
      <w:r>
        <w:rPr>
          <w:rFonts w:ascii="Times New Roman" w:hAnsi="Times New Roman" w:eastAsia="Times New Roman" w:cs="Times New Roman"/>
          <w:i/>
          <w:iCs/>
          <w:sz w:val="24"/>
          <w:szCs w:val="24"/>
        </w:rPr>
        <w:t>Syzygium aromaticum datasheet.</w:t>
      </w:r>
      <w:r>
        <w:rPr>
          <w:rFonts w:ascii="Times New Roman" w:hAnsi="Times New Roman" w:eastAsia="Times New Roman" w:cs="Times New Roman"/>
          <w:sz w:val="24"/>
          <w:szCs w:val="24"/>
        </w:rPr>
        <w:t xml:space="preserve"> Retrieved December 15, 2024, from </w:t>
      </w:r>
      <w:r>
        <w:fldChar w:fldCharType="begin"/>
      </w:r>
      <w:r>
        <w:instrText xml:space="preserve"> HYPERLINK "http://www.cabi.org/pc/datasheet/52412" </w:instrText>
      </w:r>
      <w:r>
        <w:fldChar w:fldCharType="separate"/>
      </w:r>
      <w:r>
        <w:rPr>
          <w:rFonts w:ascii="Times New Roman" w:hAnsi="Times New Roman" w:eastAsia="Times New Roman" w:cs="Times New Roman"/>
          <w:color w:val="0000FF"/>
          <w:sz w:val="24"/>
          <w:szCs w:val="24"/>
          <w:u w:val="single"/>
        </w:rPr>
        <w:t>http://www.cabi.org/pc/datasheet/52412</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Chami, F., Chami, N., Bennis, S., Trouillas, J., &amp; Remmal, A. (2014). Evaluation of carvacrol and eugenol as prophylaxis and treatment of vaginal candidiasis in an immunosuppressed rat model. </w:t>
      </w:r>
      <w:r>
        <w:rPr>
          <w:rFonts w:ascii="Times New Roman" w:hAnsi="Times New Roman" w:eastAsia="Times New Roman" w:cs="Times New Roman"/>
          <w:i/>
          <w:iCs/>
          <w:sz w:val="24"/>
          <w:szCs w:val="24"/>
        </w:rPr>
        <w:t>Journal of Antimicrobial Chemotherapy, 54</w:t>
      </w:r>
      <w:r>
        <w:rPr>
          <w:rFonts w:ascii="Times New Roman" w:hAnsi="Times New Roman" w:eastAsia="Times New Roman" w:cs="Times New Roman"/>
          <w:sz w:val="24"/>
          <w:szCs w:val="24"/>
        </w:rPr>
        <w:t>(5), 909–914.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Chang, C.-S., Tsai, P.-J., Sung, J.-M., Chen, J.-Y., Ho, L.-C., Pandya, K.,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(2014). Diuretics prevent thiazolidinedione-induced cardiac hypertrophy without compromising insulin-sensitizing effects in mice. </w:t>
      </w:r>
      <w:r>
        <w:rPr>
          <w:rFonts w:ascii="Times New Roman" w:hAnsi="Times New Roman" w:eastAsia="Times New Roman" w:cs="Times New Roman"/>
          <w:i/>
          <w:iCs/>
          <w:sz w:val="24"/>
          <w:szCs w:val="24"/>
        </w:rPr>
        <w:t>The American Journal of Pathology, 184</w:t>
      </w:r>
      <w:r>
        <w:rPr>
          <w:rFonts w:ascii="Times New Roman" w:hAnsi="Times New Roman" w:eastAsia="Times New Roman" w:cs="Times New Roman"/>
          <w:sz w:val="24"/>
          <w:szCs w:val="24"/>
        </w:rPr>
        <w:t xml:space="preserve">(2), 442–453. </w:t>
      </w:r>
      <w:r>
        <w:fldChar w:fldCharType="begin"/>
      </w:r>
      <w:r>
        <w:instrText xml:space="preserve"> HYPERLINK "https://doi.org/10.1016/j.ajpath.2013.10.020" </w:instrText>
      </w:r>
      <w:r>
        <w:fldChar w:fldCharType="separate"/>
      </w:r>
      <w:r>
        <w:rPr>
          <w:rFonts w:ascii="Times New Roman" w:hAnsi="Times New Roman" w:eastAsia="Times New Roman" w:cs="Times New Roman"/>
          <w:color w:val="0000FF"/>
          <w:sz w:val="24"/>
          <w:szCs w:val="24"/>
          <w:u w:val="single"/>
        </w:rPr>
        <w:t>https://doi.org/10.1016/j.ajpath.2013.10.020</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Chen, X., Ren, L., Li, M., Qian, J., Fan, J., &amp; Du, B. (2017). Effects of clove essential oil and eugenol on quality and browning control of fresh-cut lettuce. </w:t>
      </w:r>
      <w:r>
        <w:rPr>
          <w:rFonts w:ascii="Times New Roman" w:hAnsi="Times New Roman" w:eastAsia="Times New Roman" w:cs="Times New Roman"/>
          <w:i/>
          <w:iCs/>
          <w:sz w:val="24"/>
          <w:szCs w:val="24"/>
        </w:rPr>
        <w:t>Food Chemistry, 214,</w:t>
      </w:r>
      <w:r>
        <w:rPr>
          <w:rFonts w:ascii="Times New Roman" w:hAnsi="Times New Roman" w:eastAsia="Times New Roman" w:cs="Times New Roman"/>
          <w:sz w:val="24"/>
          <w:szCs w:val="24"/>
        </w:rPr>
        <w:t xml:space="preserve"> 432–439. </w:t>
      </w:r>
      <w:r>
        <w:fldChar w:fldCharType="begin"/>
      </w:r>
      <w:r>
        <w:instrText xml:space="preserve"> HYPERLINK "https://doi.org/10.1016/j.foodchem.2016.07.101" </w:instrText>
      </w:r>
      <w:r>
        <w:fldChar w:fldCharType="separate"/>
      </w:r>
      <w:r>
        <w:rPr>
          <w:rFonts w:ascii="Times New Roman" w:hAnsi="Times New Roman" w:eastAsia="Times New Roman" w:cs="Times New Roman"/>
          <w:color w:val="0000FF"/>
          <w:sz w:val="24"/>
          <w:szCs w:val="24"/>
          <w:u w:val="single"/>
        </w:rPr>
        <w:t>https://doi.org/10.1016/j.foodchem.2016.07.101</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Cimino, C., Maurel, O. M., Musumeci, T., Bonaccorso, A., Drago, F., Souto, E. M. B.,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Essential oils: Pharmaceutical applications and encapsulation strategies into lipid-based delivery systems. </w:t>
      </w:r>
      <w:r>
        <w:rPr>
          <w:rFonts w:ascii="Times New Roman" w:hAnsi="Times New Roman" w:eastAsia="Times New Roman" w:cs="Times New Roman"/>
          <w:i/>
          <w:iCs/>
          <w:sz w:val="24"/>
          <w:szCs w:val="24"/>
        </w:rPr>
        <w:t>Pharmaceutics, 13,</w:t>
      </w:r>
      <w:r>
        <w:rPr>
          <w:rFonts w:ascii="Times New Roman" w:hAnsi="Times New Roman" w:eastAsia="Times New Roman" w:cs="Times New Roman"/>
          <w:sz w:val="24"/>
          <w:szCs w:val="24"/>
        </w:rPr>
        <w:t xml:space="preserve"> 327. </w:t>
      </w:r>
      <w:r>
        <w:fldChar w:fldCharType="begin"/>
      </w:r>
      <w:r>
        <w:instrText xml:space="preserve"> HYPERLINK "https://doi.org/10.1111/j.1541-4337.2011.00169.x" </w:instrText>
      </w:r>
      <w:r>
        <w:fldChar w:fldCharType="separate"/>
      </w:r>
      <w:r>
        <w:rPr>
          <w:rFonts w:ascii="Times New Roman" w:hAnsi="Times New Roman" w:eastAsia="Times New Roman" w:cs="Times New Roman"/>
          <w:color w:val="0000FF"/>
          <w:sz w:val="24"/>
          <w:szCs w:val="24"/>
          <w:u w:val="single"/>
        </w:rPr>
        <w:t>https://doi.org/10.1111/j.1541-4337.2011.00169.x</w:t>
      </w:r>
      <w:r>
        <w:rPr>
          <w:rFonts w:ascii="Times New Roman" w:hAnsi="Times New Roman" w:eastAsia="Times New Roman" w:cs="Times New Roman"/>
          <w:color w:val="0000FF"/>
          <w:sz w:val="24"/>
          <w:szCs w:val="24"/>
          <w:u w:val="single"/>
        </w:rPr>
        <w:fldChar w:fldCharType="end"/>
      </w:r>
    </w:p>
    <w:p>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CLSI. (2018). Performance Standard for Antimicrobial Disk Susceptibility Test MO12-A12, Clinical and Laboratory Standard Institute, Wayne, PA. </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Cooke, D. W., &amp; Plotnick, L. (2018). Type 1 diabetes mellitus in pediatrics. </w:t>
      </w:r>
      <w:r>
        <w:rPr>
          <w:rFonts w:ascii="Times New Roman" w:hAnsi="Times New Roman" w:eastAsia="Times New Roman" w:cs="Times New Roman"/>
          <w:i/>
          <w:iCs/>
          <w:sz w:val="24"/>
          <w:szCs w:val="24"/>
        </w:rPr>
        <w:t>Pediatric Review, 29</w:t>
      </w:r>
      <w:r>
        <w:rPr>
          <w:rFonts w:ascii="Times New Roman" w:hAnsi="Times New Roman" w:eastAsia="Times New Roman" w:cs="Times New Roman"/>
          <w:sz w:val="24"/>
          <w:szCs w:val="24"/>
        </w:rPr>
        <w:t>(11), 374–384.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Cortés-Rojas, D. F., de Souza, C. R. F., &amp; Oliveira, W. P. (2014). Clove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 precious spice. </w:t>
      </w:r>
      <w:r>
        <w:rPr>
          <w:rFonts w:ascii="Times New Roman" w:hAnsi="Times New Roman" w:eastAsia="Times New Roman" w:cs="Times New Roman"/>
          <w:i/>
          <w:iCs/>
          <w:sz w:val="24"/>
          <w:szCs w:val="24"/>
        </w:rPr>
        <w:t>Asian Pacific Journal of Tropical Biomedicine, 4,</w:t>
      </w:r>
      <w:r>
        <w:rPr>
          <w:rFonts w:ascii="Times New Roman" w:hAnsi="Times New Roman" w:eastAsia="Times New Roman" w:cs="Times New Roman"/>
          <w:sz w:val="24"/>
          <w:szCs w:val="24"/>
        </w:rPr>
        <w:t xml:space="preserve"> 90–96. </w:t>
      </w:r>
      <w:r>
        <w:fldChar w:fldCharType="begin"/>
      </w:r>
      <w:r>
        <w:instrText xml:space="preserve"> HYPERLINK "https://doi.org/10.1016/S2221-1691(14)60215-X" </w:instrText>
      </w:r>
      <w:r>
        <w:fldChar w:fldCharType="separate"/>
      </w:r>
      <w:r>
        <w:rPr>
          <w:rFonts w:ascii="Times New Roman" w:hAnsi="Times New Roman" w:eastAsia="Times New Roman" w:cs="Times New Roman"/>
          <w:color w:val="0000FF"/>
          <w:sz w:val="24"/>
          <w:szCs w:val="24"/>
          <w:u w:val="single"/>
        </w:rPr>
        <w:t>https://doi.org/10.1016/S2221-1691(14)60215-X</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Pr>
          <w:rFonts w:ascii="Times New Roman" w:hAnsi="Times New Roman" w:eastAsia="Times New Roman" w:cs="Times New Roman"/>
          <w:i/>
          <w:iCs/>
          <w:sz w:val="24"/>
          <w:szCs w:val="24"/>
        </w:rPr>
        <w:t>Revista Brasileira de Farmacognosia, 19</w:t>
      </w:r>
      <w:r>
        <w:rPr>
          <w:rFonts w:ascii="Times New Roman" w:hAnsi="Times New Roman" w:eastAsia="Times New Roman" w:cs="Times New Roman"/>
          <w:sz w:val="24"/>
          <w:szCs w:val="24"/>
        </w:rPr>
        <w:t>(1B), 212–217.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DeFronzo, R. A., Bonadonna, R. C., Ferrannini, E., &amp; Zimmet, P. (2017). Pathogenesis of NIDDM. In E. Ferrannini, R. A. DeFronzo, &amp; P. Zimmet (Eds.), </w:t>
      </w:r>
      <w:r>
        <w:rPr>
          <w:rFonts w:ascii="Times New Roman" w:hAnsi="Times New Roman" w:eastAsia="Times New Roman" w:cs="Times New Roman"/>
          <w:i/>
          <w:iCs/>
          <w:sz w:val="24"/>
          <w:szCs w:val="24"/>
        </w:rPr>
        <w:t>International Textbook of Diabetes Mellitus</w:t>
      </w:r>
      <w:r>
        <w:rPr>
          <w:rFonts w:ascii="Times New Roman" w:hAnsi="Times New Roman" w:eastAsia="Times New Roman" w:cs="Times New Roman"/>
          <w:sz w:val="24"/>
          <w:szCs w:val="24"/>
        </w:rPr>
        <w:t xml:space="preserve"> (pp. 635–671).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hAnsi="Times New Roman" w:eastAsia="Times New Roman" w:cs="Times New Roman"/>
          <w:i/>
          <w:iCs/>
          <w:sz w:val="24"/>
          <w:szCs w:val="24"/>
        </w:rPr>
        <w:t>Prunus salicina Lindl.</w:t>
      </w:r>
      <w:r>
        <w:rPr>
          <w:rFonts w:ascii="Times New Roman" w:hAnsi="Times New Roman" w:eastAsia="Times New Roman" w:cs="Times New Roman"/>
          <w:sz w:val="24"/>
          <w:szCs w:val="24"/>
        </w:rPr>
        <w:t xml:space="preserve"> cultivars. </w:t>
      </w:r>
      <w:r>
        <w:rPr>
          <w:rFonts w:ascii="Times New Roman" w:hAnsi="Times New Roman" w:eastAsia="Times New Roman" w:cs="Times New Roman"/>
          <w:i/>
          <w:iCs/>
          <w:sz w:val="24"/>
          <w:szCs w:val="24"/>
        </w:rPr>
        <w:t>Food and Chemical Toxicology, 50,</w:t>
      </w:r>
      <w:r>
        <w:rPr>
          <w:rFonts w:ascii="Times New Roman" w:hAnsi="Times New Roman" w:eastAsia="Times New Roman" w:cs="Times New Roman"/>
          <w:sz w:val="24"/>
          <w:szCs w:val="24"/>
        </w:rPr>
        <w:t xml:space="preserve"> 2481–2486. </w:t>
      </w:r>
      <w:r>
        <w:fldChar w:fldCharType="begin"/>
      </w:r>
      <w:r>
        <w:instrText xml:space="preserve"> HYPERLINK "https://doi.org/10.1016/j.fct.2012.02.024" </w:instrText>
      </w:r>
      <w:r>
        <w:fldChar w:fldCharType="separate"/>
      </w:r>
      <w:r>
        <w:rPr>
          <w:rFonts w:ascii="Times New Roman" w:hAnsi="Times New Roman" w:eastAsia="Times New Roman" w:cs="Times New Roman"/>
          <w:color w:val="0000FF"/>
          <w:sz w:val="24"/>
          <w:szCs w:val="24"/>
          <w:u w:val="single"/>
        </w:rPr>
        <w:t>https://doi.org/10.1016/j.fct.2012.02.024</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Devi, K. P., Nisha, S. A., Sakthivel, R., &amp; Pandian, S. K. (2010). Eugenol (an essential oil of clove) acts as an antibacterial agent against </w:t>
      </w:r>
      <w:r>
        <w:rPr>
          <w:rFonts w:ascii="Times New Roman" w:hAnsi="Times New Roman" w:eastAsia="Times New Roman" w:cs="Times New Roman"/>
          <w:i/>
          <w:iCs/>
          <w:sz w:val="24"/>
          <w:szCs w:val="24"/>
        </w:rPr>
        <w:t>Salmonella typhi</w:t>
      </w:r>
      <w:r>
        <w:rPr>
          <w:rFonts w:ascii="Times New Roman" w:hAnsi="Times New Roman" w:eastAsia="Times New Roman" w:cs="Times New Roman"/>
          <w:sz w:val="24"/>
          <w:szCs w:val="24"/>
        </w:rPr>
        <w:t xml:space="preserve"> by disrupting the cellular membrane. </w:t>
      </w:r>
      <w:r>
        <w:rPr>
          <w:rFonts w:ascii="Times New Roman" w:hAnsi="Times New Roman" w:eastAsia="Times New Roman" w:cs="Times New Roman"/>
          <w:i/>
          <w:iCs/>
          <w:sz w:val="24"/>
          <w:szCs w:val="24"/>
        </w:rPr>
        <w:t>Journal of Ethnopharmacology, 130</w:t>
      </w:r>
      <w:r>
        <w:rPr>
          <w:rFonts w:ascii="Times New Roman" w:hAnsi="Times New Roman" w:eastAsia="Times New Roman" w:cs="Times New Roman"/>
          <w:sz w:val="24"/>
          <w:szCs w:val="24"/>
        </w:rPr>
        <w:t>(1), 107–115.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Donsì, F., Annunziata, M., Sessa, M., &amp; Ferrari, G. (2011). Nanoencapsulation of essential oils to enhance their antimicrobial activity in foods. </w:t>
      </w:r>
      <w:r>
        <w:rPr>
          <w:rFonts w:ascii="Times New Roman" w:hAnsi="Times New Roman" w:eastAsia="Times New Roman" w:cs="Times New Roman"/>
          <w:i/>
          <w:iCs/>
          <w:sz w:val="24"/>
          <w:szCs w:val="24"/>
        </w:rPr>
        <w:t>LWT - Food Science and Technology, 44,</w:t>
      </w:r>
      <w:r>
        <w:rPr>
          <w:rFonts w:ascii="Times New Roman" w:hAnsi="Times New Roman" w:eastAsia="Times New Roman" w:cs="Times New Roman"/>
          <w:sz w:val="24"/>
          <w:szCs w:val="24"/>
        </w:rPr>
        <w:t xml:space="preserve"> 1908–1914. </w:t>
      </w:r>
      <w:r>
        <w:fldChar w:fldCharType="begin"/>
      </w:r>
      <w:r>
        <w:instrText xml:space="preserve"> HYPERLINK "https://doi.org/10.1016/j.lwt.2011.03.003" </w:instrText>
      </w:r>
      <w:r>
        <w:fldChar w:fldCharType="separate"/>
      </w:r>
      <w:r>
        <w:rPr>
          <w:rFonts w:ascii="Times New Roman" w:hAnsi="Times New Roman" w:eastAsia="Times New Roman" w:cs="Times New Roman"/>
          <w:color w:val="0000FF"/>
          <w:sz w:val="24"/>
          <w:szCs w:val="24"/>
          <w:u w:val="single"/>
        </w:rPr>
        <w:t>https://doi.org/10.1016/j.lwt.2011.03.003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Dorman, H. J., &amp; Deans, S. G. (2010). Antimicrobial agents from plants: Antibacterial activity of plant volatile oils. </w:t>
      </w:r>
      <w:r>
        <w:rPr>
          <w:rFonts w:ascii="Times New Roman" w:hAnsi="Times New Roman" w:eastAsia="Times New Roman" w:cs="Times New Roman"/>
          <w:i/>
          <w:iCs/>
          <w:sz w:val="24"/>
          <w:szCs w:val="24"/>
        </w:rPr>
        <w:t>Journal of Applied Microbiology, 88</w:t>
      </w:r>
      <w:r>
        <w:rPr>
          <w:rFonts w:ascii="Times New Roman" w:hAnsi="Times New Roman" w:eastAsia="Times New Roman" w:cs="Times New Roman"/>
          <w:sz w:val="24"/>
          <w:szCs w:val="24"/>
        </w:rPr>
        <w:t>(2), 308–316.</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Pr>
          <w:rFonts w:ascii="Times New Roman" w:hAnsi="Times New Roman" w:eastAsia="Times New Roman" w:cs="Times New Roman"/>
          <w:i/>
          <w:iCs/>
          <w:sz w:val="24"/>
          <w:szCs w:val="24"/>
        </w:rPr>
        <w:t>Journal of Agricultural and Food Chemistry, 57</w:t>
      </w:r>
      <w:r>
        <w:rPr>
          <w:rFonts w:ascii="Times New Roman" w:hAnsi="Times New Roman" w:eastAsia="Times New Roman" w:cs="Times New Roman"/>
          <w:sz w:val="24"/>
          <w:szCs w:val="24"/>
        </w:rPr>
        <w:t>(5), 1768–1774.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Ekor, M. (2014). The growing use of herbal medicines: Issues relating to adverse reactions and challenges in monitoring safety. </w:t>
      </w:r>
      <w:r>
        <w:rPr>
          <w:rFonts w:ascii="Times New Roman" w:hAnsi="Times New Roman" w:eastAsia="Times New Roman" w:cs="Times New Roman"/>
          <w:i/>
          <w:iCs/>
          <w:sz w:val="24"/>
          <w:szCs w:val="24"/>
        </w:rPr>
        <w:t>Frontiers in Pharmacology, 4,</w:t>
      </w:r>
      <w:r>
        <w:rPr>
          <w:rFonts w:ascii="Times New Roman" w:hAnsi="Times New Roman" w:eastAsia="Times New Roman" w:cs="Times New Roman"/>
          <w:sz w:val="24"/>
          <w:szCs w:val="24"/>
        </w:rPr>
        <w:t xml:space="preserve"> 177. </w:t>
      </w:r>
      <w:r>
        <w:fldChar w:fldCharType="begin"/>
      </w:r>
      <w:r>
        <w:instrText xml:space="preserve"> HYPERLINK "https://doi.org/10.3389/fphar.2013.00177" </w:instrText>
      </w:r>
      <w:r>
        <w:fldChar w:fldCharType="separate"/>
      </w:r>
      <w:r>
        <w:rPr>
          <w:rFonts w:ascii="Times New Roman" w:hAnsi="Times New Roman" w:eastAsia="Times New Roman" w:cs="Times New Roman"/>
          <w:color w:val="0000FF"/>
          <w:sz w:val="24"/>
          <w:szCs w:val="24"/>
          <w:u w:val="single"/>
        </w:rPr>
        <w:t>https://doi.org/10.3389/fphar.2013.00177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Filho, G. A., Cesar, J. O., &amp; Ramos, J. V. (2013). [Cravo from India]. Itabuna: CEPLAC. Retrieved December 16, 2024, from </w:t>
      </w:r>
      <w:r>
        <w:fldChar w:fldCharType="begin"/>
      </w:r>
      <w:r>
        <w:instrText xml:space="preserve"> HYPERLINK "http://www.ceplac.gov.br/radar.htm" </w:instrText>
      </w:r>
      <w:r>
        <w:fldChar w:fldCharType="separate"/>
      </w:r>
      <w:r>
        <w:rPr>
          <w:rFonts w:ascii="Times New Roman" w:hAnsi="Times New Roman" w:eastAsia="Times New Roman" w:cs="Times New Roman"/>
          <w:color w:val="0000FF"/>
          <w:sz w:val="24"/>
          <w:szCs w:val="24"/>
          <w:u w:val="single"/>
        </w:rPr>
        <w:t>http://www.ceplac.gov.br/radar.htm</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Friedman, M. A., Fleming, L. E., Fernandez, M., Bienfang, P., Schrank, K., Dickey, 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(2008). Ciguatera fish poisoning: Treatment, prevention, and management. </w:t>
      </w:r>
      <w:r>
        <w:rPr>
          <w:rFonts w:ascii="Times New Roman" w:hAnsi="Times New Roman" w:eastAsia="Times New Roman" w:cs="Times New Roman"/>
          <w:i/>
          <w:iCs/>
          <w:sz w:val="24"/>
          <w:szCs w:val="24"/>
        </w:rPr>
        <w:t>Marine Drugs, 6</w:t>
      </w:r>
      <w:r>
        <w:rPr>
          <w:rFonts w:ascii="Times New Roman" w:hAnsi="Times New Roman" w:eastAsia="Times New Roman" w:cs="Times New Roman"/>
          <w:sz w:val="24"/>
          <w:szCs w:val="24"/>
        </w:rPr>
        <w:t>(4), 456–479.</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 Y., Zu, Y., Chen, L., Shi, X., Wang, Z., Sun,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(2017). Antimicrobial activity of clove and rosemary essential oils alone and in combination. </w:t>
      </w:r>
      <w:r>
        <w:rPr>
          <w:rFonts w:ascii="Times New Roman" w:hAnsi="Times New Roman" w:eastAsia="Times New Roman" w:cs="Times New Roman"/>
          <w:i/>
          <w:iCs/>
          <w:sz w:val="24"/>
          <w:szCs w:val="24"/>
        </w:rPr>
        <w:t>Phytotherapy Research, 21</w:t>
      </w:r>
      <w:r>
        <w:rPr>
          <w:rFonts w:ascii="Times New Roman" w:hAnsi="Times New Roman" w:eastAsia="Times New Roman" w:cs="Times New Roman"/>
          <w:sz w:val="24"/>
          <w:szCs w:val="24"/>
        </w:rPr>
        <w:t>(10), 989–994.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Garg, A., &amp; Singh, S. (2011). Enhancement in antifungal activity of eugenol in immunosuppressed rats through lipid nanocarriers. </w:t>
      </w:r>
      <w:r>
        <w:rPr>
          <w:rFonts w:ascii="Times New Roman" w:hAnsi="Times New Roman" w:eastAsia="Times New Roman" w:cs="Times New Roman"/>
          <w:i/>
          <w:iCs/>
          <w:sz w:val="24"/>
          <w:szCs w:val="24"/>
        </w:rPr>
        <w:t>Colloids and Surfaces B: Biointerfaces, 87</w:t>
      </w:r>
      <w:r>
        <w:rPr>
          <w:rFonts w:ascii="Times New Roman" w:hAnsi="Times New Roman" w:eastAsia="Times New Roman" w:cs="Times New Roman"/>
          <w:sz w:val="24"/>
          <w:szCs w:val="24"/>
        </w:rPr>
        <w:t>(2), 280–288.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Gülçin, İ. (2011). Antioxidant activity of eugenol: A structure-activity relationship study. </w:t>
      </w:r>
      <w:r>
        <w:rPr>
          <w:rFonts w:ascii="Times New Roman" w:hAnsi="Times New Roman" w:eastAsia="Times New Roman" w:cs="Times New Roman"/>
          <w:i/>
          <w:iCs/>
          <w:sz w:val="24"/>
          <w:szCs w:val="24"/>
        </w:rPr>
        <w:t>Journal of Medicinal Food, 14</w:t>
      </w:r>
      <w:r>
        <w:rPr>
          <w:rFonts w:ascii="Times New Roman" w:hAnsi="Times New Roman" w:eastAsia="Times New Roman" w:cs="Times New Roman"/>
          <w:sz w:val="24"/>
          <w:szCs w:val="24"/>
        </w:rPr>
        <w:t>(9), 975–985.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Gülçin, İ., Elmastaş, M., &amp; Aboul-Enein, H. Y. (2012). Antioxidant activity of clove oil: A powerful antioxidant source. </w:t>
      </w:r>
      <w:r>
        <w:rPr>
          <w:rFonts w:ascii="Times New Roman" w:hAnsi="Times New Roman" w:eastAsia="Times New Roman" w:cs="Times New Roman"/>
          <w:i/>
          <w:iCs/>
          <w:sz w:val="24"/>
          <w:szCs w:val="24"/>
        </w:rPr>
        <w:t>Arabian Journal of Chemistry, 5</w:t>
      </w:r>
      <w:r>
        <w:rPr>
          <w:rFonts w:ascii="Times New Roman" w:hAnsi="Times New Roman" w:eastAsia="Times New Roman" w:cs="Times New Roman"/>
          <w:sz w:val="24"/>
          <w:szCs w:val="24"/>
        </w:rPr>
        <w:t>(4), 489–499.</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Halder, S., Mehta, A. K., Kar, R., Mustafa, M., Mediratta, P. K., &amp; Sharma, K. K. (2014). Clove oil reverses learning and memory deficits in scopolamine-treated mice. </w:t>
      </w:r>
      <w:r>
        <w:rPr>
          <w:rFonts w:ascii="Times New Roman" w:hAnsi="Times New Roman" w:eastAsia="Times New Roman" w:cs="Times New Roman"/>
          <w:i/>
          <w:iCs/>
          <w:sz w:val="24"/>
          <w:szCs w:val="24"/>
        </w:rPr>
        <w:t>Planta Medica, 77</w:t>
      </w:r>
      <w:r>
        <w:rPr>
          <w:rFonts w:ascii="Times New Roman" w:hAnsi="Times New Roman" w:eastAsia="Times New Roman" w:cs="Times New Roman"/>
          <w:sz w:val="24"/>
          <w:szCs w:val="24"/>
        </w:rPr>
        <w:t>(8).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Haro-González, J. N., Castillo-Herrera, G. A., Martínez-Velázquez, M., &amp; Espinosa-Andrews, H. (2021). Clove essential oil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L. Myrtaceae): Extraction, chemical composition, food applications, and essential bioactivity for human health.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 xml:space="preserve"> 6387. </w:t>
      </w:r>
      <w:r>
        <w:fldChar w:fldCharType="begin"/>
      </w:r>
      <w:r>
        <w:instrText xml:space="preserve"> HYPERLINK "https://doi.org/10.3390/molecules26216387" </w:instrText>
      </w:r>
      <w:r>
        <w:fldChar w:fldCharType="separate"/>
      </w:r>
      <w:r>
        <w:rPr>
          <w:rFonts w:ascii="Times New Roman" w:hAnsi="Times New Roman" w:eastAsia="Times New Roman" w:cs="Times New Roman"/>
          <w:color w:val="0000FF"/>
          <w:sz w:val="24"/>
          <w:szCs w:val="24"/>
          <w:u w:val="single"/>
        </w:rPr>
        <w:t>https://doi.org/10.3390/molecules26216387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Harris, M. I. (2013). Undiagnosed NIDDM: Clinical and public health issues. </w:t>
      </w:r>
      <w:r>
        <w:rPr>
          <w:rFonts w:ascii="Times New Roman" w:hAnsi="Times New Roman" w:eastAsia="Times New Roman" w:cs="Times New Roman"/>
          <w:i/>
          <w:iCs/>
          <w:sz w:val="24"/>
          <w:szCs w:val="24"/>
        </w:rPr>
        <w:t>Diabetes Care, 16,</w:t>
      </w:r>
      <w:r>
        <w:rPr>
          <w:rFonts w:ascii="Times New Roman" w:hAnsi="Times New Roman" w:eastAsia="Times New Roman" w:cs="Times New Roman"/>
          <w:sz w:val="24"/>
          <w:szCs w:val="24"/>
        </w:rPr>
        <w:t xml:space="preserve"> 642–652.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Jirovetz, L., Buchbauer, G., Stoilova, I., Stoyanova, A., Krastanov, A., &amp; Schmidt, E. (2016). Chemical composition and antioxidant properties of clove leaf essential oil. </w:t>
      </w:r>
      <w:r>
        <w:rPr>
          <w:rFonts w:ascii="Times New Roman" w:hAnsi="Times New Roman" w:eastAsia="Times New Roman" w:cs="Times New Roman"/>
          <w:i/>
          <w:iCs/>
          <w:sz w:val="24"/>
          <w:szCs w:val="24"/>
        </w:rPr>
        <w:t>Journal of Agricultural and Food Chemistry, 54</w:t>
      </w:r>
      <w:r>
        <w:rPr>
          <w:rFonts w:ascii="Times New Roman" w:hAnsi="Times New Roman" w:eastAsia="Times New Roman" w:cs="Times New Roman"/>
          <w:sz w:val="24"/>
          <w:szCs w:val="24"/>
        </w:rPr>
        <w:t>(17), 6303–6307.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Jun, S. K., &amp; Yoon, Y. W. (2012). A new look at viruses in Type 1 diabetes. </w:t>
      </w:r>
      <w:r>
        <w:rPr>
          <w:rFonts w:ascii="Times New Roman" w:hAnsi="Times New Roman" w:eastAsia="Times New Roman" w:cs="Times New Roman"/>
          <w:i/>
          <w:iCs/>
          <w:sz w:val="24"/>
          <w:szCs w:val="24"/>
        </w:rPr>
        <w:t>Diabetes/Metabolism Research and Reviews, 19,</w:t>
      </w:r>
      <w:r>
        <w:rPr>
          <w:rFonts w:ascii="Times New Roman" w:hAnsi="Times New Roman" w:eastAsia="Times New Roman" w:cs="Times New Roman"/>
          <w:sz w:val="24"/>
          <w:szCs w:val="24"/>
        </w:rPr>
        <w:t xml:space="preserve"> 8–31.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Kadiki, O. A., Reddy, M. R., &amp; Marzouk, A. A. (2016). Incidence of insulin-dependent diabetes (IDDM) and non-insulin-dependent diabetes (NIDDM) (0–34 years at onset) in Benghazi, Libya. </w:t>
      </w:r>
      <w:r>
        <w:rPr>
          <w:rFonts w:ascii="Times New Roman" w:hAnsi="Times New Roman" w:eastAsia="Times New Roman" w:cs="Times New Roman"/>
          <w:i/>
          <w:iCs/>
          <w:sz w:val="24"/>
          <w:szCs w:val="24"/>
        </w:rPr>
        <w:t>Diabetes Research and Clinical Practice, 32,</w:t>
      </w:r>
      <w:r>
        <w:rPr>
          <w:rFonts w:ascii="Times New Roman" w:hAnsi="Times New Roman" w:eastAsia="Times New Roman" w:cs="Times New Roman"/>
          <w:sz w:val="24"/>
          <w:szCs w:val="24"/>
        </w:rPr>
        <w:t xml:space="preserve"> 165–173.</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Kamatou, G. P., Vermaak, I., &amp; Viljoen, A. M. (2012). Eugenol: From the remote Maluku Islands to the international marketplace. </w:t>
      </w:r>
      <w:r>
        <w:rPr>
          <w:rFonts w:ascii="Times New Roman" w:hAnsi="Times New Roman" w:eastAsia="Times New Roman" w:cs="Times New Roman"/>
          <w:i/>
          <w:iCs/>
          <w:sz w:val="24"/>
          <w:szCs w:val="24"/>
        </w:rPr>
        <w:t>Molecules, 17</w:t>
      </w:r>
      <w:r>
        <w:rPr>
          <w:rFonts w:ascii="Times New Roman" w:hAnsi="Times New Roman" w:eastAsia="Times New Roman" w:cs="Times New Roman"/>
          <w:sz w:val="24"/>
          <w:szCs w:val="24"/>
        </w:rPr>
        <w:t xml:space="preserve">(6), 6953–6981. </w:t>
      </w:r>
      <w:r>
        <w:fldChar w:fldCharType="begin"/>
      </w:r>
      <w:r>
        <w:instrText xml:space="preserve"> HYPERLINK "https://doi.org/10.3390/molecules17066953" </w:instrText>
      </w:r>
      <w:r>
        <w:fldChar w:fldCharType="separate"/>
      </w:r>
      <w:r>
        <w:rPr>
          <w:rFonts w:ascii="Times New Roman" w:hAnsi="Times New Roman" w:eastAsia="Times New Roman" w:cs="Times New Roman"/>
          <w:color w:val="0000FF"/>
          <w:sz w:val="24"/>
          <w:szCs w:val="24"/>
          <w:u w:val="single"/>
        </w:rPr>
        <w:t>https://doi.org/10.3390/molecules17066953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Kharroubi, A. T., &amp; Darwish, H. M. (2015). Diabetes mellitus: The epidemic of the century. </w:t>
      </w:r>
      <w:r>
        <w:rPr>
          <w:rFonts w:ascii="Times New Roman" w:hAnsi="Times New Roman" w:eastAsia="Times New Roman" w:cs="Times New Roman"/>
          <w:i/>
          <w:iCs/>
          <w:sz w:val="24"/>
          <w:szCs w:val="24"/>
        </w:rPr>
        <w:t>World Journal of Diabetes, 6</w:t>
      </w:r>
      <w:r>
        <w:rPr>
          <w:rFonts w:ascii="Times New Roman" w:hAnsi="Times New Roman" w:eastAsia="Times New Roman" w:cs="Times New Roman"/>
          <w:sz w:val="24"/>
          <w:szCs w:val="24"/>
        </w:rPr>
        <w:t xml:space="preserve">(6), 850–867. </w:t>
      </w:r>
      <w:r>
        <w:fldChar w:fldCharType="begin"/>
      </w:r>
      <w:r>
        <w:instrText xml:space="preserve"> HYPERLINK "https://doi.org/10.4239/wjd.v6.i6.850" </w:instrText>
      </w:r>
      <w:r>
        <w:fldChar w:fldCharType="separate"/>
      </w:r>
      <w:r>
        <w:rPr>
          <w:rFonts w:ascii="Times New Roman" w:hAnsi="Times New Roman" w:eastAsia="Times New Roman" w:cs="Times New Roman"/>
          <w:color w:val="0000FF"/>
          <w:sz w:val="24"/>
          <w:szCs w:val="24"/>
          <w:u w:val="single"/>
        </w:rPr>
        <w:t>https://doi.org/10.4239/wjd.v6.i6.850</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Kurokawa, M., Hozumi, T., Basnet, P., Nakano, M., Kadota, S., Namba, T.,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(2018). Purification and characterization of eugeniin as an anti-herpesvirus compound from </w:t>
      </w:r>
      <w:r>
        <w:rPr>
          <w:rFonts w:ascii="Times New Roman" w:hAnsi="Times New Roman" w:eastAsia="Times New Roman" w:cs="Times New Roman"/>
          <w:i/>
          <w:iCs/>
          <w:sz w:val="24"/>
          <w:szCs w:val="24"/>
        </w:rPr>
        <w:t>Geum japonicum</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Journal of Pharmacology and Experimental Therapeutics, 284</w:t>
      </w:r>
      <w:r>
        <w:rPr>
          <w:rFonts w:ascii="Times New Roman" w:hAnsi="Times New Roman" w:eastAsia="Times New Roman" w:cs="Times New Roman"/>
          <w:sz w:val="24"/>
          <w:szCs w:val="24"/>
        </w:rPr>
        <w:t>(2), 728–735.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 H. Y., Lee, B. K., Kim, J. S., Jung, S. J., &amp; Oh, S. B. (2088). Eugenol inhibits ATP-induced P2X currents in trigeminal ganglion neurons. </w:t>
      </w:r>
      <w:r>
        <w:rPr>
          <w:rFonts w:ascii="Times New Roman" w:hAnsi="Times New Roman" w:eastAsia="Times New Roman" w:cs="Times New Roman"/>
          <w:i/>
          <w:iCs/>
          <w:sz w:val="24"/>
          <w:szCs w:val="24"/>
        </w:rPr>
        <w:t>Korean Journal of Physiology &amp; Pharmacology, 12</w:t>
      </w:r>
      <w:r>
        <w:rPr>
          <w:rFonts w:ascii="Times New Roman" w:hAnsi="Times New Roman" w:eastAsia="Times New Roman" w:cs="Times New Roman"/>
          <w:sz w:val="24"/>
          <w:szCs w:val="24"/>
        </w:rPr>
        <w:t>(6), 315–321.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 W. J., Nie, S. P., Liu, X. Z., Zhang, H., Yang, Y., &amp; Yu, Q.,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(2012). Antimicrobial properties, antioxidant activity, and cytotoxicity of ethanol-soluble acidic components from </w:t>
      </w:r>
      <w:r>
        <w:rPr>
          <w:rFonts w:ascii="Times New Roman" w:hAnsi="Times New Roman" w:eastAsia="Times New Roman" w:cs="Times New Roman"/>
          <w:i/>
          <w:iCs/>
          <w:sz w:val="24"/>
          <w:szCs w:val="24"/>
        </w:rPr>
        <w:t>Ganoderma atrum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Food and Chemical Toxicology, 50,</w:t>
      </w:r>
      <w:r>
        <w:rPr>
          <w:rFonts w:ascii="Times New Roman" w:hAnsi="Times New Roman" w:eastAsia="Times New Roman" w:cs="Times New Roman"/>
          <w:sz w:val="24"/>
          <w:szCs w:val="24"/>
        </w:rPr>
        <w:t xml:space="preserve"> 689–694. </w:t>
      </w:r>
      <w:r>
        <w:fldChar w:fldCharType="begin"/>
      </w:r>
      <w:r>
        <w:instrText xml:space="preserve"> HYPERLINK "https://doi.org/10.1016/j.fct.2011.12.011" </w:instrText>
      </w:r>
      <w:r>
        <w:fldChar w:fldCharType="separate"/>
      </w:r>
      <w:r>
        <w:rPr>
          <w:rFonts w:ascii="Times New Roman" w:hAnsi="Times New Roman" w:eastAsia="Times New Roman" w:cs="Times New Roman"/>
          <w:color w:val="0000FF"/>
          <w:sz w:val="24"/>
          <w:szCs w:val="24"/>
          <w:u w:val="single"/>
        </w:rPr>
        <w:t>https://doi.org/10.1016/j.fct.2011.12.011</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Lillioja, S., Mott, D. M., Spraul, M., Ferraro, R., Foley, J. E., Ravussin, E.,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(2013). Insulin resistance and insulin secretory dysfunction as precursors of non–insulin–dependent diabetes. </w:t>
      </w:r>
      <w:r>
        <w:rPr>
          <w:rFonts w:ascii="Times New Roman" w:hAnsi="Times New Roman" w:eastAsia="Times New Roman" w:cs="Times New Roman"/>
          <w:i/>
          <w:iCs/>
          <w:sz w:val="24"/>
          <w:szCs w:val="24"/>
        </w:rPr>
        <w:t>The New England Journal of Medicine, 329,</w:t>
      </w:r>
      <w:r>
        <w:rPr>
          <w:rFonts w:ascii="Times New Roman" w:hAnsi="Times New Roman" w:eastAsia="Times New Roman" w:cs="Times New Roman"/>
          <w:sz w:val="24"/>
          <w:szCs w:val="24"/>
        </w:rPr>
        <w:t xml:space="preserve"> 1988–1992.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Matan, N., Rimkeeree, H., Mawson, A. J., Chompreeda, P., Haruthaithanasan, V., &amp; Parker, M. (2016). Antimicrobial activity of cinnamon and clove oils under modified atmosphere conditions. </w:t>
      </w:r>
      <w:r>
        <w:rPr>
          <w:rFonts w:ascii="Times New Roman" w:hAnsi="Times New Roman" w:eastAsia="Times New Roman" w:cs="Times New Roman"/>
          <w:i/>
          <w:iCs/>
          <w:sz w:val="24"/>
          <w:szCs w:val="24"/>
        </w:rPr>
        <w:t>International Journal of Food Microbiology, 107,</w:t>
      </w:r>
      <w:r>
        <w:rPr>
          <w:rFonts w:ascii="Times New Roman" w:hAnsi="Times New Roman" w:eastAsia="Times New Roman" w:cs="Times New Roman"/>
          <w:sz w:val="24"/>
          <w:szCs w:val="24"/>
        </w:rPr>
        <w:t xml:space="preserve"> 180–185. </w:t>
      </w:r>
      <w:r>
        <w:fldChar w:fldCharType="begin"/>
      </w:r>
      <w:r>
        <w:instrText xml:space="preserve"> HYPERLINK "https://doi.org/10.1016/j.ijfoodmicro.2005.07.007" </w:instrText>
      </w:r>
      <w:r>
        <w:fldChar w:fldCharType="separate"/>
      </w:r>
      <w:r>
        <w:rPr>
          <w:rFonts w:ascii="Times New Roman" w:hAnsi="Times New Roman" w:eastAsia="Times New Roman" w:cs="Times New Roman"/>
          <w:color w:val="0000FF"/>
          <w:sz w:val="24"/>
          <w:szCs w:val="24"/>
          <w:u w:val="single"/>
        </w:rPr>
        <w:t>https://doi.org/10.1016/j.ijfoodmicro.2005.07.007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Mehta, K. D., Garg, G. R., Mehta, A. K., Arora, T., Sharma, A. K., Khanna,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Reversal of propoxur-induced impairment of memory and oxidative stress by 4′-chlorodiazepam in rats. </w:t>
      </w:r>
      <w:r>
        <w:rPr>
          <w:rFonts w:ascii="Times New Roman" w:hAnsi="Times New Roman" w:eastAsia="Times New Roman" w:cs="Times New Roman"/>
          <w:i/>
          <w:iCs/>
          <w:sz w:val="24"/>
          <w:szCs w:val="24"/>
        </w:rPr>
        <w:t>Naunyn-Schmiedeberg's Archives of Pharmacology, 381</w:t>
      </w:r>
      <w:r>
        <w:rPr>
          <w:rFonts w:ascii="Times New Roman" w:hAnsi="Times New Roman" w:eastAsia="Times New Roman" w:cs="Times New Roman"/>
          <w:sz w:val="24"/>
          <w:szCs w:val="24"/>
        </w:rPr>
        <w:t>(1), 1–10.</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Mohan, V., &amp; Pradeepa, R. (2019). Epidemiology of diabetes in different regions of India. </w:t>
      </w:r>
      <w:r>
        <w:rPr>
          <w:rFonts w:ascii="Times New Roman" w:hAnsi="Times New Roman" w:eastAsia="Times New Roman" w:cs="Times New Roman"/>
          <w:i/>
          <w:iCs/>
          <w:sz w:val="24"/>
          <w:szCs w:val="24"/>
        </w:rPr>
        <w:t>Diabetes Research and Clinical Practice, 22,</w:t>
      </w:r>
      <w:r>
        <w:rPr>
          <w:rFonts w:ascii="Times New Roman" w:hAnsi="Times New Roman" w:eastAsia="Times New Roman" w:cs="Times New Roman"/>
          <w:sz w:val="24"/>
          <w:szCs w:val="24"/>
        </w:rPr>
        <w:t xml:space="preserve"> 1–18.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Mooy, J. M., Grootenhuis, P. A., de Vries, H., Valkenburg, H. A., Bouter, L. M., &amp; Kostense, P. J.,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(2015). Prevalence and determinants of glucose intolerance in a Dutch population. </w:t>
      </w:r>
      <w:r>
        <w:rPr>
          <w:rFonts w:ascii="Times New Roman" w:hAnsi="Times New Roman" w:eastAsia="Times New Roman" w:cs="Times New Roman"/>
          <w:i/>
          <w:iCs/>
          <w:sz w:val="24"/>
          <w:szCs w:val="24"/>
        </w:rPr>
        <w:t>Diabetes Care, 18,</w:t>
      </w:r>
      <w:r>
        <w:rPr>
          <w:rFonts w:ascii="Times New Roman" w:hAnsi="Times New Roman" w:eastAsia="Times New Roman" w:cs="Times New Roman"/>
          <w:sz w:val="24"/>
          <w:szCs w:val="24"/>
        </w:rPr>
        <w:t xml:space="preserve"> 1270–1273.</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Muddapur, U. M., Lava, M. B., &amp; Mahnashi, M. H. (2022). Evaluation of green synthesized gold nanoparticles from </w:t>
      </w:r>
      <w:r>
        <w:rPr>
          <w:rFonts w:ascii="Times New Roman" w:hAnsi="Times New Roman" w:eastAsia="Times New Roman" w:cs="Times New Roman"/>
          <w:i/>
          <w:iCs/>
          <w:sz w:val="24"/>
          <w:szCs w:val="24"/>
        </w:rPr>
        <w:t>Abrus precatorius</w:t>
      </w:r>
      <w:r>
        <w:rPr>
          <w:rFonts w:ascii="Times New Roman" w:hAnsi="Times New Roman" w:eastAsia="Times New Roman" w:cs="Times New Roman"/>
          <w:sz w:val="24"/>
          <w:szCs w:val="24"/>
        </w:rPr>
        <w:t xml:space="preserve"> seeds for their antibacterial, anti-inflammatory, anti-proliferative, and antidiabetic properties. </w:t>
      </w:r>
      <w:r>
        <w:rPr>
          <w:rFonts w:ascii="Times New Roman" w:hAnsi="Times New Roman" w:eastAsia="Times New Roman" w:cs="Times New Roman"/>
          <w:i/>
          <w:iCs/>
          <w:sz w:val="24"/>
          <w:szCs w:val="24"/>
        </w:rPr>
        <w:t>Latin American Journal of Pharmacy, 41,</w:t>
      </w:r>
      <w:r>
        <w:rPr>
          <w:rFonts w:ascii="Times New Roman" w:hAnsi="Times New Roman" w:eastAsia="Times New Roman" w:cs="Times New Roman"/>
          <w:sz w:val="24"/>
          <w:szCs w:val="24"/>
        </w:rPr>
        <w:t xml:space="preserve"> 17–45.</w:t>
      </w:r>
    </w:p>
    <w:p>
      <w:pPr>
        <w:pStyle w:val="8"/>
        <w:ind w:left="720" w:hanging="720"/>
        <w:jc w:val="both"/>
      </w:pPr>
      <w:r>
        <w:t xml:space="preserve">Nirwati, H., Sinanjung, K., Fahrunissa, F., Wahyuni, R. M., &amp; Sudarmono, P. (2022). Methicillin-resistant </w:t>
      </w:r>
      <w:r>
        <w:rPr>
          <w:rStyle w:val="13"/>
        </w:rPr>
        <w:t>Staphylococcus aureus</w:t>
      </w:r>
      <w:r>
        <w:t xml:space="preserve"> in hospitals: Epidemiology and current treatment options. </w:t>
      </w:r>
      <w:r>
        <w:rPr>
          <w:rStyle w:val="13"/>
        </w:rPr>
        <w:t>Microorganisms</w:t>
      </w:r>
      <w:r>
        <w:t xml:space="preserve">, 10(2), 354. </w:t>
      </w:r>
      <w:r>
        <w:fldChar w:fldCharType="begin"/>
      </w:r>
      <w:r>
        <w:instrText xml:space="preserve"> HYPERLINK "https://doi.org/10.3390/microorganisms10020354" </w:instrText>
      </w:r>
      <w:r>
        <w:fldChar w:fldCharType="separate"/>
      </w:r>
      <w:r>
        <w:rPr>
          <w:rStyle w:val="14"/>
          <w:rFonts w:eastAsiaTheme="majorEastAsia"/>
        </w:rPr>
        <w:t>https://doi.org/10.3390/microorganisms10020354</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Nuñez, L., &amp; D'Aquino, M. (2012). Microbicide activity of clove essential oil (</w:t>
      </w:r>
      <w:r>
        <w:rPr>
          <w:rFonts w:ascii="Times New Roman" w:hAnsi="Times New Roman" w:eastAsia="Times New Roman" w:cs="Times New Roman"/>
          <w:i/>
          <w:iCs/>
          <w:sz w:val="24"/>
          <w:szCs w:val="24"/>
        </w:rPr>
        <w:t>Eugenia caryophyllata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Brazilian Journal of Microbiology, 43,</w:t>
      </w:r>
      <w:r>
        <w:rPr>
          <w:rFonts w:ascii="Times New Roman" w:hAnsi="Times New Roman" w:eastAsia="Times New Roman" w:cs="Times New Roman"/>
          <w:sz w:val="24"/>
          <w:szCs w:val="24"/>
        </w:rPr>
        <w:t xml:space="preserve"> 1255–1260. </w:t>
      </w:r>
      <w:r>
        <w:fldChar w:fldCharType="begin"/>
      </w:r>
      <w:r>
        <w:instrText xml:space="preserve"> HYPERLINK "https://doi.org/10.1590/S1517-83822012000400003" </w:instrText>
      </w:r>
      <w:r>
        <w:fldChar w:fldCharType="separate"/>
      </w:r>
      <w:r>
        <w:rPr>
          <w:rFonts w:ascii="Times New Roman" w:hAnsi="Times New Roman" w:eastAsia="Times New Roman" w:cs="Times New Roman"/>
          <w:color w:val="0000FF"/>
          <w:sz w:val="24"/>
          <w:szCs w:val="24"/>
          <w:u w:val="single"/>
        </w:rPr>
        <w:t>https://doi.org/10.1590/S1517-83822012000400003</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Ohkubo, T., &amp; Shibata, M. (2017). The selective capsaicin antagonist capsazepine abolishes the antinociceptive action of eugenol and guaiacol. </w:t>
      </w:r>
      <w:r>
        <w:rPr>
          <w:rFonts w:ascii="Times New Roman" w:hAnsi="Times New Roman" w:eastAsia="Times New Roman" w:cs="Times New Roman"/>
          <w:i/>
          <w:iCs/>
          <w:sz w:val="24"/>
          <w:szCs w:val="24"/>
        </w:rPr>
        <w:t>Journal of Dental Research, 76</w:t>
      </w:r>
      <w:r>
        <w:rPr>
          <w:rFonts w:ascii="Times New Roman" w:hAnsi="Times New Roman" w:eastAsia="Times New Roman" w:cs="Times New Roman"/>
          <w:sz w:val="24"/>
          <w:szCs w:val="24"/>
        </w:rPr>
        <w:t>(4), 848–851.</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Oliveira, R. A., Oliveira, F. F., &amp; Sacramento, C. K. (2017). [Essential oils: Prospects for agribusiness spices in Bahia]. </w:t>
      </w:r>
      <w:r>
        <w:rPr>
          <w:rFonts w:ascii="Times New Roman" w:hAnsi="Times New Roman" w:eastAsia="Times New Roman" w:cs="Times New Roman"/>
          <w:i/>
          <w:iCs/>
          <w:sz w:val="24"/>
          <w:szCs w:val="24"/>
        </w:rPr>
        <w:t>Bahia Agric, 8</w:t>
      </w:r>
      <w:r>
        <w:rPr>
          <w:rFonts w:ascii="Times New Roman" w:hAnsi="Times New Roman" w:eastAsia="Times New Roman" w:cs="Times New Roman"/>
          <w:sz w:val="24"/>
          <w:szCs w:val="24"/>
        </w:rPr>
        <w:t>(1), 46–48.</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Park, M. J., Gwak, K. S., Yang, I., Choi, W. S., Jo, H. J., Chang, J. W.,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(2017). Antifungal activities of the essential oils in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sz w:val="24"/>
          <w:szCs w:val="24"/>
        </w:rPr>
        <w:t xml:space="preserve">) Merr. et Perry and </w:t>
      </w:r>
      <w:r>
        <w:rPr>
          <w:rFonts w:ascii="Times New Roman" w:hAnsi="Times New Roman" w:eastAsia="Times New Roman" w:cs="Times New Roman"/>
          <w:i/>
          <w:iCs/>
          <w:sz w:val="24"/>
          <w:szCs w:val="24"/>
        </w:rPr>
        <w:t>Leptospermum petersonii</w:t>
      </w:r>
      <w:r>
        <w:rPr>
          <w:rFonts w:ascii="Times New Roman" w:hAnsi="Times New Roman" w:eastAsia="Times New Roman" w:cs="Times New Roman"/>
          <w:sz w:val="24"/>
          <w:szCs w:val="24"/>
        </w:rPr>
        <w:t xml:space="preserve"> Bailey and their constituents against various dermatophytes. </w:t>
      </w:r>
      <w:r>
        <w:rPr>
          <w:rFonts w:ascii="Times New Roman" w:hAnsi="Times New Roman" w:eastAsia="Times New Roman" w:cs="Times New Roman"/>
          <w:i/>
          <w:iCs/>
          <w:sz w:val="24"/>
          <w:szCs w:val="24"/>
        </w:rPr>
        <w:t>Journal of Microbiology, 45</w:t>
      </w:r>
      <w:r>
        <w:rPr>
          <w:rFonts w:ascii="Times New Roman" w:hAnsi="Times New Roman" w:eastAsia="Times New Roman" w:cs="Times New Roman"/>
          <w:sz w:val="24"/>
          <w:szCs w:val="24"/>
        </w:rPr>
        <w:t>(5), 460–465.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Pérez-Conesa, D., McLandsborough, L., &amp; Weiss, J. (2016). Inhibition and inactivation of </w:t>
      </w:r>
      <w:r>
        <w:rPr>
          <w:rFonts w:ascii="Times New Roman" w:hAnsi="Times New Roman" w:eastAsia="Times New Roman" w:cs="Times New Roman"/>
          <w:i/>
          <w:iCs/>
          <w:sz w:val="24"/>
          <w:szCs w:val="24"/>
        </w:rPr>
        <w:t>Listeria monocytogenes</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O157:H7 colony biofilms by micellar-encapsulated eugenol and carvacrol. </w:t>
      </w:r>
      <w:r>
        <w:rPr>
          <w:rFonts w:ascii="Times New Roman" w:hAnsi="Times New Roman" w:eastAsia="Times New Roman" w:cs="Times New Roman"/>
          <w:i/>
          <w:iCs/>
          <w:sz w:val="24"/>
          <w:szCs w:val="24"/>
        </w:rPr>
        <w:t>Journal of Food Protection, 69</w:t>
      </w:r>
      <w:r>
        <w:rPr>
          <w:rFonts w:ascii="Times New Roman" w:hAnsi="Times New Roman" w:eastAsia="Times New Roman" w:cs="Times New Roman"/>
          <w:sz w:val="24"/>
          <w:szCs w:val="24"/>
        </w:rPr>
        <w:t>(12), 2947–2954.</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Pérez-Jiménez, J., Neveu, V., Vos, F., &amp; Scalbert, A. (2010). Identification of the 100 richest dietary sources of polyphenols: An application of the phenol-explorer database. </w:t>
      </w:r>
      <w:r>
        <w:rPr>
          <w:rFonts w:ascii="Times New Roman" w:hAnsi="Times New Roman" w:eastAsia="Times New Roman" w:cs="Times New Roman"/>
          <w:i/>
          <w:iCs/>
          <w:sz w:val="24"/>
          <w:szCs w:val="24"/>
        </w:rPr>
        <w:t>European Journal of Clinical Nutrition, 64</w:t>
      </w:r>
      <w:r>
        <w:rPr>
          <w:rFonts w:ascii="Times New Roman" w:hAnsi="Times New Roman" w:eastAsia="Times New Roman" w:cs="Times New Roman"/>
          <w:sz w:val="24"/>
          <w:szCs w:val="24"/>
        </w:rPr>
        <w:t>(Suppl 3), S112–S120.</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Ramachandran, A., Snehalatha, C., Latha, E., Vijay, V., &amp; Viswanathan, M. (2017). Rising prevalence of NIDDM in an urban population in India. </w:t>
      </w:r>
      <w:r>
        <w:rPr>
          <w:rFonts w:ascii="Times New Roman" w:hAnsi="Times New Roman" w:eastAsia="Times New Roman" w:cs="Times New Roman"/>
          <w:i/>
          <w:iCs/>
          <w:sz w:val="24"/>
          <w:szCs w:val="24"/>
        </w:rPr>
        <w:t>Diabetologia, 40,</w:t>
      </w:r>
      <w:r>
        <w:rPr>
          <w:rFonts w:ascii="Times New Roman" w:hAnsi="Times New Roman" w:eastAsia="Times New Roman" w:cs="Times New Roman"/>
          <w:sz w:val="24"/>
          <w:szCs w:val="24"/>
        </w:rPr>
        <w:t xml:space="preserve"> 232–237.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Rana, I. S., Rana, A. S., &amp; Rajak, R. C. (2011). Evaluation of antifungal activity in essential oil of the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sz w:val="24"/>
          <w:szCs w:val="24"/>
        </w:rPr>
        <w:t xml:space="preserve">) by extraction, purification, and analysis of its main component eugenol. </w:t>
      </w:r>
      <w:r>
        <w:rPr>
          <w:rFonts w:ascii="Times New Roman" w:hAnsi="Times New Roman" w:eastAsia="Times New Roman" w:cs="Times New Roman"/>
          <w:i/>
          <w:iCs/>
          <w:sz w:val="24"/>
          <w:szCs w:val="24"/>
        </w:rPr>
        <w:t>Brazilian Journal of Microbiology, 42</w:t>
      </w:r>
      <w:r>
        <w:rPr>
          <w:rFonts w:ascii="Times New Roman" w:hAnsi="Times New Roman" w:eastAsia="Times New Roman" w:cs="Times New Roman"/>
          <w:sz w:val="24"/>
          <w:szCs w:val="24"/>
        </w:rPr>
        <w:t>(4), 1269–1277.</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Ribeiro-Santos, R., Andrade, M., Melo, N. R. de, &amp; Sanches-Silva, A. (2017). Use of essential oils in active food packaging: Recent advances and future trends. </w:t>
      </w:r>
      <w:r>
        <w:rPr>
          <w:rFonts w:ascii="Times New Roman" w:hAnsi="Times New Roman" w:eastAsia="Times New Roman" w:cs="Times New Roman"/>
          <w:i/>
          <w:iCs/>
          <w:sz w:val="24"/>
          <w:szCs w:val="24"/>
        </w:rPr>
        <w:t>Trends in Food Science &amp; Technology, 61,</w:t>
      </w:r>
      <w:r>
        <w:rPr>
          <w:rFonts w:ascii="Times New Roman" w:hAnsi="Times New Roman" w:eastAsia="Times New Roman" w:cs="Times New Roman"/>
          <w:sz w:val="24"/>
          <w:szCs w:val="24"/>
        </w:rPr>
        <w:t xml:space="preserve"> 132–140. </w:t>
      </w:r>
      <w:r>
        <w:fldChar w:fldCharType="begin"/>
      </w:r>
      <w:r>
        <w:instrText xml:space="preserve"> HYPERLINK "https://doi.org/10.1016/j.tifs.2016.11.021" </w:instrText>
      </w:r>
      <w:r>
        <w:fldChar w:fldCharType="separate"/>
      </w:r>
      <w:r>
        <w:rPr>
          <w:rFonts w:ascii="Times New Roman" w:hAnsi="Times New Roman" w:eastAsia="Times New Roman" w:cs="Times New Roman"/>
          <w:color w:val="0000FF"/>
          <w:sz w:val="24"/>
          <w:szCs w:val="24"/>
          <w:u w:val="single"/>
        </w:rPr>
        <w:t>https://doi.org/10.1016/j.tifs.2016.11.021</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Ross, J., &amp; Wilson, A. (2010). </w:t>
      </w:r>
      <w:r>
        <w:rPr>
          <w:rFonts w:ascii="Times New Roman" w:hAnsi="Times New Roman" w:eastAsia="Times New Roman" w:cs="Times New Roman"/>
          <w:i/>
          <w:iCs/>
          <w:sz w:val="24"/>
          <w:szCs w:val="24"/>
        </w:rPr>
        <w:t>Anatomy and Pathophysiology in Health and Illness</w:t>
      </w:r>
      <w:r>
        <w:rPr>
          <w:rFonts w:ascii="Times New Roman" w:hAnsi="Times New Roman" w:eastAsia="Times New Roman" w:cs="Times New Roman"/>
          <w:sz w:val="24"/>
          <w:szCs w:val="24"/>
        </w:rPr>
        <w:t xml:space="preserve"> (11th ed., pp. 227–229). Churchill Livingstone Elsevier.</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Saeedi, P., Petersohn, I., Salpea, P., Malanda, B., Karuranga, S., Unwin,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hAnsi="Times New Roman" w:eastAsia="Times New Roman" w:cs="Times New Roman"/>
          <w:i/>
          <w:iCs/>
          <w:sz w:val="24"/>
          <w:szCs w:val="24"/>
        </w:rPr>
        <w:t>Diabetes Research and Clinical Practice, 157,</w:t>
      </w:r>
      <w:r>
        <w:rPr>
          <w:rFonts w:ascii="Times New Roman" w:hAnsi="Times New Roman" w:eastAsia="Times New Roman" w:cs="Times New Roman"/>
          <w:sz w:val="24"/>
          <w:szCs w:val="24"/>
        </w:rPr>
        <w:t xml:space="preserve"> 107843. </w:t>
      </w:r>
      <w:r>
        <w:fldChar w:fldCharType="begin"/>
      </w:r>
      <w:r>
        <w:instrText xml:space="preserve"> HYPERLINK "https://doi.org/10.1016/j.diabres.2019.107843" </w:instrText>
      </w:r>
      <w:r>
        <w:fldChar w:fldCharType="separate"/>
      </w:r>
      <w:r>
        <w:rPr>
          <w:rFonts w:ascii="Times New Roman" w:hAnsi="Times New Roman" w:eastAsia="Times New Roman" w:cs="Times New Roman"/>
          <w:color w:val="0000FF"/>
          <w:sz w:val="24"/>
          <w:szCs w:val="24"/>
          <w:u w:val="single"/>
        </w:rPr>
        <w:t>https://doi.org/10.1016/j.diabres.2019.107843</w:t>
      </w:r>
      <w:r>
        <w:rPr>
          <w:rFonts w:ascii="Times New Roman" w:hAnsi="Times New Roman" w:eastAsia="Times New Roman" w:cs="Times New Roman"/>
          <w:color w:val="0000FF"/>
          <w:sz w:val="24"/>
          <w:szCs w:val="24"/>
          <w:u w:val="single"/>
        </w:rPr>
        <w:fldChar w:fldCharType="end"/>
      </w:r>
    </w:p>
    <w:p>
      <w:pPr>
        <w:pStyle w:val="8"/>
        <w:ind w:left="720" w:hanging="720"/>
        <w:jc w:val="both"/>
      </w:pPr>
      <w:r>
        <w:t xml:space="preserve">Saleh, F., Khan, A., Haque, M. M., &amp; Uddin, S. M. K. (2022). Comparative study of different solvents in extracting phytochemicals and antimicrobial compounds from clove. </w:t>
      </w:r>
      <w:r>
        <w:rPr>
          <w:rStyle w:val="13"/>
        </w:rPr>
        <w:t>Scientific Reports</w:t>
      </w:r>
      <w:r>
        <w:t xml:space="preserve">, 12(1), 15904. </w:t>
      </w:r>
      <w:r>
        <w:fldChar w:fldCharType="begin"/>
      </w:r>
      <w:r>
        <w:instrText xml:space="preserve"> HYPERLINK "https://doi.org/10.1038/s41598-022-19944-0" </w:instrText>
      </w:r>
      <w:r>
        <w:fldChar w:fldCharType="separate"/>
      </w:r>
      <w:r>
        <w:rPr>
          <w:rStyle w:val="14"/>
          <w:rFonts w:eastAsiaTheme="majorEastAsia"/>
        </w:rPr>
        <w:t>https://doi.org/10.1038/s41598-022-19944-0</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Sapra, A., &amp; Bhandari, P. (2022). Diabetes Mellitus. Treasure Island, FL: StatPearls Publishing.</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Sebaaly, C., Jraij, A., Fessi, H., Charcosset, C., &amp; Greige-Gerges, H. (2015). Preparation and characterization of clove essential oil-loaded liposomes. </w:t>
      </w:r>
      <w:r>
        <w:rPr>
          <w:rFonts w:ascii="Times New Roman" w:hAnsi="Times New Roman" w:eastAsia="Times New Roman" w:cs="Times New Roman"/>
          <w:i/>
          <w:iCs/>
          <w:sz w:val="24"/>
          <w:szCs w:val="24"/>
        </w:rPr>
        <w:t>Food Chemistry, 178,</w:t>
      </w:r>
      <w:r>
        <w:rPr>
          <w:rFonts w:ascii="Times New Roman" w:hAnsi="Times New Roman" w:eastAsia="Times New Roman" w:cs="Times New Roman"/>
          <w:sz w:val="24"/>
          <w:szCs w:val="24"/>
        </w:rPr>
        <w:t xml:space="preserve"> 52–62. </w:t>
      </w:r>
      <w:r>
        <w:fldChar w:fldCharType="begin"/>
      </w:r>
      <w:r>
        <w:instrText xml:space="preserve"> HYPERLINK "https://doi.org/10.1016/j.foodchem.2015.01.067" </w:instrText>
      </w:r>
      <w:r>
        <w:fldChar w:fldCharType="separate"/>
      </w:r>
      <w:r>
        <w:rPr>
          <w:rFonts w:ascii="Times New Roman" w:hAnsi="Times New Roman" w:eastAsia="Times New Roman" w:cs="Times New Roman"/>
          <w:color w:val="0000FF"/>
          <w:sz w:val="24"/>
          <w:szCs w:val="24"/>
          <w:u w:val="single"/>
        </w:rPr>
        <w:t>https://doi.org/10.1016/j.foodchem.2015.01.067</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Shan, B., Cai, Y. Z., Sun, M., &amp; Corke, H. (2015). Antioxidant capacity of 26 spice extracts and characterization of their phenolic constituents. </w:t>
      </w:r>
      <w:r>
        <w:rPr>
          <w:rFonts w:ascii="Times New Roman" w:hAnsi="Times New Roman" w:eastAsia="Times New Roman" w:cs="Times New Roman"/>
          <w:i/>
          <w:iCs/>
          <w:sz w:val="24"/>
          <w:szCs w:val="24"/>
        </w:rPr>
        <w:t>Journal of Agricultural and Food Chemistry, 53</w:t>
      </w:r>
      <w:r>
        <w:rPr>
          <w:rFonts w:ascii="Times New Roman" w:hAnsi="Times New Roman" w:eastAsia="Times New Roman" w:cs="Times New Roman"/>
          <w:sz w:val="24"/>
          <w:szCs w:val="24"/>
        </w:rPr>
        <w:t>(20), 7749–7759.</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Shaw, J., Zimmet, P., de Courten, M., Dowse, G., Chitson, P., &amp; Gareeboo, H.,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Impaired fasting glucose or impaired glucose tolerance. </w:t>
      </w:r>
      <w:r>
        <w:rPr>
          <w:rFonts w:ascii="Times New Roman" w:hAnsi="Times New Roman" w:eastAsia="Times New Roman" w:cs="Times New Roman"/>
          <w:i/>
          <w:iCs/>
          <w:sz w:val="24"/>
          <w:szCs w:val="24"/>
        </w:rPr>
        <w:t>Diabetes Care, 22,</w:t>
      </w:r>
      <w:r>
        <w:rPr>
          <w:rFonts w:ascii="Times New Roman" w:hAnsi="Times New Roman" w:eastAsia="Times New Roman" w:cs="Times New Roman"/>
          <w:sz w:val="24"/>
          <w:szCs w:val="24"/>
        </w:rPr>
        <w:t xml:space="preserve"> 399–402.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Sicree, R., Shaw, J., &amp; Zimmet, P. (2016). Diabetes and impaired glucose tolerance. </w:t>
      </w:r>
      <w:r>
        <w:rPr>
          <w:rFonts w:ascii="Times New Roman" w:hAnsi="Times New Roman" w:eastAsia="Times New Roman" w:cs="Times New Roman"/>
          <w:i/>
          <w:iCs/>
          <w:sz w:val="24"/>
          <w:szCs w:val="24"/>
        </w:rPr>
        <w:t>Diabetes Atlas International Diabetes Federation,</w:t>
      </w:r>
      <w:r>
        <w:rPr>
          <w:rFonts w:ascii="Times New Roman" w:hAnsi="Times New Roman" w:eastAsia="Times New Roman" w:cs="Times New Roman"/>
          <w:sz w:val="24"/>
          <w:szCs w:val="24"/>
        </w:rPr>
        <w:t xml:space="preserve"> 15–103.</w:t>
      </w:r>
    </w:p>
    <w:p>
      <w:pPr>
        <w:pStyle w:val="8"/>
        <w:ind w:left="720" w:hanging="720"/>
        <w:jc w:val="both"/>
      </w:pPr>
      <w:r>
        <w:t xml:space="preserve">Singh, G., Sharma, R., &amp; Jain, A. (2021). Comparative phytochemical screening and antibacterial efficacy of clove (Syzygium aromaticum) extracts against Gram-positive and Gram-negative bacteria. </w:t>
      </w:r>
      <w:r>
        <w:rPr>
          <w:rStyle w:val="13"/>
        </w:rPr>
        <w:t>International Journal of Microbiology Research</w:t>
      </w:r>
      <w:r>
        <w:t>, 13(2), 45–52.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Sofia, P. K., Prasad, R., Vijay, V. K., &amp; Srivastava, A. K. (2017). Evaluation of antibacterial activity of Indian spices against common foodborne pathogens. </w:t>
      </w:r>
      <w:r>
        <w:rPr>
          <w:rFonts w:ascii="Times New Roman" w:hAnsi="Times New Roman" w:eastAsia="Times New Roman" w:cs="Times New Roman"/>
          <w:i/>
          <w:iCs/>
          <w:sz w:val="24"/>
          <w:szCs w:val="24"/>
        </w:rPr>
        <w:t>International Journal of Food Science and Technology, 42</w:t>
      </w:r>
      <w:r>
        <w:rPr>
          <w:rFonts w:ascii="Times New Roman" w:hAnsi="Times New Roman" w:eastAsia="Times New Roman" w:cs="Times New Roman"/>
          <w:sz w:val="24"/>
          <w:szCs w:val="24"/>
        </w:rPr>
        <w:t>(8), 910–915.</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Sridhar, G. R., Rao, P. V., &amp; Ahuja, M. M. S. (2012). Epidemiology of diabetes and its complications. In: </w:t>
      </w:r>
      <w:r>
        <w:rPr>
          <w:rFonts w:ascii="Times New Roman" w:hAnsi="Times New Roman" w:eastAsia="Times New Roman" w:cs="Times New Roman"/>
          <w:i/>
          <w:iCs/>
          <w:sz w:val="24"/>
          <w:szCs w:val="24"/>
        </w:rPr>
        <w:t>RSSDI Textbook of Diabetes Mellitus</w:t>
      </w:r>
      <w:r>
        <w:rPr>
          <w:rFonts w:ascii="Times New Roman" w:hAnsi="Times New Roman" w:eastAsia="Times New Roman" w:cs="Times New Roman"/>
          <w:sz w:val="24"/>
          <w:szCs w:val="24"/>
        </w:rPr>
        <w:t xml:space="preserve"> (pp. 95–112).</w:t>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Tahir, R. A., Sarfraz, A., Ashraf, A., &amp; Adil, S. (2016). Chemical composition and antidiabetic activity of essential oils obtained from two spices (</w:t>
      </w:r>
      <w:r>
        <w:rPr>
          <w:rFonts w:ascii="Times New Roman" w:hAnsi="Times New Roman" w:eastAsia="Times New Roman" w:cs="Times New Roman"/>
          <w:i/>
          <w:iCs/>
          <w:sz w:val="24"/>
          <w:szCs w:val="24"/>
        </w:rPr>
        <w:t>Syzygium aromaticum</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Cuminum cyminum</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Food Properties, 19</w:t>
      </w:r>
      <w:r>
        <w:rPr>
          <w:rFonts w:ascii="Times New Roman" w:hAnsi="Times New Roman" w:eastAsia="Times New Roman" w:cs="Times New Roman"/>
          <w:sz w:val="24"/>
          <w:szCs w:val="24"/>
        </w:rPr>
        <w:t xml:space="preserve">(10), 2156–2164. </w:t>
      </w:r>
      <w:r>
        <w:fldChar w:fldCharType="begin"/>
      </w:r>
      <w:r>
        <w:instrText xml:space="preserve"> HYPERLINK "https://doi.org/10.1080/10942912.2015.1110166" </w:instrText>
      </w:r>
      <w:r>
        <w:fldChar w:fldCharType="separate"/>
      </w:r>
      <w:r>
        <w:rPr>
          <w:rFonts w:ascii="Times New Roman" w:hAnsi="Times New Roman" w:eastAsia="Times New Roman" w:cs="Times New Roman"/>
          <w:color w:val="0000FF"/>
          <w:sz w:val="24"/>
          <w:szCs w:val="24"/>
          <w:u w:val="single"/>
        </w:rPr>
        <w:t>https://doi.org/10.1080/10942912.2015.1110166</w:t>
      </w:r>
      <w:r>
        <w:rPr>
          <w:rFonts w:ascii="Times New Roman" w:hAnsi="Times New Roman" w:eastAsia="Times New Roman" w:cs="Times New Roman"/>
          <w:color w:val="0000FF"/>
          <w:sz w:val="24"/>
          <w:szCs w:val="24"/>
          <w:u w:val="single"/>
        </w:rPr>
        <w:fldChar w:fldCharType="end"/>
      </w:r>
    </w:p>
    <w:p>
      <w:pPr>
        <w:pStyle w:val="8"/>
        <w:ind w:left="720" w:hanging="720"/>
        <w:jc w:val="both"/>
      </w:pPr>
      <w:r>
        <w:t xml:space="preserve">Tahsiri, M. R., Nikkhah, M., &amp; Khakbaz Heshmati, G. (2023). Antibacterial and antioxidant activities of clove essential oil: A systematic review. </w:t>
      </w:r>
      <w:r>
        <w:rPr>
          <w:rStyle w:val="13"/>
        </w:rPr>
        <w:t>Natural Product Research</w:t>
      </w:r>
      <w:r>
        <w:t xml:space="preserve">, 37(10), 1815–1823. </w:t>
      </w:r>
      <w:r>
        <w:fldChar w:fldCharType="begin"/>
      </w:r>
      <w:r>
        <w:instrText xml:space="preserve"> HYPERLINK "https://doi.org/10.1080/14786419.2022.2043527" </w:instrText>
      </w:r>
      <w:r>
        <w:fldChar w:fldCharType="separate"/>
      </w:r>
      <w:r>
        <w:rPr>
          <w:rStyle w:val="14"/>
          <w:rFonts w:eastAsiaTheme="majorEastAsia"/>
        </w:rPr>
        <w:t>https://doi.org/10.1080/14786419.2022.2043527</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Vahedikia, N., Garavand, F., Tajeddin, B., Cacciotti, I., Jafari, S. M., &amp; Omidi, T.,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(2019). Biodegradable zein film composites reinforced with chitosan nanoparticles and cinnamon essential oil: Physical, mechanical, structural, and antimicrobial attributes. </w:t>
      </w:r>
      <w:r>
        <w:rPr>
          <w:rFonts w:ascii="Times New Roman" w:hAnsi="Times New Roman" w:eastAsia="Times New Roman" w:cs="Times New Roman"/>
          <w:i/>
          <w:iCs/>
          <w:sz w:val="24"/>
          <w:szCs w:val="24"/>
        </w:rPr>
        <w:t>Colloids and Surfaces B: Biointerfaces, 177,</w:t>
      </w:r>
      <w:r>
        <w:rPr>
          <w:rFonts w:ascii="Times New Roman" w:hAnsi="Times New Roman" w:eastAsia="Times New Roman" w:cs="Times New Roman"/>
          <w:sz w:val="24"/>
          <w:szCs w:val="24"/>
        </w:rPr>
        <w:t xml:space="preserve"> 25–32. </w:t>
      </w:r>
      <w:r>
        <w:fldChar w:fldCharType="begin"/>
      </w:r>
      <w:r>
        <w:instrText xml:space="preserve"> HYPERLINK "https://doi.org/10.1016/j.colsurfb.2019.01.045" </w:instrText>
      </w:r>
      <w:r>
        <w:fldChar w:fldCharType="separate"/>
      </w:r>
      <w:r>
        <w:rPr>
          <w:rFonts w:ascii="Times New Roman" w:hAnsi="Times New Roman" w:eastAsia="Times New Roman" w:cs="Times New Roman"/>
          <w:color w:val="0000FF"/>
          <w:sz w:val="24"/>
          <w:szCs w:val="24"/>
          <w:u w:val="single"/>
        </w:rPr>
        <w:t>https://doi.org/10.1016/j.colsurfb.2019.01.045</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Voon, H. C., Bhat, R., &amp; Rusul, G. (2012). Flower extracts and their essential oils as potential antimicrobial agents for food uses and pharmaceutical applications. </w:t>
      </w:r>
      <w:r>
        <w:rPr>
          <w:rFonts w:ascii="Times New Roman" w:hAnsi="Times New Roman" w:eastAsia="Times New Roman" w:cs="Times New Roman"/>
          <w:i/>
          <w:iCs/>
          <w:sz w:val="24"/>
          <w:szCs w:val="24"/>
        </w:rPr>
        <w:t>Comprehensive Reviews in Food Science and Food Safety, 11,</w:t>
      </w:r>
      <w:r>
        <w:rPr>
          <w:rFonts w:ascii="Times New Roman" w:hAnsi="Times New Roman" w:eastAsia="Times New Roman" w:cs="Times New Roman"/>
          <w:sz w:val="24"/>
          <w:szCs w:val="24"/>
        </w:rPr>
        <w:t xml:space="preserve"> 34–55. </w:t>
      </w:r>
      <w:r>
        <w:fldChar w:fldCharType="begin"/>
      </w:r>
      <w:r>
        <w:instrText xml:space="preserve"> HYPERLINK "https://doi.org/10.1111/j.1541-4337.2011.00169.x" </w:instrText>
      </w:r>
      <w:r>
        <w:fldChar w:fldCharType="separate"/>
      </w:r>
      <w:r>
        <w:rPr>
          <w:rFonts w:ascii="Times New Roman" w:hAnsi="Times New Roman" w:eastAsia="Times New Roman" w:cs="Times New Roman"/>
          <w:color w:val="0000FF"/>
          <w:sz w:val="24"/>
          <w:szCs w:val="24"/>
          <w:u w:val="single"/>
        </w:rPr>
        <w:t>https://doi.org/10.1111/j.1541-4337.2011.00169.x</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Wild, S., Roglic, G., Green, A., Sicree, R., &amp; King, H. (2017). Global prevalence of diabetes: Estimates for the year 2000 and projections for 2030. </w:t>
      </w:r>
      <w:r>
        <w:rPr>
          <w:rFonts w:ascii="Times New Roman" w:hAnsi="Times New Roman" w:eastAsia="Times New Roman" w:cs="Times New Roman"/>
          <w:i/>
          <w:iCs/>
          <w:sz w:val="24"/>
          <w:szCs w:val="24"/>
        </w:rPr>
        <w:t>Diabetes Care, 27,</w:t>
      </w:r>
      <w:r>
        <w:rPr>
          <w:rFonts w:ascii="Times New Roman" w:hAnsi="Times New Roman" w:eastAsia="Times New Roman" w:cs="Times New Roman"/>
          <w:sz w:val="24"/>
          <w:szCs w:val="24"/>
        </w:rPr>
        <w:t xml:space="preserve"> 1047–1053.</w:t>
      </w:r>
    </w:p>
    <w:p>
      <w:pPr>
        <w:pStyle w:val="8"/>
        <w:ind w:left="720" w:hanging="720"/>
        <w:jc w:val="both"/>
      </w:pPr>
      <w:r>
        <w:t xml:space="preserve">World Health Organization (WHO). (2023). </w:t>
      </w:r>
      <w:r>
        <w:rPr>
          <w:rStyle w:val="13"/>
        </w:rPr>
        <w:t>Global antimicrobial resistance and use surveillance system (GLASS) report 2023</w:t>
      </w:r>
      <w:r>
        <w:t xml:space="preserve">. World Health Organization. </w:t>
      </w:r>
      <w:r>
        <w:fldChar w:fldCharType="begin"/>
      </w:r>
      <w:r>
        <w:instrText xml:space="preserve"> HYPERLINK "https://www.who.int/publications/i/item/9789240070140" </w:instrText>
      </w:r>
      <w:r>
        <w:fldChar w:fldCharType="separate"/>
      </w:r>
      <w:r>
        <w:rPr>
          <w:rStyle w:val="14"/>
          <w:rFonts w:eastAsiaTheme="majorEastAsia"/>
        </w:rPr>
        <w:t>https://www.who.int/publications/i/item/9789240070140</w:t>
      </w:r>
      <w:r>
        <w:rPr>
          <w:rStyle w:val="14"/>
          <w:rFonts w:eastAsiaTheme="majorEastAsia"/>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Yamazaki, D., Hitomi, H., &amp; Nishiyama, A. (2018). Hypertension with diabetes mellitus complications. </w:t>
      </w:r>
      <w:r>
        <w:rPr>
          <w:rFonts w:ascii="Times New Roman" w:hAnsi="Times New Roman" w:eastAsia="Times New Roman" w:cs="Times New Roman"/>
          <w:i/>
          <w:iCs/>
          <w:sz w:val="24"/>
          <w:szCs w:val="24"/>
        </w:rPr>
        <w:t>Hypertension Research, 41,</w:t>
      </w:r>
      <w:r>
        <w:rPr>
          <w:rFonts w:ascii="Times New Roman" w:hAnsi="Times New Roman" w:eastAsia="Times New Roman" w:cs="Times New Roman"/>
          <w:sz w:val="24"/>
          <w:szCs w:val="24"/>
        </w:rPr>
        <w:t xml:space="preserve"> 147–156. </w:t>
      </w:r>
      <w:r>
        <w:fldChar w:fldCharType="begin"/>
      </w:r>
      <w:r>
        <w:instrText xml:space="preserve"> HYPERLINK "https://doi.org/10.1038/s41440-017-0008-y" </w:instrText>
      </w:r>
      <w:r>
        <w:fldChar w:fldCharType="separate"/>
      </w:r>
      <w:r>
        <w:rPr>
          <w:rFonts w:ascii="Times New Roman" w:hAnsi="Times New Roman" w:eastAsia="Times New Roman" w:cs="Times New Roman"/>
          <w:color w:val="0000FF"/>
          <w:sz w:val="24"/>
          <w:szCs w:val="24"/>
          <w:u w:val="single"/>
        </w:rPr>
        <w:t>https://doi.org/10.1038/s41440-017-0008-y</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Zeller, M., Danchin, N., Simon, D., Vahanian, A., Lorgis, L., Cottin, 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(2010). Impact of type of preadmission sulfonylureas on mortality and cardiovascular outcomes in diabetic patients with acute myocardial infarction. </w:t>
      </w:r>
      <w:r>
        <w:rPr>
          <w:rFonts w:ascii="Times New Roman" w:hAnsi="Times New Roman" w:eastAsia="Times New Roman" w:cs="Times New Roman"/>
          <w:i/>
          <w:iCs/>
          <w:sz w:val="24"/>
          <w:szCs w:val="24"/>
        </w:rPr>
        <w:t>The Journal of Clinical Endocrinology &amp; Metabolism, 95</w:t>
      </w:r>
      <w:r>
        <w:rPr>
          <w:rFonts w:ascii="Times New Roman" w:hAnsi="Times New Roman" w:eastAsia="Times New Roman" w:cs="Times New Roman"/>
          <w:sz w:val="24"/>
          <w:szCs w:val="24"/>
        </w:rPr>
        <w:t xml:space="preserve">(11), 4993–5002. </w:t>
      </w:r>
      <w:r>
        <w:fldChar w:fldCharType="begin"/>
      </w:r>
      <w:r>
        <w:instrText xml:space="preserve"> HYPERLINK "https://doi.org/10.1210/jc.2010-0449" </w:instrText>
      </w:r>
      <w:r>
        <w:fldChar w:fldCharType="separate"/>
      </w:r>
      <w:r>
        <w:rPr>
          <w:rFonts w:ascii="Times New Roman" w:hAnsi="Times New Roman" w:eastAsia="Times New Roman" w:cs="Times New Roman"/>
          <w:color w:val="0000FF"/>
          <w:sz w:val="24"/>
          <w:szCs w:val="24"/>
          <w:u w:val="single"/>
        </w:rPr>
        <w:t>https://doi.org/10.1210/jc.2010-0449</w:t>
      </w:r>
      <w:r>
        <w:rPr>
          <w:rFonts w:ascii="Times New Roman" w:hAnsi="Times New Roman" w:eastAsia="Times New Roman" w:cs="Times New Roman"/>
          <w:color w:val="0000FF"/>
          <w:sz w:val="24"/>
          <w:szCs w:val="24"/>
          <w:u w:val="single"/>
        </w:rPr>
        <w:fldChar w:fldCharType="end"/>
      </w:r>
    </w:p>
    <w:p>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Zhelyazkov, S., Zsivanovits, G., Stamenova, E., &amp; Marudova, M. (2022). Physical and barrier properties of clove essential oil-loaded potato starch edible films. </w:t>
      </w:r>
      <w:r>
        <w:rPr>
          <w:rFonts w:ascii="Times New Roman" w:hAnsi="Times New Roman" w:eastAsia="Times New Roman" w:cs="Times New Roman"/>
          <w:i/>
          <w:iCs/>
          <w:sz w:val="24"/>
          <w:szCs w:val="24"/>
        </w:rPr>
        <w:t>Biointerface Research in Applied Chemistry, 12,</w:t>
      </w:r>
      <w:r>
        <w:rPr>
          <w:rFonts w:ascii="Times New Roman" w:hAnsi="Times New Roman" w:eastAsia="Times New Roman" w:cs="Times New Roman"/>
          <w:sz w:val="24"/>
          <w:szCs w:val="24"/>
        </w:rPr>
        <w:t xml:space="preserve"> 4603–4612. </w:t>
      </w:r>
      <w:r>
        <w:fldChar w:fldCharType="begin"/>
      </w:r>
      <w:r>
        <w:instrText xml:space="preserve"> HYPERLINK "https://doi.org/10.33263/BRIAC124.46034612" </w:instrText>
      </w:r>
      <w:r>
        <w:fldChar w:fldCharType="separate"/>
      </w:r>
      <w:r>
        <w:rPr>
          <w:rFonts w:ascii="Times New Roman" w:hAnsi="Times New Roman" w:eastAsia="Times New Roman" w:cs="Times New Roman"/>
          <w:color w:val="0000FF"/>
          <w:sz w:val="24"/>
          <w:szCs w:val="24"/>
          <w:u w:val="single"/>
        </w:rPr>
        <w:t>https://doi.org/10.33263/BRIAC124.46034612</w:t>
      </w:r>
      <w:r>
        <w:rPr>
          <w:rFonts w:ascii="Times New Roman" w:hAnsi="Times New Roman" w:eastAsia="Times New Roman" w:cs="Times New Roman"/>
          <w:color w:val="0000FF"/>
          <w:sz w:val="24"/>
          <w:szCs w:val="24"/>
          <w:u w:val="single"/>
        </w:rPr>
        <w:fldChar w:fldCharType="end"/>
      </w:r>
    </w:p>
    <w:sectPr>
      <w:type w:val="continuous"/>
      <w:pgSz w:w="11906" w:h="16838"/>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AppleSystemUIFont">
    <w:altName w:val="Cambria"/>
    <w:panose1 w:val="00000000000000000000"/>
    <w:charset w:val="00"/>
    <w:family w:val="roman"/>
    <w:pitch w:val="default"/>
    <w:sig w:usb0="00000000" w:usb1="00000000" w:usb2="00000000" w:usb3="00000000" w:csb0="00000000" w:csb1="00000000"/>
  </w:font>
  <w:font w:name="UICTFontTextStyleBody">
    <w:altName w:val="Cambria"/>
    <w:panose1 w:val="00000000000000000000"/>
    <w:charset w:val="00"/>
    <w:family w:val="roman"/>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Gothic">
    <w:altName w:val="ＭＳ ゴシック"/>
    <w:panose1 w:val="020B06090702050802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822329"/>
    </w:sdtPr>
    <w:sdtContent>
      <w:p>
        <w:pPr>
          <w:pStyle w:val="6"/>
          <w:jc w:val="center"/>
        </w:pPr>
        <w:r>
          <w:fldChar w:fldCharType="begin"/>
        </w:r>
        <w:r>
          <w:instrText xml:space="preserve"> PAGE   \* MERGEFORMAT </w:instrText>
        </w:r>
        <w:r>
          <w:fldChar w:fldCharType="separate"/>
        </w:r>
        <w: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F2685"/>
    <w:multiLevelType w:val="multilevel"/>
    <w:tmpl w:val="47BF268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C23412"/>
    <w:multiLevelType w:val="multilevel"/>
    <w:tmpl w:val="59C23412"/>
    <w:lvl w:ilvl="0" w:tentative="0">
      <w:start w:val="1"/>
      <w:numFmt w:val="lowerRoman"/>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19"/>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12">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6">
    <w:name w:val="footer"/>
    <w:basedOn w:val="1"/>
    <w:link w:val="24"/>
    <w:unhideWhenUsed/>
    <w:uiPriority w:val="99"/>
    <w:pPr>
      <w:tabs>
        <w:tab w:val="center" w:pos="4680"/>
        <w:tab w:val="right" w:pos="9360"/>
      </w:tabs>
      <w:spacing w:after="0" w:line="240" w:lineRule="auto"/>
    </w:pPr>
  </w:style>
  <w:style w:type="paragraph" w:styleId="7">
    <w:name w:val="header"/>
    <w:basedOn w:val="1"/>
    <w:link w:val="22"/>
    <w:unhideWhenUsed/>
    <w:uiPriority w:val="99"/>
    <w:pPr>
      <w:tabs>
        <w:tab w:val="center" w:pos="4513"/>
        <w:tab w:val="right" w:pos="9026"/>
      </w:tabs>
      <w:spacing w:after="0" w:line="240" w:lineRule="auto"/>
    </w:pPr>
    <w:rPr>
      <w:rFonts w:eastAsiaTheme="minorEastAsia"/>
      <w:lang w:val="en-GB" w:eastAsia="zh-CN"/>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toc 1"/>
    <w:basedOn w:val="1"/>
    <w:next w:val="1"/>
    <w:unhideWhenUsed/>
    <w:uiPriority w:val="39"/>
    <w:pPr>
      <w:spacing w:after="100"/>
    </w:pPr>
  </w:style>
  <w:style w:type="paragraph" w:styleId="10">
    <w:name w:val="toc 2"/>
    <w:basedOn w:val="1"/>
    <w:next w:val="1"/>
    <w:unhideWhenUsed/>
    <w:uiPriority w:val="39"/>
    <w:pPr>
      <w:spacing w:after="100"/>
      <w:ind w:left="220"/>
    </w:pPr>
  </w:style>
  <w:style w:type="paragraph" w:styleId="11">
    <w:name w:val="toc 3"/>
    <w:basedOn w:val="1"/>
    <w:next w:val="1"/>
    <w:unhideWhenUsed/>
    <w:uiPriority w:val="39"/>
    <w:pPr>
      <w:spacing w:after="100"/>
      <w:ind w:left="440"/>
    </w:pPr>
  </w:style>
  <w:style w:type="character" w:styleId="13">
    <w:name w:val="Emphasis"/>
    <w:basedOn w:val="12"/>
    <w:qFormat/>
    <w:uiPriority w:val="20"/>
    <w:rPr>
      <w:i/>
      <w:iCs/>
    </w:rPr>
  </w:style>
  <w:style w:type="character" w:styleId="14">
    <w:name w:val="Hyperlink"/>
    <w:basedOn w:val="12"/>
    <w:unhideWhenUsed/>
    <w:uiPriority w:val="99"/>
    <w:rPr>
      <w:color w:val="0000FF"/>
      <w:u w:val="single"/>
    </w:rPr>
  </w:style>
  <w:style w:type="character" w:styleId="15">
    <w:name w:val="Strong"/>
    <w:basedOn w:val="12"/>
    <w:qFormat/>
    <w:uiPriority w:val="22"/>
    <w:rPr>
      <w:b/>
      <w:bCs/>
    </w:rPr>
  </w:style>
  <w:style w:type="character" w:customStyle="1" w:styleId="17">
    <w:name w:val="Heading 2 Char"/>
    <w:basedOn w:val="12"/>
    <w:link w:val="3"/>
    <w:uiPriority w:val="9"/>
    <w:rPr>
      <w:rFonts w:ascii="Times New Roman" w:hAnsi="Times New Roman" w:eastAsia="Times New Roman" w:cs="Times New Roman"/>
      <w:b/>
      <w:bCs/>
      <w:sz w:val="36"/>
      <w:szCs w:val="36"/>
    </w:rPr>
  </w:style>
  <w:style w:type="character" w:customStyle="1" w:styleId="18">
    <w:name w:val="Heading 3 Char"/>
    <w:basedOn w:val="12"/>
    <w:link w:val="4"/>
    <w:uiPriority w:val="9"/>
    <w:rPr>
      <w:rFonts w:ascii="Times New Roman" w:hAnsi="Times New Roman" w:eastAsia="Times New Roman" w:cs="Times New Roman"/>
      <w:b/>
      <w:bCs/>
      <w:sz w:val="27"/>
      <w:szCs w:val="27"/>
    </w:rPr>
  </w:style>
  <w:style w:type="character" w:customStyle="1" w:styleId="19">
    <w:name w:val="Heading 4 Char"/>
    <w:basedOn w:val="12"/>
    <w:link w:val="5"/>
    <w:semiHidden/>
    <w:uiPriority w:val="9"/>
    <w:rPr>
      <w:rFonts w:asciiTheme="majorHAnsi" w:hAnsiTheme="majorHAnsi" w:eastAsiaTheme="majorEastAsia" w:cstheme="majorBidi"/>
      <w:i/>
      <w:iCs/>
      <w:color w:val="2F5597" w:themeColor="accent1" w:themeShade="BF"/>
    </w:rPr>
  </w:style>
  <w:style w:type="paragraph" w:customStyle="1" w:styleId="20">
    <w:name w:val="List Paragraph"/>
    <w:basedOn w:val="1"/>
    <w:qFormat/>
    <w:uiPriority w:val="34"/>
    <w:pPr>
      <w:ind w:left="720"/>
      <w:contextualSpacing/>
    </w:pPr>
    <w:rPr>
      <w:rFonts w:eastAsiaTheme="minorEastAsia"/>
      <w:lang w:val="en-GB" w:eastAsia="zh-CN"/>
    </w:rPr>
  </w:style>
  <w:style w:type="character" w:customStyle="1" w:styleId="21">
    <w:name w:val="Heading 1 Char"/>
    <w:basedOn w:val="12"/>
    <w:link w:val="2"/>
    <w:uiPriority w:val="9"/>
    <w:rPr>
      <w:rFonts w:asciiTheme="majorHAnsi" w:hAnsiTheme="majorHAnsi" w:eastAsiaTheme="majorEastAsia" w:cstheme="majorBidi"/>
      <w:color w:val="2F5597" w:themeColor="accent1" w:themeShade="BF"/>
      <w:sz w:val="32"/>
      <w:szCs w:val="32"/>
    </w:rPr>
  </w:style>
  <w:style w:type="character" w:customStyle="1" w:styleId="22">
    <w:name w:val="Header Char"/>
    <w:basedOn w:val="12"/>
    <w:link w:val="7"/>
    <w:uiPriority w:val="99"/>
    <w:rPr>
      <w:rFonts w:eastAsiaTheme="minorEastAsia"/>
      <w:lang w:val="en-GB" w:eastAsia="zh-CN"/>
    </w:rPr>
  </w:style>
  <w:style w:type="paragraph" w:customStyle="1" w:styleId="23">
    <w:name w:val="TOC Heading"/>
    <w:basedOn w:val="2"/>
    <w:next w:val="1"/>
    <w:unhideWhenUsed/>
    <w:qFormat/>
    <w:uiPriority w:val="39"/>
    <w:pPr>
      <w:outlineLvl w:val="9"/>
    </w:pPr>
  </w:style>
  <w:style w:type="character" w:customStyle="1" w:styleId="24">
    <w:name w:val="Footer Char"/>
    <w:basedOn w:val="12"/>
    <w:link w:val="6"/>
    <w:uiPriority w:val="99"/>
  </w:style>
  <w:style w:type="paragraph" w:customStyle="1" w:styleId="25">
    <w:name w:val="p1"/>
    <w:basedOn w:val="1"/>
    <w:uiPriority w:val="0"/>
    <w:pPr>
      <w:spacing w:after="0" w:line="240" w:lineRule="auto"/>
    </w:pPr>
    <w:rPr>
      <w:rFonts w:ascii=".AppleSystemUIFont" w:hAnsi=".AppleSystemUIFont" w:cs="Times New Roman" w:eastAsiaTheme="minorEastAsia"/>
      <w:sz w:val="21"/>
      <w:szCs w:val="21"/>
      <w:lang w:eastAsia="en-GB"/>
    </w:rPr>
  </w:style>
  <w:style w:type="paragraph" w:customStyle="1" w:styleId="26">
    <w:name w:val="p2"/>
    <w:basedOn w:val="1"/>
    <w:uiPriority w:val="0"/>
    <w:pPr>
      <w:spacing w:after="0" w:line="240" w:lineRule="auto"/>
    </w:pPr>
    <w:rPr>
      <w:rFonts w:ascii=".AppleSystemUIFont" w:hAnsi=".AppleSystemUIFont" w:cs="Times New Roman" w:eastAsiaTheme="minorEastAsia"/>
      <w:sz w:val="21"/>
      <w:szCs w:val="21"/>
      <w:lang w:eastAsia="en-GB"/>
    </w:rPr>
  </w:style>
  <w:style w:type="character" w:customStyle="1" w:styleId="27">
    <w:name w:val="s1"/>
    <w:basedOn w:val="12"/>
    <w:uiPriority w:val="0"/>
    <w:rPr>
      <w:rFonts w:hint="default" w:ascii="UICTFontTextStyleBody" w:hAnsi="UICTFontTextStyleBody"/>
      <w:sz w:val="21"/>
      <w:szCs w:val="21"/>
    </w:rPr>
  </w:style>
  <w:style w:type="character" w:customStyle="1" w:styleId="28">
    <w:name w:val="apple-converted-space"/>
    <w:basedOn w:val="12"/>
    <w:uiPriority w:val="0"/>
  </w:style>
  <w:style w:type="paragraph" w:customStyle="1" w:styleId="2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11377</Words>
  <Characters>64850</Characters>
  <Lines>540</Lines>
  <Paragraphs>152</Paragraphs>
  <TotalTime>0</TotalTime>
  <ScaleCrop>false</ScaleCrop>
  <LinksUpToDate>false</LinksUpToDate>
  <CharactersWithSpaces>76075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2025-07-11T11:46:00Z</dcterms:created>
  <dc:creator>Jibril</dc:creator>
  <cp:lastModifiedBy>iPhone</cp:lastModifiedBy>
  <dcterms:modified xsi:type="dcterms:W3CDTF">2025-07-11T12:03:41Z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C13CAF10A95CF3C886EF7068645ED70E_32</vt:lpwstr>
  </property>
  <property fmtid="{D5CDD505-2E9C-101B-9397-08002B2CF9AE}" pid="3" name="KSOProductBuildVer">
    <vt:lpwstr>3081-11.34.13</vt:lpwstr>
  </property>
</Properties>
</file>