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2203" w14:textId="77777777" w:rsidR="00714D18" w:rsidRDefault="006E5117">
      <w:pPr>
        <w:spacing w:line="480" w:lineRule="auto"/>
        <w:jc w:val="center"/>
        <w:rPr>
          <w:rFonts w:ascii="Times New Roman" w:hAnsi="Times New Roman" w:cs="Times New Roman"/>
          <w:b/>
          <w:sz w:val="32"/>
          <w:szCs w:val="32"/>
        </w:rPr>
      </w:pPr>
      <w:r>
        <w:rPr>
          <w:rFonts w:ascii="Times New Roman" w:hAnsi="Times New Roman" w:cs="Times New Roman"/>
          <w:b/>
          <w:sz w:val="32"/>
          <w:szCs w:val="32"/>
        </w:rPr>
        <w:t xml:space="preserve">EFFECTS OF </w:t>
      </w:r>
      <w:proofErr w:type="spellStart"/>
      <w:r>
        <w:rPr>
          <w:rFonts w:ascii="Times New Roman" w:eastAsia="Times New Roman" w:hAnsi="Times New Roman" w:cs="Times New Roman"/>
          <w:b/>
          <w:i/>
          <w:iCs/>
          <w:sz w:val="32"/>
          <w:szCs w:val="32"/>
        </w:rPr>
        <w:t>Syzygium</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a</w:t>
      </w:r>
      <w:r>
        <w:rPr>
          <w:rFonts w:ascii="Times New Roman" w:hAnsi="Times New Roman" w:cs="Times New Roman"/>
          <w:b/>
          <w:i/>
          <w:sz w:val="32"/>
          <w:szCs w:val="32"/>
        </w:rPr>
        <w:t>romaticum</w:t>
      </w:r>
      <w:proofErr w:type="spellEnd"/>
      <w:r>
        <w:rPr>
          <w:rFonts w:ascii="Times New Roman" w:hAnsi="Times New Roman" w:cs="Times New Roman"/>
          <w:b/>
          <w:sz w:val="32"/>
          <w:szCs w:val="32"/>
        </w:rPr>
        <w:t xml:space="preserve"> (CLOVES) AQUEOUS EXTRACT ON PAROXETINE -INDUCED DYSFUNCTIONAL RATS</w:t>
      </w:r>
    </w:p>
    <w:p w14:paraId="6065A7FA" w14:textId="77777777" w:rsidR="00714D18" w:rsidRDefault="00714D18">
      <w:pPr>
        <w:wordWrap w:val="0"/>
        <w:jc w:val="both"/>
        <w:rPr>
          <w:rFonts w:ascii="Times New Roman" w:eastAsia="SimSun" w:hAnsi="Times New Roman" w:cs="Times New Roman"/>
          <w:color w:val="000000"/>
          <w:sz w:val="28"/>
          <w:szCs w:val="28"/>
        </w:rPr>
      </w:pPr>
    </w:p>
    <w:p w14:paraId="36EA0853" w14:textId="77777777" w:rsidR="00714D18" w:rsidRDefault="00714D18">
      <w:pPr>
        <w:wordWrap w:val="0"/>
        <w:jc w:val="both"/>
        <w:rPr>
          <w:rFonts w:ascii="Times New Roman" w:eastAsia="SimSun" w:hAnsi="Times New Roman" w:cs="Times New Roman"/>
          <w:color w:val="000000"/>
          <w:sz w:val="28"/>
          <w:szCs w:val="28"/>
        </w:rPr>
      </w:pPr>
    </w:p>
    <w:p w14:paraId="4B4E1E36" w14:textId="77777777" w:rsidR="00714D18" w:rsidRDefault="00714D18">
      <w:pPr>
        <w:wordWrap w:val="0"/>
        <w:jc w:val="both"/>
        <w:rPr>
          <w:rFonts w:ascii="Times New Roman" w:eastAsia="SimSun" w:hAnsi="Times New Roman" w:cs="Times New Roman"/>
          <w:color w:val="000000"/>
          <w:sz w:val="28"/>
          <w:szCs w:val="28"/>
        </w:rPr>
      </w:pPr>
    </w:p>
    <w:p w14:paraId="0EE9D117" w14:textId="77777777" w:rsidR="00714D18" w:rsidRDefault="006E5117">
      <w:pPr>
        <w:wordWrap w:val="0"/>
        <w:spacing w:line="196" w:lineRule="auto"/>
        <w:jc w:val="center"/>
        <w:rPr>
          <w:rFonts w:ascii="Times New Roman" w:hAnsi="Times New Roman" w:cs="Times New Roman"/>
          <w:sz w:val="28"/>
          <w:szCs w:val="28"/>
        </w:rPr>
      </w:pPr>
      <w:r>
        <w:rPr>
          <w:rFonts w:ascii="Times New Roman" w:eastAsia="Calibri" w:hAnsi="Times New Roman" w:cs="Times New Roman"/>
          <w:i/>
          <w:color w:val="000000"/>
          <w:sz w:val="28"/>
          <w:szCs w:val="28"/>
        </w:rPr>
        <w:t>BY:</w:t>
      </w:r>
    </w:p>
    <w:p w14:paraId="3B07202B" w14:textId="77777777" w:rsidR="00714D18" w:rsidRDefault="00714D18">
      <w:pPr>
        <w:wordWrap w:val="0"/>
        <w:jc w:val="both"/>
        <w:rPr>
          <w:rFonts w:ascii="Times New Roman" w:eastAsia="SimSun" w:hAnsi="Times New Roman" w:cs="Times New Roman"/>
          <w:color w:val="000000"/>
          <w:sz w:val="28"/>
          <w:szCs w:val="28"/>
        </w:rPr>
      </w:pPr>
    </w:p>
    <w:p w14:paraId="1B69F009" w14:textId="77777777" w:rsidR="00714D18" w:rsidRDefault="00714D18">
      <w:pPr>
        <w:wordWrap w:val="0"/>
        <w:jc w:val="both"/>
        <w:rPr>
          <w:rFonts w:ascii="Times New Roman" w:eastAsia="SimSun" w:hAnsi="Times New Roman" w:cs="Times New Roman"/>
          <w:color w:val="000000"/>
          <w:sz w:val="28"/>
          <w:szCs w:val="28"/>
        </w:rPr>
      </w:pPr>
    </w:p>
    <w:p w14:paraId="4A2A37A6" w14:textId="77777777" w:rsidR="00714D18" w:rsidRDefault="00714D18">
      <w:pPr>
        <w:wordWrap w:val="0"/>
        <w:jc w:val="both"/>
        <w:rPr>
          <w:rFonts w:ascii="Times New Roman" w:eastAsia="SimSun" w:hAnsi="Times New Roman" w:cs="Times New Roman"/>
          <w:color w:val="000000"/>
          <w:sz w:val="28"/>
          <w:szCs w:val="28"/>
        </w:rPr>
      </w:pPr>
    </w:p>
    <w:p w14:paraId="50A5C5DA" w14:textId="77777777" w:rsidR="00714D18" w:rsidRDefault="006E5117">
      <w:pPr>
        <w:wordWrap w:val="0"/>
        <w:spacing w:line="220" w:lineRule="auto"/>
        <w:jc w:val="center"/>
        <w:rPr>
          <w:rFonts w:ascii="Times New Roman" w:hAnsi="Times New Roman" w:cs="Times New Roman"/>
          <w:b/>
          <w:bCs/>
          <w:sz w:val="44"/>
          <w:szCs w:val="44"/>
        </w:rPr>
      </w:pPr>
      <w:r>
        <w:rPr>
          <w:rFonts w:ascii="Times New Roman" w:hAnsi="Times New Roman" w:cs="Times New Roman"/>
          <w:b/>
          <w:bCs/>
          <w:sz w:val="44"/>
          <w:szCs w:val="44"/>
        </w:rPr>
        <w:t>ISHOLA MUTIYAT ASABI</w:t>
      </w:r>
    </w:p>
    <w:p w14:paraId="02A42147" w14:textId="77777777" w:rsidR="00714D18" w:rsidRDefault="00714D18">
      <w:pPr>
        <w:wordWrap w:val="0"/>
        <w:jc w:val="both"/>
        <w:rPr>
          <w:rFonts w:ascii="Times New Roman" w:eastAsia="SimSun" w:hAnsi="Times New Roman" w:cs="Times New Roman"/>
          <w:color w:val="000000"/>
          <w:sz w:val="44"/>
          <w:szCs w:val="44"/>
        </w:rPr>
      </w:pPr>
    </w:p>
    <w:p w14:paraId="6D9D558A" w14:textId="77777777" w:rsidR="00714D18" w:rsidRDefault="006E5117">
      <w:pPr>
        <w:wordWrap w:val="0"/>
        <w:spacing w:line="191" w:lineRule="auto"/>
        <w:jc w:val="center"/>
        <w:rPr>
          <w:rFonts w:ascii="Times New Roman" w:hAnsi="Times New Roman" w:cs="Times New Roman"/>
          <w:sz w:val="44"/>
          <w:szCs w:val="44"/>
        </w:rPr>
      </w:pPr>
      <w:r>
        <w:rPr>
          <w:rFonts w:ascii="Times New Roman" w:eastAsia="Calibri" w:hAnsi="Times New Roman" w:cs="Times New Roman"/>
          <w:b/>
          <w:color w:val="000000"/>
          <w:sz w:val="44"/>
          <w:szCs w:val="44"/>
        </w:rPr>
        <w:t>HND/23/SLT/FT/0255</w:t>
      </w:r>
    </w:p>
    <w:p w14:paraId="47E78A8B" w14:textId="77777777" w:rsidR="00714D18" w:rsidRDefault="00714D18">
      <w:pPr>
        <w:wordWrap w:val="0"/>
        <w:jc w:val="both"/>
        <w:rPr>
          <w:rFonts w:ascii="Times New Roman" w:eastAsia="SimSun" w:hAnsi="Times New Roman" w:cs="Times New Roman"/>
          <w:color w:val="000000"/>
          <w:sz w:val="28"/>
          <w:szCs w:val="28"/>
        </w:rPr>
      </w:pPr>
    </w:p>
    <w:p w14:paraId="18BAC732" w14:textId="77777777" w:rsidR="00714D18" w:rsidRDefault="00714D18">
      <w:pPr>
        <w:wordWrap w:val="0"/>
        <w:jc w:val="both"/>
        <w:rPr>
          <w:rFonts w:ascii="Times New Roman" w:eastAsia="SimSun" w:hAnsi="Times New Roman" w:cs="Times New Roman"/>
          <w:color w:val="000000"/>
          <w:sz w:val="28"/>
          <w:szCs w:val="28"/>
        </w:rPr>
      </w:pPr>
    </w:p>
    <w:p w14:paraId="507894B1" w14:textId="77777777" w:rsidR="00714D18" w:rsidRDefault="00714D18">
      <w:pPr>
        <w:wordWrap w:val="0"/>
        <w:jc w:val="both"/>
        <w:rPr>
          <w:rFonts w:ascii="Times New Roman" w:eastAsia="SimSun" w:hAnsi="Times New Roman" w:cs="Times New Roman"/>
          <w:color w:val="000000"/>
          <w:sz w:val="28"/>
          <w:szCs w:val="28"/>
        </w:rPr>
      </w:pPr>
    </w:p>
    <w:p w14:paraId="3CED27BD" w14:textId="77777777" w:rsidR="00714D18" w:rsidRDefault="00714D18">
      <w:pPr>
        <w:wordWrap w:val="0"/>
        <w:jc w:val="both"/>
        <w:rPr>
          <w:rFonts w:ascii="Times New Roman" w:eastAsia="SimSun" w:hAnsi="Times New Roman" w:cs="Times New Roman"/>
          <w:color w:val="000000"/>
          <w:sz w:val="28"/>
          <w:szCs w:val="28"/>
        </w:rPr>
      </w:pPr>
    </w:p>
    <w:p w14:paraId="711A448A" w14:textId="77777777" w:rsidR="00714D18" w:rsidRDefault="006E5117">
      <w:pPr>
        <w:wordWrap w:val="0"/>
        <w:ind w:left="2940" w:firstLineChars="350" w:firstLine="999"/>
        <w:jc w:val="both"/>
        <w:rPr>
          <w:rFonts w:ascii="Times New Roman" w:hAnsi="Times New Roman" w:cs="Times New Roman"/>
          <w:sz w:val="28"/>
          <w:szCs w:val="28"/>
        </w:rPr>
      </w:pPr>
      <w:r>
        <w:rPr>
          <w:rFonts w:ascii="Times New Roman" w:eastAsia="Calibri" w:hAnsi="Times New Roman" w:cs="Times New Roman"/>
          <w:b/>
          <w:i/>
          <w:color w:val="000000"/>
          <w:sz w:val="28"/>
          <w:szCs w:val="28"/>
        </w:rPr>
        <w:t>SUBMITTED</w:t>
      </w:r>
      <w:r>
        <w:rPr>
          <w:rFonts w:ascii="Times New Roman" w:eastAsia="Calibri" w:hAnsi="Times New Roman" w:cs="Times New Roman"/>
          <w:i/>
          <w:color w:val="000000"/>
          <w:sz w:val="28"/>
          <w:szCs w:val="28"/>
        </w:rPr>
        <w:t xml:space="preserve"> TO</w:t>
      </w:r>
    </w:p>
    <w:p w14:paraId="17C45BE5" w14:textId="77777777" w:rsidR="00714D18" w:rsidRDefault="006E5117">
      <w:pPr>
        <w:wordWrap w:val="0"/>
        <w:ind w:firstLineChars="200" w:firstLine="560"/>
        <w:jc w:val="both"/>
        <w:rPr>
          <w:rFonts w:ascii="Times New Roman" w:hAnsi="Times New Roman" w:cs="Times New Roman"/>
          <w:sz w:val="28"/>
          <w:szCs w:val="28"/>
        </w:rPr>
      </w:pPr>
      <w:r>
        <w:rPr>
          <w:rFonts w:ascii="Times New Roman" w:eastAsia="Calibri" w:hAnsi="Times New Roman" w:cs="Times New Roman"/>
          <w:color w:val="000000"/>
          <w:sz w:val="28"/>
          <w:szCs w:val="28"/>
        </w:rPr>
        <w:t>THE DEPARTMENT OF SCIENCE LABORATORY TECHNOLOGY,</w:t>
      </w:r>
    </w:p>
    <w:p w14:paraId="63061A1C" w14:textId="77777777" w:rsidR="00714D18" w:rsidRDefault="006E5117">
      <w:pPr>
        <w:wordWrap w:val="0"/>
        <w:spacing w:line="216" w:lineRule="auto"/>
        <w:ind w:firstLineChars="1200" w:firstLine="3360"/>
        <w:jc w:val="both"/>
        <w:rPr>
          <w:rFonts w:ascii="Times New Roman" w:hAnsi="Times New Roman" w:cs="Times New Roman"/>
          <w:sz w:val="28"/>
          <w:szCs w:val="28"/>
        </w:rPr>
      </w:pPr>
      <w:r>
        <w:rPr>
          <w:rFonts w:ascii="Times New Roman" w:eastAsia="Calibri" w:hAnsi="Times New Roman" w:cs="Times New Roman"/>
          <w:color w:val="000000"/>
          <w:sz w:val="28"/>
          <w:szCs w:val="28"/>
        </w:rPr>
        <w:t>(BIOCHEMISTRY UNIT),</w:t>
      </w:r>
    </w:p>
    <w:p w14:paraId="7C248DAB" w14:textId="77777777" w:rsidR="00714D18" w:rsidRDefault="006E5117">
      <w:pPr>
        <w:wordWrap w:val="0"/>
        <w:spacing w:line="235" w:lineRule="auto"/>
        <w:ind w:firstLineChars="889" w:firstLine="2489"/>
        <w:jc w:val="both"/>
        <w:rPr>
          <w:rFonts w:ascii="Times New Roman" w:hAnsi="Times New Roman" w:cs="Times New Roman"/>
          <w:sz w:val="28"/>
          <w:szCs w:val="28"/>
        </w:rPr>
      </w:pPr>
      <w:r>
        <w:rPr>
          <w:rFonts w:ascii="Times New Roman" w:eastAsia="Calibri" w:hAnsi="Times New Roman" w:cs="Times New Roman"/>
          <w:color w:val="000000"/>
          <w:sz w:val="28"/>
          <w:szCs w:val="28"/>
        </w:rPr>
        <w:t>INSTITUTE OF APPLIED SCIENCES (IAS)</w:t>
      </w:r>
    </w:p>
    <w:p w14:paraId="215BCFBC" w14:textId="77777777" w:rsidR="00714D18" w:rsidRDefault="006E5117">
      <w:pPr>
        <w:wordWrap w:val="0"/>
        <w:spacing w:line="235" w:lineRule="auto"/>
        <w:ind w:firstLineChars="889" w:firstLine="2489"/>
        <w:jc w:val="both"/>
        <w:rPr>
          <w:rFonts w:ascii="Times New Roman" w:hAnsi="Times New Roman" w:cs="Times New Roman"/>
          <w:sz w:val="28"/>
          <w:szCs w:val="28"/>
        </w:rPr>
      </w:pPr>
      <w:r>
        <w:rPr>
          <w:rFonts w:ascii="Times New Roman" w:eastAsia="Calibri" w:hAnsi="Times New Roman" w:cs="Times New Roman"/>
          <w:color w:val="000000"/>
          <w:sz w:val="28"/>
          <w:szCs w:val="28"/>
        </w:rPr>
        <w:t>KWARA STATE POLYTECHNIC,ILORIN.</w:t>
      </w:r>
    </w:p>
    <w:p w14:paraId="5A3D2774" w14:textId="77777777" w:rsidR="00714D18" w:rsidRDefault="00714D18">
      <w:pPr>
        <w:wordWrap w:val="0"/>
        <w:jc w:val="both"/>
        <w:rPr>
          <w:rFonts w:ascii="Times New Roman" w:eastAsia="SimSun" w:hAnsi="Times New Roman" w:cs="Times New Roman"/>
          <w:color w:val="000000"/>
          <w:sz w:val="28"/>
          <w:szCs w:val="28"/>
        </w:rPr>
      </w:pPr>
    </w:p>
    <w:p w14:paraId="771F63E8" w14:textId="77777777" w:rsidR="00714D18" w:rsidRDefault="00714D18">
      <w:pPr>
        <w:wordWrap w:val="0"/>
        <w:jc w:val="both"/>
        <w:rPr>
          <w:rFonts w:ascii="Times New Roman" w:eastAsia="SimSun" w:hAnsi="Times New Roman" w:cs="Times New Roman"/>
          <w:color w:val="000000"/>
          <w:sz w:val="28"/>
          <w:szCs w:val="28"/>
        </w:rPr>
      </w:pPr>
    </w:p>
    <w:p w14:paraId="0A48A229" w14:textId="77777777" w:rsidR="00714D18" w:rsidRDefault="006E5117">
      <w:pPr>
        <w:wordWrap w:val="0"/>
        <w:spacing w:line="191" w:lineRule="auto"/>
        <w:ind w:firstLineChars="263" w:firstLine="736"/>
        <w:jc w:val="both"/>
        <w:rPr>
          <w:rFonts w:ascii="Times New Roman" w:hAnsi="Times New Roman" w:cs="Times New Roman"/>
          <w:sz w:val="28"/>
          <w:szCs w:val="28"/>
        </w:rPr>
      </w:pPr>
      <w:r>
        <w:rPr>
          <w:rFonts w:ascii="Times New Roman" w:eastAsia="Calibri" w:hAnsi="Times New Roman" w:cs="Times New Roman"/>
          <w:color w:val="000000"/>
          <w:sz w:val="28"/>
          <w:szCs w:val="28"/>
        </w:rPr>
        <w:t>IN PARTIAL FULFILMENT OF THE REQUIREMENTS FOR THE</w:t>
      </w:r>
    </w:p>
    <w:p w14:paraId="1F81C182" w14:textId="77777777" w:rsidR="00714D18" w:rsidRDefault="006E5117">
      <w:pPr>
        <w:wordWrap w:val="0"/>
        <w:spacing w:before="13"/>
        <w:ind w:firstLineChars="603" w:firstLine="1688"/>
        <w:jc w:val="both"/>
        <w:rPr>
          <w:rFonts w:ascii="Times New Roman" w:hAnsi="Times New Roman" w:cs="Times New Roman"/>
          <w:sz w:val="28"/>
          <w:szCs w:val="28"/>
        </w:rPr>
      </w:pPr>
      <w:r>
        <w:rPr>
          <w:rFonts w:ascii="Times New Roman" w:eastAsia="Calibri" w:hAnsi="Times New Roman" w:cs="Times New Roman"/>
          <w:color w:val="000000"/>
          <w:sz w:val="28"/>
          <w:szCs w:val="28"/>
        </w:rPr>
        <w:t>AWARD OF HIGHER NATIONAL DIPLOMA (HND)</w:t>
      </w:r>
    </w:p>
    <w:p w14:paraId="4FE95E0F" w14:textId="77777777" w:rsidR="00714D18" w:rsidRDefault="006E5117">
      <w:pPr>
        <w:wordWrap w:val="0"/>
        <w:spacing w:before="32"/>
        <w:ind w:firstLineChars="603" w:firstLine="1688"/>
        <w:jc w:val="both"/>
        <w:rPr>
          <w:rFonts w:ascii="Times New Roman" w:hAnsi="Times New Roman" w:cs="Times New Roman"/>
          <w:sz w:val="28"/>
          <w:szCs w:val="28"/>
        </w:rPr>
      </w:pPr>
      <w:r>
        <w:rPr>
          <w:rFonts w:ascii="Times New Roman" w:eastAsia="Calibri" w:hAnsi="Times New Roman" w:cs="Times New Roman"/>
          <w:color w:val="000000"/>
          <w:sz w:val="28"/>
          <w:szCs w:val="28"/>
        </w:rPr>
        <w:t>IN SCIENCE LABORATORY TECHNOLOGY (SLT)</w:t>
      </w:r>
    </w:p>
    <w:p w14:paraId="46CA4A61" w14:textId="77777777" w:rsidR="00714D18" w:rsidRDefault="00714D18">
      <w:pPr>
        <w:wordWrap w:val="0"/>
        <w:jc w:val="both"/>
        <w:rPr>
          <w:rFonts w:ascii="Times New Roman" w:eastAsia="SimSun" w:hAnsi="Times New Roman" w:cs="Times New Roman"/>
          <w:color w:val="000000"/>
          <w:sz w:val="28"/>
          <w:szCs w:val="28"/>
        </w:rPr>
      </w:pPr>
    </w:p>
    <w:p w14:paraId="5994386A" w14:textId="77777777" w:rsidR="00714D18" w:rsidRDefault="00714D18">
      <w:pPr>
        <w:wordWrap w:val="0"/>
        <w:jc w:val="both"/>
        <w:rPr>
          <w:rFonts w:ascii="Times New Roman" w:eastAsia="SimSun" w:hAnsi="Times New Roman" w:cs="Times New Roman"/>
          <w:color w:val="000000"/>
          <w:sz w:val="28"/>
          <w:szCs w:val="28"/>
        </w:rPr>
      </w:pPr>
    </w:p>
    <w:p w14:paraId="264517CC" w14:textId="77777777" w:rsidR="00714D18" w:rsidRDefault="00714D18">
      <w:pPr>
        <w:wordWrap w:val="0"/>
        <w:jc w:val="both"/>
        <w:rPr>
          <w:rFonts w:ascii="Times New Roman" w:eastAsia="SimSun" w:hAnsi="Times New Roman" w:cs="Times New Roman"/>
          <w:color w:val="000000"/>
          <w:sz w:val="28"/>
          <w:szCs w:val="28"/>
        </w:rPr>
      </w:pPr>
    </w:p>
    <w:p w14:paraId="43AEA60E" w14:textId="77777777" w:rsidR="00714D18" w:rsidRDefault="006E5117">
      <w:pPr>
        <w:wordWrap w:val="0"/>
        <w:spacing w:line="191" w:lineRule="auto"/>
        <w:jc w:val="center"/>
        <w:rPr>
          <w:rFonts w:ascii="Times New Roman" w:hAnsi="Times New Roman" w:cs="Times New Roman"/>
          <w:sz w:val="28"/>
          <w:szCs w:val="28"/>
        </w:rPr>
      </w:pPr>
      <w:r>
        <w:rPr>
          <w:rFonts w:ascii="Times New Roman" w:eastAsia="Calibri" w:hAnsi="Times New Roman" w:cs="Times New Roman"/>
          <w:b/>
          <w:i/>
          <w:color w:val="000000"/>
          <w:sz w:val="28"/>
          <w:szCs w:val="28"/>
        </w:rPr>
        <w:t>SUPERVISED BY</w:t>
      </w:r>
    </w:p>
    <w:p w14:paraId="1E2542BA" w14:textId="77777777" w:rsidR="00714D18" w:rsidRDefault="006E5117">
      <w:pPr>
        <w:wordWrap w:val="0"/>
        <w:spacing w:before="113"/>
        <w:jc w:val="center"/>
        <w:rPr>
          <w:rFonts w:ascii="Times New Roman" w:hAnsi="Times New Roman" w:cs="Times New Roman"/>
          <w:sz w:val="28"/>
          <w:szCs w:val="28"/>
        </w:rPr>
      </w:pPr>
      <w:r>
        <w:rPr>
          <w:rFonts w:ascii="Times New Roman" w:eastAsia="Calibri" w:hAnsi="Times New Roman" w:cs="Times New Roman"/>
          <w:b/>
          <w:color w:val="000000"/>
          <w:sz w:val="28"/>
          <w:szCs w:val="28"/>
        </w:rPr>
        <w:t>MR. ALLI, A. O.</w:t>
      </w:r>
    </w:p>
    <w:p w14:paraId="167D92AB" w14:textId="77777777" w:rsidR="00714D18" w:rsidRDefault="00714D18">
      <w:pPr>
        <w:wordWrap w:val="0"/>
        <w:jc w:val="both"/>
        <w:rPr>
          <w:rFonts w:ascii="Times New Roman" w:eastAsia="SimSun" w:hAnsi="Times New Roman" w:cs="Times New Roman"/>
          <w:color w:val="000000"/>
          <w:sz w:val="28"/>
          <w:szCs w:val="28"/>
        </w:rPr>
      </w:pPr>
    </w:p>
    <w:p w14:paraId="6A706D54" w14:textId="77777777" w:rsidR="00714D18" w:rsidRDefault="006E5117">
      <w:pPr>
        <w:wordWrap w:val="0"/>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t xml:space="preserve"> </w:t>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p>
    <w:p w14:paraId="761F2D18" w14:textId="77777777" w:rsidR="00714D18" w:rsidRDefault="00714D18">
      <w:pPr>
        <w:wordWrap w:val="0"/>
        <w:jc w:val="both"/>
        <w:rPr>
          <w:rFonts w:ascii="Times New Roman" w:eastAsia="SimSun" w:hAnsi="Times New Roman" w:cs="Times New Roman"/>
          <w:color w:val="000000"/>
          <w:sz w:val="28"/>
          <w:szCs w:val="28"/>
        </w:rPr>
      </w:pPr>
    </w:p>
    <w:p w14:paraId="2511DC0B" w14:textId="77777777" w:rsidR="00714D18" w:rsidRDefault="006E5117">
      <w:pPr>
        <w:wordWrap w:val="0"/>
        <w:ind w:left="7560" w:firstLine="420"/>
        <w:jc w:val="both"/>
        <w:rPr>
          <w:rFonts w:ascii="Times New Roman" w:eastAsia="SimSun" w:hAnsi="Times New Roman" w:cs="Times New Roman"/>
          <w:color w:val="000000"/>
          <w:sz w:val="32"/>
          <w:szCs w:val="32"/>
        </w:rPr>
      </w:pPr>
      <w:r>
        <w:rPr>
          <w:rFonts w:ascii="Times New Roman" w:eastAsia="SimSun" w:hAnsi="Times New Roman" w:cs="Times New Roman"/>
          <w:color w:val="000000"/>
          <w:sz w:val="32"/>
          <w:szCs w:val="32"/>
        </w:rPr>
        <w:t>July, 2025.</w:t>
      </w:r>
    </w:p>
    <w:p w14:paraId="3933623F" w14:textId="77777777" w:rsidR="00714D18" w:rsidRDefault="006E5117">
      <w:pPr>
        <w:rPr>
          <w:rFonts w:ascii="Times New Roman" w:hAnsi="Times New Roman" w:cs="Times New Roman"/>
          <w:b/>
          <w:bCs/>
          <w:sz w:val="24"/>
          <w:szCs w:val="24"/>
        </w:rPr>
      </w:pPr>
      <w:r>
        <w:rPr>
          <w:rFonts w:ascii="Times New Roman" w:hAnsi="Times New Roman" w:cs="Times New Roman"/>
          <w:b/>
          <w:bCs/>
          <w:sz w:val="24"/>
          <w:szCs w:val="24"/>
        </w:rPr>
        <w:br w:type="page"/>
      </w:r>
    </w:p>
    <w:p w14:paraId="034CD2F9" w14:textId="77777777" w:rsidR="00714D18" w:rsidRDefault="006E5117">
      <w:pPr>
        <w:pStyle w:val="Heading1"/>
        <w:spacing w:line="240" w:lineRule="auto"/>
        <w:ind w:left="2160" w:firstLine="720"/>
        <w:jc w:val="left"/>
      </w:pPr>
      <w:r>
        <w:t>CERTIFICATION</w:t>
      </w:r>
    </w:p>
    <w:p w14:paraId="354643E5" w14:textId="77777777" w:rsidR="00714D18" w:rsidRDefault="006E5117">
      <w:pPr>
        <w:wordWrap w:val="0"/>
        <w:spacing w:line="360" w:lineRule="auto"/>
        <w:jc w:val="both"/>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This is to certify that this project work presented by</w:t>
      </w:r>
      <w:r>
        <w:rPr>
          <w:rFonts w:ascii="Times New Roman" w:eastAsia="Calibri" w:hAnsi="Times New Roman" w:cs="Times New Roman"/>
          <w:b/>
          <w:color w:val="000000"/>
          <w:sz w:val="28"/>
          <w:szCs w:val="28"/>
        </w:rPr>
        <w:t xml:space="preserve"> ISHOLA MUTIYAT ASABI</w:t>
      </w:r>
    </w:p>
    <w:p w14:paraId="63A76CD4" w14:textId="77777777" w:rsidR="00714D18" w:rsidRDefault="006E5117">
      <w:pPr>
        <w:wordWrap w:val="0"/>
        <w:spacing w:line="360" w:lineRule="auto"/>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 with Matric No: </w:t>
      </w:r>
      <w:r>
        <w:rPr>
          <w:rFonts w:ascii="Times New Roman" w:eastAsia="Calibri" w:hAnsi="Times New Roman"/>
          <w:b/>
          <w:bCs/>
          <w:color w:val="000000"/>
          <w:sz w:val="28"/>
          <w:szCs w:val="28"/>
        </w:rPr>
        <w:t>HND/23/SLT/FT/0255</w:t>
      </w:r>
      <w:r>
        <w:rPr>
          <w:rFonts w:ascii="Times New Roman" w:eastAsia="Calibri" w:hAnsi="Times New Roman" w:cs="Times New Roman"/>
          <w:color w:val="000000"/>
          <w:sz w:val="28"/>
          <w:szCs w:val="28"/>
        </w:rPr>
        <w:t xml:space="preserve"> has been read, approved and submitted to Department of Science Laboratory Technology (Biochemistry Unit), Institute of Applied Sciences (IAS), Kwara State Polytechnic, Ilorin.</w:t>
      </w:r>
    </w:p>
    <w:p w14:paraId="2906DA2F" w14:textId="77777777" w:rsidR="00714D18" w:rsidRDefault="00714D18">
      <w:pPr>
        <w:wordWrap w:val="0"/>
        <w:spacing w:line="360" w:lineRule="auto"/>
        <w:jc w:val="center"/>
        <w:rPr>
          <w:rFonts w:ascii="Times New Roman" w:eastAsia="SimSun" w:hAnsi="Times New Roman" w:cs="Times New Roman"/>
          <w:color w:val="000000"/>
          <w:sz w:val="28"/>
          <w:szCs w:val="28"/>
        </w:rPr>
      </w:pPr>
    </w:p>
    <w:p w14:paraId="06ECF666" w14:textId="77777777" w:rsidR="00714D18" w:rsidRDefault="00714D18">
      <w:pPr>
        <w:wordWrap w:val="0"/>
        <w:jc w:val="both"/>
        <w:rPr>
          <w:rFonts w:ascii="Times New Roman" w:eastAsia="SimSun" w:hAnsi="Times New Roman" w:cs="Times New Roman"/>
          <w:color w:val="000000"/>
          <w:sz w:val="28"/>
          <w:szCs w:val="28"/>
        </w:rPr>
      </w:pPr>
    </w:p>
    <w:p w14:paraId="4BB558CF" w14:textId="77777777" w:rsidR="00714D18" w:rsidRDefault="00714D18">
      <w:pPr>
        <w:wordWrap w:val="0"/>
        <w:jc w:val="both"/>
        <w:rPr>
          <w:rFonts w:ascii="Times New Roman" w:eastAsia="SimSun" w:hAnsi="Times New Roman" w:cs="Times New Roman"/>
          <w:color w:val="000000"/>
          <w:sz w:val="28"/>
          <w:szCs w:val="28"/>
        </w:rPr>
      </w:pPr>
    </w:p>
    <w:p w14:paraId="071CC80E" w14:textId="77777777" w:rsidR="00714D18" w:rsidRDefault="00714D18">
      <w:pPr>
        <w:wordWrap w:val="0"/>
        <w:jc w:val="both"/>
        <w:rPr>
          <w:rFonts w:ascii="Times New Roman" w:eastAsia="SimSun" w:hAnsi="Times New Roman" w:cs="Times New Roman"/>
          <w:color w:val="000000"/>
          <w:sz w:val="28"/>
          <w:szCs w:val="28"/>
        </w:rPr>
      </w:pPr>
    </w:p>
    <w:p w14:paraId="7633862B" w14:textId="77777777" w:rsidR="00714D18" w:rsidRDefault="00714D18">
      <w:pPr>
        <w:wordWrap w:val="0"/>
        <w:jc w:val="both"/>
        <w:rPr>
          <w:rFonts w:ascii="Times New Roman" w:eastAsia="SimSun" w:hAnsi="Times New Roman" w:cs="Times New Roman"/>
          <w:color w:val="000000"/>
          <w:sz w:val="28"/>
          <w:szCs w:val="28"/>
        </w:rPr>
      </w:pPr>
    </w:p>
    <w:p w14:paraId="31AF0B98" w14:textId="77777777" w:rsidR="00714D18" w:rsidRDefault="006E5117">
      <w:pPr>
        <w:tabs>
          <w:tab w:val="left" w:pos="7680"/>
        </w:tabs>
        <w:wordWrap w:val="0"/>
        <w:spacing w:before="103"/>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u w:val="single"/>
        </w:rPr>
        <w:t xml:space="preserve">                    ________</w:t>
      </w:r>
      <w:r>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u w:val="single"/>
        </w:rPr>
        <w:t xml:space="preserve"> _______     </w:t>
      </w:r>
    </w:p>
    <w:p w14:paraId="235C9652" w14:textId="77777777" w:rsidR="00714D18" w:rsidRDefault="00714D18">
      <w:pPr>
        <w:wordWrap w:val="0"/>
        <w:jc w:val="both"/>
        <w:rPr>
          <w:rFonts w:ascii="Times New Roman" w:eastAsia="SimSun" w:hAnsi="Times New Roman" w:cs="Times New Roman"/>
          <w:color w:val="000000"/>
          <w:sz w:val="28"/>
          <w:szCs w:val="28"/>
        </w:rPr>
      </w:pPr>
    </w:p>
    <w:p w14:paraId="31FF81EF" w14:textId="77777777" w:rsidR="00714D18" w:rsidRDefault="006E5117">
      <w:pPr>
        <w:tabs>
          <w:tab w:val="left" w:pos="8500"/>
        </w:tabs>
        <w:wordWrap w:val="0"/>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 ALLI, A. O.</w:t>
      </w:r>
      <w:r>
        <w:rPr>
          <w:rFonts w:ascii="Times New Roman" w:eastAsia="Calibri" w:hAnsi="Times New Roman" w:cs="Times New Roman"/>
          <w:color w:val="000000"/>
          <w:sz w:val="28"/>
          <w:szCs w:val="28"/>
        </w:rPr>
        <w:tab/>
        <w:t>DATE</w:t>
      </w:r>
    </w:p>
    <w:p w14:paraId="322885DE" w14:textId="77777777" w:rsidR="00714D18" w:rsidRDefault="006E5117">
      <w:pPr>
        <w:wordWrap w:val="0"/>
        <w:spacing w:before="19"/>
        <w:jc w:val="both"/>
        <w:rPr>
          <w:rFonts w:ascii="Times New Roman" w:hAnsi="Times New Roman" w:cs="Times New Roman"/>
          <w:sz w:val="28"/>
          <w:szCs w:val="28"/>
        </w:rPr>
      </w:pPr>
      <w:r>
        <w:rPr>
          <w:rFonts w:ascii="Times New Roman" w:eastAsia="Calibri" w:hAnsi="Times New Roman" w:cs="Times New Roman"/>
          <w:color w:val="000000"/>
          <w:sz w:val="28"/>
          <w:szCs w:val="28"/>
        </w:rPr>
        <w:t>(SUPERVISOR)</w:t>
      </w:r>
    </w:p>
    <w:p w14:paraId="57A45988" w14:textId="77777777" w:rsidR="00714D18" w:rsidRDefault="00714D18">
      <w:pPr>
        <w:wordWrap w:val="0"/>
        <w:jc w:val="both"/>
        <w:rPr>
          <w:rFonts w:ascii="Times New Roman" w:eastAsia="SimSun" w:hAnsi="Times New Roman" w:cs="Times New Roman"/>
          <w:color w:val="000000"/>
          <w:sz w:val="28"/>
          <w:szCs w:val="28"/>
        </w:rPr>
      </w:pPr>
    </w:p>
    <w:p w14:paraId="570BA5F9" w14:textId="77777777" w:rsidR="00714D18" w:rsidRDefault="00714D18">
      <w:pPr>
        <w:wordWrap w:val="0"/>
        <w:jc w:val="both"/>
        <w:rPr>
          <w:rFonts w:ascii="Times New Roman" w:eastAsia="SimSun" w:hAnsi="Times New Roman" w:cs="Times New Roman"/>
          <w:color w:val="000000"/>
          <w:sz w:val="28"/>
          <w:szCs w:val="28"/>
        </w:rPr>
      </w:pPr>
    </w:p>
    <w:p w14:paraId="74EB2D0D" w14:textId="77777777" w:rsidR="00714D18" w:rsidRDefault="00714D18">
      <w:pPr>
        <w:wordWrap w:val="0"/>
        <w:jc w:val="both"/>
        <w:rPr>
          <w:rFonts w:ascii="Times New Roman" w:eastAsia="SimSun" w:hAnsi="Times New Roman" w:cs="Times New Roman"/>
          <w:color w:val="000000"/>
          <w:sz w:val="28"/>
          <w:szCs w:val="28"/>
        </w:rPr>
      </w:pPr>
    </w:p>
    <w:p w14:paraId="7D2C45A1" w14:textId="77777777" w:rsidR="00714D18" w:rsidRDefault="006E5117">
      <w:pPr>
        <w:tabs>
          <w:tab w:val="left" w:pos="7680"/>
        </w:tabs>
        <w:wordWrap w:val="0"/>
        <w:spacing w:before="103"/>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u w:val="single"/>
        </w:rPr>
        <w:t xml:space="preserve">                    _________</w:t>
      </w:r>
      <w:r>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u w:val="single"/>
        </w:rPr>
        <w:t xml:space="preserve">      ________</w:t>
      </w:r>
    </w:p>
    <w:p w14:paraId="26781FB6" w14:textId="77777777" w:rsidR="00714D18" w:rsidRDefault="006E5117">
      <w:pPr>
        <w:wordWrap w:val="0"/>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 xml:space="preserve">  </w:t>
      </w:r>
    </w:p>
    <w:p w14:paraId="69654415" w14:textId="77777777" w:rsidR="00714D18" w:rsidRDefault="006E5117">
      <w:pPr>
        <w:tabs>
          <w:tab w:val="left" w:pos="8500"/>
        </w:tabs>
        <w:wordWrap w:val="0"/>
        <w:spacing w:line="192" w:lineRule="auto"/>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MRS. SALAUDEEN, K. A.</w:t>
      </w:r>
      <w:r>
        <w:rPr>
          <w:rFonts w:ascii="Times New Roman" w:eastAsia="Calibri" w:hAnsi="Times New Roman" w:cs="Times New Roman"/>
          <w:color w:val="000000"/>
          <w:sz w:val="28"/>
          <w:szCs w:val="28"/>
        </w:rPr>
        <w:tab/>
        <w:t>DATE</w:t>
      </w:r>
    </w:p>
    <w:p w14:paraId="6CF1D7F5" w14:textId="77777777" w:rsidR="00714D18" w:rsidRDefault="006E5117">
      <w:pPr>
        <w:wordWrap w:val="0"/>
        <w:spacing w:before="203"/>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HEAD OF UNIT (BIOCHEMISTRY)</w:t>
      </w:r>
    </w:p>
    <w:p w14:paraId="14F6B549" w14:textId="77777777" w:rsidR="00714D18" w:rsidRDefault="00714D18">
      <w:pPr>
        <w:wordWrap w:val="0"/>
        <w:jc w:val="both"/>
        <w:rPr>
          <w:rFonts w:ascii="Times New Roman" w:eastAsia="SimSun" w:hAnsi="Times New Roman" w:cs="Times New Roman"/>
          <w:color w:val="000000"/>
          <w:sz w:val="28"/>
          <w:szCs w:val="28"/>
        </w:rPr>
      </w:pPr>
    </w:p>
    <w:p w14:paraId="57957EEB" w14:textId="77777777" w:rsidR="00714D18" w:rsidRDefault="00714D18">
      <w:pPr>
        <w:wordWrap w:val="0"/>
        <w:jc w:val="both"/>
        <w:rPr>
          <w:rFonts w:ascii="Times New Roman" w:eastAsia="SimSun" w:hAnsi="Times New Roman" w:cs="Times New Roman"/>
          <w:color w:val="000000"/>
          <w:sz w:val="28"/>
          <w:szCs w:val="28"/>
        </w:rPr>
      </w:pPr>
    </w:p>
    <w:p w14:paraId="1D32EF90" w14:textId="77777777" w:rsidR="00714D18" w:rsidRDefault="006E5117">
      <w:pPr>
        <w:tabs>
          <w:tab w:val="left" w:pos="7680"/>
        </w:tabs>
        <w:wordWrap w:val="0"/>
        <w:spacing w:before="103"/>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u w:val="single"/>
        </w:rPr>
        <w:t xml:space="preserve">                    _________</w:t>
      </w:r>
      <w:r>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u w:val="single"/>
        </w:rPr>
        <w:t xml:space="preserve">      ________</w:t>
      </w:r>
    </w:p>
    <w:p w14:paraId="461D3A42" w14:textId="77777777" w:rsidR="00714D18" w:rsidRDefault="00714D18">
      <w:pPr>
        <w:wordWrap w:val="0"/>
        <w:jc w:val="both"/>
        <w:rPr>
          <w:rFonts w:ascii="Times New Roman" w:eastAsia="SimSun" w:hAnsi="Times New Roman" w:cs="Times New Roman"/>
          <w:color w:val="000000"/>
          <w:sz w:val="28"/>
          <w:szCs w:val="28"/>
        </w:rPr>
      </w:pPr>
    </w:p>
    <w:p w14:paraId="6A50D2BC" w14:textId="77777777" w:rsidR="00714D18" w:rsidRDefault="006E5117">
      <w:pPr>
        <w:tabs>
          <w:tab w:val="left" w:pos="8500"/>
        </w:tabs>
        <w:wordWrap w:val="0"/>
        <w:spacing w:before="20"/>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 USMAN, A.</w:t>
      </w:r>
      <w:r>
        <w:rPr>
          <w:rFonts w:ascii="Times New Roman" w:eastAsia="Calibri" w:hAnsi="Times New Roman" w:cs="Times New Roman"/>
          <w:color w:val="000000"/>
          <w:sz w:val="28"/>
          <w:szCs w:val="28"/>
        </w:rPr>
        <w:tab/>
        <w:t>DATE</w:t>
      </w:r>
    </w:p>
    <w:p w14:paraId="39B1718E" w14:textId="77777777" w:rsidR="00714D18" w:rsidRDefault="006E5117">
      <w:pPr>
        <w:wordWrap w:val="0"/>
        <w:spacing w:before="12"/>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HEAD OF DE</w:t>
      </w:r>
      <w:r w:rsidR="008E0045">
        <w:rPr>
          <w:rFonts w:ascii="Times New Roman" w:eastAsia="Calibri" w:hAnsi="Times New Roman" w:cs="Times New Roman"/>
          <w:color w:val="000000"/>
          <w:sz w:val="28"/>
          <w:szCs w:val="28"/>
        </w:rPr>
        <w:t>P</w:t>
      </w:r>
      <w:r>
        <w:rPr>
          <w:rFonts w:ascii="Times New Roman" w:eastAsia="Calibri" w:hAnsi="Times New Roman" w:cs="Times New Roman"/>
          <w:color w:val="000000"/>
          <w:sz w:val="28"/>
          <w:szCs w:val="28"/>
        </w:rPr>
        <w:t>ARTMENT(SLT)</w:t>
      </w:r>
    </w:p>
    <w:p w14:paraId="675E26B5" w14:textId="77777777" w:rsidR="00714D18" w:rsidRDefault="00714D18">
      <w:pPr>
        <w:pStyle w:val="Heading1"/>
        <w:spacing w:line="240" w:lineRule="auto"/>
        <w:ind w:left="2880" w:firstLine="720"/>
      </w:pPr>
    </w:p>
    <w:p w14:paraId="21FFCA98" w14:textId="77777777" w:rsidR="00714D18" w:rsidRDefault="006E5117">
      <w:pPr>
        <w:rPr>
          <w:rFonts w:ascii="Times New Roman" w:hAnsi="Times New Roman" w:cs="Times New Roman"/>
          <w:b/>
          <w:bCs/>
          <w:sz w:val="24"/>
          <w:szCs w:val="24"/>
        </w:rPr>
      </w:pPr>
      <w:r>
        <w:rPr>
          <w:rFonts w:ascii="Times New Roman" w:hAnsi="Times New Roman" w:cs="Times New Roman"/>
          <w:b/>
          <w:bCs/>
          <w:sz w:val="24"/>
          <w:szCs w:val="24"/>
        </w:rPr>
        <w:br w:type="page"/>
      </w:r>
    </w:p>
    <w:p w14:paraId="6D0BDEB7" w14:textId="77777777" w:rsidR="00714D18" w:rsidRDefault="006E5117">
      <w:pPr>
        <w:pStyle w:val="Heading1"/>
        <w:spacing w:line="240" w:lineRule="auto"/>
        <w:ind w:left="2880" w:firstLine="720"/>
        <w:rPr>
          <w:rFonts w:cs="Times New Roman"/>
          <w:szCs w:val="24"/>
        </w:rPr>
      </w:pPr>
      <w:bookmarkStart w:id="0" w:name="_Toc66"/>
      <w:r>
        <w:t>DEDICATION</w:t>
      </w:r>
      <w:bookmarkEnd w:id="0"/>
    </w:p>
    <w:p w14:paraId="7B6C06D7" w14:textId="77777777" w:rsidR="00714D18" w:rsidRDefault="00621474">
      <w:pPr>
        <w:spacing w:line="360" w:lineRule="auto"/>
        <w:rPr>
          <w:rFonts w:ascii="Times New Roman" w:hAnsi="Times New Roman" w:cs="Times New Roman"/>
          <w:sz w:val="24"/>
          <w:szCs w:val="24"/>
        </w:rPr>
      </w:pPr>
      <w:bookmarkStart w:id="1" w:name="_Toc9979"/>
      <w:r>
        <w:rPr>
          <w:rFonts w:ascii="Times New Roman" w:hAnsi="Times New Roman" w:cs="Times New Roman"/>
          <w:sz w:val="24"/>
          <w:szCs w:val="24"/>
        </w:rPr>
        <w:t xml:space="preserve">I dedicate this project to Almighty </w:t>
      </w:r>
      <w:proofErr w:type="spellStart"/>
      <w:r>
        <w:rPr>
          <w:rFonts w:ascii="Times New Roman" w:hAnsi="Times New Roman" w:cs="Times New Roman"/>
          <w:sz w:val="24"/>
          <w:szCs w:val="24"/>
        </w:rPr>
        <w:t>Allah,the</w:t>
      </w:r>
      <w:proofErr w:type="spellEnd"/>
      <w:r>
        <w:rPr>
          <w:rFonts w:ascii="Times New Roman" w:hAnsi="Times New Roman" w:cs="Times New Roman"/>
          <w:sz w:val="24"/>
          <w:szCs w:val="24"/>
        </w:rPr>
        <w:t xml:space="preserve"> highest and the most beneficent who has been there for me right from the beginning and to the end of my Higher National Diploma (HND),and I also want to dedicate this to my parents (MR and MRS ISHOLA).</w:t>
      </w:r>
    </w:p>
    <w:p w14:paraId="7A4F69C0" w14:textId="77777777" w:rsidR="00714D18" w:rsidRDefault="006E5117">
      <w:pPr>
        <w:rPr>
          <w:rFonts w:ascii="Times New Roman" w:hAnsi="Times New Roman" w:cs="Times New Roman"/>
          <w:sz w:val="24"/>
          <w:szCs w:val="24"/>
        </w:rPr>
      </w:pPr>
      <w:r>
        <w:rPr>
          <w:rFonts w:ascii="Times New Roman" w:hAnsi="Times New Roman" w:cs="Times New Roman"/>
          <w:sz w:val="24"/>
          <w:szCs w:val="24"/>
        </w:rPr>
        <w:br w:type="page"/>
      </w:r>
    </w:p>
    <w:p w14:paraId="5398F07F" w14:textId="77777777" w:rsidR="00714D18" w:rsidRDefault="006E5117">
      <w:pPr>
        <w:pStyle w:val="Heading1"/>
        <w:spacing w:line="240" w:lineRule="auto"/>
        <w:ind w:left="1440" w:firstLine="720"/>
        <w:rPr>
          <w:rFonts w:cs="Times New Roman"/>
          <w:szCs w:val="24"/>
        </w:rPr>
      </w:pPr>
      <w:r>
        <w:t>ACKNOWLEDGEMENT</w:t>
      </w:r>
      <w:bookmarkEnd w:id="1"/>
    </w:p>
    <w:p w14:paraId="2550FF63" w14:textId="77777777" w:rsidR="009C1834" w:rsidRDefault="009C1834">
      <w:pPr>
        <w:spacing w:line="360" w:lineRule="auto"/>
        <w:jc w:val="both"/>
        <w:rPr>
          <w:rFonts w:ascii="Times New Roman" w:hAnsi="Times New Roman" w:cs="Times New Roman"/>
          <w:sz w:val="24"/>
          <w:szCs w:val="24"/>
        </w:rPr>
      </w:pPr>
      <w:r>
        <w:rPr>
          <w:rFonts w:ascii="Times New Roman" w:hAnsi="Times New Roman" w:cs="Times New Roman"/>
          <w:sz w:val="24"/>
          <w:szCs w:val="24"/>
        </w:rPr>
        <w:t>First and foremost, all praise and thanks are due to Almighty Allah (SWT), the Most Gracious, the Most Merciful, for granting me the strength, knowledge, patience, and good health to complete this project. Without His guidance and blessings, this accomplishment would not have been possible.</w:t>
      </w:r>
    </w:p>
    <w:p w14:paraId="0CD860DC" w14:textId="77777777" w:rsidR="009C1834" w:rsidRDefault="009C1834">
      <w:pPr>
        <w:spacing w:line="360" w:lineRule="auto"/>
        <w:jc w:val="both"/>
        <w:rPr>
          <w:rFonts w:ascii="Times New Roman" w:hAnsi="Times New Roman" w:cs="Times New Roman"/>
          <w:sz w:val="24"/>
          <w:szCs w:val="24"/>
        </w:rPr>
      </w:pPr>
    </w:p>
    <w:p w14:paraId="640898F5" w14:textId="77777777" w:rsidR="009C1834" w:rsidRDefault="009C1834">
      <w:pPr>
        <w:spacing w:line="360" w:lineRule="auto"/>
        <w:jc w:val="both"/>
        <w:rPr>
          <w:rFonts w:ascii="Times New Roman" w:hAnsi="Times New Roman" w:cs="Times New Roman"/>
          <w:sz w:val="24"/>
          <w:szCs w:val="24"/>
        </w:rPr>
      </w:pPr>
      <w:r>
        <w:rPr>
          <w:rFonts w:ascii="Times New Roman" w:hAnsi="Times New Roman" w:cs="Times New Roman"/>
          <w:sz w:val="24"/>
          <w:szCs w:val="24"/>
        </w:rPr>
        <w:t>My deepest gratitude goes to my beloved parents MR and MRS ISHOLA, whose prayers, love, and unwavering support have been my greatest source of strength. Your sacrifices and belief in me have been the foundation of my journey.</w:t>
      </w:r>
    </w:p>
    <w:p w14:paraId="38E0E252" w14:textId="77777777" w:rsidR="009C1834" w:rsidRDefault="009C1834">
      <w:pPr>
        <w:spacing w:line="360" w:lineRule="auto"/>
        <w:jc w:val="both"/>
        <w:rPr>
          <w:rFonts w:ascii="Times New Roman" w:hAnsi="Times New Roman" w:cs="Times New Roman"/>
          <w:sz w:val="24"/>
          <w:szCs w:val="24"/>
        </w:rPr>
      </w:pPr>
    </w:p>
    <w:p w14:paraId="26572C2C" w14:textId="77777777" w:rsidR="009C1834" w:rsidRDefault="009C18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 </w:t>
      </w:r>
      <w:proofErr w:type="spellStart"/>
      <w:r>
        <w:rPr>
          <w:rFonts w:ascii="Times New Roman" w:hAnsi="Times New Roman" w:cs="Times New Roman"/>
          <w:sz w:val="24"/>
          <w:szCs w:val="24"/>
        </w:rPr>
        <w:t>so,my</w:t>
      </w:r>
      <w:proofErr w:type="spellEnd"/>
      <w:r>
        <w:rPr>
          <w:rFonts w:ascii="Times New Roman" w:hAnsi="Times New Roman" w:cs="Times New Roman"/>
          <w:sz w:val="24"/>
          <w:szCs w:val="24"/>
        </w:rPr>
        <w:t xml:space="preserve"> appreciation goes to my amiable supervisor (MR ALLI,A.O) for his </w:t>
      </w:r>
      <w:proofErr w:type="spellStart"/>
      <w:r>
        <w:rPr>
          <w:rFonts w:ascii="Times New Roman" w:hAnsi="Times New Roman" w:cs="Times New Roman"/>
          <w:sz w:val="24"/>
          <w:szCs w:val="24"/>
        </w:rPr>
        <w:t>support,advice</w:t>
      </w:r>
      <w:proofErr w:type="spellEnd"/>
      <w:r>
        <w:rPr>
          <w:rFonts w:ascii="Times New Roman" w:hAnsi="Times New Roman" w:cs="Times New Roman"/>
          <w:sz w:val="24"/>
          <w:szCs w:val="24"/>
        </w:rPr>
        <w:t xml:space="preserve"> and kindness toward the success of this </w:t>
      </w:r>
      <w:proofErr w:type="spellStart"/>
      <w:r>
        <w:rPr>
          <w:rFonts w:ascii="Times New Roman" w:hAnsi="Times New Roman" w:cs="Times New Roman"/>
          <w:sz w:val="24"/>
          <w:szCs w:val="24"/>
        </w:rPr>
        <w:t>projects.I</w:t>
      </w:r>
      <w:proofErr w:type="spellEnd"/>
      <w:r>
        <w:rPr>
          <w:rFonts w:ascii="Times New Roman" w:hAnsi="Times New Roman" w:cs="Times New Roman"/>
          <w:sz w:val="24"/>
          <w:szCs w:val="24"/>
        </w:rPr>
        <w:t xml:space="preserve"> pray Almighty Allah enrich you abundantly.</w:t>
      </w:r>
    </w:p>
    <w:p w14:paraId="7946594A" w14:textId="77777777" w:rsidR="009C1834" w:rsidRDefault="009C1834">
      <w:pPr>
        <w:spacing w:line="360" w:lineRule="auto"/>
        <w:jc w:val="both"/>
        <w:rPr>
          <w:rFonts w:ascii="Times New Roman" w:hAnsi="Times New Roman" w:cs="Times New Roman"/>
          <w:sz w:val="24"/>
          <w:szCs w:val="24"/>
        </w:rPr>
      </w:pPr>
    </w:p>
    <w:p w14:paraId="1ADC6CC3" w14:textId="77777777" w:rsidR="009C1834" w:rsidRDefault="009C1834">
      <w:pPr>
        <w:spacing w:line="360" w:lineRule="auto"/>
        <w:jc w:val="both"/>
        <w:rPr>
          <w:rFonts w:ascii="Times New Roman" w:hAnsi="Times New Roman" w:cs="Times New Roman"/>
          <w:sz w:val="24"/>
          <w:szCs w:val="24"/>
        </w:rPr>
      </w:pPr>
      <w:r>
        <w:rPr>
          <w:rFonts w:ascii="Times New Roman" w:hAnsi="Times New Roman" w:cs="Times New Roman"/>
          <w:sz w:val="24"/>
          <w:szCs w:val="24"/>
        </w:rPr>
        <w:t>I grateful acknowledge the moral and fatherly support of my H.O.D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USMAN.A)for his advice, and also to my H.O.U ( MRS SALAUDEEN,K.A) for her </w:t>
      </w:r>
      <w:proofErr w:type="spellStart"/>
      <w:r>
        <w:rPr>
          <w:rFonts w:ascii="Times New Roman" w:hAnsi="Times New Roman" w:cs="Times New Roman"/>
          <w:sz w:val="24"/>
          <w:szCs w:val="24"/>
        </w:rPr>
        <w:t>advice,support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kindness.I</w:t>
      </w:r>
      <w:proofErr w:type="spellEnd"/>
      <w:r>
        <w:rPr>
          <w:rFonts w:ascii="Times New Roman" w:hAnsi="Times New Roman" w:cs="Times New Roman"/>
          <w:sz w:val="24"/>
          <w:szCs w:val="24"/>
        </w:rPr>
        <w:t xml:space="preserve"> pray Almighty Allah reward you abundantly.</w:t>
      </w:r>
    </w:p>
    <w:p w14:paraId="15453881" w14:textId="77777777" w:rsidR="009C1834" w:rsidRDefault="009C1834">
      <w:pPr>
        <w:spacing w:line="360" w:lineRule="auto"/>
        <w:jc w:val="both"/>
        <w:rPr>
          <w:rFonts w:ascii="Times New Roman" w:hAnsi="Times New Roman" w:cs="Times New Roman"/>
          <w:sz w:val="24"/>
          <w:szCs w:val="24"/>
        </w:rPr>
      </w:pPr>
    </w:p>
    <w:p w14:paraId="1B95612A" w14:textId="77777777" w:rsidR="009C1834" w:rsidRDefault="009C1834">
      <w:pPr>
        <w:spacing w:line="360" w:lineRule="auto"/>
        <w:jc w:val="both"/>
        <w:rPr>
          <w:rFonts w:ascii="Times New Roman" w:hAnsi="Times New Roman" w:cs="Times New Roman"/>
          <w:sz w:val="24"/>
          <w:szCs w:val="24"/>
        </w:rPr>
      </w:pPr>
      <w:r>
        <w:rPr>
          <w:rFonts w:ascii="Times New Roman" w:hAnsi="Times New Roman" w:cs="Times New Roman"/>
          <w:sz w:val="24"/>
          <w:szCs w:val="24"/>
        </w:rPr>
        <w:t>To my dear sister (MRS ADEKUNLE) and my brothers(</w:t>
      </w:r>
      <w:proofErr w:type="spellStart"/>
      <w:r>
        <w:rPr>
          <w:rFonts w:ascii="Times New Roman" w:hAnsi="Times New Roman" w:cs="Times New Roman"/>
          <w:sz w:val="24"/>
          <w:szCs w:val="24"/>
        </w:rPr>
        <w:t>brotherAfeez,brotherSulaumon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Toheeb</w:t>
      </w:r>
      <w:proofErr w:type="spellEnd"/>
      <w:r>
        <w:rPr>
          <w:rFonts w:ascii="Times New Roman" w:hAnsi="Times New Roman" w:cs="Times New Roman"/>
          <w:sz w:val="24"/>
          <w:szCs w:val="24"/>
        </w:rPr>
        <w:t xml:space="preserve"> ), thank you for your continuous encouragement, emotional support, and for always being there in both good and challenging times. Your presence in my life means more than words can express.</w:t>
      </w:r>
    </w:p>
    <w:p w14:paraId="33588788" w14:textId="77777777" w:rsidR="009C1834" w:rsidRDefault="009C1834">
      <w:pPr>
        <w:spacing w:line="360" w:lineRule="auto"/>
        <w:jc w:val="both"/>
        <w:rPr>
          <w:rFonts w:ascii="Times New Roman" w:hAnsi="Times New Roman" w:cs="Times New Roman"/>
          <w:sz w:val="24"/>
          <w:szCs w:val="24"/>
        </w:rPr>
      </w:pPr>
    </w:p>
    <w:p w14:paraId="0A185BB3" w14:textId="6036036A" w:rsidR="009C1834" w:rsidRDefault="009C1834">
      <w:pPr>
        <w:spacing w:line="360" w:lineRule="auto"/>
        <w:jc w:val="both"/>
        <w:rPr>
          <w:rFonts w:ascii="Times New Roman" w:hAnsi="Times New Roman" w:cs="Times New Roman"/>
          <w:sz w:val="24"/>
          <w:szCs w:val="24"/>
        </w:rPr>
      </w:pPr>
      <w:r>
        <w:rPr>
          <w:rFonts w:ascii="Times New Roman" w:hAnsi="Times New Roman" w:cs="Times New Roman"/>
          <w:sz w:val="24"/>
          <w:szCs w:val="24"/>
        </w:rPr>
        <w:t>Finally, I extend my appreciation to everyone who contributed directly or indirectly to the successful completion of this project. May Allah reward you all abundantly.</w:t>
      </w:r>
    </w:p>
    <w:p w14:paraId="6382A2EA" w14:textId="77777777" w:rsidR="009C1834" w:rsidRDefault="009C1834">
      <w:pPr>
        <w:spacing w:line="360" w:lineRule="auto"/>
        <w:jc w:val="both"/>
        <w:rPr>
          <w:rFonts w:ascii="Times New Roman" w:hAnsi="Times New Roman" w:cs="Times New Roman"/>
          <w:sz w:val="24"/>
          <w:szCs w:val="24"/>
        </w:rPr>
      </w:pPr>
      <w:r>
        <w:rPr>
          <w:rFonts w:ascii="Times New Roman" w:hAnsi="Times New Roman" w:cs="Times New Roman"/>
          <w:sz w:val="24"/>
          <w:szCs w:val="24"/>
        </w:rPr>
        <w:t>Alhamdulillah.</w:t>
      </w:r>
    </w:p>
    <w:p w14:paraId="25B0D063" w14:textId="77777777" w:rsidR="009C1834" w:rsidRDefault="009C1834">
      <w:pPr>
        <w:spacing w:line="360" w:lineRule="auto"/>
        <w:jc w:val="both"/>
        <w:rPr>
          <w:rFonts w:ascii="Times New Roman" w:hAnsi="Times New Roman" w:cs="Times New Roman"/>
          <w:sz w:val="24"/>
          <w:szCs w:val="24"/>
        </w:rPr>
      </w:pPr>
    </w:p>
    <w:p w14:paraId="0B373697" w14:textId="77777777" w:rsidR="009C1834" w:rsidRDefault="009C1834">
      <w:pPr>
        <w:spacing w:line="360" w:lineRule="auto"/>
        <w:jc w:val="both"/>
        <w:rPr>
          <w:rFonts w:ascii="Times New Roman" w:hAnsi="Times New Roman" w:cs="Times New Roman"/>
          <w:sz w:val="24"/>
          <w:szCs w:val="24"/>
        </w:rPr>
      </w:pPr>
    </w:p>
    <w:p w14:paraId="21997BE3" w14:textId="77777777" w:rsidR="00714D18" w:rsidRDefault="006E511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83281EB" w14:textId="77777777" w:rsidR="00714D18" w:rsidRDefault="006E5117">
      <w:pPr>
        <w:pStyle w:val="Heading1"/>
        <w:spacing w:line="240" w:lineRule="auto"/>
        <w:ind w:left="2880" w:firstLine="720"/>
        <w:rPr>
          <w:rFonts w:cs="Times New Roman"/>
          <w:szCs w:val="24"/>
        </w:rPr>
      </w:pPr>
      <w:bookmarkStart w:id="2" w:name="_Toc11818"/>
      <w:r>
        <w:t>ABSTRACT</w:t>
      </w:r>
      <w:bookmarkEnd w:id="2"/>
    </w:p>
    <w:p w14:paraId="64AECEAA"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Erectile dysfunction (ED) is a prevalent side effect associated with long-term use of selective serotonin re-uptake inhibitors (SSRIs) such as paroxetine, mainly due to the disruption of nitric oxide (NO) signaling and </w:t>
      </w:r>
      <w:proofErr w:type="spellStart"/>
      <w:r>
        <w:rPr>
          <w:rFonts w:ascii="Times New Roman" w:hAnsi="Times New Roman"/>
          <w:sz w:val="24"/>
          <w:szCs w:val="24"/>
        </w:rPr>
        <w:t>upregulation</w:t>
      </w:r>
      <w:proofErr w:type="spellEnd"/>
      <w:r>
        <w:rPr>
          <w:rFonts w:ascii="Times New Roman" w:hAnsi="Times New Roman"/>
          <w:sz w:val="24"/>
          <w:szCs w:val="24"/>
        </w:rPr>
        <w:t xml:space="preserve"> of phosphodiesterase-5 (PDE5) and arginase activities.  Due to the limitations of current erectile dysfunction treatments, this study investigated the effects of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aqueous extract on paroxetine-induced erectile dysfunction in male </w:t>
      </w:r>
      <w:proofErr w:type="spellStart"/>
      <w:r>
        <w:rPr>
          <w:rFonts w:ascii="Times New Roman" w:hAnsi="Times New Roman"/>
          <w:sz w:val="24"/>
          <w:szCs w:val="24"/>
        </w:rPr>
        <w:t>Wistar</w:t>
      </w:r>
      <w:proofErr w:type="spellEnd"/>
      <w:r>
        <w:rPr>
          <w:rFonts w:ascii="Times New Roman" w:hAnsi="Times New Roman"/>
          <w:sz w:val="24"/>
          <w:szCs w:val="24"/>
        </w:rPr>
        <w:t xml:space="preserve"> rats as a safer, plant-based alternative. Twenty-five rats were randomly divided into five groups: normal control, paroxetine-induced untreated, paroxetine plus sildenafil (50 mg/kg), paroxetine plus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aqueous extract at 200 mg/kg, and 400 mg/kg. Paroxetine administration (10 mg/kg orally for 21 days) significantly (</w:t>
      </w:r>
      <w:r>
        <w:rPr>
          <w:rFonts w:ascii="Times New Roman" w:hAnsi="Times New Roman"/>
          <w:i/>
          <w:iCs/>
          <w:sz w:val="24"/>
          <w:szCs w:val="24"/>
        </w:rPr>
        <w:t>p &lt; 0.05</w:t>
      </w:r>
      <w:r>
        <w:rPr>
          <w:rFonts w:ascii="Times New Roman" w:hAnsi="Times New Roman"/>
          <w:sz w:val="24"/>
          <w:szCs w:val="24"/>
        </w:rPr>
        <w:t>) increased PDE5 activity (42.7 ± 2.8 U/L vs. 28.5 ± 2.1 U/L in control), arginase activity (8.4 ± 0.7 mg/dL vs. 6.2 ± 0.5 mg/dL), and reduced penile nitric oxide concentration (24.8 ± 2.6 µ</w:t>
      </w:r>
      <w:proofErr w:type="spellStart"/>
      <w:r>
        <w:rPr>
          <w:rFonts w:ascii="Times New Roman" w:hAnsi="Times New Roman"/>
          <w:sz w:val="24"/>
          <w:szCs w:val="24"/>
        </w:rPr>
        <w:t>mol</w:t>
      </w:r>
      <w:proofErr w:type="spellEnd"/>
      <w:r>
        <w:rPr>
          <w:rFonts w:ascii="Times New Roman" w:hAnsi="Times New Roman"/>
          <w:sz w:val="24"/>
          <w:szCs w:val="24"/>
        </w:rPr>
        <w:t>/L vs. 45.6 ± 3.4 µ</w:t>
      </w:r>
      <w:proofErr w:type="spellStart"/>
      <w:r>
        <w:rPr>
          <w:rFonts w:ascii="Times New Roman" w:hAnsi="Times New Roman"/>
          <w:sz w:val="24"/>
          <w:szCs w:val="24"/>
        </w:rPr>
        <w:t>mol</w:t>
      </w:r>
      <w:proofErr w:type="spellEnd"/>
      <w:r>
        <w:rPr>
          <w:rFonts w:ascii="Times New Roman" w:hAnsi="Times New Roman"/>
          <w:sz w:val="24"/>
          <w:szCs w:val="24"/>
        </w:rPr>
        <w:t xml:space="preserve">/L), indicating impaired erectile function. Treatment with 400 mg/kg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extract significantly (</w:t>
      </w:r>
      <w:r>
        <w:rPr>
          <w:rFonts w:ascii="Times New Roman" w:hAnsi="Times New Roman"/>
          <w:i/>
          <w:iCs/>
          <w:sz w:val="24"/>
          <w:szCs w:val="24"/>
        </w:rPr>
        <w:t>p &lt; 0.05</w:t>
      </w:r>
      <w:r>
        <w:rPr>
          <w:rFonts w:ascii="Times New Roman" w:hAnsi="Times New Roman"/>
          <w:sz w:val="24"/>
          <w:szCs w:val="24"/>
        </w:rPr>
        <w:t xml:space="preserve">) reduced PDE5 and arginase activities and, respectively, while increasing nitric oxide concentration compared to the paroxetine-only group. Additionally, paroxetine elevated total cholesterol (5.86 ± 0.27 </w:t>
      </w:r>
      <w:proofErr w:type="spellStart"/>
      <w:r>
        <w:rPr>
          <w:rFonts w:ascii="Times New Roman" w:hAnsi="Times New Roman"/>
          <w:sz w:val="24"/>
          <w:szCs w:val="24"/>
        </w:rPr>
        <w:t>mmol</w:t>
      </w:r>
      <w:proofErr w:type="spellEnd"/>
      <w:r>
        <w:rPr>
          <w:rFonts w:ascii="Times New Roman" w:hAnsi="Times New Roman"/>
          <w:sz w:val="24"/>
          <w:szCs w:val="24"/>
        </w:rPr>
        <w:t xml:space="preserve">/L), triglycerides (2.83 ± 0.16 </w:t>
      </w:r>
      <w:proofErr w:type="spellStart"/>
      <w:r>
        <w:rPr>
          <w:rFonts w:ascii="Times New Roman" w:hAnsi="Times New Roman"/>
          <w:sz w:val="24"/>
          <w:szCs w:val="24"/>
        </w:rPr>
        <w:t>mmol</w:t>
      </w:r>
      <w:proofErr w:type="spellEnd"/>
      <w:r>
        <w:rPr>
          <w:rFonts w:ascii="Times New Roman" w:hAnsi="Times New Roman"/>
          <w:sz w:val="24"/>
          <w:szCs w:val="24"/>
        </w:rPr>
        <w:t xml:space="preserve">/L), and LDL cholesterol (2.62 ± 0.14 </w:t>
      </w:r>
      <w:proofErr w:type="spellStart"/>
      <w:r>
        <w:rPr>
          <w:rFonts w:ascii="Times New Roman" w:hAnsi="Times New Roman"/>
          <w:sz w:val="24"/>
          <w:szCs w:val="24"/>
        </w:rPr>
        <w:t>mmol</w:t>
      </w:r>
      <w:proofErr w:type="spellEnd"/>
      <w:r>
        <w:rPr>
          <w:rFonts w:ascii="Times New Roman" w:hAnsi="Times New Roman"/>
          <w:sz w:val="24"/>
          <w:szCs w:val="24"/>
        </w:rPr>
        <w:t xml:space="preserve">/L), while decreasing HDL cholesterol (0.89 ± 0.08 </w:t>
      </w:r>
      <w:proofErr w:type="spellStart"/>
      <w:r>
        <w:rPr>
          <w:rFonts w:ascii="Times New Roman" w:hAnsi="Times New Roman"/>
          <w:sz w:val="24"/>
          <w:szCs w:val="24"/>
        </w:rPr>
        <w:t>mmol</w:t>
      </w:r>
      <w:proofErr w:type="spellEnd"/>
      <w:r>
        <w:rPr>
          <w:rFonts w:ascii="Times New Roman" w:hAnsi="Times New Roman"/>
          <w:sz w:val="24"/>
          <w:szCs w:val="24"/>
        </w:rPr>
        <w:t xml:space="preserve">/L).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 xml:space="preserve">extract at 400 mg/kg normalized these values close to control levels, with total cholesterol at 3.78 ± 0.21 </w:t>
      </w:r>
      <w:proofErr w:type="spellStart"/>
      <w:r>
        <w:rPr>
          <w:rFonts w:ascii="Times New Roman" w:hAnsi="Times New Roman"/>
          <w:sz w:val="24"/>
          <w:szCs w:val="24"/>
        </w:rPr>
        <w:t>mmol</w:t>
      </w:r>
      <w:proofErr w:type="spellEnd"/>
      <w:r>
        <w:rPr>
          <w:rFonts w:ascii="Times New Roman" w:hAnsi="Times New Roman"/>
          <w:sz w:val="24"/>
          <w:szCs w:val="24"/>
        </w:rPr>
        <w:t xml:space="preserve">/L, triglycerides at 1.44 ± 0.11 </w:t>
      </w:r>
      <w:proofErr w:type="spellStart"/>
      <w:r>
        <w:rPr>
          <w:rFonts w:ascii="Times New Roman" w:hAnsi="Times New Roman"/>
          <w:sz w:val="24"/>
          <w:szCs w:val="24"/>
        </w:rPr>
        <w:t>mmol</w:t>
      </w:r>
      <w:proofErr w:type="spellEnd"/>
      <w:r>
        <w:rPr>
          <w:rFonts w:ascii="Times New Roman" w:hAnsi="Times New Roman"/>
          <w:sz w:val="24"/>
          <w:szCs w:val="24"/>
        </w:rPr>
        <w:t xml:space="preserve">/L, LDL at 1.36 ± 0.12 </w:t>
      </w:r>
      <w:proofErr w:type="spellStart"/>
      <w:r>
        <w:rPr>
          <w:rFonts w:ascii="Times New Roman" w:hAnsi="Times New Roman"/>
          <w:sz w:val="24"/>
          <w:szCs w:val="24"/>
        </w:rPr>
        <w:t>mmol</w:t>
      </w:r>
      <w:proofErr w:type="spellEnd"/>
      <w:r>
        <w:rPr>
          <w:rFonts w:ascii="Times New Roman" w:hAnsi="Times New Roman"/>
          <w:sz w:val="24"/>
          <w:szCs w:val="24"/>
        </w:rPr>
        <w:t xml:space="preserve">/L, and HDL at 1.62 ± 0.10 </w:t>
      </w:r>
      <w:proofErr w:type="spellStart"/>
      <w:r>
        <w:rPr>
          <w:rFonts w:ascii="Times New Roman" w:hAnsi="Times New Roman"/>
          <w:sz w:val="24"/>
          <w:szCs w:val="24"/>
        </w:rPr>
        <w:t>mmol</w:t>
      </w:r>
      <w:proofErr w:type="spellEnd"/>
      <w:r>
        <w:rPr>
          <w:rFonts w:ascii="Times New Roman" w:hAnsi="Times New Roman"/>
          <w:sz w:val="24"/>
          <w:szCs w:val="24"/>
        </w:rPr>
        <w:t xml:space="preserve">/L. These findings highlight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as a promising natural therapeutic agent capable of mitigating paroxetine-induced erectile dysfunction through modulation of PDE5 and arginase activities, enhancement of NO bioavailability, and lipid profile improvement.</w:t>
      </w:r>
    </w:p>
    <w:p w14:paraId="213B35BD" w14:textId="77777777" w:rsidR="00714D18" w:rsidRDefault="00714D18">
      <w:pPr>
        <w:rPr>
          <w:rFonts w:ascii="Times New Roman" w:hAnsi="Times New Roman" w:cs="Times New Roman"/>
          <w:b/>
          <w:bCs/>
          <w:sz w:val="24"/>
          <w:szCs w:val="24"/>
        </w:rPr>
      </w:pPr>
    </w:p>
    <w:p w14:paraId="77894F4D" w14:textId="77777777" w:rsidR="00714D18" w:rsidRDefault="006E511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9B42D4A" w14:textId="77777777" w:rsidR="00714D18" w:rsidRDefault="006E5117">
      <w:pPr>
        <w:pStyle w:val="Heading1"/>
        <w:spacing w:line="240" w:lineRule="auto"/>
        <w:ind w:left="2880" w:firstLine="720"/>
      </w:pPr>
      <w:bookmarkStart w:id="3" w:name="_Toc8836"/>
      <w:r>
        <w:t>LIST OF FIGURES</w:t>
      </w:r>
      <w:bookmarkEnd w:id="3"/>
    </w:p>
    <w:p w14:paraId="403A5483" w14:textId="77777777" w:rsidR="00714D18" w:rsidRDefault="006E5117">
      <w:pPr>
        <w:rPr>
          <w:rFonts w:ascii="Times New Roman" w:hAnsi="Times New Roman" w:cs="Times New Roman"/>
          <w:b/>
          <w:bCs/>
          <w:sz w:val="24"/>
          <w:szCs w:val="24"/>
        </w:rPr>
      </w:pPr>
      <w:r>
        <w:rPr>
          <w:rFonts w:ascii="Times New Roman" w:hAnsi="Times New Roman" w:cs="Times New Roman"/>
          <w:b/>
          <w:bCs/>
          <w:sz w:val="24"/>
          <w:szCs w:val="24"/>
        </w:rPr>
        <w:t>Figures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Title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Page</w:t>
      </w:r>
    </w:p>
    <w:p w14:paraId="18C8FD42" w14:textId="77777777" w:rsidR="00714D18" w:rsidRDefault="006E5117">
      <w:pPr>
        <w:spacing w:line="360" w:lineRule="auto"/>
        <w:rPr>
          <w:rFonts w:ascii="Times New Roman" w:hAnsi="Times New Roman"/>
          <w:sz w:val="24"/>
          <w:szCs w:val="24"/>
        </w:rPr>
      </w:pPr>
      <w:r>
        <w:rPr>
          <w:rFonts w:ascii="Times New Roman" w:hAnsi="Times New Roman" w:cs="Times New Roman"/>
          <w:sz w:val="24"/>
          <w:szCs w:val="24"/>
        </w:rPr>
        <w:t>Figure 2.1</w:t>
      </w:r>
      <w:r>
        <w:rPr>
          <w:rFonts w:ascii="Times New Roman" w:hAnsi="Times New Roman" w:cs="Times New Roman"/>
          <w:sz w:val="24"/>
          <w:szCs w:val="24"/>
        </w:rPr>
        <w:tab/>
        <w:t xml:space="preserve">         </w:t>
      </w:r>
      <w:r>
        <w:rPr>
          <w:rFonts w:ascii="Times New Roman" w:hAnsi="Times New Roman"/>
          <w:sz w:val="24"/>
          <w:szCs w:val="24"/>
        </w:rPr>
        <w:t>Pathophysiology of Erectile Dysfunction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71A89461" w14:textId="77777777" w:rsidR="00714D18" w:rsidRDefault="006E5117">
      <w:pPr>
        <w:spacing w:line="360" w:lineRule="auto"/>
        <w:rPr>
          <w:rFonts w:ascii="Times New Roman" w:hAnsi="Times New Roman" w:cs="Times New Roman"/>
          <w:sz w:val="24"/>
          <w:szCs w:val="24"/>
        </w:rPr>
      </w:pPr>
      <w:r>
        <w:rPr>
          <w:rFonts w:ascii="Times New Roman" w:hAnsi="Times New Roman" w:cs="Times New Roman"/>
          <w:sz w:val="24"/>
          <w:szCs w:val="24"/>
        </w:rPr>
        <w:t>Figure 2.4</w:t>
      </w:r>
      <w:r>
        <w:rPr>
          <w:rFonts w:ascii="Times New Roman" w:hAnsi="Times New Roman" w:cs="Times New Roman"/>
          <w:sz w:val="24"/>
          <w:szCs w:val="24"/>
        </w:rPr>
        <w:tab/>
        <w:t xml:space="preserve">          Treatment of Erectile Dysfunction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6B515169" w14:textId="77777777" w:rsidR="00714D18" w:rsidRDefault="006E5117">
      <w:pPr>
        <w:rPr>
          <w:rFonts w:ascii="Times New Roman" w:hAnsi="Times New Roman" w:cs="Times New Roman"/>
          <w:sz w:val="24"/>
          <w:szCs w:val="24"/>
        </w:rPr>
      </w:pPr>
      <w:r>
        <w:rPr>
          <w:rFonts w:ascii="Times New Roman" w:hAnsi="Times New Roman" w:cs="Times New Roman"/>
          <w:sz w:val="24"/>
          <w:szCs w:val="24"/>
        </w:rPr>
        <w:t xml:space="preserve">Figure 4.1           Penile Organ-Body Ratios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29AD12DF" w14:textId="77777777" w:rsidR="00714D18" w:rsidRDefault="006E5117">
      <w:pPr>
        <w:ind w:left="720" w:firstLineChars="459" w:firstLine="1102"/>
        <w:rPr>
          <w:rFonts w:ascii="Times New Roman" w:hAnsi="Times New Roman" w:cs="Times New Roman"/>
          <w:i/>
          <w:iCs/>
          <w:sz w:val="24"/>
          <w:szCs w:val="24"/>
        </w:rPr>
      </w:pPr>
      <w:r>
        <w:rPr>
          <w:rFonts w:ascii="Times New Roman" w:hAnsi="Times New Roman" w:cs="Times New Roman"/>
          <w:sz w:val="24"/>
          <w:szCs w:val="24"/>
        </w:rPr>
        <w:t xml:space="preserve">Dysfunctional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
    <w:p w14:paraId="6FB9B3E0" w14:textId="77777777" w:rsidR="00714D18" w:rsidRDefault="006E5117">
      <w:pPr>
        <w:spacing w:line="360" w:lineRule="auto"/>
        <w:ind w:left="720" w:firstLineChars="659" w:firstLine="1582"/>
        <w:rPr>
          <w:rFonts w:ascii="Times New Roman" w:hAnsi="Times New Roman" w:cs="Times New Roman"/>
          <w:sz w:val="24"/>
          <w:szCs w:val="24"/>
        </w:rPr>
      </w:pP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r>
        <w:rPr>
          <w:rFonts w:ascii="Times New Roman" w:hAnsi="Times New Roman" w:cs="Times New Roman"/>
          <w:sz w:val="24"/>
          <w:szCs w:val="24"/>
        </w:rPr>
        <w:tab/>
      </w:r>
    </w:p>
    <w:p w14:paraId="4236816D" w14:textId="77777777" w:rsidR="00714D18" w:rsidRDefault="006E5117">
      <w:pPr>
        <w:rPr>
          <w:rFonts w:ascii="Times New Roman" w:hAnsi="Times New Roman" w:cs="Times New Roman"/>
          <w:sz w:val="24"/>
          <w:szCs w:val="24"/>
        </w:rPr>
      </w:pPr>
      <w:r>
        <w:rPr>
          <w:rFonts w:ascii="Times New Roman" w:hAnsi="Times New Roman" w:cs="Times New Roman"/>
          <w:sz w:val="24"/>
          <w:szCs w:val="24"/>
        </w:rPr>
        <w:t>Figure 4.2           Nitric Oxide Levels of Paroxetine-Induced Dysfunctional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400FFF66" w14:textId="77777777" w:rsidR="00714D18" w:rsidRDefault="006E5117">
      <w:pPr>
        <w:spacing w:line="360" w:lineRule="auto"/>
        <w:ind w:left="720" w:firstLineChars="459" w:firstLine="1102"/>
        <w:rPr>
          <w:rFonts w:ascii="Times New Roman" w:hAnsi="Times New Roman" w:cs="Times New Roman"/>
          <w:sz w:val="24"/>
          <w:szCs w:val="24"/>
        </w:rPr>
      </w:pPr>
      <w:r>
        <w:rPr>
          <w:rFonts w:ascii="Times New Roman" w:hAnsi="Times New Roman" w:cs="Times New Roman"/>
          <w:sz w:val="24"/>
          <w:szCs w:val="24"/>
        </w:rPr>
        <w:t xml:space="preserve">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p>
    <w:p w14:paraId="40C5CCDD" w14:textId="77777777" w:rsidR="00714D18" w:rsidRDefault="006E5117">
      <w:pPr>
        <w:rPr>
          <w:rFonts w:ascii="Times New Roman" w:hAnsi="Times New Roman" w:cs="Times New Roman"/>
          <w:sz w:val="24"/>
          <w:szCs w:val="24"/>
        </w:rPr>
      </w:pPr>
      <w:r>
        <w:rPr>
          <w:rFonts w:ascii="Times New Roman" w:hAnsi="Times New Roman" w:cs="Times New Roman"/>
          <w:sz w:val="24"/>
          <w:szCs w:val="24"/>
        </w:rPr>
        <w:t xml:space="preserve">Figure 4.3 </w:t>
      </w:r>
      <w:r>
        <w:rPr>
          <w:rFonts w:ascii="Times New Roman" w:hAnsi="Times New Roman" w:cs="Times New Roman"/>
          <w:sz w:val="24"/>
          <w:szCs w:val="24"/>
        </w:rPr>
        <w:tab/>
      </w:r>
      <w:r>
        <w:rPr>
          <w:rFonts w:ascii="Times New Roman" w:hAnsi="Times New Roman" w:cs="Times New Roman"/>
          <w:sz w:val="24"/>
          <w:szCs w:val="24"/>
        </w:rPr>
        <w:tab/>
        <w:t>The phosphodiesterase Activity of Paroxetine-Induced</w:t>
      </w:r>
      <w:r>
        <w:rPr>
          <w:rFonts w:ascii="Times New Roman" w:hAnsi="Times New Roman" w:cs="Times New Roman"/>
          <w:sz w:val="24"/>
          <w:szCs w:val="24"/>
        </w:rPr>
        <w:tab/>
      </w:r>
      <w:r>
        <w:rPr>
          <w:rFonts w:ascii="Times New Roman" w:hAnsi="Times New Roman" w:cs="Times New Roman"/>
          <w:sz w:val="24"/>
          <w:szCs w:val="24"/>
        </w:rPr>
        <w:tab/>
        <w:t>31</w:t>
      </w:r>
    </w:p>
    <w:p w14:paraId="7F5107D5" w14:textId="77777777" w:rsidR="00714D18" w:rsidRDefault="006E5117">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Dysfunctional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aromatic</w:t>
      </w:r>
      <w:r>
        <w:rPr>
          <w:rFonts w:ascii="Times New Roman" w:hAnsi="Times New Roman" w:cs="Times New Roman"/>
          <w:sz w:val="24"/>
          <w:szCs w:val="24"/>
        </w:rPr>
        <w:t xml:space="preserve"> Extract (SAAE)</w:t>
      </w:r>
    </w:p>
    <w:p w14:paraId="62A67681" w14:textId="77777777" w:rsidR="00714D18" w:rsidRDefault="006E5117">
      <w:pPr>
        <w:jc w:val="both"/>
        <w:rPr>
          <w:rFonts w:ascii="Times New Roman" w:hAnsi="Times New Roman" w:cs="Times New Roman"/>
          <w:sz w:val="24"/>
          <w:szCs w:val="24"/>
        </w:rPr>
      </w:pPr>
      <w:r>
        <w:rPr>
          <w:rFonts w:ascii="Times New Roman" w:hAnsi="Times New Roman" w:cs="Times New Roman"/>
          <w:sz w:val="24"/>
          <w:szCs w:val="24"/>
        </w:rPr>
        <w:t>Figure 4.4</w:t>
      </w:r>
      <w:r>
        <w:rPr>
          <w:rFonts w:ascii="Times New Roman" w:hAnsi="Times New Roman" w:cs="Times New Roman"/>
          <w:sz w:val="24"/>
          <w:szCs w:val="24"/>
        </w:rPr>
        <w:tab/>
      </w:r>
      <w:r>
        <w:rPr>
          <w:rFonts w:ascii="Times New Roman" w:hAnsi="Times New Roman" w:cs="Times New Roman"/>
          <w:sz w:val="24"/>
          <w:szCs w:val="24"/>
        </w:rPr>
        <w:tab/>
        <w:t xml:space="preserve">The Arginase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271D23EF" w14:textId="77777777" w:rsidR="00714D18" w:rsidRDefault="006E5117">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Dysfunctional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p>
    <w:p w14:paraId="23F83EF9" w14:textId="77777777" w:rsidR="00714D18" w:rsidRDefault="00714D18">
      <w:pPr>
        <w:rPr>
          <w:rFonts w:ascii="Times New Roman" w:hAnsi="Times New Roman" w:cs="Times New Roman"/>
          <w:sz w:val="24"/>
          <w:szCs w:val="24"/>
        </w:rPr>
      </w:pPr>
    </w:p>
    <w:p w14:paraId="0594A450" w14:textId="77777777" w:rsidR="00714D18" w:rsidRDefault="006E5117">
      <w:pPr>
        <w:rPr>
          <w:rFonts w:ascii="Times New Roman" w:hAnsi="Times New Roman" w:cs="Times New Roman"/>
          <w:sz w:val="24"/>
          <w:szCs w:val="24"/>
        </w:rPr>
      </w:pPr>
      <w:r>
        <w:rPr>
          <w:rFonts w:ascii="Times New Roman" w:hAnsi="Times New Roman" w:cs="Times New Roman"/>
          <w:sz w:val="24"/>
          <w:szCs w:val="24"/>
        </w:rPr>
        <w:t xml:space="preserve">Figure 4.5 </w:t>
      </w:r>
      <w:r>
        <w:rPr>
          <w:rFonts w:ascii="Times New Roman" w:hAnsi="Times New Roman" w:cs="Times New Roman"/>
          <w:sz w:val="24"/>
          <w:szCs w:val="24"/>
        </w:rPr>
        <w:tab/>
      </w:r>
      <w:r>
        <w:rPr>
          <w:rFonts w:ascii="Times New Roman" w:hAnsi="Times New Roman" w:cs="Times New Roman"/>
          <w:sz w:val="24"/>
          <w:szCs w:val="24"/>
        </w:rPr>
        <w:tab/>
        <w:t xml:space="preserve">Creatinine Kinase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327039F9" w14:textId="77777777" w:rsidR="00714D18" w:rsidRDefault="006E5117">
      <w:pPr>
        <w:ind w:left="720" w:firstLine="720"/>
        <w:rPr>
          <w:rFonts w:ascii="Times New Roman" w:hAnsi="Times New Roman" w:cs="Times New Roman"/>
          <w:sz w:val="24"/>
          <w:szCs w:val="24"/>
        </w:rPr>
      </w:pPr>
      <w:r>
        <w:rPr>
          <w:rFonts w:ascii="Times New Roman" w:hAnsi="Times New Roman" w:cs="Times New Roman"/>
          <w:sz w:val="24"/>
          <w:szCs w:val="24"/>
        </w:rPr>
        <w:t xml:space="preserve">Dysfunctional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aromatic</w:t>
      </w:r>
      <w:r>
        <w:rPr>
          <w:rFonts w:ascii="Times New Roman" w:hAnsi="Times New Roman" w:cs="Times New Roman"/>
          <w:sz w:val="24"/>
          <w:szCs w:val="24"/>
        </w:rPr>
        <w:t xml:space="preserve"> Extract (SAAE)</w:t>
      </w:r>
    </w:p>
    <w:p w14:paraId="166CE60B" w14:textId="77777777" w:rsidR="00714D18" w:rsidRDefault="006E5117">
      <w:pPr>
        <w:rPr>
          <w:rFonts w:ascii="Times New Roman" w:hAnsi="Times New Roman" w:cs="Times New Roman"/>
          <w:sz w:val="24"/>
          <w:szCs w:val="24"/>
        </w:rPr>
      </w:pPr>
      <w:r>
        <w:rPr>
          <w:rFonts w:ascii="Times New Roman" w:hAnsi="Times New Roman" w:cs="Times New Roman"/>
          <w:sz w:val="24"/>
          <w:szCs w:val="24"/>
        </w:rPr>
        <w:br w:type="page"/>
      </w:r>
    </w:p>
    <w:p w14:paraId="6AC1ECA4" w14:textId="77777777" w:rsidR="00714D18" w:rsidRDefault="006E5117">
      <w:pPr>
        <w:pStyle w:val="Heading1"/>
        <w:spacing w:line="240" w:lineRule="auto"/>
        <w:ind w:left="2880" w:firstLine="720"/>
      </w:pPr>
      <w:bookmarkStart w:id="4" w:name="_Toc19016"/>
      <w:r>
        <w:t>LIST OF TABLES</w:t>
      </w:r>
      <w:bookmarkEnd w:id="4"/>
    </w:p>
    <w:p w14:paraId="2CA035B5" w14:textId="77777777" w:rsidR="00714D18" w:rsidRDefault="006E5117">
      <w:pPr>
        <w:rPr>
          <w:rFonts w:ascii="Times New Roman" w:hAnsi="Times New Roman" w:cs="Times New Roman"/>
          <w:b/>
          <w:bCs/>
          <w:sz w:val="24"/>
          <w:szCs w:val="24"/>
        </w:rPr>
      </w:pPr>
      <w:r>
        <w:rPr>
          <w:rFonts w:ascii="Times New Roman" w:hAnsi="Times New Roman" w:cs="Times New Roman"/>
          <w:b/>
          <w:bCs/>
          <w:sz w:val="24"/>
          <w:szCs w:val="24"/>
        </w:rPr>
        <w:t>Table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t xml:space="preserve"> Title</w:t>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Page</w:t>
      </w:r>
    </w:p>
    <w:p w14:paraId="19392A56" w14:textId="77777777" w:rsidR="00714D18" w:rsidRDefault="006E5117">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Table 4.1        Phytochemical Screening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Aqueous Extract</w:t>
      </w:r>
      <w:r>
        <w:rPr>
          <w:rFonts w:ascii="Times New Roman" w:hAnsi="Times New Roman" w:cs="Times New Roman"/>
          <w:sz w:val="24"/>
          <w:szCs w:val="24"/>
        </w:rPr>
        <w:tab/>
        <w:t xml:space="preserve">      28</w:t>
      </w:r>
    </w:p>
    <w:p w14:paraId="4119E6F4" w14:textId="77777777" w:rsidR="00714D18" w:rsidRDefault="006E5117">
      <w:pPr>
        <w:rPr>
          <w:rFonts w:ascii="Times New Roman" w:hAnsi="Times New Roman" w:cs="Times New Roman"/>
          <w:sz w:val="24"/>
          <w:szCs w:val="24"/>
        </w:rPr>
      </w:pPr>
      <w:r>
        <w:rPr>
          <w:rFonts w:ascii="Times New Roman" w:hAnsi="Times New Roman" w:cs="Times New Roman"/>
          <w:sz w:val="24"/>
          <w:szCs w:val="24"/>
        </w:rPr>
        <w:t xml:space="preserve">Table 4.2       Serum Lipid Profile of Paroxetine-Induced Dysfunctional Rats </w:t>
      </w:r>
      <w:r>
        <w:rPr>
          <w:rFonts w:ascii="Times New Roman" w:hAnsi="Times New Roman" w:cs="Times New Roman"/>
          <w:sz w:val="24"/>
          <w:szCs w:val="24"/>
        </w:rPr>
        <w:tab/>
      </w:r>
      <w:r>
        <w:rPr>
          <w:rFonts w:ascii="Times New Roman" w:hAnsi="Times New Roman" w:cs="Times New Roman"/>
          <w:sz w:val="24"/>
          <w:szCs w:val="24"/>
        </w:rPr>
        <w:tab/>
        <w:t xml:space="preserve">      33</w:t>
      </w:r>
    </w:p>
    <w:p w14:paraId="19BE03F2" w14:textId="77777777" w:rsidR="00714D18" w:rsidRDefault="006E5117">
      <w:pPr>
        <w:ind w:left="1440" w:firstLine="720"/>
        <w:rPr>
          <w:rFonts w:ascii="Times New Roman" w:hAnsi="Times New Roman" w:cs="Times New Roman"/>
          <w:sz w:val="24"/>
          <w:szCs w:val="24"/>
        </w:rPr>
      </w:pPr>
      <w:r>
        <w:rPr>
          <w:rFonts w:ascii="Times New Roman" w:hAnsi="Times New Roman" w:cs="Times New Roman"/>
          <w:sz w:val="24"/>
          <w:szCs w:val="24"/>
        </w:rPr>
        <w:t xml:space="preserve">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aromatic</w:t>
      </w:r>
      <w:r>
        <w:rPr>
          <w:rFonts w:ascii="Times New Roman" w:hAnsi="Times New Roman" w:cs="Times New Roman"/>
          <w:sz w:val="24"/>
          <w:szCs w:val="24"/>
        </w:rPr>
        <w:t xml:space="preserve"> Extract</w:t>
      </w:r>
    </w:p>
    <w:p w14:paraId="29AA2492" w14:textId="77777777" w:rsidR="00714D18" w:rsidRDefault="00714D18">
      <w:pPr>
        <w:rPr>
          <w:rFonts w:ascii="Times New Roman" w:hAnsi="Times New Roman" w:cs="Times New Roman"/>
          <w:sz w:val="24"/>
          <w:szCs w:val="24"/>
        </w:rPr>
      </w:pPr>
    </w:p>
    <w:p w14:paraId="7F49BDB7" w14:textId="77777777" w:rsidR="00714D18" w:rsidRDefault="00714D18">
      <w:pPr>
        <w:spacing w:line="360" w:lineRule="auto"/>
        <w:rPr>
          <w:rFonts w:ascii="Times New Roman" w:hAnsi="Times New Roman" w:cs="Times New Roman"/>
          <w:sz w:val="24"/>
          <w:szCs w:val="24"/>
        </w:rPr>
      </w:pPr>
    </w:p>
    <w:p w14:paraId="4B001D07" w14:textId="77777777" w:rsidR="00714D18" w:rsidRDefault="006E5117">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E665FA5" w14:textId="77777777" w:rsidR="00714D18" w:rsidRDefault="006E5117">
      <w:pPr>
        <w:spacing w:line="360" w:lineRule="auto"/>
        <w:rPr>
          <w:rFonts w:ascii="Times New Roman" w:hAnsi="Times New Roman" w:cs="Times New Roman"/>
          <w:b/>
          <w:bCs/>
          <w:sz w:val="24"/>
          <w:szCs w:val="24"/>
        </w:rPr>
      </w:pPr>
      <w:r>
        <w:rPr>
          <w:sz w:val="24"/>
          <w:szCs w:val="24"/>
        </w:rPr>
        <w:br w:type="page"/>
      </w:r>
    </w:p>
    <w:p w14:paraId="18702F6F" w14:textId="77777777" w:rsidR="00714D18" w:rsidRDefault="006E5117">
      <w:pPr>
        <w:pStyle w:val="Heading1"/>
        <w:spacing w:line="240" w:lineRule="auto"/>
        <w:ind w:left="2160" w:firstLine="720"/>
      </w:pPr>
      <w:bookmarkStart w:id="5" w:name="_Toc1905"/>
      <w:r>
        <w:t>TABLE OF CONTENT</w:t>
      </w:r>
      <w:bookmarkEnd w:id="5"/>
    </w:p>
    <w:sdt>
      <w:sdtPr>
        <w:rPr>
          <w:rFonts w:ascii="SimSun" w:eastAsia="SimSun" w:hAnsi="SimSun"/>
          <w:sz w:val="21"/>
        </w:rPr>
        <w:id w:val="147477542"/>
        <w15:color w:val="DBDBDB"/>
        <w:docPartObj>
          <w:docPartGallery w:val="Table of Contents"/>
          <w:docPartUnique/>
        </w:docPartObj>
      </w:sdtPr>
      <w:sdtEndPr>
        <w:rPr>
          <w:rFonts w:ascii="Times New Roman" w:hAnsi="Times New Roman" w:cs="Times New Roman"/>
          <w:b/>
          <w:sz w:val="24"/>
          <w:szCs w:val="24"/>
        </w:rPr>
      </w:sdtEndPr>
      <w:sdtContent>
        <w:p w14:paraId="22D87DC8" w14:textId="77777777" w:rsidR="00714D18" w:rsidRDefault="00714D18">
          <w:pPr>
            <w:jc w:val="center"/>
          </w:pPr>
        </w:p>
        <w:p w14:paraId="665E2DEE" w14:textId="77777777" w:rsidR="00714D18" w:rsidRDefault="006E5117">
          <w:pPr>
            <w:pStyle w:val="WPSOffice1"/>
            <w:tabs>
              <w:tab w:val="right" w:leader="dot" w:pos="9746"/>
            </w:tabs>
            <w:rPr>
              <w:rFonts w:ascii="Times New Roman" w:hAnsi="Times New Roman" w:cs="Times New Roman"/>
              <w:b/>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TOC \o "1-2" \h \u </w:instrText>
          </w:r>
          <w:r>
            <w:rPr>
              <w:rFonts w:ascii="Times New Roman" w:hAnsi="Times New Roman" w:cs="Times New Roman"/>
              <w:sz w:val="24"/>
              <w:szCs w:val="24"/>
            </w:rPr>
            <w:fldChar w:fldCharType="separate"/>
          </w:r>
          <w:hyperlink w:anchor="_Toc18234" w:history="1">
            <w:r>
              <w:rPr>
                <w:rFonts w:ascii="Times New Roman" w:hAnsi="Times New Roman" w:cs="Times New Roman"/>
                <w:b/>
                <w:sz w:val="24"/>
                <w:szCs w:val="24"/>
              </w:rPr>
              <w:t>CERTIFICATION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_Toc18234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II</w:t>
            </w:r>
            <w:r>
              <w:rPr>
                <w:rFonts w:ascii="Times New Roman" w:hAnsi="Times New Roman" w:cs="Times New Roman"/>
                <w:b/>
                <w:sz w:val="24"/>
                <w:szCs w:val="24"/>
              </w:rPr>
              <w:fldChar w:fldCharType="end"/>
            </w:r>
          </w:hyperlink>
        </w:p>
        <w:p w14:paraId="46150037" w14:textId="77777777" w:rsidR="00714D18" w:rsidRDefault="006E5117">
          <w:pPr>
            <w:pStyle w:val="WPSOffice1"/>
            <w:tabs>
              <w:tab w:val="right" w:leader="dot" w:pos="9746"/>
            </w:tabs>
            <w:rPr>
              <w:rFonts w:ascii="Times New Roman" w:hAnsi="Times New Roman" w:cs="Times New Roman"/>
              <w:b/>
              <w:sz w:val="24"/>
              <w:szCs w:val="24"/>
            </w:rPr>
          </w:pPr>
          <w:hyperlink w:anchor="_Toc30012" w:history="1">
            <w:r>
              <w:rPr>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_Toc30012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III</w:t>
            </w:r>
            <w:r>
              <w:rPr>
                <w:rFonts w:ascii="Times New Roman" w:hAnsi="Times New Roman" w:cs="Times New Roman"/>
                <w:b/>
                <w:sz w:val="24"/>
                <w:szCs w:val="24"/>
              </w:rPr>
              <w:fldChar w:fldCharType="end"/>
            </w:r>
          </w:hyperlink>
        </w:p>
        <w:p w14:paraId="2EB62861" w14:textId="77777777" w:rsidR="00714D18" w:rsidRDefault="006E5117">
          <w:pPr>
            <w:pStyle w:val="WPSOffice1"/>
            <w:tabs>
              <w:tab w:val="right" w:leader="dot" w:pos="9746"/>
            </w:tabs>
            <w:rPr>
              <w:rFonts w:ascii="Times New Roman" w:hAnsi="Times New Roman" w:cs="Times New Roman"/>
              <w:b/>
              <w:sz w:val="24"/>
              <w:szCs w:val="24"/>
            </w:rPr>
          </w:pPr>
          <w:hyperlink w:anchor="_Toc24339" w:history="1">
            <w:r>
              <w:rPr>
                <w:rFonts w:ascii="Times New Roman" w:hAnsi="Times New Roman" w:cs="Times New Roman"/>
                <w:b/>
                <w:sz w:val="24"/>
                <w:szCs w:val="24"/>
              </w:rPr>
              <w:t>ACKNOWLEDGEMENT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_Toc24339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IV</w:t>
            </w:r>
            <w:r>
              <w:rPr>
                <w:rFonts w:ascii="Times New Roman" w:hAnsi="Times New Roman" w:cs="Times New Roman"/>
                <w:b/>
                <w:sz w:val="24"/>
                <w:szCs w:val="24"/>
              </w:rPr>
              <w:fldChar w:fldCharType="end"/>
            </w:r>
          </w:hyperlink>
        </w:p>
        <w:p w14:paraId="1D37E862" w14:textId="77777777" w:rsidR="00714D18" w:rsidRDefault="006E5117">
          <w:pPr>
            <w:pStyle w:val="WPSOffice1"/>
            <w:tabs>
              <w:tab w:val="right" w:leader="dot" w:pos="9746"/>
            </w:tabs>
            <w:rPr>
              <w:rFonts w:ascii="Times New Roman" w:hAnsi="Times New Roman" w:cs="Times New Roman"/>
              <w:b/>
              <w:sz w:val="24"/>
              <w:szCs w:val="24"/>
            </w:rPr>
          </w:pPr>
          <w:hyperlink w:anchor="_Toc11818" w:history="1">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_Toc11818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w:t>
            </w:r>
            <w:r>
              <w:rPr>
                <w:rFonts w:ascii="Times New Roman" w:hAnsi="Times New Roman" w:cs="Times New Roman"/>
                <w:b/>
                <w:sz w:val="24"/>
                <w:szCs w:val="24"/>
              </w:rPr>
              <w:fldChar w:fldCharType="end"/>
            </w:r>
          </w:hyperlink>
        </w:p>
        <w:p w14:paraId="04DAB499" w14:textId="77777777" w:rsidR="00714D18" w:rsidRDefault="006E5117">
          <w:pPr>
            <w:pStyle w:val="WPSOffice1"/>
            <w:tabs>
              <w:tab w:val="right" w:leader="dot" w:pos="9746"/>
            </w:tabs>
            <w:rPr>
              <w:rFonts w:ascii="Times New Roman" w:hAnsi="Times New Roman" w:cs="Times New Roman"/>
              <w:b/>
              <w:sz w:val="24"/>
              <w:szCs w:val="24"/>
            </w:rPr>
          </w:pPr>
          <w:hyperlink w:anchor="_Toc8836" w:history="1">
            <w:r>
              <w:rPr>
                <w:rFonts w:ascii="Times New Roman" w:hAnsi="Times New Roman" w:cs="Times New Roman"/>
                <w:b/>
                <w:sz w:val="24"/>
                <w:szCs w:val="24"/>
              </w:rPr>
              <w:t>LIST OF FIGURES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_Toc8836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w:t>
            </w:r>
            <w:r>
              <w:rPr>
                <w:rFonts w:ascii="Times New Roman" w:hAnsi="Times New Roman" w:cs="Times New Roman"/>
                <w:b/>
                <w:sz w:val="24"/>
                <w:szCs w:val="24"/>
              </w:rPr>
              <w:fldChar w:fldCharType="end"/>
            </w:r>
          </w:hyperlink>
        </w:p>
        <w:p w14:paraId="554EFF83" w14:textId="77777777" w:rsidR="00714D18" w:rsidRDefault="006E5117">
          <w:pPr>
            <w:pStyle w:val="WPSOffice1"/>
            <w:tabs>
              <w:tab w:val="right" w:leader="dot" w:pos="9746"/>
            </w:tabs>
            <w:rPr>
              <w:rFonts w:ascii="Times New Roman" w:hAnsi="Times New Roman" w:cs="Times New Roman"/>
              <w:b/>
              <w:sz w:val="24"/>
              <w:szCs w:val="24"/>
            </w:rPr>
          </w:pPr>
          <w:hyperlink w:anchor="_Toc19016" w:history="1">
            <w:r>
              <w:rPr>
                <w:rFonts w:ascii="Times New Roman" w:hAnsi="Times New Roman" w:cs="Times New Roman"/>
                <w:b/>
                <w:sz w:val="24"/>
                <w:szCs w:val="24"/>
              </w:rPr>
              <w:t>LIST OF TABLES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_Toc19016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VII</w:t>
            </w:r>
            <w:r>
              <w:rPr>
                <w:rFonts w:ascii="Times New Roman" w:hAnsi="Times New Roman" w:cs="Times New Roman"/>
                <w:b/>
                <w:sz w:val="24"/>
                <w:szCs w:val="24"/>
              </w:rPr>
              <w:fldChar w:fldCharType="end"/>
            </w:r>
          </w:hyperlink>
        </w:p>
        <w:p w14:paraId="52AD2BB1" w14:textId="77777777" w:rsidR="00714D18" w:rsidRDefault="006E5117">
          <w:pPr>
            <w:pStyle w:val="WPSOffice1"/>
            <w:tabs>
              <w:tab w:val="right" w:leader="dot" w:pos="9746"/>
            </w:tabs>
            <w:rPr>
              <w:rFonts w:ascii="Times New Roman" w:hAnsi="Times New Roman" w:cs="Times New Roman"/>
              <w:b/>
              <w:sz w:val="24"/>
              <w:szCs w:val="24"/>
            </w:rPr>
          </w:pPr>
          <w:hyperlink w:anchor="_Toc1905" w:history="1">
            <w:r>
              <w:rPr>
                <w:rFonts w:ascii="Times New Roman" w:hAnsi="Times New Roman" w:cs="Times New Roman"/>
                <w:b/>
                <w:sz w:val="24"/>
                <w:szCs w:val="24"/>
              </w:rPr>
              <w:t>TABLE OF CONTENT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_Toc1905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VIII</w:t>
            </w:r>
            <w:r>
              <w:rPr>
                <w:rFonts w:ascii="Times New Roman" w:hAnsi="Times New Roman" w:cs="Times New Roman"/>
                <w:b/>
                <w:sz w:val="24"/>
                <w:szCs w:val="24"/>
              </w:rPr>
              <w:fldChar w:fldCharType="end"/>
            </w:r>
          </w:hyperlink>
        </w:p>
        <w:p w14:paraId="5871FCBE" w14:textId="77777777" w:rsidR="00714D18" w:rsidRDefault="006E5117">
          <w:pPr>
            <w:pStyle w:val="WPSOffice1"/>
            <w:tabs>
              <w:tab w:val="right" w:leader="dot" w:pos="9746"/>
            </w:tabs>
            <w:rPr>
              <w:rFonts w:ascii="Times New Roman" w:hAnsi="Times New Roman" w:cs="Times New Roman"/>
              <w:b/>
              <w:sz w:val="24"/>
              <w:szCs w:val="24"/>
            </w:rPr>
          </w:pPr>
          <w:hyperlink w:anchor="_Toc10697" w:history="1">
            <w:r>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_Toc10697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hyperlink>
        </w:p>
        <w:p w14:paraId="27F9DDE4" w14:textId="77777777" w:rsidR="00714D18" w:rsidRDefault="006E5117">
          <w:pPr>
            <w:pStyle w:val="WPSOffice1"/>
            <w:tabs>
              <w:tab w:val="right" w:leader="dot" w:pos="9746"/>
            </w:tabs>
            <w:rPr>
              <w:rFonts w:ascii="Times New Roman" w:hAnsi="Times New Roman" w:cs="Times New Roman"/>
              <w:b/>
              <w:sz w:val="24"/>
              <w:szCs w:val="24"/>
            </w:rPr>
          </w:pPr>
          <w:hyperlink w:anchor="_Toc4022" w:history="1">
            <w:r>
              <w:rPr>
                <w:rFonts w:ascii="Times New Roman" w:hAnsi="Times New Roman" w:cs="Times New Roman"/>
                <w:b/>
                <w:sz w:val="24"/>
                <w:szCs w:val="24"/>
              </w:rPr>
              <w:t>1.0 INTRODUCTION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_Toc4022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hyperlink>
        </w:p>
        <w:p w14:paraId="37C237A4" w14:textId="77777777" w:rsidR="00714D18" w:rsidRDefault="006E5117">
          <w:pPr>
            <w:pStyle w:val="WPSOffice2"/>
            <w:tabs>
              <w:tab w:val="right" w:leader="dot" w:pos="9746"/>
            </w:tabs>
            <w:ind w:left="400"/>
            <w:rPr>
              <w:rFonts w:ascii="Times New Roman" w:hAnsi="Times New Roman" w:cs="Times New Roman"/>
              <w:sz w:val="24"/>
              <w:szCs w:val="24"/>
            </w:rPr>
          </w:pPr>
          <w:hyperlink w:anchor="_Toc10179" w:history="1">
            <w:r>
              <w:rPr>
                <w:rFonts w:ascii="Times New Roman" w:hAnsi="Times New Roman" w:cs="Times New Roman"/>
                <w:sz w:val="24"/>
                <w:szCs w:val="24"/>
              </w:rPr>
              <w:t>1.1 Background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_Toc10179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hyperlink>
        </w:p>
        <w:p w14:paraId="30DD50D1" w14:textId="77777777" w:rsidR="00714D18" w:rsidRDefault="006E5117">
          <w:pPr>
            <w:pStyle w:val="WPSOffice2"/>
            <w:tabs>
              <w:tab w:val="right" w:leader="dot" w:pos="9746"/>
            </w:tabs>
            <w:ind w:left="400"/>
            <w:rPr>
              <w:rFonts w:ascii="Times New Roman" w:hAnsi="Times New Roman" w:cs="Times New Roman"/>
              <w:sz w:val="24"/>
              <w:szCs w:val="24"/>
            </w:rPr>
          </w:pPr>
          <w:hyperlink w:anchor="_Toc12307" w:history="1">
            <w:r>
              <w:rPr>
                <w:rFonts w:ascii="Times New Roman" w:hAnsi="Times New Roman" w:cs="Times New Roman"/>
                <w:sz w:val="24"/>
                <w:szCs w:val="24"/>
              </w:rPr>
              <w:t>1.2 Justification for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_Toc12307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hyperlink>
        </w:p>
        <w:p w14:paraId="35722B48" w14:textId="77777777" w:rsidR="00714D18" w:rsidRDefault="006E5117">
          <w:pPr>
            <w:pStyle w:val="WPSOffice2"/>
            <w:tabs>
              <w:tab w:val="right" w:leader="dot" w:pos="9746"/>
            </w:tabs>
            <w:ind w:left="400"/>
            <w:rPr>
              <w:rFonts w:ascii="Times New Roman" w:hAnsi="Times New Roman" w:cs="Times New Roman"/>
              <w:sz w:val="24"/>
              <w:szCs w:val="24"/>
            </w:rPr>
          </w:pPr>
          <w:hyperlink w:anchor="_Toc23532" w:history="1">
            <w:r>
              <w:rPr>
                <w:rFonts w:ascii="Times New Roman" w:hAnsi="Times New Roman" w:cs="Times New Roman"/>
                <w:sz w:val="24"/>
                <w:szCs w:val="24"/>
              </w:rPr>
              <w:t>1.3 Problem Statement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_Toc23532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hyperlink>
        </w:p>
        <w:p w14:paraId="77F33C53" w14:textId="77777777" w:rsidR="00714D18" w:rsidRDefault="006E5117">
          <w:pPr>
            <w:pStyle w:val="WPSOffice2"/>
            <w:tabs>
              <w:tab w:val="right" w:leader="dot" w:pos="9746"/>
            </w:tabs>
            <w:ind w:left="400"/>
            <w:rPr>
              <w:rFonts w:ascii="Times New Roman" w:hAnsi="Times New Roman" w:cs="Times New Roman"/>
              <w:sz w:val="24"/>
              <w:szCs w:val="24"/>
            </w:rPr>
          </w:pPr>
          <w:hyperlink w:anchor="_Toc10104" w:history="1">
            <w:r>
              <w:rPr>
                <w:rFonts w:ascii="Times New Roman" w:hAnsi="Times New Roman" w:cs="Times New Roman"/>
                <w:sz w:val="24"/>
                <w:szCs w:val="24"/>
              </w:rPr>
              <w:t>1.4 Significance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_Toc10104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hyperlink>
        </w:p>
        <w:p w14:paraId="495E2DD1" w14:textId="77777777" w:rsidR="00714D18" w:rsidRDefault="006E5117">
          <w:pPr>
            <w:pStyle w:val="WPSOffice2"/>
            <w:tabs>
              <w:tab w:val="right" w:leader="dot" w:pos="9746"/>
            </w:tabs>
            <w:ind w:left="400"/>
            <w:rPr>
              <w:rFonts w:ascii="Times New Roman" w:hAnsi="Times New Roman" w:cs="Times New Roman"/>
              <w:sz w:val="24"/>
              <w:szCs w:val="24"/>
            </w:rPr>
          </w:pPr>
          <w:hyperlink w:anchor="_Toc16192" w:history="1">
            <w:r>
              <w:rPr>
                <w:rFonts w:ascii="Times New Roman" w:hAnsi="Times New Roman" w:cs="Times New Roman"/>
                <w:sz w:val="24"/>
                <w:szCs w:val="24"/>
              </w:rPr>
              <w:t>1.5 Objectives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_Toc16192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hyperlink>
        </w:p>
        <w:p w14:paraId="3D1099E5" w14:textId="77777777" w:rsidR="00714D18" w:rsidRDefault="006E5117">
          <w:pPr>
            <w:pStyle w:val="WPSOffice1"/>
            <w:tabs>
              <w:tab w:val="right" w:leader="dot" w:pos="9746"/>
            </w:tabs>
            <w:rPr>
              <w:rFonts w:ascii="Times New Roman" w:hAnsi="Times New Roman" w:cs="Times New Roman"/>
              <w:b/>
              <w:sz w:val="24"/>
              <w:szCs w:val="24"/>
            </w:rPr>
          </w:pPr>
          <w:hyperlink w:anchor="_Toc4495" w:history="1">
            <w:r>
              <w:rPr>
                <w:rFonts w:ascii="Times New Roman" w:hAnsi="Times New Roman" w:cs="Times New Roman"/>
                <w:b/>
                <w:sz w:val="24"/>
                <w:szCs w:val="24"/>
              </w:rPr>
              <w:t>CHAPTER TWO</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_Toc4495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hyperlink>
        </w:p>
        <w:p w14:paraId="40ECC068" w14:textId="77777777" w:rsidR="00714D18" w:rsidRDefault="006E5117">
          <w:pPr>
            <w:pStyle w:val="WPSOffice1"/>
            <w:tabs>
              <w:tab w:val="right" w:leader="dot" w:pos="9746"/>
            </w:tabs>
            <w:rPr>
              <w:rFonts w:ascii="Times New Roman" w:hAnsi="Times New Roman" w:cs="Times New Roman"/>
              <w:b/>
              <w:sz w:val="24"/>
              <w:szCs w:val="24"/>
            </w:rPr>
          </w:pPr>
          <w:hyperlink w:anchor="_Toc29404" w:history="1">
            <w:r>
              <w:rPr>
                <w:rFonts w:ascii="Times New Roman" w:hAnsi="Times New Roman" w:cs="Times New Roman"/>
                <w:b/>
                <w:sz w:val="24"/>
                <w:szCs w:val="24"/>
              </w:rPr>
              <w:t>2.0 LITERATURE REVIEW</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_Toc29404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hyperlink>
        </w:p>
        <w:p w14:paraId="559E23EE" w14:textId="77777777" w:rsidR="00714D18" w:rsidRDefault="006E5117">
          <w:pPr>
            <w:pStyle w:val="WPSOffice2"/>
            <w:tabs>
              <w:tab w:val="right" w:leader="dot" w:pos="9746"/>
            </w:tabs>
            <w:ind w:left="400"/>
            <w:rPr>
              <w:rFonts w:ascii="Times New Roman" w:hAnsi="Times New Roman" w:cs="Times New Roman"/>
              <w:sz w:val="24"/>
              <w:szCs w:val="24"/>
            </w:rPr>
          </w:pPr>
          <w:hyperlink w:anchor="_Toc5816" w:history="1">
            <w:r>
              <w:rPr>
                <w:rFonts w:ascii="Times New Roman" w:hAnsi="Times New Roman" w:cs="Times New Roman"/>
                <w:sz w:val="24"/>
                <w:szCs w:val="24"/>
              </w:rPr>
              <w:t>2.1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_Toc5816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hyperlink>
        </w:p>
        <w:p w14:paraId="2ED54C9C" w14:textId="77777777" w:rsidR="00714D18" w:rsidRDefault="006E5117">
          <w:pPr>
            <w:pStyle w:val="WPSOffice2"/>
            <w:tabs>
              <w:tab w:val="right" w:leader="dot" w:pos="9746"/>
            </w:tabs>
            <w:ind w:left="400"/>
            <w:rPr>
              <w:rFonts w:ascii="Times New Roman" w:hAnsi="Times New Roman" w:cs="Times New Roman"/>
              <w:sz w:val="24"/>
              <w:szCs w:val="24"/>
            </w:rPr>
          </w:pPr>
          <w:hyperlink w:anchor="_Toc8841" w:history="1">
            <w:r>
              <w:rPr>
                <w:rFonts w:ascii="Times New Roman" w:hAnsi="Times New Roman" w:cs="Times New Roman"/>
                <w:sz w:val="24"/>
                <w:szCs w:val="24"/>
              </w:rPr>
              <w:t>2.2 Epidemiology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_Toc8841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hyperlink>
        </w:p>
        <w:p w14:paraId="47E8CCC5" w14:textId="77777777" w:rsidR="00714D18" w:rsidRDefault="006E5117">
          <w:pPr>
            <w:pStyle w:val="WPSOffice2"/>
            <w:tabs>
              <w:tab w:val="right" w:leader="dot" w:pos="9746"/>
            </w:tabs>
            <w:ind w:left="400"/>
            <w:rPr>
              <w:rFonts w:ascii="Times New Roman" w:hAnsi="Times New Roman" w:cs="Times New Roman"/>
              <w:sz w:val="24"/>
              <w:szCs w:val="24"/>
            </w:rPr>
          </w:pPr>
          <w:hyperlink w:anchor="_Toc27865" w:history="1">
            <w:r>
              <w:rPr>
                <w:rFonts w:ascii="Times New Roman" w:hAnsi="Times New Roman" w:cs="Times New Roman"/>
                <w:sz w:val="24"/>
                <w:szCs w:val="24"/>
              </w:rPr>
              <w:t>2.3 Pathophysiology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_Toc27865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hyperlink>
        </w:p>
        <w:p w14:paraId="49048213" w14:textId="77777777" w:rsidR="00714D18" w:rsidRDefault="006E5117">
          <w:pPr>
            <w:pStyle w:val="WPSOffice2"/>
            <w:tabs>
              <w:tab w:val="right" w:leader="dot" w:pos="9746"/>
            </w:tabs>
            <w:ind w:left="400"/>
            <w:rPr>
              <w:rFonts w:ascii="Times New Roman" w:hAnsi="Times New Roman" w:cs="Times New Roman"/>
              <w:sz w:val="24"/>
              <w:szCs w:val="24"/>
            </w:rPr>
          </w:pPr>
          <w:hyperlink w:anchor="_Toc2255" w:history="1">
            <w:r>
              <w:rPr>
                <w:rFonts w:ascii="Times New Roman" w:hAnsi="Times New Roman" w:cs="Times New Roman"/>
                <w:sz w:val="24"/>
                <w:szCs w:val="24"/>
              </w:rPr>
              <w:t>2.3.1 Phosphodiesterase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_Toc2255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hyperlink>
        </w:p>
        <w:p w14:paraId="4CFEEAF1" w14:textId="77777777" w:rsidR="00714D18" w:rsidRDefault="006E5117">
          <w:pPr>
            <w:pStyle w:val="WPSOffice2"/>
            <w:tabs>
              <w:tab w:val="right" w:leader="dot" w:pos="9746"/>
            </w:tabs>
            <w:ind w:left="400"/>
            <w:rPr>
              <w:rFonts w:ascii="Times New Roman" w:hAnsi="Times New Roman" w:cs="Times New Roman"/>
              <w:sz w:val="24"/>
              <w:szCs w:val="24"/>
            </w:rPr>
          </w:pPr>
          <w:hyperlink w:anchor="_Toc14250" w:history="1">
            <w:r>
              <w:rPr>
                <w:rFonts w:ascii="Times New Roman" w:hAnsi="Times New Roman" w:cs="Times New Roman"/>
                <w:sz w:val="24"/>
                <w:szCs w:val="24"/>
              </w:rPr>
              <w:t>2.3.2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_Toc14250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hyperlink>
        </w:p>
        <w:p w14:paraId="6A8809CC" w14:textId="77777777" w:rsidR="00714D18" w:rsidRDefault="006E5117">
          <w:pPr>
            <w:pStyle w:val="WPSOffice2"/>
            <w:tabs>
              <w:tab w:val="right" w:leader="dot" w:pos="9746"/>
            </w:tabs>
            <w:ind w:left="400"/>
            <w:rPr>
              <w:rFonts w:ascii="Times New Roman" w:hAnsi="Times New Roman" w:cs="Times New Roman"/>
              <w:sz w:val="24"/>
              <w:szCs w:val="24"/>
            </w:rPr>
          </w:pPr>
          <w:hyperlink w:anchor="_Toc2193" w:history="1">
            <w:r>
              <w:rPr>
                <w:rFonts w:ascii="Times New Roman" w:hAnsi="Times New Roman" w:cs="Times New Roman"/>
                <w:sz w:val="24"/>
                <w:szCs w:val="24"/>
              </w:rPr>
              <w:t>2.3.3 Nitric oxide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_Toc2193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hyperlink>
        </w:p>
        <w:p w14:paraId="7FECC6AD" w14:textId="77777777" w:rsidR="00714D18" w:rsidRDefault="006E5117">
          <w:pPr>
            <w:pStyle w:val="WPSOffice2"/>
            <w:tabs>
              <w:tab w:val="right" w:leader="dot" w:pos="9746"/>
            </w:tabs>
            <w:ind w:left="400"/>
            <w:rPr>
              <w:rFonts w:ascii="Times New Roman" w:hAnsi="Times New Roman" w:cs="Times New Roman"/>
              <w:sz w:val="24"/>
              <w:szCs w:val="24"/>
            </w:rPr>
          </w:pPr>
          <w:hyperlink w:anchor="_Toc3175" w:history="1">
            <w:r>
              <w:rPr>
                <w:rFonts w:ascii="Times New Roman" w:hAnsi="Times New Roman" w:cs="Times New Roman"/>
                <w:sz w:val="24"/>
                <w:szCs w:val="24"/>
              </w:rPr>
              <w:t>2.3.4 Creatinine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_Toc3175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hyperlink>
        </w:p>
        <w:p w14:paraId="398EC672" w14:textId="77777777" w:rsidR="00714D18" w:rsidRDefault="006E5117">
          <w:pPr>
            <w:pStyle w:val="WPSOffice2"/>
            <w:tabs>
              <w:tab w:val="right" w:leader="dot" w:pos="9746"/>
            </w:tabs>
            <w:ind w:left="400"/>
            <w:rPr>
              <w:rFonts w:ascii="Times New Roman" w:hAnsi="Times New Roman" w:cs="Times New Roman"/>
              <w:sz w:val="24"/>
              <w:szCs w:val="24"/>
            </w:rPr>
          </w:pPr>
          <w:hyperlink w:anchor="_Toc12405" w:history="1">
            <w:r>
              <w:rPr>
                <w:rFonts w:ascii="Times New Roman" w:hAnsi="Times New Roman" w:cs="Times New Roman"/>
                <w:sz w:val="24"/>
                <w:szCs w:val="24"/>
              </w:rPr>
              <w:t>2.4 Treatment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_Toc12405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hyperlink>
        </w:p>
        <w:p w14:paraId="355FD6F6" w14:textId="77777777" w:rsidR="00714D18" w:rsidRDefault="006E5117">
          <w:pPr>
            <w:pStyle w:val="WPSOffice2"/>
            <w:tabs>
              <w:tab w:val="right" w:leader="dot" w:pos="9746"/>
            </w:tabs>
            <w:ind w:left="400"/>
            <w:rPr>
              <w:rFonts w:ascii="Times New Roman" w:hAnsi="Times New Roman" w:cs="Times New Roman"/>
              <w:sz w:val="24"/>
              <w:szCs w:val="24"/>
            </w:rPr>
          </w:pPr>
          <w:hyperlink w:anchor="_Toc15373" w:history="1">
            <w:r>
              <w:rPr>
                <w:rFonts w:ascii="Times New Roman" w:hAnsi="Times New Roman" w:cs="Times New Roman"/>
                <w:sz w:val="24"/>
                <w:szCs w:val="24"/>
              </w:rPr>
              <w:t>2.4.1 Limitations of Current Erectile Dysfunction Treatment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_Toc15373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hyperlink>
        </w:p>
        <w:p w14:paraId="38C66326" w14:textId="77777777" w:rsidR="00714D18" w:rsidRDefault="006E5117">
          <w:pPr>
            <w:pStyle w:val="WPSOffice2"/>
            <w:tabs>
              <w:tab w:val="right" w:leader="dot" w:pos="9746"/>
            </w:tabs>
            <w:ind w:left="400"/>
            <w:rPr>
              <w:rFonts w:ascii="Times New Roman" w:hAnsi="Times New Roman" w:cs="Times New Roman"/>
              <w:sz w:val="24"/>
              <w:szCs w:val="24"/>
            </w:rPr>
          </w:pPr>
          <w:hyperlink w:anchor="_Toc24234" w:history="1">
            <w:r>
              <w:rPr>
                <w:rFonts w:ascii="Times New Roman" w:hAnsi="Times New Roman" w:cs="Times New Roman"/>
                <w:sz w:val="24"/>
                <w:szCs w:val="24"/>
              </w:rPr>
              <w:t>2.5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_Toc24234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hyperlink>
        </w:p>
        <w:p w14:paraId="2DD68318" w14:textId="77777777" w:rsidR="00714D18" w:rsidRDefault="006E5117">
          <w:pPr>
            <w:pStyle w:val="WPSOffice2"/>
            <w:tabs>
              <w:tab w:val="right" w:leader="dot" w:pos="9746"/>
            </w:tabs>
            <w:ind w:left="400"/>
            <w:rPr>
              <w:rFonts w:ascii="Times New Roman" w:hAnsi="Times New Roman" w:cs="Times New Roman"/>
              <w:sz w:val="24"/>
              <w:szCs w:val="24"/>
            </w:rPr>
          </w:pPr>
          <w:hyperlink w:anchor="_Toc24722" w:history="1">
            <w:r>
              <w:rPr>
                <w:rFonts w:ascii="Times New Roman" w:hAnsi="Times New Roman" w:cs="Times New Roman"/>
                <w:sz w:val="24"/>
                <w:szCs w:val="24"/>
              </w:rPr>
              <w:t>2.5.1 Bioactive Components of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_Toc24722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hyperlink>
        </w:p>
        <w:p w14:paraId="197004D7" w14:textId="77777777" w:rsidR="00714D18" w:rsidRDefault="006E5117">
          <w:pPr>
            <w:pStyle w:val="WPSOffice1"/>
            <w:tabs>
              <w:tab w:val="right" w:leader="dot" w:pos="9746"/>
            </w:tabs>
            <w:rPr>
              <w:rFonts w:ascii="Times New Roman" w:hAnsi="Times New Roman" w:cs="Times New Roman"/>
              <w:b/>
              <w:sz w:val="24"/>
              <w:szCs w:val="24"/>
            </w:rPr>
          </w:pPr>
          <w:hyperlink w:anchor="_Toc12238" w:history="1">
            <w:r>
              <w:rPr>
                <w:rFonts w:ascii="Times New Roman" w:hAnsi="Times New Roman" w:cs="Times New Roman"/>
                <w:b/>
                <w:sz w:val="24"/>
                <w:szCs w:val="24"/>
              </w:rPr>
              <w:t>CHAPTER THREE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_Toc12238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hyperlink>
        </w:p>
        <w:p w14:paraId="79766CC4" w14:textId="77777777" w:rsidR="00714D18" w:rsidRDefault="006E5117">
          <w:pPr>
            <w:pStyle w:val="WPSOffice1"/>
            <w:tabs>
              <w:tab w:val="right" w:leader="dot" w:pos="9746"/>
            </w:tabs>
            <w:rPr>
              <w:rFonts w:ascii="Times New Roman" w:hAnsi="Times New Roman" w:cs="Times New Roman"/>
              <w:b/>
              <w:sz w:val="24"/>
              <w:szCs w:val="24"/>
            </w:rPr>
          </w:pPr>
          <w:hyperlink w:anchor="_Toc19633" w:history="1">
            <w:r>
              <w:rPr>
                <w:rFonts w:ascii="Times New Roman" w:hAnsi="Times New Roman" w:cs="Times New Roman"/>
                <w:b/>
                <w:sz w:val="24"/>
                <w:szCs w:val="24"/>
              </w:rPr>
              <w:t>3.0 MATERIALS AND METHODS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_Toc19633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hyperlink>
        </w:p>
        <w:p w14:paraId="4F37920A" w14:textId="77777777" w:rsidR="00714D18" w:rsidRDefault="006E5117">
          <w:pPr>
            <w:pStyle w:val="WPSOffice2"/>
            <w:tabs>
              <w:tab w:val="right" w:leader="dot" w:pos="9746"/>
            </w:tabs>
            <w:ind w:left="400"/>
            <w:rPr>
              <w:rFonts w:ascii="Times New Roman" w:hAnsi="Times New Roman" w:cs="Times New Roman"/>
              <w:sz w:val="24"/>
              <w:szCs w:val="24"/>
            </w:rPr>
          </w:pPr>
          <w:hyperlink w:anchor="_Toc31224" w:history="1">
            <w:r>
              <w:rPr>
                <w:rFonts w:ascii="Times New Roman" w:hAnsi="Times New Roman" w:cs="Times New Roman"/>
                <w:sz w:val="24"/>
                <w:szCs w:val="24"/>
              </w:rPr>
              <w:t>3.1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_Toc31224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21EA669F" w14:textId="77777777" w:rsidR="00714D18" w:rsidRDefault="006E5117">
          <w:pPr>
            <w:pStyle w:val="WPSOffice2"/>
            <w:tabs>
              <w:tab w:val="right" w:leader="dot" w:pos="9746"/>
            </w:tabs>
            <w:ind w:left="400"/>
            <w:rPr>
              <w:rFonts w:ascii="Times New Roman" w:hAnsi="Times New Roman" w:cs="Times New Roman"/>
              <w:sz w:val="24"/>
              <w:szCs w:val="24"/>
            </w:rPr>
          </w:pPr>
          <w:hyperlink w:anchor="_Toc15168" w:history="1">
            <w:r>
              <w:rPr>
                <w:rFonts w:ascii="Times New Roman" w:hAnsi="Times New Roman" w:cs="Times New Roman"/>
                <w:sz w:val="24"/>
                <w:szCs w:val="24"/>
              </w:rPr>
              <w:t>3.1.1 Plant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_Toc15168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386FA533" w14:textId="77777777" w:rsidR="00714D18" w:rsidRDefault="006E5117">
          <w:pPr>
            <w:pStyle w:val="WPSOffice2"/>
            <w:tabs>
              <w:tab w:val="right" w:leader="dot" w:pos="9746"/>
            </w:tabs>
            <w:ind w:left="400"/>
            <w:rPr>
              <w:rFonts w:ascii="Times New Roman" w:hAnsi="Times New Roman" w:cs="Times New Roman"/>
              <w:sz w:val="24"/>
              <w:szCs w:val="24"/>
            </w:rPr>
          </w:pPr>
          <w:hyperlink w:anchor="_Toc23870" w:history="1">
            <w:r>
              <w:rPr>
                <w:rFonts w:ascii="Times New Roman" w:hAnsi="Times New Roman" w:cs="Times New Roman"/>
                <w:sz w:val="24"/>
                <w:szCs w:val="24"/>
              </w:rPr>
              <w:t>3.1.2 Experimental Animal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_Toc23870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2E215B49" w14:textId="77777777" w:rsidR="00714D18" w:rsidRDefault="006E5117">
          <w:pPr>
            <w:pStyle w:val="WPSOffice2"/>
            <w:tabs>
              <w:tab w:val="right" w:leader="dot" w:pos="9746"/>
            </w:tabs>
            <w:ind w:left="400"/>
            <w:rPr>
              <w:rFonts w:ascii="Times New Roman" w:hAnsi="Times New Roman" w:cs="Times New Roman"/>
              <w:sz w:val="24"/>
              <w:szCs w:val="24"/>
            </w:rPr>
          </w:pPr>
          <w:hyperlink w:anchor="_Toc16950" w:history="1">
            <w:r>
              <w:rPr>
                <w:rFonts w:ascii="Times New Roman" w:hAnsi="Times New Roman" w:cs="Times New Roman"/>
                <w:sz w:val="24"/>
                <w:szCs w:val="24"/>
              </w:rPr>
              <w:t>3.1.3 Reagents and Kits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_Toc16950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50B7DD7B" w14:textId="77777777" w:rsidR="00714D18" w:rsidRDefault="006E5117">
          <w:pPr>
            <w:pStyle w:val="WPSOffice2"/>
            <w:tabs>
              <w:tab w:val="right" w:leader="dot" w:pos="9746"/>
            </w:tabs>
            <w:ind w:left="400"/>
            <w:rPr>
              <w:rFonts w:ascii="Times New Roman" w:hAnsi="Times New Roman" w:cs="Times New Roman"/>
              <w:sz w:val="24"/>
              <w:szCs w:val="24"/>
            </w:rPr>
          </w:pPr>
          <w:hyperlink w:anchor="_Toc32038" w:history="1">
            <w:r>
              <w:rPr>
                <w:rFonts w:ascii="Times New Roman" w:hAnsi="Times New Roman" w:cs="Times New Roman"/>
                <w:sz w:val="24"/>
                <w:szCs w:val="24"/>
              </w:rPr>
              <w:t>3.2 Methods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_Toc32038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38B888FB" w14:textId="77777777" w:rsidR="00714D18" w:rsidRDefault="006E5117">
          <w:pPr>
            <w:pStyle w:val="WPSOffice2"/>
            <w:tabs>
              <w:tab w:val="right" w:leader="dot" w:pos="9746"/>
            </w:tabs>
            <w:ind w:left="400"/>
            <w:rPr>
              <w:rFonts w:ascii="Times New Roman" w:hAnsi="Times New Roman" w:cs="Times New Roman"/>
              <w:sz w:val="24"/>
              <w:szCs w:val="24"/>
            </w:rPr>
          </w:pPr>
          <w:hyperlink w:anchor="_Toc28352" w:history="1">
            <w:r>
              <w:rPr>
                <w:rFonts w:ascii="Times New Roman" w:hAnsi="Times New Roman" w:cs="Times New Roman"/>
                <w:sz w:val="24"/>
                <w:szCs w:val="24"/>
              </w:rPr>
              <w:t>3.2.1 Preparation of Clove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_Toc28352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1A6BE219" w14:textId="77777777" w:rsidR="00714D18" w:rsidRDefault="006E5117">
          <w:pPr>
            <w:pStyle w:val="WPSOffice2"/>
            <w:tabs>
              <w:tab w:val="right" w:leader="dot" w:pos="9746"/>
            </w:tabs>
            <w:ind w:left="400"/>
            <w:rPr>
              <w:rFonts w:ascii="Times New Roman" w:hAnsi="Times New Roman" w:cs="Times New Roman"/>
              <w:sz w:val="24"/>
              <w:szCs w:val="24"/>
            </w:rPr>
          </w:pPr>
          <w:hyperlink w:anchor="_Toc21219" w:history="1">
            <w:r>
              <w:rPr>
                <w:rFonts w:ascii="Times New Roman" w:hAnsi="Times New Roman" w:cs="Times New Roman"/>
                <w:sz w:val="24"/>
                <w:szCs w:val="24"/>
              </w:rPr>
              <w:t>3.2.2 Experimental Design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_Toc21219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14:paraId="37CD958D" w14:textId="77777777" w:rsidR="00714D18" w:rsidRDefault="006E5117">
          <w:pPr>
            <w:pStyle w:val="WPSOffice2"/>
            <w:tabs>
              <w:tab w:val="right" w:leader="dot" w:pos="9746"/>
            </w:tabs>
            <w:ind w:left="400"/>
            <w:rPr>
              <w:rFonts w:ascii="Times New Roman" w:hAnsi="Times New Roman" w:cs="Times New Roman"/>
              <w:sz w:val="24"/>
              <w:szCs w:val="24"/>
            </w:rPr>
          </w:pPr>
          <w:hyperlink w:anchor="_Toc23318" w:history="1">
            <w:r>
              <w:rPr>
                <w:rFonts w:ascii="Times New Roman" w:hAnsi="Times New Roman" w:cs="Times New Roman"/>
                <w:sz w:val="24"/>
                <w:szCs w:val="24"/>
              </w:rPr>
              <w:t>3.2.3 Induction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_Toc23318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14:paraId="64EF0C1A" w14:textId="77777777" w:rsidR="00714D18" w:rsidRDefault="006E5117">
          <w:pPr>
            <w:pStyle w:val="WPSOffice2"/>
            <w:tabs>
              <w:tab w:val="right" w:leader="dot" w:pos="9746"/>
            </w:tabs>
            <w:ind w:left="400"/>
            <w:rPr>
              <w:rFonts w:ascii="Times New Roman" w:hAnsi="Times New Roman" w:cs="Times New Roman"/>
              <w:sz w:val="24"/>
              <w:szCs w:val="24"/>
            </w:rPr>
          </w:pPr>
          <w:hyperlink w:anchor="_Toc18007" w:history="1">
            <w:r>
              <w:rPr>
                <w:rFonts w:ascii="Times New Roman" w:hAnsi="Times New Roman" w:cs="Times New Roman"/>
                <w:sz w:val="24"/>
                <w:szCs w:val="24"/>
              </w:rPr>
              <w:t>3.2.4 Determination of Body-Organ Weight Ratio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_Toc18007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14:paraId="41B01F08" w14:textId="77777777" w:rsidR="00714D18" w:rsidRDefault="006E5117">
          <w:pPr>
            <w:pStyle w:val="WPSOffice2"/>
            <w:tabs>
              <w:tab w:val="right" w:leader="dot" w:pos="9746"/>
            </w:tabs>
            <w:ind w:left="400"/>
            <w:rPr>
              <w:rFonts w:ascii="Times New Roman" w:hAnsi="Times New Roman" w:cs="Times New Roman"/>
              <w:sz w:val="24"/>
              <w:szCs w:val="24"/>
            </w:rPr>
          </w:pPr>
          <w:hyperlink w:anchor="_Toc21493" w:history="1">
            <w:r>
              <w:rPr>
                <w:rFonts w:ascii="Times New Roman" w:hAnsi="Times New Roman" w:cs="Times New Roman"/>
                <w:sz w:val="24"/>
                <w:szCs w:val="24"/>
              </w:rPr>
              <w:t>3.2.5 Determination of Phosphodiesterase 5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_Toc21493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14:paraId="1CA34ABA" w14:textId="77777777" w:rsidR="00714D18" w:rsidRDefault="006E5117">
          <w:pPr>
            <w:pStyle w:val="WPSOffice2"/>
            <w:tabs>
              <w:tab w:val="right" w:leader="dot" w:pos="9746"/>
            </w:tabs>
            <w:ind w:left="400"/>
            <w:rPr>
              <w:rFonts w:ascii="Times New Roman" w:hAnsi="Times New Roman" w:cs="Times New Roman"/>
              <w:sz w:val="24"/>
              <w:szCs w:val="24"/>
            </w:rPr>
          </w:pPr>
          <w:hyperlink w:anchor="_Toc27686" w:history="1">
            <w:r>
              <w:rPr>
                <w:rFonts w:ascii="Times New Roman" w:hAnsi="Times New Roman" w:cs="Times New Roman"/>
                <w:sz w:val="24"/>
                <w:szCs w:val="24"/>
              </w:rPr>
              <w:t>3.2.6 Determination of Penile Nitric Oxide Concentrations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_Toc27686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14:paraId="3F768CB9" w14:textId="77777777" w:rsidR="00714D18" w:rsidRDefault="006E5117">
          <w:pPr>
            <w:pStyle w:val="WPSOffice2"/>
            <w:tabs>
              <w:tab w:val="right" w:leader="dot" w:pos="9746"/>
            </w:tabs>
            <w:ind w:left="400"/>
            <w:rPr>
              <w:rFonts w:ascii="Times New Roman" w:hAnsi="Times New Roman" w:cs="Times New Roman"/>
              <w:sz w:val="24"/>
              <w:szCs w:val="24"/>
            </w:rPr>
          </w:pPr>
          <w:hyperlink w:anchor="_Toc4838" w:history="1">
            <w:r>
              <w:rPr>
                <w:rFonts w:ascii="Times New Roman" w:hAnsi="Times New Roman" w:cs="Times New Roman"/>
                <w:sz w:val="24"/>
                <w:szCs w:val="24"/>
              </w:rPr>
              <w:t>3.2.7 Arginase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_Toc4838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14:paraId="4201762A" w14:textId="77777777" w:rsidR="00714D18" w:rsidRDefault="006E5117">
          <w:pPr>
            <w:pStyle w:val="WPSOffice2"/>
            <w:tabs>
              <w:tab w:val="right" w:leader="dot" w:pos="9746"/>
            </w:tabs>
            <w:ind w:left="400"/>
            <w:rPr>
              <w:rFonts w:ascii="Times New Roman" w:hAnsi="Times New Roman" w:cs="Times New Roman"/>
              <w:sz w:val="24"/>
              <w:szCs w:val="24"/>
            </w:rPr>
          </w:pPr>
          <w:hyperlink w:anchor="_Toc31072" w:history="1">
            <w:r>
              <w:rPr>
                <w:rFonts w:ascii="Times New Roman" w:hAnsi="Times New Roman" w:cs="Times New Roman"/>
                <w:sz w:val="24"/>
                <w:szCs w:val="24"/>
              </w:rPr>
              <w:t>3.2.8 Creatine Kinase (CK) Activity Assay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_Toc31072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14:paraId="4D1F04BF" w14:textId="77777777" w:rsidR="00714D18" w:rsidRDefault="006E5117">
          <w:pPr>
            <w:pStyle w:val="WPSOffice2"/>
            <w:tabs>
              <w:tab w:val="right" w:leader="dot" w:pos="9746"/>
            </w:tabs>
            <w:ind w:left="400"/>
            <w:rPr>
              <w:rFonts w:ascii="Times New Roman" w:hAnsi="Times New Roman" w:cs="Times New Roman"/>
              <w:sz w:val="24"/>
              <w:szCs w:val="24"/>
            </w:rPr>
          </w:pPr>
          <w:hyperlink w:anchor="_Toc31671" w:history="1">
            <w:r>
              <w:rPr>
                <w:rFonts w:ascii="Times New Roman" w:hAnsi="Times New Roman" w:cs="Times New Roman"/>
                <w:sz w:val="24"/>
                <w:szCs w:val="24"/>
              </w:rPr>
              <w:t>3.2.9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_Toc31671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14:paraId="3A05E4E9" w14:textId="77777777" w:rsidR="00714D18" w:rsidRDefault="006E5117">
          <w:pPr>
            <w:pStyle w:val="WPSOffice2"/>
            <w:tabs>
              <w:tab w:val="right" w:leader="dot" w:pos="9746"/>
            </w:tabs>
            <w:ind w:left="400"/>
            <w:rPr>
              <w:rFonts w:ascii="Times New Roman" w:hAnsi="Times New Roman" w:cs="Times New Roman"/>
              <w:sz w:val="24"/>
              <w:szCs w:val="24"/>
            </w:rPr>
          </w:pPr>
          <w:hyperlink w:anchor="_Toc16784" w:history="1">
            <w:r>
              <w:rPr>
                <w:rFonts w:ascii="Times New Roman" w:hAnsi="Times New Roman" w:cs="Times New Roman"/>
                <w:sz w:val="24"/>
                <w:szCs w:val="24"/>
              </w:rPr>
              <w:t>3.2.9.1 Serum Total 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_Toc16784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14:paraId="0F2B8A1A" w14:textId="77777777" w:rsidR="00714D18" w:rsidRDefault="006E5117">
          <w:pPr>
            <w:pStyle w:val="WPSOffice2"/>
            <w:tabs>
              <w:tab w:val="right" w:leader="dot" w:pos="9746"/>
            </w:tabs>
            <w:ind w:left="400"/>
            <w:rPr>
              <w:rFonts w:ascii="Times New Roman" w:hAnsi="Times New Roman" w:cs="Times New Roman"/>
              <w:sz w:val="24"/>
              <w:szCs w:val="24"/>
            </w:rPr>
          </w:pPr>
          <w:hyperlink w:anchor="_Toc32472" w:history="1">
            <w:r>
              <w:rPr>
                <w:rFonts w:ascii="Times New Roman" w:hAnsi="Times New Roman" w:cs="Times New Roman"/>
                <w:sz w:val="24"/>
                <w:szCs w:val="24"/>
              </w:rPr>
              <w:t>3.2.9.2 Triglycerides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_Toc32472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hyperlink>
        </w:p>
        <w:p w14:paraId="145DB78D" w14:textId="77777777" w:rsidR="00714D18" w:rsidRDefault="006E5117">
          <w:pPr>
            <w:pStyle w:val="WPSOffice2"/>
            <w:tabs>
              <w:tab w:val="right" w:leader="dot" w:pos="9746"/>
            </w:tabs>
            <w:ind w:left="400"/>
            <w:rPr>
              <w:rFonts w:ascii="Times New Roman" w:hAnsi="Times New Roman" w:cs="Times New Roman"/>
              <w:sz w:val="24"/>
              <w:szCs w:val="24"/>
            </w:rPr>
          </w:pPr>
          <w:hyperlink w:anchor="_Toc31284" w:history="1">
            <w:r>
              <w:rPr>
                <w:rFonts w:ascii="Times New Roman" w:hAnsi="Times New Roman" w:cs="Times New Roman"/>
                <w:sz w:val="24"/>
                <w:szCs w:val="24"/>
              </w:rPr>
              <w:t>3.2.9.3 Serum High Density Lipoprotein-Cholesterol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_Toc31284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hyperlink>
        </w:p>
        <w:p w14:paraId="6A576739" w14:textId="77777777" w:rsidR="00714D18" w:rsidRDefault="006E5117">
          <w:pPr>
            <w:pStyle w:val="WPSOffice2"/>
            <w:tabs>
              <w:tab w:val="right" w:leader="dot" w:pos="9746"/>
            </w:tabs>
            <w:ind w:left="400"/>
            <w:rPr>
              <w:rFonts w:ascii="Times New Roman" w:hAnsi="Times New Roman" w:cs="Times New Roman"/>
              <w:sz w:val="24"/>
              <w:szCs w:val="24"/>
            </w:rPr>
          </w:pPr>
          <w:hyperlink w:anchor="_Toc3958" w:history="1">
            <w:r>
              <w:rPr>
                <w:rFonts w:ascii="Times New Roman" w:hAnsi="Times New Roman" w:cs="Times New Roman"/>
                <w:sz w:val="24"/>
                <w:szCs w:val="24"/>
              </w:rPr>
              <w:t>3.2.9.4 Serum Low Density Lipoprotein-Cholesterol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_Toc3958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14:paraId="361FEF17" w14:textId="77777777" w:rsidR="00714D18" w:rsidRDefault="006E5117">
          <w:pPr>
            <w:pStyle w:val="WPSOffice2"/>
            <w:tabs>
              <w:tab w:val="right" w:leader="dot" w:pos="9746"/>
            </w:tabs>
            <w:ind w:left="400"/>
            <w:rPr>
              <w:rFonts w:ascii="Times New Roman" w:hAnsi="Times New Roman" w:cs="Times New Roman"/>
              <w:sz w:val="24"/>
              <w:szCs w:val="24"/>
            </w:rPr>
          </w:pPr>
          <w:hyperlink w:anchor="_Toc5856" w:history="1">
            <w:r>
              <w:rPr>
                <w:rFonts w:ascii="Times New Roman" w:hAnsi="Times New Roman" w:cs="Times New Roman"/>
                <w:sz w:val="24"/>
                <w:szCs w:val="24"/>
              </w:rPr>
              <w:t>3.2.9.5 Atherogenic Index</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_Toc5856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14:paraId="02242917" w14:textId="77777777" w:rsidR="00714D18" w:rsidRDefault="006E5117">
          <w:pPr>
            <w:pStyle w:val="WPSOffice2"/>
            <w:tabs>
              <w:tab w:val="right" w:leader="dot" w:pos="9746"/>
            </w:tabs>
            <w:ind w:left="400"/>
            <w:rPr>
              <w:rFonts w:ascii="Times New Roman" w:hAnsi="Times New Roman" w:cs="Times New Roman"/>
              <w:sz w:val="24"/>
              <w:szCs w:val="24"/>
            </w:rPr>
          </w:pPr>
          <w:hyperlink w:anchor="_Toc21381" w:history="1">
            <w:r>
              <w:rPr>
                <w:rFonts w:ascii="Times New Roman" w:hAnsi="Times New Roman" w:cs="Times New Roman"/>
                <w:sz w:val="24"/>
                <w:szCs w:val="24"/>
              </w:rPr>
              <w:t>3.2.10 Statistical Analysis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_Toc21381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14:paraId="404901C4" w14:textId="77777777" w:rsidR="00714D18" w:rsidRDefault="006E5117">
          <w:pPr>
            <w:pStyle w:val="WPSOffice1"/>
            <w:tabs>
              <w:tab w:val="right" w:leader="dot" w:pos="9746"/>
            </w:tabs>
            <w:rPr>
              <w:rFonts w:ascii="Times New Roman" w:hAnsi="Times New Roman" w:cs="Times New Roman"/>
              <w:b/>
              <w:sz w:val="24"/>
              <w:szCs w:val="24"/>
            </w:rPr>
          </w:pPr>
          <w:hyperlink w:anchor="_Toc27551" w:history="1">
            <w:r>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_Toc27551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hyperlink>
        </w:p>
        <w:p w14:paraId="4BD58EB3" w14:textId="77777777" w:rsidR="00714D18" w:rsidRDefault="006E5117">
          <w:pPr>
            <w:pStyle w:val="WPSOffice1"/>
            <w:tabs>
              <w:tab w:val="right" w:leader="dot" w:pos="9746"/>
            </w:tabs>
            <w:rPr>
              <w:rFonts w:ascii="Times New Roman" w:hAnsi="Times New Roman" w:cs="Times New Roman"/>
              <w:b/>
              <w:sz w:val="24"/>
              <w:szCs w:val="24"/>
            </w:rPr>
          </w:pPr>
          <w:hyperlink w:anchor="_Toc9504" w:history="1">
            <w:r>
              <w:rPr>
                <w:rFonts w:ascii="Times New Roman" w:hAnsi="Times New Roman" w:cs="Times New Roman"/>
                <w:b/>
                <w:sz w:val="24"/>
                <w:szCs w:val="24"/>
              </w:rPr>
              <w:t>4.0 RESULTS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_Toc9504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hyperlink>
        </w:p>
        <w:p w14:paraId="5AD05958" w14:textId="77777777" w:rsidR="00714D18" w:rsidRDefault="006E5117">
          <w:pPr>
            <w:pStyle w:val="WPSOffice2"/>
            <w:tabs>
              <w:tab w:val="right" w:leader="dot" w:pos="9746"/>
            </w:tabs>
            <w:ind w:left="400"/>
            <w:rPr>
              <w:rFonts w:ascii="Times New Roman" w:hAnsi="Times New Roman" w:cs="Times New Roman"/>
              <w:sz w:val="24"/>
              <w:szCs w:val="24"/>
            </w:rPr>
          </w:pPr>
          <w:hyperlink w:anchor="_Toc28506" w:history="1">
            <w:r>
              <w:rPr>
                <w:rFonts w:ascii="Times New Roman" w:hAnsi="Times New Roman" w:cs="Times New Roman"/>
                <w:sz w:val="24"/>
                <w:szCs w:val="24"/>
              </w:rPr>
              <w:t>4.1 Percentage Yield of the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_Toc28506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hyperlink>
        </w:p>
        <w:p w14:paraId="06006987" w14:textId="77777777" w:rsidR="00714D18" w:rsidRDefault="006E5117">
          <w:pPr>
            <w:pStyle w:val="WPSOffice2"/>
            <w:tabs>
              <w:tab w:val="right" w:leader="dot" w:pos="9746"/>
            </w:tabs>
            <w:ind w:left="400"/>
            <w:rPr>
              <w:rFonts w:ascii="Times New Roman" w:hAnsi="Times New Roman" w:cs="Times New Roman"/>
              <w:sz w:val="24"/>
              <w:szCs w:val="24"/>
            </w:rPr>
          </w:pPr>
          <w:hyperlink w:anchor="_Toc30697" w:history="1">
            <w:r>
              <w:rPr>
                <w:rFonts w:ascii="Times New Roman" w:hAnsi="Times New Roman" w:cs="Times New Roman"/>
                <w:sz w:val="24"/>
                <w:szCs w:val="24"/>
              </w:rPr>
              <w:t>4.2 Phytochemical Screening of Syzygium aromaticum Aqueous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_Toc30697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hyperlink>
        </w:p>
        <w:p w14:paraId="58DD0A60" w14:textId="77777777" w:rsidR="00714D18" w:rsidRDefault="006E5117">
          <w:pPr>
            <w:pStyle w:val="WPSOffice2"/>
            <w:tabs>
              <w:tab w:val="right" w:leader="dot" w:pos="9746"/>
            </w:tabs>
            <w:ind w:left="400"/>
            <w:rPr>
              <w:rFonts w:ascii="Times New Roman" w:hAnsi="Times New Roman" w:cs="Times New Roman"/>
              <w:sz w:val="24"/>
              <w:szCs w:val="24"/>
            </w:rPr>
          </w:pPr>
          <w:hyperlink w:anchor="_Toc1592" w:history="1">
            <w:r>
              <w:rPr>
                <w:rFonts w:ascii="Times New Roman" w:hAnsi="Times New Roman" w:cs="Times New Roman"/>
                <w:sz w:val="24"/>
                <w:szCs w:val="24"/>
              </w:rPr>
              <w:t>4.3 Penile Organ-Body Ratios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_Toc1592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hyperlink>
        </w:p>
        <w:p w14:paraId="32E3F6C4" w14:textId="77777777" w:rsidR="00714D18" w:rsidRDefault="006E5117">
          <w:pPr>
            <w:pStyle w:val="WPSOffice2"/>
            <w:tabs>
              <w:tab w:val="right" w:leader="dot" w:pos="9746"/>
            </w:tabs>
            <w:ind w:left="400"/>
            <w:rPr>
              <w:rFonts w:ascii="Times New Roman" w:hAnsi="Times New Roman" w:cs="Times New Roman"/>
              <w:sz w:val="24"/>
              <w:szCs w:val="24"/>
            </w:rPr>
          </w:pPr>
          <w:hyperlink w:anchor="_Toc2629" w:history="1">
            <w:r>
              <w:rPr>
                <w:rFonts w:ascii="Times New Roman" w:hAnsi="Times New Roman" w:cs="Times New Roman"/>
                <w:sz w:val="24"/>
                <w:szCs w:val="24"/>
              </w:rPr>
              <w:t>4.4 Nitric Oxide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_Toc2629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hyperlink>
        </w:p>
        <w:p w14:paraId="6E7E9AA3" w14:textId="77777777" w:rsidR="00714D18" w:rsidRDefault="006E5117">
          <w:pPr>
            <w:pStyle w:val="WPSOffice2"/>
            <w:tabs>
              <w:tab w:val="right" w:leader="dot" w:pos="9746"/>
            </w:tabs>
            <w:ind w:left="400"/>
            <w:rPr>
              <w:rFonts w:ascii="Times New Roman" w:hAnsi="Times New Roman" w:cs="Times New Roman"/>
              <w:sz w:val="24"/>
              <w:szCs w:val="24"/>
            </w:rPr>
          </w:pPr>
          <w:hyperlink w:anchor="_Toc15457" w:history="1">
            <w:r>
              <w:rPr>
                <w:rFonts w:ascii="Times New Roman" w:hAnsi="Times New Roman" w:cs="Times New Roman"/>
                <w:sz w:val="24"/>
                <w:szCs w:val="24"/>
              </w:rPr>
              <w:t>4.5 In vivo Enzyme Assays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_Toc15457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hyperlink>
        </w:p>
        <w:p w14:paraId="09FF4C77" w14:textId="77777777" w:rsidR="00714D18" w:rsidRDefault="006E5117">
          <w:pPr>
            <w:pStyle w:val="WPSOffice2"/>
            <w:tabs>
              <w:tab w:val="right" w:leader="dot" w:pos="9746"/>
            </w:tabs>
            <w:ind w:left="400"/>
            <w:rPr>
              <w:rFonts w:ascii="Times New Roman" w:hAnsi="Times New Roman" w:cs="Times New Roman"/>
              <w:sz w:val="24"/>
              <w:szCs w:val="24"/>
            </w:rPr>
          </w:pPr>
          <w:hyperlink w:anchor="_Toc18863" w:history="1">
            <w:r>
              <w:rPr>
                <w:rFonts w:ascii="Times New Roman" w:hAnsi="Times New Roman" w:cs="Times New Roman"/>
                <w:sz w:val="24"/>
                <w:szCs w:val="24"/>
              </w:rPr>
              <w:t>4.5.1 Phosphodiesterase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_Toc18863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hyperlink>
        </w:p>
        <w:p w14:paraId="22251E44" w14:textId="77777777" w:rsidR="00714D18" w:rsidRDefault="006E5117">
          <w:pPr>
            <w:pStyle w:val="WPSOffice2"/>
            <w:tabs>
              <w:tab w:val="right" w:leader="dot" w:pos="9746"/>
            </w:tabs>
            <w:ind w:left="400"/>
            <w:rPr>
              <w:rFonts w:ascii="Times New Roman" w:hAnsi="Times New Roman" w:cs="Times New Roman"/>
              <w:sz w:val="24"/>
              <w:szCs w:val="24"/>
            </w:rPr>
          </w:pPr>
          <w:hyperlink w:anchor="_Toc23441" w:history="1">
            <w:r>
              <w:rPr>
                <w:rFonts w:ascii="Times New Roman" w:hAnsi="Times New Roman" w:cs="Times New Roman"/>
                <w:sz w:val="24"/>
                <w:szCs w:val="24"/>
              </w:rPr>
              <w:t>4.5.2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_Toc23441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hyperlink>
        </w:p>
        <w:p w14:paraId="0506D08D" w14:textId="77777777" w:rsidR="00714D18" w:rsidRDefault="006E5117">
          <w:pPr>
            <w:pStyle w:val="WPSOffice2"/>
            <w:tabs>
              <w:tab w:val="right" w:leader="dot" w:pos="9746"/>
            </w:tabs>
            <w:ind w:left="400"/>
            <w:rPr>
              <w:rFonts w:ascii="Times New Roman" w:hAnsi="Times New Roman" w:cs="Times New Roman"/>
              <w:sz w:val="24"/>
              <w:szCs w:val="24"/>
            </w:rPr>
          </w:pPr>
          <w:hyperlink w:anchor="_Toc19066" w:history="1">
            <w:r>
              <w:rPr>
                <w:rFonts w:ascii="Times New Roman" w:hAnsi="Times New Roman" w:cs="Times New Roman"/>
                <w:sz w:val="24"/>
                <w:szCs w:val="24"/>
              </w:rPr>
              <w:t>4.5.3 Creatinine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_Toc19066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hyperlink>
        </w:p>
        <w:p w14:paraId="717B6D63" w14:textId="77777777" w:rsidR="00714D18" w:rsidRDefault="006E5117">
          <w:pPr>
            <w:pStyle w:val="WPSOffice2"/>
            <w:tabs>
              <w:tab w:val="right" w:leader="dot" w:pos="9746"/>
            </w:tabs>
            <w:ind w:left="400"/>
            <w:rPr>
              <w:rFonts w:ascii="Times New Roman" w:hAnsi="Times New Roman" w:cs="Times New Roman"/>
              <w:sz w:val="24"/>
              <w:szCs w:val="24"/>
            </w:rPr>
          </w:pPr>
          <w:hyperlink w:anchor="_Toc23112" w:history="1">
            <w:r>
              <w:rPr>
                <w:rFonts w:ascii="Times New Roman" w:hAnsi="Times New Roman" w:cs="Times New Roman"/>
                <w:sz w:val="24"/>
                <w:szCs w:val="24"/>
              </w:rPr>
              <w:t>4.6 Serum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_Toc23112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hyperlink>
        </w:p>
        <w:p w14:paraId="272069B3" w14:textId="77777777" w:rsidR="00714D18" w:rsidRDefault="006E5117">
          <w:pPr>
            <w:pStyle w:val="WPSOffice1"/>
            <w:tabs>
              <w:tab w:val="right" w:leader="dot" w:pos="9746"/>
            </w:tabs>
            <w:rPr>
              <w:rFonts w:ascii="Times New Roman" w:hAnsi="Times New Roman" w:cs="Times New Roman"/>
              <w:b/>
              <w:sz w:val="24"/>
              <w:szCs w:val="24"/>
            </w:rPr>
          </w:pPr>
          <w:hyperlink w:anchor="_Toc30383" w:history="1">
            <w:r>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_Toc30383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hyperlink>
        </w:p>
        <w:p w14:paraId="2183BFBC" w14:textId="77777777" w:rsidR="00714D18" w:rsidRDefault="006E5117">
          <w:pPr>
            <w:pStyle w:val="WPSOffice1"/>
            <w:tabs>
              <w:tab w:val="right" w:leader="dot" w:pos="9746"/>
            </w:tabs>
            <w:rPr>
              <w:rFonts w:ascii="Times New Roman" w:hAnsi="Times New Roman" w:cs="Times New Roman"/>
              <w:b/>
              <w:sz w:val="24"/>
              <w:szCs w:val="24"/>
            </w:rPr>
          </w:pPr>
          <w:hyperlink w:anchor="_Toc22960" w:history="1">
            <w:r>
              <w:rPr>
                <w:rFonts w:ascii="Times New Roman" w:hAnsi="Times New Roman" w:cs="Times New Roman"/>
                <w:b/>
                <w:sz w:val="24"/>
                <w:szCs w:val="24"/>
              </w:rPr>
              <w:t>5.0 DISCUSSION, CONCLUSION AND RECOMMENDATION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_Toc22960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hyperlink>
        </w:p>
        <w:p w14:paraId="565F629E" w14:textId="77777777" w:rsidR="00714D18" w:rsidRDefault="006E5117">
          <w:pPr>
            <w:pStyle w:val="WPSOffice2"/>
            <w:tabs>
              <w:tab w:val="right" w:leader="dot" w:pos="9746"/>
            </w:tabs>
            <w:ind w:left="400"/>
            <w:rPr>
              <w:rFonts w:ascii="Times New Roman" w:hAnsi="Times New Roman" w:cs="Times New Roman"/>
              <w:sz w:val="24"/>
              <w:szCs w:val="24"/>
            </w:rPr>
          </w:pPr>
          <w:hyperlink w:anchor="_Toc29947" w:history="1">
            <w:r>
              <w:rPr>
                <w:rFonts w:ascii="Times New Roman" w:hAnsi="Times New Roman" w:cs="Times New Roman"/>
                <w:sz w:val="24"/>
                <w:szCs w:val="24"/>
              </w:rPr>
              <w:t>5.1 Discussion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_Toc29947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hyperlink>
        </w:p>
        <w:p w14:paraId="245720A4" w14:textId="77777777" w:rsidR="00714D18" w:rsidRDefault="006E5117">
          <w:pPr>
            <w:pStyle w:val="WPSOffice2"/>
            <w:tabs>
              <w:tab w:val="right" w:leader="dot" w:pos="9746"/>
            </w:tabs>
            <w:ind w:left="400"/>
            <w:rPr>
              <w:rFonts w:ascii="Times New Roman" w:hAnsi="Times New Roman" w:cs="Times New Roman"/>
              <w:sz w:val="24"/>
              <w:szCs w:val="24"/>
            </w:rPr>
          </w:pPr>
          <w:hyperlink w:anchor="_Toc20326" w:history="1">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_Toc20326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hyperlink>
        </w:p>
        <w:p w14:paraId="3D8BF3DE" w14:textId="77777777" w:rsidR="00714D18" w:rsidRDefault="006E5117">
          <w:pPr>
            <w:pStyle w:val="WPSOffice2"/>
            <w:tabs>
              <w:tab w:val="right" w:leader="dot" w:pos="9746"/>
            </w:tabs>
            <w:ind w:left="400"/>
            <w:rPr>
              <w:rFonts w:ascii="Times New Roman" w:hAnsi="Times New Roman" w:cs="Times New Roman"/>
              <w:sz w:val="24"/>
              <w:szCs w:val="24"/>
            </w:rPr>
          </w:pPr>
          <w:hyperlink w:anchor="_Toc8899" w:history="1">
            <w:r>
              <w:rPr>
                <w:rFonts w:ascii="Times New Roman" w:hAnsi="Times New Roman" w:cs="Times New Roman"/>
                <w:sz w:val="24"/>
                <w:szCs w:val="24"/>
              </w:rPr>
              <w:t>5.3 Recommendation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_Toc8899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hyperlink>
        </w:p>
        <w:p w14:paraId="3D175FA5" w14:textId="77777777" w:rsidR="00714D18" w:rsidRDefault="006E5117">
          <w:pPr>
            <w:pStyle w:val="WPSOffice1"/>
            <w:tabs>
              <w:tab w:val="right" w:leader="dot" w:pos="9746"/>
            </w:tabs>
            <w:rPr>
              <w:rFonts w:ascii="Times New Roman" w:hAnsi="Times New Roman" w:cs="Times New Roman"/>
              <w:b/>
              <w:sz w:val="24"/>
              <w:szCs w:val="24"/>
            </w:rPr>
          </w:pPr>
          <w:hyperlink w:anchor="_Toc26004" w:history="1">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_Toc26004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38</w:t>
            </w:r>
            <w:r>
              <w:rPr>
                <w:rFonts w:ascii="Times New Roman" w:hAnsi="Times New Roman" w:cs="Times New Roman"/>
                <w:b/>
                <w:sz w:val="24"/>
                <w:szCs w:val="24"/>
              </w:rPr>
              <w:fldChar w:fldCharType="end"/>
            </w:r>
          </w:hyperlink>
        </w:p>
        <w:p w14:paraId="44BD082B" w14:textId="77777777" w:rsidR="00714D18" w:rsidRDefault="006E5117">
          <w:pPr>
            <w:rPr>
              <w:rFonts w:ascii="Times New Roman" w:hAnsi="Times New Roman" w:cs="Times New Roman"/>
              <w:b/>
              <w:sz w:val="24"/>
              <w:szCs w:val="24"/>
            </w:rPr>
          </w:pPr>
          <w:r>
            <w:rPr>
              <w:rFonts w:ascii="Times New Roman" w:hAnsi="Times New Roman" w:cs="Times New Roman"/>
              <w:b/>
              <w:sz w:val="24"/>
              <w:szCs w:val="24"/>
            </w:rPr>
            <w:fldChar w:fldCharType="end"/>
          </w:r>
        </w:p>
      </w:sdtContent>
    </w:sdt>
    <w:p w14:paraId="22EF418C" w14:textId="77777777" w:rsidR="00714D18" w:rsidRDefault="00714D18">
      <w:pPr>
        <w:rPr>
          <w:b/>
        </w:rPr>
      </w:pPr>
    </w:p>
    <w:p w14:paraId="4FB26F3A" w14:textId="77777777" w:rsidR="00714D18" w:rsidRDefault="006E5117">
      <w:pPr>
        <w:rPr>
          <w:rFonts w:ascii="SimSun" w:eastAsia="SimSun" w:hAnsi="SimSun"/>
          <w:b/>
        </w:rPr>
      </w:pPr>
      <w:r>
        <w:rPr>
          <w:rFonts w:ascii="SimSun" w:eastAsia="SimSun" w:hAnsi="SimSun"/>
          <w:b/>
        </w:rPr>
        <w:br w:type="page"/>
      </w:r>
    </w:p>
    <w:p w14:paraId="0B61D5F8" w14:textId="77777777" w:rsidR="00714D18" w:rsidRDefault="00714D18">
      <w:pPr>
        <w:pStyle w:val="Heading1"/>
        <w:spacing w:line="240" w:lineRule="auto"/>
        <w:ind w:left="2880" w:firstLine="720"/>
        <w:sectPr w:rsidR="00714D18">
          <w:footerReference w:type="default" r:id="rId8"/>
          <w:footerReference w:type="first" r:id="rId9"/>
          <w:pgSz w:w="11906" w:h="16838"/>
          <w:pgMar w:top="1440" w:right="1080" w:bottom="1440" w:left="1080" w:header="720" w:footer="720" w:gutter="0"/>
          <w:pgNumType w:fmt="upperRoman"/>
          <w:cols w:space="720"/>
          <w:titlePg/>
          <w:docGrid w:linePitch="360"/>
        </w:sectPr>
      </w:pPr>
    </w:p>
    <w:p w14:paraId="435A5306" w14:textId="77777777" w:rsidR="00714D18" w:rsidRDefault="006E5117">
      <w:pPr>
        <w:pStyle w:val="Heading1"/>
        <w:spacing w:line="240" w:lineRule="auto"/>
        <w:ind w:left="2880" w:firstLine="720"/>
      </w:pPr>
      <w:bookmarkStart w:id="6" w:name="_Toc10697"/>
      <w:r>
        <w:t>CHAPTER ONE</w:t>
      </w:r>
      <w:bookmarkEnd w:id="6"/>
    </w:p>
    <w:p w14:paraId="7B2FF567" w14:textId="77777777" w:rsidR="00714D18" w:rsidRDefault="006E5117">
      <w:pPr>
        <w:pStyle w:val="Heading1"/>
        <w:spacing w:line="240" w:lineRule="auto"/>
      </w:pPr>
      <w:bookmarkStart w:id="7" w:name="_Toc4022"/>
      <w:r>
        <w:t>1.0 INTRODUCTION</w:t>
      </w:r>
      <w:bookmarkEnd w:id="7"/>
    </w:p>
    <w:p w14:paraId="79E663A8" w14:textId="77777777" w:rsidR="00714D18" w:rsidRDefault="006E5117">
      <w:pPr>
        <w:pStyle w:val="Heading2"/>
        <w:numPr>
          <w:ilvl w:val="1"/>
          <w:numId w:val="1"/>
        </w:numPr>
        <w:spacing w:line="360" w:lineRule="auto"/>
        <w:jc w:val="both"/>
      </w:pPr>
      <w:bookmarkStart w:id="8" w:name="_Toc10179"/>
      <w:r>
        <w:t>Background of the Study</w:t>
      </w:r>
      <w:bookmarkEnd w:id="8"/>
    </w:p>
    <w:p w14:paraId="168A0BCF"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Erectile dysfunction (ED) is a common male sexual disease, and the definition of chronic failure to achieve or maintain an erection sufficient for healthy sexual life Abdel-Kader </w:t>
      </w:r>
      <w:r>
        <w:rPr>
          <w:rFonts w:ascii="Times New Roman" w:hAnsi="Times New Roman"/>
          <w:i/>
          <w:iCs/>
          <w:sz w:val="24"/>
          <w:szCs w:val="24"/>
        </w:rPr>
        <w:t>et al.,</w:t>
      </w:r>
      <w:r>
        <w:rPr>
          <w:rFonts w:ascii="Times New Roman" w:hAnsi="Times New Roman"/>
          <w:sz w:val="24"/>
          <w:szCs w:val="24"/>
        </w:rPr>
        <w:t xml:space="preserve"> 2021). Vascular status and aging remain dominant physiological etiologies, but increasing evidence points toward pharmacological etiologies, particularly antidepressants like paroxetine, as significant etiologies. Paroxetine, an SSRI, is usually used to cure depression and anxiety but has been associated with adverse sexual side effects such as low libido, delayed ejaculation, and impaired erectile function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These are mostly due to the blocking of serotonergic and dopaminergic, and nitric oxide, mechanisms that play significant roles in sexual arousal and penile erection (</w:t>
      </w:r>
      <w:proofErr w:type="spellStart"/>
      <w:r>
        <w:rPr>
          <w:rFonts w:ascii="Times New Roman" w:hAnsi="Times New Roman"/>
          <w:sz w:val="24"/>
          <w:szCs w:val="24"/>
        </w:rPr>
        <w:t>Besong</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w:t>
      </w:r>
    </w:p>
    <w:p w14:paraId="48F3CDB4"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As a result of these limitations, less side-effect-prone natural products are in greater demand. Among such plants is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(clove), a plant with a long history of use in traditional medicine among various cultures for its medicinal, as well as aphrodisiac properties. Recent pharmacological studies have shown that </w:t>
      </w:r>
      <w:r>
        <w:rPr>
          <w:rFonts w:ascii="Times New Roman" w:hAnsi="Times New Roman"/>
          <w:i/>
          <w:iCs/>
          <w:sz w:val="24"/>
          <w:szCs w:val="24"/>
        </w:rPr>
        <w:t xml:space="preserve">S.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contains bioactive compounds such as </w:t>
      </w:r>
      <w:proofErr w:type="spellStart"/>
      <w:r>
        <w:rPr>
          <w:rFonts w:ascii="Times New Roman" w:hAnsi="Times New Roman"/>
          <w:sz w:val="24"/>
          <w:szCs w:val="24"/>
        </w:rPr>
        <w:t>eugenol</w:t>
      </w:r>
      <w:proofErr w:type="spellEnd"/>
      <w:r>
        <w:rPr>
          <w:rFonts w:ascii="Times New Roman" w:hAnsi="Times New Roman"/>
          <w:sz w:val="24"/>
          <w:szCs w:val="24"/>
        </w:rPr>
        <w:t xml:space="preserve"> and flavonoids with antioxidant, androgenic, and nitric oxide-stimulating activities (</w:t>
      </w:r>
      <w:proofErr w:type="spellStart"/>
      <w:r>
        <w:rPr>
          <w:rFonts w:ascii="Times New Roman" w:hAnsi="Times New Roman"/>
          <w:sz w:val="24"/>
          <w:szCs w:val="24"/>
        </w:rPr>
        <w:t>Adedayo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These mechanisms were believed to support sexual function by maintaining testicular tissues, increasing testosterone levels, and increasing penile tissue vasodilation (</w:t>
      </w:r>
      <w:proofErr w:type="spellStart"/>
      <w:r>
        <w:rPr>
          <w:rFonts w:ascii="Times New Roman" w:hAnsi="Times New Roman"/>
          <w:sz w:val="24"/>
          <w:szCs w:val="24"/>
        </w:rPr>
        <w:t>Ajiboye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w:t>
      </w:r>
    </w:p>
    <w:p w14:paraId="4C27537F"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Though aphrodisiac activity of </w:t>
      </w:r>
      <w:r>
        <w:rPr>
          <w:rFonts w:ascii="Times New Roman" w:hAnsi="Times New Roman"/>
          <w:i/>
          <w:iCs/>
          <w:sz w:val="24"/>
          <w:szCs w:val="24"/>
        </w:rPr>
        <w:t xml:space="preserve">S.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dysfunction. Other studies have indicated that antioxidants from medicinal plants can reverse the oxidative stress and hormonal imbalance caused by SSRIs and restore normal sexual behavior in rats (</w:t>
      </w:r>
      <w:proofErr w:type="spellStart"/>
      <w:r>
        <w:rPr>
          <w:rFonts w:ascii="Times New Roman" w:hAnsi="Times New Roman"/>
          <w:sz w:val="24"/>
          <w:szCs w:val="24"/>
        </w:rPr>
        <w:t>Adedayo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w:t>
      </w:r>
      <w:proofErr w:type="spellStart"/>
      <w:r>
        <w:rPr>
          <w:rFonts w:ascii="Times New Roman" w:hAnsi="Times New Roman"/>
          <w:sz w:val="24"/>
          <w:szCs w:val="24"/>
        </w:rPr>
        <w:t>Kpomah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It is a strong rationale for investigating the aqueous extract of </w:t>
      </w:r>
      <w:r>
        <w:rPr>
          <w:rFonts w:ascii="Times New Roman" w:hAnsi="Times New Roman"/>
          <w:i/>
          <w:iCs/>
          <w:sz w:val="24"/>
          <w:szCs w:val="24"/>
        </w:rPr>
        <w:t xml:space="preserve">S.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particularly where access to mainstream pharmacological interventions is limited.</w:t>
      </w:r>
    </w:p>
    <w:p w14:paraId="1BBB1890" w14:textId="77777777" w:rsidR="00714D18" w:rsidRDefault="006E5117">
      <w:pPr>
        <w:pStyle w:val="Heading2"/>
        <w:spacing w:line="240" w:lineRule="auto"/>
      </w:pPr>
      <w:bookmarkStart w:id="9" w:name="_Toc12307"/>
      <w:r>
        <w:t>1.2 Justification for the Study</w:t>
      </w:r>
      <w:bookmarkEnd w:id="9"/>
    </w:p>
    <w:p w14:paraId="73AA1597"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Sexual dysfunction is a prevalent side effect of selective serotonin re-uptake inhibitors (SSRIs), particularly paroxetine, that adversely affects sexual desire, erection, and ejaculation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While one of the most effective medications for depression and anxiety disorders, long-term treatment has been linked with heavy impairment of male sexual function by disruption of hormonal control and nitric oxide-dependent vasodilation processes (</w:t>
      </w:r>
      <w:proofErr w:type="spellStart"/>
      <w:r>
        <w:rPr>
          <w:rFonts w:ascii="Times New Roman" w:hAnsi="Times New Roman"/>
          <w:sz w:val="24"/>
          <w:szCs w:val="24"/>
        </w:rPr>
        <w:t>Besong</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xml:space="preserve">, 2023). These effects not only decrease the quality of life but also threaten medication compliance in patients taking SSRIs. Pharmacologic treatments for erectile dysfunction, such as phosphodiesterase type 5 inhibitors, have no effect in all and may be </w:t>
      </w:r>
      <w:proofErr w:type="spellStart"/>
      <w:r>
        <w:rPr>
          <w:rFonts w:ascii="Times New Roman" w:hAnsi="Times New Roman"/>
          <w:sz w:val="24"/>
          <w:szCs w:val="24"/>
        </w:rPr>
        <w:t>cardiotoxic</w:t>
      </w:r>
      <w:proofErr w:type="spellEnd"/>
      <w:r>
        <w:rPr>
          <w:rFonts w:ascii="Times New Roman" w:hAnsi="Times New Roman"/>
          <w:sz w:val="24"/>
          <w:szCs w:val="24"/>
        </w:rPr>
        <w:t xml:space="preserve"> in certain populations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It has prompted the search for other safe, accessible, and affordable therapies.</w:t>
      </w:r>
    </w:p>
    <w:p w14:paraId="5F0B346B" w14:textId="77777777" w:rsidR="00714D18" w:rsidRDefault="006E5117">
      <w:pPr>
        <w:spacing w:line="480" w:lineRule="auto"/>
        <w:jc w:val="both"/>
        <w:rPr>
          <w:rFonts w:ascii="Times New Roman" w:hAnsi="Times New Roman"/>
          <w:b/>
          <w:bCs/>
          <w:sz w:val="24"/>
          <w:szCs w:val="24"/>
        </w:rPr>
      </w:pPr>
      <w:r>
        <w:rPr>
          <w:rFonts w:ascii="Times New Roman" w:hAnsi="Times New Roman"/>
          <w:sz w:val="24"/>
          <w:szCs w:val="24"/>
        </w:rPr>
        <w:t>Medicinal herbs have been used traditionally to enhance sexual function from ancient times in many systems of traditional medicine.</w:t>
      </w:r>
      <w:r>
        <w:rPr>
          <w:rFonts w:ascii="Times New Roman" w:hAnsi="Times New Roman"/>
          <w:i/>
          <w:iCs/>
          <w:sz w:val="24"/>
          <w:szCs w:val="24"/>
        </w:rPr>
        <w:t xml:space="preserve">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(clove) is among them, which is known for its widespread availability and traditional use as an aphrodisiac. Its bioactive constituents such as </w:t>
      </w:r>
      <w:proofErr w:type="spellStart"/>
      <w:r>
        <w:rPr>
          <w:rFonts w:ascii="Times New Roman" w:hAnsi="Times New Roman"/>
          <w:sz w:val="24"/>
          <w:szCs w:val="24"/>
        </w:rPr>
        <w:t>eugenol</w:t>
      </w:r>
      <w:proofErr w:type="spellEnd"/>
      <w:r>
        <w:rPr>
          <w:rFonts w:ascii="Times New Roman" w:hAnsi="Times New Roman"/>
          <w:sz w:val="24"/>
          <w:szCs w:val="24"/>
        </w:rPr>
        <w:t>, flavonoids, and sterols have been documented with antioxidant, anti-inflammatory, and androgenic activities that have the potential to be beneficial in the rehabilitation of sexual performance (</w:t>
      </w:r>
      <w:proofErr w:type="spellStart"/>
      <w:r>
        <w:rPr>
          <w:rFonts w:ascii="Times New Roman" w:hAnsi="Times New Roman"/>
          <w:sz w:val="24"/>
          <w:szCs w:val="24"/>
        </w:rPr>
        <w:t>Ajiboye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However, despite numerous investigations that have described S. </w:t>
      </w:r>
      <w:proofErr w:type="spellStart"/>
      <w:r>
        <w:rPr>
          <w:rFonts w:ascii="Times New Roman" w:hAnsi="Times New Roman"/>
          <w:sz w:val="24"/>
          <w:szCs w:val="24"/>
        </w:rPr>
        <w:t>aromaticum's</w:t>
      </w:r>
      <w:proofErr w:type="spellEnd"/>
      <w:r>
        <w:rPr>
          <w:rFonts w:ascii="Times New Roman" w:hAnsi="Times New Roman"/>
          <w:sz w:val="24"/>
          <w:szCs w:val="24"/>
        </w:rPr>
        <w:t xml:space="preserve"> pro-sexual activity in healthy rodents, evidence of its action in models of pharmacologically induced sexual dysfunction, and in models specifically representing clinical conditions such as SSRI-induced sexual dysfunction, is extremely meager.</w:t>
      </w:r>
    </w:p>
    <w:p w14:paraId="4BE6E2BC" w14:textId="77777777" w:rsidR="00714D18" w:rsidRDefault="006E5117">
      <w:pPr>
        <w:pStyle w:val="Heading2"/>
        <w:spacing w:line="240" w:lineRule="auto"/>
      </w:pPr>
      <w:bookmarkStart w:id="10" w:name="_Toc23532"/>
      <w:r>
        <w:t>1.3 Problem Statement</w:t>
      </w:r>
      <w:bookmarkEnd w:id="10"/>
    </w:p>
    <w:p w14:paraId="7395156B"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Sexual dysfunction, particularly erectile dysfunction (ED), is an upsetting and troubling side effect seen in patients under treatment with selective serotonin re-uptake inhibitors (SSRIs) such as paroxetine. Paroxetine, useful in treating various psychological disorders, has been consistently reported to suppress sexual desire, decrease testosterone levels, delay ejaculation, and interfere with erection by suppressing dopaminergic and nitric oxide signaling pathways (</w:t>
      </w:r>
      <w:proofErr w:type="spellStart"/>
      <w:r>
        <w:rPr>
          <w:rFonts w:ascii="Times New Roman" w:hAnsi="Times New Roman"/>
          <w:sz w:val="24"/>
          <w:szCs w:val="24"/>
        </w:rPr>
        <w:t>Besong</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This poses a double clinical challenge: while the underlying psychiatric disorder is alleviated, the consequent sexual dysfunction can cause negative impact on the patient's quality of life, marital relationship, and adherence to treatment.</w:t>
      </w:r>
    </w:p>
    <w:p w14:paraId="3963A2E2"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Although drug therapies such as sildenafil are a possibility, they are not always effective for sexual dysfunction caused by SSRI and may have contraindications in certain groups of patients. Moreover, these man-made drugs are not always accessible or affordable in resource-poor environments. Thus, interest is growing in the treatment of sexual dysfunction using natural products, e.g., medicinal plants, with fewer side effects and lower cost.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(clove) has been classically used as an aphrodisiac and is also known to possess antioxidant, anti-inflammatory, and androgen-stimulating activity (</w:t>
      </w:r>
      <w:proofErr w:type="spellStart"/>
      <w:r>
        <w:rPr>
          <w:rFonts w:ascii="Times New Roman" w:hAnsi="Times New Roman"/>
          <w:sz w:val="24"/>
          <w:szCs w:val="24"/>
        </w:rPr>
        <w:t>Ajiboye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However, the majority of studies that have been performed to date have focused on its effect in normal animals or on non-specific models of sexual disorder, without first-hand analysis of its effectiveness against SSRI-induced sexual disorder.</w:t>
      </w:r>
    </w:p>
    <w:p w14:paraId="3E6C7911"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The absence of scientific evidence on the putative therapeutic action of S.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 xml:space="preserve">against paroxetine-induced erectile dysfunction is a critical knowledge gap. In the absence of targeted research, its clinical usefulness in controlling antidepressant-induced sexual side effects can only be speculative. Thus, there is a need to examine the possibility of using aqueous extract of  </w:t>
      </w:r>
      <w:r>
        <w:rPr>
          <w:rFonts w:ascii="Times New Roman" w:hAnsi="Times New Roman"/>
          <w:i/>
          <w:iCs/>
          <w:sz w:val="24"/>
          <w:szCs w:val="24"/>
        </w:rPr>
        <w:t>S</w:t>
      </w:r>
      <w:r>
        <w:rPr>
          <w:rFonts w:ascii="Times New Roman" w:hAnsi="Times New Roman"/>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 xml:space="preserve">is able to reverse the sexual impairments induced by paroxetine and identify the mechanisms underlying. The current research will provide valuable evidence to enable the safe and effective administration of </w:t>
      </w:r>
      <w:r>
        <w:rPr>
          <w:rFonts w:ascii="Times New Roman" w:hAnsi="Times New Roman"/>
          <w:i/>
          <w:iCs/>
          <w:sz w:val="24"/>
          <w:szCs w:val="24"/>
        </w:rPr>
        <w:t>S</w:t>
      </w:r>
      <w:r>
        <w:rPr>
          <w:rFonts w:ascii="Times New Roman" w:hAnsi="Times New Roman"/>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as a substitute or adjunct treatment for SSRI-induced erectile dysfunction.</w:t>
      </w:r>
    </w:p>
    <w:p w14:paraId="626D4728" w14:textId="77777777" w:rsidR="00714D18" w:rsidRDefault="006E5117">
      <w:pPr>
        <w:pStyle w:val="Heading2"/>
        <w:spacing w:line="240" w:lineRule="auto"/>
      </w:pPr>
      <w:bookmarkStart w:id="11" w:name="_Toc10104"/>
      <w:r>
        <w:t>1.4 Significance of the Study</w:t>
      </w:r>
      <w:bookmarkEnd w:id="11"/>
    </w:p>
    <w:p w14:paraId="154FBC66"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The present study involves a significant interface between male reproductive health and mental health drug therapy. While SSRIs such as paroxetine are crucial for depression and anxiety management, they often cause sexual side effects such as ED, reduced libido, and delayed ejaculation (</w:t>
      </w:r>
      <w:proofErr w:type="spellStart"/>
      <w:r>
        <w:rPr>
          <w:rFonts w:ascii="Times New Roman" w:hAnsi="Times New Roman"/>
          <w:sz w:val="24"/>
          <w:szCs w:val="24"/>
        </w:rPr>
        <w:t>Besong</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These adverse effects can exert a significant detrimental effect on quality of life, discourage treatment compliance, and increase emotional distress, especially in male patients of reproductive age.</w:t>
      </w:r>
    </w:p>
    <w:p w14:paraId="2EFB59FD"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The significance of this study is that it examines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a prevalent medicinal herb with traditional aphrodisiac and healing claims. Previous studies suggest that S.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 xml:space="preserve">contains pharmacologically active compounds such as </w:t>
      </w:r>
      <w:proofErr w:type="spellStart"/>
      <w:r>
        <w:rPr>
          <w:rFonts w:ascii="Times New Roman" w:hAnsi="Times New Roman"/>
          <w:sz w:val="24"/>
          <w:szCs w:val="24"/>
        </w:rPr>
        <w:t>eugenol</w:t>
      </w:r>
      <w:proofErr w:type="spellEnd"/>
      <w:r>
        <w:rPr>
          <w:rFonts w:ascii="Times New Roman" w:hAnsi="Times New Roman"/>
          <w:sz w:val="24"/>
          <w:szCs w:val="24"/>
        </w:rPr>
        <w:t xml:space="preserve"> and flavonoids with antioxidant, androgenic, and nitric oxide-enhancing activities (</w:t>
      </w:r>
      <w:proofErr w:type="spellStart"/>
      <w:r>
        <w:rPr>
          <w:rFonts w:ascii="Times New Roman" w:hAnsi="Times New Roman"/>
          <w:sz w:val="24"/>
          <w:szCs w:val="24"/>
        </w:rPr>
        <w:t>Ajiboye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Such effects can be directly directed against the oxidative stress and hormonal imbalance caused by paroxetine, reversing or slowing drug-induced sexual dysfunction.</w:t>
      </w:r>
    </w:p>
    <w:p w14:paraId="7BB81CF1"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By studying the aqueous extract of S. </w:t>
      </w:r>
      <w:proofErr w:type="spellStart"/>
      <w:r>
        <w:rPr>
          <w:rFonts w:ascii="Times New Roman" w:hAnsi="Times New Roman"/>
          <w:sz w:val="24"/>
          <w:szCs w:val="24"/>
        </w:rPr>
        <w:t>aromaticum</w:t>
      </w:r>
      <w:proofErr w:type="spellEnd"/>
      <w:r>
        <w:rPr>
          <w:rFonts w:ascii="Times New Roman" w:hAnsi="Times New Roman"/>
          <w:sz w:val="24"/>
          <w:szCs w:val="24"/>
        </w:rPr>
        <w:t xml:space="preserve"> within a paroxetine-induced rat model, this study provides evidence for its possible therapeutic application based on science. This discovery is particularly beneficial for the people in low-resource communities, where conventional ED treatments are normally unattainable because of exorbitant cost or contraindications. In addition, the study may be used as a basis for developing safer and cheaper </w:t>
      </w:r>
      <w:proofErr w:type="spellStart"/>
      <w:r>
        <w:rPr>
          <w:rFonts w:ascii="Times New Roman" w:hAnsi="Times New Roman"/>
          <w:sz w:val="24"/>
          <w:szCs w:val="24"/>
        </w:rPr>
        <w:t>phytotherapeutic</w:t>
      </w:r>
      <w:proofErr w:type="spellEnd"/>
      <w:r>
        <w:rPr>
          <w:rFonts w:ascii="Times New Roman" w:hAnsi="Times New Roman"/>
          <w:sz w:val="24"/>
          <w:szCs w:val="24"/>
        </w:rPr>
        <w:t xml:space="preserve"> treatments to manage SSRI-induced sexual dysfunction.</w:t>
      </w:r>
    </w:p>
    <w:p w14:paraId="613B482E" w14:textId="77777777" w:rsidR="00714D18" w:rsidRDefault="00714D18">
      <w:pPr>
        <w:pStyle w:val="Heading3"/>
        <w:spacing w:line="360" w:lineRule="auto"/>
        <w:jc w:val="both"/>
        <w:rPr>
          <w:rStyle w:val="Strong"/>
          <w:rFonts w:ascii="Times New Roman" w:hAnsi="Times New Roman" w:hint="default"/>
          <w:b/>
          <w:bCs/>
          <w:sz w:val="24"/>
          <w:szCs w:val="24"/>
        </w:rPr>
      </w:pPr>
    </w:p>
    <w:p w14:paraId="3A4CE580" w14:textId="77777777" w:rsidR="00714D18" w:rsidRDefault="00714D18">
      <w:pPr>
        <w:pStyle w:val="Heading3"/>
        <w:spacing w:line="360" w:lineRule="auto"/>
        <w:jc w:val="both"/>
        <w:rPr>
          <w:rStyle w:val="Strong"/>
          <w:rFonts w:ascii="Times New Roman" w:hAnsi="Times New Roman" w:hint="default"/>
          <w:b/>
          <w:bCs/>
          <w:sz w:val="24"/>
          <w:szCs w:val="24"/>
        </w:rPr>
      </w:pPr>
    </w:p>
    <w:p w14:paraId="330D42B5" w14:textId="77777777" w:rsidR="00714D18" w:rsidRDefault="00714D18">
      <w:pPr>
        <w:pStyle w:val="Heading3"/>
        <w:spacing w:line="360" w:lineRule="auto"/>
        <w:jc w:val="both"/>
        <w:rPr>
          <w:rStyle w:val="Strong"/>
          <w:rFonts w:ascii="Times New Roman" w:hAnsi="Times New Roman" w:hint="default"/>
          <w:b/>
          <w:bCs/>
          <w:sz w:val="24"/>
          <w:szCs w:val="24"/>
        </w:rPr>
      </w:pPr>
    </w:p>
    <w:p w14:paraId="1EC4E01D" w14:textId="77777777" w:rsidR="00714D18" w:rsidRDefault="006E5117">
      <w:pPr>
        <w:pStyle w:val="Heading2"/>
        <w:spacing w:line="360" w:lineRule="auto"/>
      </w:pPr>
      <w:bookmarkStart w:id="12" w:name="_Toc16192"/>
      <w:r>
        <w:t>1.5 Objectives of the Study</w:t>
      </w:r>
      <w:bookmarkEnd w:id="12"/>
    </w:p>
    <w:p w14:paraId="01D68185" w14:textId="77777777" w:rsidR="00714D18" w:rsidRDefault="006E5117">
      <w:pPr>
        <w:pStyle w:val="Heading4"/>
        <w:tabs>
          <w:tab w:val="left" w:pos="2000"/>
        </w:tabs>
        <w:spacing w:line="480" w:lineRule="auto"/>
        <w:jc w:val="both"/>
        <w:rPr>
          <w:rFonts w:ascii="Times New Roman" w:hAnsi="Times New Roman" w:hint="default"/>
          <w:b w:val="0"/>
          <w:bCs w:val="0"/>
        </w:rPr>
      </w:pPr>
      <w:r>
        <w:rPr>
          <w:rFonts w:ascii="Times New Roman" w:hAnsi="Times New Roman" w:hint="default"/>
          <w:b w:val="0"/>
          <w:bCs w:val="0"/>
        </w:rPr>
        <w:t xml:space="preserve">The overall aim of this study was to evaluate the therapeutic effects of aqueous extract of </w:t>
      </w:r>
      <w:proofErr w:type="spellStart"/>
      <w:r>
        <w:rPr>
          <w:rStyle w:val="Emphasis"/>
          <w:rFonts w:ascii="Times New Roman" w:hAnsi="Times New Roman" w:hint="default"/>
          <w:b w:val="0"/>
          <w:bCs w:val="0"/>
        </w:rPr>
        <w:t>Syzygium</w:t>
      </w:r>
      <w:proofErr w:type="spellEnd"/>
      <w:r>
        <w:rPr>
          <w:rStyle w:val="Emphasis"/>
          <w:rFonts w:ascii="Times New Roman" w:hAnsi="Times New Roman" w:hint="default"/>
          <w:b w:val="0"/>
          <w:bCs w:val="0"/>
        </w:rPr>
        <w:t xml:space="preserve"> </w:t>
      </w:r>
      <w:proofErr w:type="spellStart"/>
      <w:r>
        <w:rPr>
          <w:rStyle w:val="Emphasis"/>
          <w:rFonts w:ascii="Times New Roman" w:hAnsi="Times New Roman" w:hint="default"/>
          <w:b w:val="0"/>
          <w:bCs w:val="0"/>
        </w:rPr>
        <w:t>aromaticum</w:t>
      </w:r>
      <w:proofErr w:type="spellEnd"/>
      <w:r>
        <w:rPr>
          <w:rFonts w:ascii="Times New Roman" w:hAnsi="Times New Roman" w:hint="default"/>
          <w:b w:val="0"/>
          <w:bCs w:val="0"/>
          <w:i/>
          <w:iCs/>
        </w:rPr>
        <w:t xml:space="preserve"> </w:t>
      </w:r>
      <w:r>
        <w:rPr>
          <w:rFonts w:ascii="Times New Roman" w:hAnsi="Times New Roman" w:hint="default"/>
          <w:b w:val="0"/>
          <w:bCs w:val="0"/>
        </w:rPr>
        <w:t xml:space="preserve">on erectile dysfunction induced by paroxetine in male </w:t>
      </w:r>
      <w:proofErr w:type="spellStart"/>
      <w:r>
        <w:rPr>
          <w:rFonts w:ascii="Times New Roman" w:hAnsi="Times New Roman" w:hint="default"/>
          <w:b w:val="0"/>
          <w:bCs w:val="0"/>
        </w:rPr>
        <w:t>Wistar</w:t>
      </w:r>
      <w:proofErr w:type="spellEnd"/>
      <w:r>
        <w:rPr>
          <w:rFonts w:ascii="Times New Roman" w:hAnsi="Times New Roman" w:hint="default"/>
          <w:b w:val="0"/>
          <w:bCs w:val="0"/>
        </w:rPr>
        <w:t xml:space="preserve"> rats. The specific objectives of the study were to:</w:t>
      </w:r>
    </w:p>
    <w:p w14:paraId="1D337BA6" w14:textId="77777777" w:rsidR="00714D18" w:rsidRDefault="006E5117">
      <w:pPr>
        <w:numPr>
          <w:ilvl w:val="0"/>
          <w:numId w:val="2"/>
        </w:num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prepare aqueous extract of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w:t>
      </w:r>
    </w:p>
    <w:p w14:paraId="5B1B48DA" w14:textId="77777777" w:rsidR="00714D18" w:rsidRDefault="006E51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induce erectile dysfunction in </w:t>
      </w:r>
      <w:proofErr w:type="spellStart"/>
      <w:r>
        <w:rPr>
          <w:rFonts w:ascii="Times New Roman" w:hAnsi="Times New Roman" w:cs="Times New Roman"/>
          <w:sz w:val="24"/>
          <w:szCs w:val="24"/>
        </w:rPr>
        <w:t>Wistar</w:t>
      </w:r>
      <w:proofErr w:type="spellEnd"/>
      <w:r>
        <w:rPr>
          <w:rFonts w:ascii="Times New Roman" w:hAnsi="Times New Roman" w:cs="Times New Roman"/>
          <w:sz w:val="24"/>
          <w:szCs w:val="24"/>
        </w:rPr>
        <w:t xml:space="preserve"> rats using paroxetine administration;</w:t>
      </w:r>
    </w:p>
    <w:p w14:paraId="40C6B0DB" w14:textId="77777777" w:rsidR="00714D18" w:rsidRDefault="006E51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administer the induced rats with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extract;</w:t>
      </w:r>
    </w:p>
    <w:p w14:paraId="217B9D59" w14:textId="77777777" w:rsidR="00714D18" w:rsidRDefault="006E51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assess the enzymatic biomarker of erectile dysfunction (PDE 5 and Arginase) in the penile organs of experimental rats;</w:t>
      </w:r>
    </w:p>
    <w:p w14:paraId="1E50265E" w14:textId="77777777" w:rsidR="00714D18" w:rsidRDefault="006E51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examine the penile nitric oxide and protein levels of the experimental rats;</w:t>
      </w:r>
    </w:p>
    <w:p w14:paraId="03DC9F1F" w14:textId="77777777" w:rsidR="00714D18" w:rsidRDefault="006E51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investigate creatinine kinase activity in serum of the animals;</w:t>
      </w:r>
    </w:p>
    <w:p w14:paraId="41D119DD" w14:textId="77777777" w:rsidR="00714D18" w:rsidRDefault="006E5117">
      <w:pPr>
        <w:numPr>
          <w:ilvl w:val="0"/>
          <w:numId w:val="2"/>
        </w:numPr>
        <w:spacing w:line="480" w:lineRule="auto"/>
        <w:rPr>
          <w:rFonts w:ascii="Times New Roman" w:hAnsi="Times New Roman"/>
          <w:sz w:val="24"/>
          <w:szCs w:val="24"/>
        </w:rPr>
      </w:pPr>
      <w:r>
        <w:rPr>
          <w:rFonts w:ascii="Times New Roman" w:hAnsi="Times New Roman" w:cs="Times New Roman"/>
          <w:sz w:val="24"/>
          <w:szCs w:val="24"/>
        </w:rPr>
        <w:t>carryout lipid profile assessment on serum of the experimental rats.</w:t>
      </w:r>
    </w:p>
    <w:p w14:paraId="0DDA1692" w14:textId="77777777" w:rsidR="00714D18" w:rsidRDefault="006E5117">
      <w:pPr>
        <w:rPr>
          <w:rFonts w:ascii="Times New Roman" w:hAnsi="Times New Roman"/>
          <w:sz w:val="24"/>
          <w:szCs w:val="24"/>
        </w:rPr>
      </w:pPr>
      <w:r>
        <w:rPr>
          <w:rFonts w:ascii="Times New Roman" w:hAnsi="Times New Roman"/>
          <w:sz w:val="24"/>
          <w:szCs w:val="24"/>
        </w:rPr>
        <w:br w:type="page"/>
      </w:r>
    </w:p>
    <w:p w14:paraId="02A08601" w14:textId="77777777" w:rsidR="00714D18" w:rsidRDefault="006E5117">
      <w:pPr>
        <w:pStyle w:val="Heading1"/>
        <w:spacing w:line="240" w:lineRule="auto"/>
        <w:ind w:left="2160" w:firstLine="720"/>
      </w:pPr>
      <w:bookmarkStart w:id="13" w:name="_Toc4495"/>
      <w:r>
        <w:t>CHAPTER TWO</w:t>
      </w:r>
      <w:bookmarkEnd w:id="13"/>
    </w:p>
    <w:p w14:paraId="63419938" w14:textId="77777777" w:rsidR="00714D18" w:rsidRDefault="006E5117">
      <w:pPr>
        <w:pStyle w:val="Heading1"/>
        <w:spacing w:line="240" w:lineRule="auto"/>
        <w:rPr>
          <w:szCs w:val="24"/>
        </w:rPr>
      </w:pPr>
      <w:bookmarkStart w:id="14" w:name="_Toc29404"/>
      <w:r>
        <w:t>2.0 LITERATURE REVIEW</w:t>
      </w:r>
      <w:bookmarkEnd w:id="14"/>
    </w:p>
    <w:p w14:paraId="669FF6C6" w14:textId="77777777" w:rsidR="00714D18" w:rsidRDefault="006E5117">
      <w:pPr>
        <w:pStyle w:val="Heading2"/>
        <w:spacing w:line="240" w:lineRule="auto"/>
      </w:pPr>
      <w:bookmarkStart w:id="15" w:name="_Toc5816"/>
      <w:r>
        <w:t>2.1 Erectile Dysfunction</w:t>
      </w:r>
      <w:bookmarkEnd w:id="15"/>
    </w:p>
    <w:p w14:paraId="21CAFD52"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Erectile dysfunction (ED) is the repeated or persistent inability to attain or maintain a penile erection sufficient for satisfactory sexual performance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Feng </w:t>
      </w:r>
      <w:r>
        <w:rPr>
          <w:rFonts w:ascii="Times New Roman" w:hAnsi="Times New Roman"/>
          <w:i/>
          <w:iCs/>
          <w:sz w:val="24"/>
          <w:szCs w:val="24"/>
        </w:rPr>
        <w:t>et al.,</w:t>
      </w:r>
      <w:r>
        <w:rPr>
          <w:rFonts w:ascii="Times New Roman" w:hAnsi="Times New Roman"/>
          <w:sz w:val="24"/>
          <w:szCs w:val="24"/>
        </w:rPr>
        <w:t xml:space="preserve"> 2025). It is a prevalent disorder that has been found to afflict an estimated 150 million men worldwide and is projected to affect over 300 million men by 2025. While its incidence increases with age, ED can also be observed among the young population due to multifactorial etiologies, which include vascular diseases, endocrine diseases, neurological diseases, psychiatric diseases, and the use of certain pharmacological medications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Saikia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03650224"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The penile erection physiology is a complex process involving neural, vascular, and endocrine interaction. Nitric oxide (NO) is a key mediator that induces relaxation of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smooth muscle through stimulation of the guanylate cyclase-cGMP pathway, thus enabling flow of blood into the penile tissue (Mobley </w:t>
      </w:r>
      <w:r>
        <w:rPr>
          <w:rFonts w:ascii="Times New Roman" w:hAnsi="Times New Roman"/>
          <w:i/>
          <w:iCs/>
          <w:sz w:val="24"/>
          <w:szCs w:val="24"/>
        </w:rPr>
        <w:t>et al.,</w:t>
      </w:r>
      <w:r>
        <w:rPr>
          <w:rFonts w:ascii="Times New Roman" w:hAnsi="Times New Roman"/>
          <w:sz w:val="24"/>
          <w:szCs w:val="24"/>
        </w:rPr>
        <w:t xml:space="preserve"> 2017; </w:t>
      </w:r>
      <w:proofErr w:type="spellStart"/>
      <w:r>
        <w:rPr>
          <w:rFonts w:ascii="Times New Roman" w:hAnsi="Times New Roman"/>
          <w:sz w:val="24"/>
          <w:szCs w:val="24"/>
        </w:rPr>
        <w:t>Elekofehinti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Testosterone also plays an important role via its capacity to enhance libido, preserve erectile tissue health, and regulate the expression of nitric oxide synthase (NOS), which is essential for NO synthesis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Ademosun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2019).</w:t>
      </w:r>
    </w:p>
    <w:p w14:paraId="550FE044"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Oxidative stress is also strongly implicated in the pathophysiology of ED. Elevated reactive oxygen species (ROS) such as superoxide anions reduce the bioavailability of NO by forming </w:t>
      </w:r>
      <w:proofErr w:type="spellStart"/>
      <w:r>
        <w:rPr>
          <w:rFonts w:ascii="Times New Roman" w:hAnsi="Times New Roman"/>
          <w:sz w:val="24"/>
          <w:szCs w:val="24"/>
        </w:rPr>
        <w:t>peroxynitrite</w:t>
      </w:r>
      <w:proofErr w:type="spellEnd"/>
      <w:r>
        <w:rPr>
          <w:rFonts w:ascii="Times New Roman" w:hAnsi="Times New Roman"/>
          <w:sz w:val="24"/>
          <w:szCs w:val="24"/>
        </w:rPr>
        <w:t>, thus inhibiting vasodilation and leading to endothelial dysfunction. Chronic oxidative damage also impairs penile architecture, promotes fibrosis, and reduces sensitivity to endogenous vasodilators (</w:t>
      </w:r>
      <w:proofErr w:type="spellStart"/>
      <w:r>
        <w:rPr>
          <w:rFonts w:ascii="Times New Roman" w:hAnsi="Times New Roman"/>
          <w:sz w:val="24"/>
          <w:szCs w:val="24"/>
        </w:rPr>
        <w:t>Ademosun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Kassan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2013). This emphasizes the role of antioxidant defense mechanisms, such as superoxide dismutase (SOD) and glutathione peroxidase, in maintaining normal erectile function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5D1B6B97"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Pharmacological therapies, particularly selective serotonin reuptake inhibitors (SSRIs) like paroxetine, can also induce erectile dysfunction. Paroxetine is used for depression and anxiety disorders but is strongly associated with undesirable sexual effects, including delayed ejaculation, </w:t>
      </w:r>
      <w:proofErr w:type="spellStart"/>
      <w:r>
        <w:rPr>
          <w:rFonts w:ascii="Times New Roman" w:hAnsi="Times New Roman"/>
          <w:sz w:val="24"/>
          <w:szCs w:val="24"/>
        </w:rPr>
        <w:t>anorgasmia</w:t>
      </w:r>
      <w:proofErr w:type="spellEnd"/>
      <w:r>
        <w:rPr>
          <w:rFonts w:ascii="Times New Roman" w:hAnsi="Times New Roman"/>
          <w:sz w:val="24"/>
          <w:szCs w:val="24"/>
        </w:rPr>
        <w:t>, and decreased erectile function. These actions are mainly the result of increased serotonergic activity that suppresses dopaminergic and NO-mediated pathways, in addition to reductions in testosterone levels (</w:t>
      </w:r>
      <w:proofErr w:type="spellStart"/>
      <w:r>
        <w:rPr>
          <w:rFonts w:ascii="Times New Roman" w:hAnsi="Times New Roman"/>
          <w:sz w:val="24"/>
          <w:szCs w:val="24"/>
        </w:rPr>
        <w:t>Muritala</w:t>
      </w:r>
      <w:proofErr w:type="spellEnd"/>
      <w:r>
        <w:rPr>
          <w:rFonts w:ascii="Times New Roman" w:hAnsi="Times New Roman"/>
          <w:sz w:val="24"/>
          <w:szCs w:val="24"/>
        </w:rPr>
        <w:t xml:space="preserve"> &amp; </w:t>
      </w:r>
      <w:proofErr w:type="spellStart"/>
      <w:r>
        <w:rPr>
          <w:rFonts w:ascii="Times New Roman" w:hAnsi="Times New Roman"/>
          <w:sz w:val="24"/>
          <w:szCs w:val="24"/>
        </w:rPr>
        <w:t>Bewaji</w:t>
      </w:r>
      <w:proofErr w:type="spellEnd"/>
      <w:r>
        <w:rPr>
          <w:rFonts w:ascii="Times New Roman" w:hAnsi="Times New Roman"/>
          <w:sz w:val="24"/>
          <w:szCs w:val="24"/>
        </w:rPr>
        <w:t xml:space="preserve">, 2021; Stefan </w:t>
      </w:r>
      <w:r>
        <w:rPr>
          <w:rFonts w:ascii="Times New Roman" w:hAnsi="Times New Roman"/>
          <w:i/>
          <w:iCs/>
          <w:sz w:val="24"/>
          <w:szCs w:val="24"/>
        </w:rPr>
        <w:t>et al.,</w:t>
      </w:r>
      <w:r>
        <w:rPr>
          <w:rFonts w:ascii="Times New Roman" w:hAnsi="Times New Roman"/>
          <w:sz w:val="24"/>
          <w:szCs w:val="24"/>
        </w:rPr>
        <w:t xml:space="preserve"> 2020). Experiments using animal models have shown that paroxetine decreases testicular weight, serum testosterone, and penile NO levels, testifying to its negative action on sexual function (</w:t>
      </w:r>
      <w:proofErr w:type="spellStart"/>
      <w:r>
        <w:rPr>
          <w:rFonts w:ascii="Times New Roman" w:hAnsi="Times New Roman"/>
          <w:sz w:val="24"/>
          <w:szCs w:val="24"/>
        </w:rPr>
        <w:t>Ademosun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Elekofehinti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7FFB665B"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Because of the limitations of conventional therapies and their potential contraindications in patients with cardiovascular or psychiatric comorbidities, recent research has leaned towards the exploration of herbal remedies. These natural alternatives are often gifted with antioxidant, androgenic, and NO-modulatory properties, offering a multimodal approach to the management of ED. Medicinal plants such as </w:t>
      </w:r>
      <w:proofErr w:type="spellStart"/>
      <w:r>
        <w:rPr>
          <w:rFonts w:ascii="Times New Roman" w:hAnsi="Times New Roman"/>
          <w:sz w:val="24"/>
          <w:szCs w:val="24"/>
        </w:rPr>
        <w:t>Carpolobia</w:t>
      </w:r>
      <w:proofErr w:type="spellEnd"/>
      <w:r>
        <w:rPr>
          <w:rFonts w:ascii="Times New Roman" w:hAnsi="Times New Roman"/>
          <w:sz w:val="24"/>
          <w:szCs w:val="24"/>
        </w:rPr>
        <w:t xml:space="preserve"> </w:t>
      </w:r>
      <w:proofErr w:type="spellStart"/>
      <w:r>
        <w:rPr>
          <w:rFonts w:ascii="Times New Roman" w:hAnsi="Times New Roman"/>
          <w:sz w:val="24"/>
          <w:szCs w:val="24"/>
        </w:rPr>
        <w:t>lutea</w:t>
      </w:r>
      <w:proofErr w:type="spellEnd"/>
      <w:r>
        <w:rPr>
          <w:rFonts w:ascii="Times New Roman" w:hAnsi="Times New Roman"/>
          <w:sz w:val="24"/>
          <w:szCs w:val="24"/>
        </w:rPr>
        <w:t xml:space="preserve"> and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have also demonstrated promising results in experimental models via testosterone level enhancement, NO synthesis, and reversal of SSRI-induced dysfunction (</w:t>
      </w:r>
      <w:proofErr w:type="spellStart"/>
      <w:r>
        <w:rPr>
          <w:rFonts w:ascii="Times New Roman" w:hAnsi="Times New Roman"/>
          <w:sz w:val="24"/>
          <w:szCs w:val="24"/>
        </w:rPr>
        <w:t>Elekofehinti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Saikia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
    <w:p w14:paraId="6A929D7A" w14:textId="77777777" w:rsidR="00714D18" w:rsidRDefault="006E5117">
      <w:pPr>
        <w:pStyle w:val="Heading2"/>
        <w:spacing w:line="240" w:lineRule="auto"/>
      </w:pPr>
      <w:bookmarkStart w:id="16" w:name="_Toc8841"/>
      <w:r>
        <w:t>2.2 Epidemiology of Erectile Dysfunction</w:t>
      </w:r>
      <w:bookmarkEnd w:id="16"/>
    </w:p>
    <w:p w14:paraId="15B04B3B"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Erectile dysfunction (ED) is a universal disorder among men across all adult age groups, with risk increasing very rapidly with increasing age and with chronic comorbidity. Recent meta-analysis of over 20 countries has recently reported the universal prevalence of ED as between 20% and over 50%, depending on population being studied and diagnostic criteria used (Goldstein </w:t>
      </w:r>
      <w:r>
        <w:rPr>
          <w:rFonts w:ascii="Times New Roman" w:hAnsi="Times New Roman"/>
          <w:i/>
          <w:iCs/>
          <w:sz w:val="24"/>
          <w:szCs w:val="24"/>
        </w:rPr>
        <w:t>et al.,</w:t>
      </w:r>
      <w:r>
        <w:rPr>
          <w:rFonts w:ascii="Times New Roman" w:hAnsi="Times New Roman"/>
          <w:sz w:val="24"/>
          <w:szCs w:val="24"/>
        </w:rPr>
        <w:t xml:space="preserve"> 2020). Prevalence rises from approximately 10% for men below the age of 40 years to more than 60% among men above 70 years (</w:t>
      </w:r>
      <w:proofErr w:type="spellStart"/>
      <w:r>
        <w:rPr>
          <w:rFonts w:ascii="Times New Roman" w:hAnsi="Times New Roman"/>
          <w:sz w:val="24"/>
          <w:szCs w:val="24"/>
        </w:rPr>
        <w:t>Dilixiati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This is associated not only with age but also with the cumulative vascular, endocrine, and neurological deficits.</w:t>
      </w:r>
    </w:p>
    <w:p w14:paraId="2742DE37"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Age is consistently identified as the most significant non-modifiable risk factor for ED. The Massachusetts Male Aging Study and subsequent global replications have shown a strong age gradient in ED incidence. For example, </w:t>
      </w:r>
      <w:proofErr w:type="spellStart"/>
      <w:r>
        <w:rPr>
          <w:rFonts w:ascii="Times New Roman" w:hAnsi="Times New Roman"/>
          <w:sz w:val="24"/>
          <w:szCs w:val="24"/>
        </w:rPr>
        <w:t>Svennersten</w:t>
      </w:r>
      <w:proofErr w:type="spellEnd"/>
      <w:r>
        <w:rPr>
          <w:rFonts w:ascii="Times New Roman" w:hAnsi="Times New Roman"/>
          <w:sz w:val="24"/>
          <w:szCs w:val="24"/>
        </w:rPr>
        <w:t xml:space="preserve"> and Reus (2024) reported that more than half of men over 60 exhibit moderate-to-severe forms of ED. Similarly, Dutch general population estimates reflect an annual incidence of 2.3 per 1,000 in men aged 40-49, rising to over 50 per 1,000 in men ≥70 years (</w:t>
      </w:r>
      <w:proofErr w:type="spellStart"/>
      <w:r>
        <w:rPr>
          <w:rFonts w:ascii="Times New Roman" w:hAnsi="Times New Roman"/>
          <w:sz w:val="24"/>
          <w:szCs w:val="24"/>
        </w:rPr>
        <w:t>Gebeyehu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This has implications for the cumulative effect of aging on endothelial function and hormonal control, both important predictors of erectile capability.</w:t>
      </w:r>
    </w:p>
    <w:p w14:paraId="4B53BE45"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Comorbidities such as diabetes mellitus, hypertension, cardiovascular disease, obesity, and chronic kidney disease also increase ED risk and severity. A Saudi Arabian cross-sectional study found diabetic men had 72% higher prevalence of ED compared to their non-diabetic counterparts (Al-</w:t>
      </w:r>
      <w:proofErr w:type="spellStart"/>
      <w:r>
        <w:rPr>
          <w:rFonts w:ascii="Times New Roman" w:hAnsi="Times New Roman"/>
          <w:sz w:val="24"/>
          <w:szCs w:val="24"/>
        </w:rPr>
        <w:t>Qahtani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In the same vein, a systematic review undertaken by </w:t>
      </w:r>
      <w:proofErr w:type="spellStart"/>
      <w:r>
        <w:rPr>
          <w:rFonts w:ascii="Times New Roman" w:hAnsi="Times New Roman"/>
          <w:sz w:val="24"/>
          <w:szCs w:val="24"/>
        </w:rPr>
        <w:t>Ziapour</w:t>
      </w:r>
      <w:proofErr w:type="spellEnd"/>
      <w:r>
        <w:rPr>
          <w:rFonts w:ascii="Times New Roman" w:hAnsi="Times New Roman"/>
          <w:sz w:val="24"/>
          <w:szCs w:val="24"/>
        </w:rPr>
        <w:t xml:space="preserve"> et al. (2024) emphasized the observation that ED is more prevalent in cardiovascular risk factor-positive men, particularly those with reduced ejection fraction or systemic endothelial dysfunction. The relationship between ED and these chronic conditions is bidirectional, with ED serving as an early predictor of systemic vascular pathology.</w:t>
      </w:r>
    </w:p>
    <w:p w14:paraId="66B7322F"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Socioeconomic and psychological determinants are also crucial in ED epidemiology. Psychosocial distress, depression, low educational levels, and restricted healthcare access are associated with higher rates of undiagnosed and untreated ED, particularly in low- and middle-income countries. A recent Tanzanian population-based survey found the prevalence of ED was 28.1%, with higher prevalence in men with low income and not being engaged in regular physical activity (</w:t>
      </w:r>
      <w:proofErr w:type="spellStart"/>
      <w:r>
        <w:rPr>
          <w:rFonts w:ascii="Times New Roman" w:hAnsi="Times New Roman"/>
          <w:sz w:val="24"/>
          <w:szCs w:val="24"/>
        </w:rPr>
        <w:t>Leyaro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Besides, sexual dysfunction is stigmatized and hence underreported, limiting accuracy in data in the majority of regions.</w:t>
      </w:r>
    </w:p>
    <w:p w14:paraId="1D0D1C1A"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Future trends suggest that ED prevalence will continue to rise as the world witnesses an increase in lifestyle disorders and aging populations. Public health interventions, thus, must target early diagnosis, management of comorbidities, and sensitization programs to desensitize the sexual health discourse. </w:t>
      </w:r>
    </w:p>
    <w:p w14:paraId="1AFBE1EC" w14:textId="77777777" w:rsidR="00714D18" w:rsidRDefault="006E5117">
      <w:pPr>
        <w:pStyle w:val="Heading2"/>
        <w:spacing w:line="240" w:lineRule="auto"/>
      </w:pPr>
      <w:bookmarkStart w:id="17" w:name="_Toc27865"/>
      <w:r>
        <w:t>2.3 Pathophysiology of Erectile Dysfunction</w:t>
      </w:r>
      <w:bookmarkEnd w:id="17"/>
      <w:r>
        <w:t xml:space="preserve"> </w:t>
      </w:r>
    </w:p>
    <w:p w14:paraId="4C16D15B"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Erectile dysfunction (ED) is actually a penile hemodynamic, neural integrative, and hormonal disorder. At the core of the erectile process is relaxation of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smooth muscle that is NO-mediated, activating guanylate cyclase to increase cyclic guanosine monophosphate (cGMP), leading to vasodilation and penile engorgement (Zhu </w:t>
      </w:r>
      <w:r>
        <w:rPr>
          <w:rFonts w:ascii="Times New Roman" w:hAnsi="Times New Roman"/>
          <w:i/>
          <w:iCs/>
          <w:sz w:val="24"/>
          <w:szCs w:val="24"/>
        </w:rPr>
        <w:t>et al.,</w:t>
      </w:r>
      <w:r>
        <w:rPr>
          <w:rFonts w:ascii="Times New Roman" w:hAnsi="Times New Roman"/>
          <w:sz w:val="24"/>
          <w:szCs w:val="24"/>
        </w:rPr>
        <w:t xml:space="preserve"> 2025). Disruption of any aspect of this signaling cascade—endothelial, neurogenic, or hormonal—can impair erectile response. Endothelium integrity is essential since it is one of the main sources of NO. Endothelial dysfunction, which results primarily from systemic disease or oxidative stress, is thus central to the development of ED (</w:t>
      </w:r>
      <w:proofErr w:type="spellStart"/>
      <w:r>
        <w:rPr>
          <w:rFonts w:ascii="Times New Roman" w:hAnsi="Times New Roman"/>
          <w:sz w:val="24"/>
          <w:szCs w:val="24"/>
        </w:rPr>
        <w:t>Salvio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w:t>
      </w:r>
    </w:p>
    <w:p w14:paraId="226A79DC"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Oxidative stress is a key factor in ED pathogenesis by inducing the build-up of reactive oxygen species (ROS) that consume NO, cause vasoconstriction, inflammation, and tissue remodeling. This oxidation imbalance is common in diabetic, obese, and hypertensive conditions and leads to endothelial injury, increased vascular tone, and disturbed </w:t>
      </w:r>
      <w:proofErr w:type="spellStart"/>
      <w:r>
        <w:rPr>
          <w:rFonts w:ascii="Times New Roman" w:hAnsi="Times New Roman"/>
          <w:sz w:val="24"/>
          <w:szCs w:val="24"/>
        </w:rPr>
        <w:t>cavernosal</w:t>
      </w:r>
      <w:proofErr w:type="spellEnd"/>
      <w:r>
        <w:rPr>
          <w:rFonts w:ascii="Times New Roman" w:hAnsi="Times New Roman"/>
          <w:sz w:val="24"/>
          <w:szCs w:val="24"/>
        </w:rPr>
        <w:t xml:space="preserve"> blood flow (</w:t>
      </w:r>
      <w:proofErr w:type="spellStart"/>
      <w:r>
        <w:rPr>
          <w:rFonts w:ascii="Times New Roman" w:hAnsi="Times New Roman"/>
          <w:sz w:val="24"/>
          <w:szCs w:val="24"/>
        </w:rPr>
        <w:t>Rastrelli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
    <w:p w14:paraId="69D1B2AE"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rPr>
        <w:drawing>
          <wp:inline distT="0" distB="0" distL="114300" distR="114300" wp14:anchorId="5273D6A9" wp14:editId="40FEEB3C">
            <wp:extent cx="4352925" cy="5810250"/>
            <wp:effectExtent l="0" t="0" r="9525" b="0"/>
            <wp:docPr id="2" name="Picture 2" descr="ED PA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ATHOL"/>
                    <pic:cNvPicPr>
                      <a:picLocks noChangeAspect="1"/>
                    </pic:cNvPicPr>
                  </pic:nvPicPr>
                  <pic:blipFill>
                    <a:blip r:embed="rId10"/>
                    <a:stretch>
                      <a:fillRect/>
                    </a:stretch>
                  </pic:blipFill>
                  <pic:spPr>
                    <a:xfrm>
                      <a:off x="0" y="0"/>
                      <a:ext cx="4352925" cy="5810250"/>
                    </a:xfrm>
                    <a:prstGeom prst="rect">
                      <a:avLst/>
                    </a:prstGeom>
                  </pic:spPr>
                </pic:pic>
              </a:graphicData>
            </a:graphic>
          </wp:inline>
        </w:drawing>
      </w:r>
    </w:p>
    <w:p w14:paraId="2CC09B2C"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Figure 1: Pathophysiology of Erectile Dysfunction</w:t>
      </w:r>
    </w:p>
    <w:p w14:paraId="740DB847"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Source; </w:t>
      </w:r>
      <w:proofErr w:type="spellStart"/>
      <w:r>
        <w:rPr>
          <w:rFonts w:ascii="Times New Roman" w:hAnsi="Times New Roman"/>
          <w:sz w:val="24"/>
          <w:szCs w:val="24"/>
        </w:rPr>
        <w:t>Roushias</w:t>
      </w:r>
      <w:proofErr w:type="spellEnd"/>
      <w:r>
        <w:rPr>
          <w:rFonts w:ascii="Times New Roman" w:hAnsi="Times New Roman"/>
          <w:sz w:val="24"/>
          <w:szCs w:val="24"/>
        </w:rPr>
        <w:t xml:space="preserve">, S., &amp; </w:t>
      </w:r>
      <w:proofErr w:type="spellStart"/>
      <w:r>
        <w:rPr>
          <w:rFonts w:ascii="Times New Roman" w:hAnsi="Times New Roman"/>
          <w:sz w:val="24"/>
          <w:szCs w:val="24"/>
        </w:rPr>
        <w:t>Ossei-Gerning</w:t>
      </w:r>
      <w:proofErr w:type="spellEnd"/>
      <w:r>
        <w:rPr>
          <w:rFonts w:ascii="Times New Roman" w:hAnsi="Times New Roman"/>
          <w:sz w:val="24"/>
          <w:szCs w:val="24"/>
        </w:rPr>
        <w:t>, N. (2018).</w:t>
      </w:r>
    </w:p>
    <w:p w14:paraId="4D637F11"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Chronic exposure to ROS also induces accumulation of collagen in corpus </w:t>
      </w:r>
      <w:proofErr w:type="spellStart"/>
      <w:r>
        <w:rPr>
          <w:rFonts w:ascii="Times New Roman" w:hAnsi="Times New Roman"/>
          <w:sz w:val="24"/>
          <w:szCs w:val="24"/>
        </w:rPr>
        <w:t>cavernosum</w:t>
      </w:r>
      <w:proofErr w:type="spellEnd"/>
      <w:r>
        <w:rPr>
          <w:rFonts w:ascii="Times New Roman" w:hAnsi="Times New Roman"/>
          <w:sz w:val="24"/>
          <w:szCs w:val="24"/>
        </w:rPr>
        <w:t>, causing fibrosis and penile tissue loss of elasticity (</w:t>
      </w:r>
      <w:proofErr w:type="spellStart"/>
      <w:r>
        <w:rPr>
          <w:rFonts w:ascii="Times New Roman" w:hAnsi="Times New Roman"/>
          <w:sz w:val="24"/>
          <w:szCs w:val="24"/>
        </w:rPr>
        <w:t>Ziapour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Malondialdehyde</w:t>
      </w:r>
      <w:proofErr w:type="spellEnd"/>
      <w:r>
        <w:rPr>
          <w:rFonts w:ascii="Times New Roman" w:hAnsi="Times New Roman"/>
          <w:sz w:val="24"/>
          <w:szCs w:val="24"/>
        </w:rPr>
        <w:t xml:space="preserve"> and decreased superoxide dismutase activity have been reported as biomarkers for oxidative damage in ED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7D0E9201"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Testosterone plays a critical role in erectile function. It affects libido, penile tissue structure, and NOS enzyme expression. Androgen deficiency has been associated with impaired NO bioavailability and dysfunctional penile vasodilation. Low levels of testosterone are also the cause of increased oxidative stress and lowered PDE5 inhibitor sensitivity (Woo </w:t>
      </w:r>
      <w:r>
        <w:rPr>
          <w:rFonts w:ascii="Times New Roman" w:hAnsi="Times New Roman"/>
          <w:i/>
          <w:iCs/>
          <w:sz w:val="24"/>
          <w:szCs w:val="24"/>
        </w:rPr>
        <w:t>et al.,</w:t>
      </w:r>
      <w:r>
        <w:rPr>
          <w:rFonts w:ascii="Times New Roman" w:hAnsi="Times New Roman"/>
          <w:sz w:val="24"/>
          <w:szCs w:val="24"/>
        </w:rPr>
        <w:t xml:space="preserve"> 2021). Clinical evidence reports that testosterone replacement is capable of recovering erectile function in </w:t>
      </w:r>
      <w:proofErr w:type="spellStart"/>
      <w:r>
        <w:rPr>
          <w:rFonts w:ascii="Times New Roman" w:hAnsi="Times New Roman"/>
          <w:sz w:val="24"/>
          <w:szCs w:val="24"/>
        </w:rPr>
        <w:t>hypogonadal</w:t>
      </w:r>
      <w:proofErr w:type="spellEnd"/>
      <w:r>
        <w:rPr>
          <w:rFonts w:ascii="Times New Roman" w:hAnsi="Times New Roman"/>
          <w:sz w:val="24"/>
          <w:szCs w:val="24"/>
        </w:rPr>
        <w:t xml:space="preserve"> men through enhanced NOS function and vascular reactivity (</w:t>
      </w:r>
      <w:proofErr w:type="spellStart"/>
      <w:r>
        <w:rPr>
          <w:rFonts w:ascii="Times New Roman" w:hAnsi="Times New Roman"/>
          <w:sz w:val="24"/>
          <w:szCs w:val="24"/>
        </w:rPr>
        <w:t>Saikia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3304209B"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Pharmacologically-induced ED, especially from selective serotonin reuptake inhibitors (SSRIs) like paroxetine, is more and more a clinical concern. SSRIs also alter central serotonergic mechanisms that damage sexual desire and orgasmic function. Additionally, they suppress dopaminergic and NO signaling in erectile tissue. Paroxetine </w:t>
      </w:r>
      <w:proofErr w:type="spellStart"/>
      <w:r>
        <w:rPr>
          <w:rFonts w:ascii="Times New Roman" w:hAnsi="Times New Roman"/>
          <w:sz w:val="24"/>
          <w:szCs w:val="24"/>
        </w:rPr>
        <w:t>downregulates</w:t>
      </w:r>
      <w:proofErr w:type="spellEnd"/>
      <w:r>
        <w:rPr>
          <w:rFonts w:ascii="Times New Roman" w:hAnsi="Times New Roman"/>
          <w:sz w:val="24"/>
          <w:szCs w:val="24"/>
        </w:rPr>
        <w:t xml:space="preserve"> testosterone production and suppresses NOS activity in penile tissue to induce ED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Xie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
    <w:p w14:paraId="4063B7E5" w14:textId="77777777" w:rsidR="00714D18" w:rsidRDefault="006E5117">
      <w:pPr>
        <w:pStyle w:val="Heading2"/>
        <w:spacing w:line="240" w:lineRule="auto"/>
      </w:pPr>
      <w:bookmarkStart w:id="18" w:name="_Toc2255"/>
      <w:r>
        <w:t>2.3.1 Phosphodiesterase 5</w:t>
      </w:r>
      <w:bookmarkEnd w:id="18"/>
    </w:p>
    <w:p w14:paraId="4C92A103"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Phosphodiesterase type 5 (PDE5) plays a central role in the regulation of penile erection by controlling intracellular levels of cyclic guanosine monophosphate (cGMP), a key second messenger involved in smooth muscle relaxation. During sexual stimulation, nitric oxide (NO) is released from </w:t>
      </w:r>
      <w:proofErr w:type="spellStart"/>
      <w:r>
        <w:rPr>
          <w:rFonts w:ascii="Times New Roman" w:hAnsi="Times New Roman"/>
          <w:sz w:val="24"/>
          <w:szCs w:val="24"/>
        </w:rPr>
        <w:t>nonadrenergic</w:t>
      </w:r>
      <w:proofErr w:type="spellEnd"/>
      <w:r>
        <w:rPr>
          <w:rFonts w:ascii="Times New Roman" w:hAnsi="Times New Roman"/>
          <w:sz w:val="24"/>
          <w:szCs w:val="24"/>
        </w:rPr>
        <w:t xml:space="preserve"> </w:t>
      </w:r>
      <w:proofErr w:type="spellStart"/>
      <w:r>
        <w:rPr>
          <w:rFonts w:ascii="Times New Roman" w:hAnsi="Times New Roman"/>
          <w:sz w:val="24"/>
          <w:szCs w:val="24"/>
        </w:rPr>
        <w:t>noncholinergic</w:t>
      </w:r>
      <w:proofErr w:type="spellEnd"/>
      <w:r>
        <w:rPr>
          <w:rFonts w:ascii="Times New Roman" w:hAnsi="Times New Roman"/>
          <w:sz w:val="24"/>
          <w:szCs w:val="24"/>
        </w:rPr>
        <w:t xml:space="preserve"> neurons and endothelial cells in the corpora </w:t>
      </w:r>
      <w:proofErr w:type="spellStart"/>
      <w:r>
        <w:rPr>
          <w:rFonts w:ascii="Times New Roman" w:hAnsi="Times New Roman"/>
          <w:sz w:val="24"/>
          <w:szCs w:val="24"/>
        </w:rPr>
        <w:t>cavernosa</w:t>
      </w:r>
      <w:proofErr w:type="spellEnd"/>
      <w:r>
        <w:rPr>
          <w:rFonts w:ascii="Times New Roman" w:hAnsi="Times New Roman"/>
          <w:sz w:val="24"/>
          <w:szCs w:val="24"/>
        </w:rPr>
        <w:t xml:space="preserve">. NO activates soluble </w:t>
      </w:r>
      <w:proofErr w:type="spellStart"/>
      <w:r>
        <w:rPr>
          <w:rFonts w:ascii="Times New Roman" w:hAnsi="Times New Roman"/>
          <w:sz w:val="24"/>
          <w:szCs w:val="24"/>
        </w:rPr>
        <w:t>guanylyl</w:t>
      </w:r>
      <w:proofErr w:type="spellEnd"/>
      <w:r>
        <w:rPr>
          <w:rFonts w:ascii="Times New Roman" w:hAnsi="Times New Roman"/>
          <w:sz w:val="24"/>
          <w:szCs w:val="24"/>
        </w:rPr>
        <w:t xml:space="preserve"> cyclase, leading to the conversion of guanosine triphosphate (GTP) into cGMP, which then induces relaxation of the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muscles and facilitates blood engorgement in the penis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Saikia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2022).</w:t>
      </w:r>
    </w:p>
    <w:p w14:paraId="3037BB3F"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PDE5, a cGMP-specific enzyme, hydrolyzes cGMP into its inactive form 5’-GMP, thereby terminating the </w:t>
      </w:r>
      <w:proofErr w:type="spellStart"/>
      <w:r>
        <w:rPr>
          <w:rFonts w:ascii="Times New Roman" w:hAnsi="Times New Roman"/>
          <w:sz w:val="24"/>
          <w:szCs w:val="24"/>
        </w:rPr>
        <w:t>vasodilatory</w:t>
      </w:r>
      <w:proofErr w:type="spellEnd"/>
      <w:r>
        <w:rPr>
          <w:rFonts w:ascii="Times New Roman" w:hAnsi="Times New Roman"/>
          <w:sz w:val="24"/>
          <w:szCs w:val="24"/>
        </w:rPr>
        <w:t xml:space="preserve"> signal. Overexpression or heightened activity of PDE5 reduces cGMP bioavailability, resulting in sustained </w:t>
      </w:r>
      <w:proofErr w:type="spellStart"/>
      <w:r>
        <w:rPr>
          <w:rFonts w:ascii="Times New Roman" w:hAnsi="Times New Roman"/>
          <w:sz w:val="24"/>
          <w:szCs w:val="24"/>
        </w:rPr>
        <w:t>cavernosal</w:t>
      </w:r>
      <w:proofErr w:type="spellEnd"/>
      <w:r>
        <w:rPr>
          <w:rFonts w:ascii="Times New Roman" w:hAnsi="Times New Roman"/>
          <w:sz w:val="24"/>
          <w:szCs w:val="24"/>
        </w:rPr>
        <w:t xml:space="preserve"> contraction and difficulty maintaining an erection (</w:t>
      </w:r>
      <w:proofErr w:type="spellStart"/>
      <w:r>
        <w:rPr>
          <w:rFonts w:ascii="Times New Roman" w:hAnsi="Times New Roman"/>
          <w:sz w:val="24"/>
          <w:szCs w:val="24"/>
        </w:rPr>
        <w:t>Zachariou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The pharmacological inhibition of PDE5 maintains elevated cGMP levels in penile tissue, promoting prolonged smooth muscle relaxation and improved erectile function. This mechanism underlies the clinical utility of PDE5 inhibitors, such as sildenafil, </w:t>
      </w:r>
      <w:proofErr w:type="spellStart"/>
      <w:r>
        <w:rPr>
          <w:rFonts w:ascii="Times New Roman" w:hAnsi="Times New Roman"/>
          <w:sz w:val="24"/>
          <w:szCs w:val="24"/>
        </w:rPr>
        <w:t>tadalafil</w:t>
      </w:r>
      <w:proofErr w:type="spellEnd"/>
      <w:r>
        <w:rPr>
          <w:rFonts w:ascii="Times New Roman" w:hAnsi="Times New Roman"/>
          <w:sz w:val="24"/>
          <w:szCs w:val="24"/>
        </w:rPr>
        <w:t xml:space="preserve">, and </w:t>
      </w:r>
      <w:proofErr w:type="spellStart"/>
      <w:r>
        <w:rPr>
          <w:rFonts w:ascii="Times New Roman" w:hAnsi="Times New Roman"/>
          <w:sz w:val="24"/>
          <w:szCs w:val="24"/>
        </w:rPr>
        <w:t>vardenafil</w:t>
      </w:r>
      <w:proofErr w:type="spellEnd"/>
      <w:r>
        <w:rPr>
          <w:rFonts w:ascii="Times New Roman" w:hAnsi="Times New Roman"/>
          <w:sz w:val="24"/>
          <w:szCs w:val="24"/>
        </w:rPr>
        <w:t>, which have revolutionized the treatment of erectile dysfunction (Nik-</w:t>
      </w:r>
      <w:proofErr w:type="spellStart"/>
      <w:r>
        <w:rPr>
          <w:rFonts w:ascii="Times New Roman" w:hAnsi="Times New Roman"/>
          <w:sz w:val="24"/>
          <w:szCs w:val="24"/>
        </w:rPr>
        <w:t>Ahd</w:t>
      </w:r>
      <w:proofErr w:type="spellEnd"/>
      <w:r>
        <w:rPr>
          <w:rFonts w:ascii="Times New Roman" w:hAnsi="Times New Roman"/>
          <w:sz w:val="24"/>
          <w:szCs w:val="24"/>
        </w:rPr>
        <w:t xml:space="preserve"> &amp; </w:t>
      </w:r>
      <w:proofErr w:type="spellStart"/>
      <w:r>
        <w:rPr>
          <w:rFonts w:ascii="Times New Roman" w:hAnsi="Times New Roman"/>
          <w:sz w:val="24"/>
          <w:szCs w:val="24"/>
        </w:rPr>
        <w:t>Shindel</w:t>
      </w:r>
      <w:proofErr w:type="spellEnd"/>
      <w:r>
        <w:rPr>
          <w:rFonts w:ascii="Times New Roman" w:hAnsi="Times New Roman"/>
          <w:sz w:val="24"/>
          <w:szCs w:val="24"/>
        </w:rPr>
        <w:t>, 2022).</w:t>
      </w:r>
    </w:p>
    <w:p w14:paraId="65171A7B"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Beyond erectile tissue, PDE5 is expressed in other vascular beds, and its dysregulation has been implicated in systemic vascular diseases, including pulmonary hypertension and diabetic </w:t>
      </w:r>
      <w:proofErr w:type="spellStart"/>
      <w:r>
        <w:rPr>
          <w:rFonts w:ascii="Times New Roman" w:hAnsi="Times New Roman"/>
          <w:sz w:val="24"/>
          <w:szCs w:val="24"/>
        </w:rPr>
        <w:t>vasculopathies</w:t>
      </w:r>
      <w:proofErr w:type="spellEnd"/>
      <w:r>
        <w:rPr>
          <w:rFonts w:ascii="Times New Roman" w:hAnsi="Times New Roman"/>
          <w:sz w:val="24"/>
          <w:szCs w:val="24"/>
        </w:rPr>
        <w:t>. These associations emphasize the broader physiological significance of the NO–cGMP–PDE5 axis (</w:t>
      </w:r>
      <w:proofErr w:type="spellStart"/>
      <w:r>
        <w:rPr>
          <w:rFonts w:ascii="Times New Roman" w:hAnsi="Times New Roman"/>
          <w:sz w:val="24"/>
          <w:szCs w:val="24"/>
        </w:rPr>
        <w:t>Campolo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Moreover, recent findings suggest that certain pathological conditions such as diabetes and endothelial dysfunction upregulate PDE5 expression, potentially contributing to treatment resistance among ED patients (</w:t>
      </w:r>
      <w:proofErr w:type="spellStart"/>
      <w:r>
        <w:rPr>
          <w:rFonts w:ascii="Times New Roman" w:hAnsi="Times New Roman"/>
          <w:sz w:val="24"/>
          <w:szCs w:val="24"/>
        </w:rPr>
        <w:t>Crescioli</w:t>
      </w:r>
      <w:proofErr w:type="spellEnd"/>
      <w:r>
        <w:rPr>
          <w:rFonts w:ascii="Times New Roman" w:hAnsi="Times New Roman"/>
          <w:sz w:val="24"/>
          <w:szCs w:val="24"/>
        </w:rPr>
        <w:t xml:space="preserve"> &amp; </w:t>
      </w:r>
      <w:proofErr w:type="spellStart"/>
      <w:r>
        <w:rPr>
          <w:rFonts w:ascii="Times New Roman" w:hAnsi="Times New Roman"/>
          <w:sz w:val="24"/>
          <w:szCs w:val="24"/>
        </w:rPr>
        <w:t>Paronetto</w:t>
      </w:r>
      <w:proofErr w:type="spellEnd"/>
      <w:r>
        <w:rPr>
          <w:rFonts w:ascii="Times New Roman" w:hAnsi="Times New Roman"/>
          <w:sz w:val="24"/>
          <w:szCs w:val="24"/>
        </w:rPr>
        <w:t>, 2024).</w:t>
      </w:r>
    </w:p>
    <w:p w14:paraId="425FBC2C"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Emerging research also points to the therapeutic versatility of PDE5 inhibitors beyond urology. Their </w:t>
      </w:r>
      <w:proofErr w:type="spellStart"/>
      <w:r>
        <w:rPr>
          <w:rFonts w:ascii="Times New Roman" w:hAnsi="Times New Roman"/>
          <w:sz w:val="24"/>
          <w:szCs w:val="24"/>
        </w:rPr>
        <w:t>antioxidative</w:t>
      </w:r>
      <w:proofErr w:type="spellEnd"/>
      <w:r>
        <w:rPr>
          <w:rFonts w:ascii="Times New Roman" w:hAnsi="Times New Roman"/>
          <w:sz w:val="24"/>
          <w:szCs w:val="24"/>
        </w:rPr>
        <w:t>, anti-inflammatory, and proangiogenic effects have shown potential in the management of benign prostatic hyperplasia, cardiovascular diseases, and even certain neurodegenerative conditions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Zachariou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However, long-term safety, drug interactions, and individual variations in response remain areas requiring continued investigation.</w:t>
      </w:r>
    </w:p>
    <w:p w14:paraId="6DC2B581"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In the context of paroxetine-induced erectile dysfunction, PDE5 inhibition may offer a potential strategy to counter the SSRI-induced suppression of NO signaling. Since SSRIs like paroxetine </w:t>
      </w:r>
      <w:proofErr w:type="spellStart"/>
      <w:r>
        <w:rPr>
          <w:rFonts w:ascii="Times New Roman" w:hAnsi="Times New Roman"/>
          <w:sz w:val="24"/>
          <w:szCs w:val="24"/>
        </w:rPr>
        <w:t>downregulate</w:t>
      </w:r>
      <w:proofErr w:type="spellEnd"/>
      <w:r>
        <w:rPr>
          <w:rFonts w:ascii="Times New Roman" w:hAnsi="Times New Roman"/>
          <w:sz w:val="24"/>
          <w:szCs w:val="24"/>
        </w:rPr>
        <w:t xml:space="preserve"> NOS activity and testosterone levels, which in turn lowers cGMP synthesis, restoring cGMP via PDE5 blockade may help normalize erectile response (Ismail &amp; El-</w:t>
      </w:r>
      <w:proofErr w:type="spellStart"/>
      <w:r>
        <w:rPr>
          <w:rFonts w:ascii="Times New Roman" w:hAnsi="Times New Roman"/>
          <w:sz w:val="24"/>
          <w:szCs w:val="24"/>
        </w:rPr>
        <w:t>Sakka</w:t>
      </w:r>
      <w:proofErr w:type="spellEnd"/>
      <w:r>
        <w:rPr>
          <w:rFonts w:ascii="Times New Roman" w:hAnsi="Times New Roman"/>
          <w:sz w:val="24"/>
          <w:szCs w:val="24"/>
        </w:rPr>
        <w:t xml:space="preserve">, 2024). </w:t>
      </w:r>
    </w:p>
    <w:p w14:paraId="61BA07AD" w14:textId="77777777" w:rsidR="00714D18" w:rsidRDefault="006E5117">
      <w:pPr>
        <w:pStyle w:val="Heading2"/>
        <w:spacing w:line="240" w:lineRule="auto"/>
      </w:pPr>
      <w:bookmarkStart w:id="19" w:name="_Toc14250"/>
      <w:r>
        <w:t>2.3.2 Arginase</w:t>
      </w:r>
      <w:bookmarkEnd w:id="19"/>
    </w:p>
    <w:p w14:paraId="38C574C1"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Arginase is a manganese-containing enzyme that catalyzes the hydrolysis of L-arginine into urea and ornithine. Although this reaction is part of the urea cycle in the liver, arginase is also expressed in </w:t>
      </w:r>
      <w:proofErr w:type="spellStart"/>
      <w:r>
        <w:rPr>
          <w:rFonts w:ascii="Times New Roman" w:hAnsi="Times New Roman"/>
          <w:sz w:val="24"/>
          <w:szCs w:val="24"/>
        </w:rPr>
        <w:t>extrahepatic</w:t>
      </w:r>
      <w:proofErr w:type="spellEnd"/>
      <w:r>
        <w:rPr>
          <w:rFonts w:ascii="Times New Roman" w:hAnsi="Times New Roman"/>
          <w:sz w:val="24"/>
          <w:szCs w:val="24"/>
        </w:rPr>
        <w:t xml:space="preserve"> tissues, including the penile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where it has significant implications for erectile physiology. Importantly, L-arginine is a shared substrate for both arginase and nitric oxide synthase (NOS), the latter of which converts L-arginine to nitric oxide (NO), a critical mediator of penile erection. Therefore, increased arginase activity can competitively reduce the availability of L-arginine for NO synthesis, thereby impairing endothelial function and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relaxation (</w:t>
      </w:r>
      <w:proofErr w:type="spellStart"/>
      <w:r>
        <w:rPr>
          <w:rFonts w:ascii="Times New Roman" w:hAnsi="Times New Roman"/>
          <w:sz w:val="24"/>
          <w:szCs w:val="24"/>
        </w:rPr>
        <w:t>Sağır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0A1CE217" w14:textId="77777777" w:rsidR="00714D18" w:rsidRDefault="00714D18">
      <w:pPr>
        <w:spacing w:line="480" w:lineRule="auto"/>
        <w:jc w:val="both"/>
        <w:rPr>
          <w:rFonts w:ascii="Times New Roman" w:hAnsi="Times New Roman"/>
          <w:sz w:val="24"/>
          <w:szCs w:val="24"/>
        </w:rPr>
      </w:pPr>
    </w:p>
    <w:p w14:paraId="111A34E5"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In the context of erectile dysfunction (ED), elevated arginase activity has been observed in several pathological states, including diabetes, hypertension, and aging. This </w:t>
      </w:r>
      <w:proofErr w:type="spellStart"/>
      <w:r>
        <w:rPr>
          <w:rFonts w:ascii="Times New Roman" w:hAnsi="Times New Roman"/>
          <w:sz w:val="24"/>
          <w:szCs w:val="24"/>
        </w:rPr>
        <w:t>upregulation</w:t>
      </w:r>
      <w:proofErr w:type="spellEnd"/>
      <w:r>
        <w:rPr>
          <w:rFonts w:ascii="Times New Roman" w:hAnsi="Times New Roman"/>
          <w:sz w:val="24"/>
          <w:szCs w:val="24"/>
        </w:rPr>
        <w:t xml:space="preserve"> leads to reduced NO production, endothelial dysfunction, and diminished vasodilation of the penile arteries (Zhu </w:t>
      </w:r>
      <w:r>
        <w:rPr>
          <w:rFonts w:ascii="Times New Roman" w:hAnsi="Times New Roman"/>
          <w:i/>
          <w:iCs/>
          <w:sz w:val="24"/>
          <w:szCs w:val="24"/>
        </w:rPr>
        <w:t>et al.,</w:t>
      </w:r>
      <w:r>
        <w:rPr>
          <w:rFonts w:ascii="Times New Roman" w:hAnsi="Times New Roman"/>
          <w:sz w:val="24"/>
          <w:szCs w:val="24"/>
        </w:rPr>
        <w:t xml:space="preserve"> 2025). Experimental models have demonstrated that inhibition of arginase activity restores L-arginine availability, enhances NO bioavailability, and improves erectile response in both animal and human studies (Wang </w:t>
      </w:r>
      <w:r>
        <w:rPr>
          <w:rFonts w:ascii="Times New Roman" w:hAnsi="Times New Roman"/>
          <w:i/>
          <w:iCs/>
          <w:sz w:val="24"/>
          <w:szCs w:val="24"/>
        </w:rPr>
        <w:t>et al.,</w:t>
      </w:r>
      <w:r>
        <w:rPr>
          <w:rFonts w:ascii="Times New Roman" w:hAnsi="Times New Roman"/>
          <w:sz w:val="24"/>
          <w:szCs w:val="24"/>
        </w:rPr>
        <w:t xml:space="preserve"> 2025). This indicates that arginase acts as a negative regulator of NO signaling in penile tissue, with direct consequences on erectile capacity.</w:t>
      </w:r>
    </w:p>
    <w:p w14:paraId="356BF2EF"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Arginase exists in two isoforms—arginase I, which is cytosolic, and arginase II, which is mitochondrial. Both isoforms are expressed in </w:t>
      </w:r>
      <w:proofErr w:type="spellStart"/>
      <w:r>
        <w:rPr>
          <w:rFonts w:ascii="Times New Roman" w:hAnsi="Times New Roman"/>
          <w:sz w:val="24"/>
          <w:szCs w:val="24"/>
        </w:rPr>
        <w:t>cavernosal</w:t>
      </w:r>
      <w:proofErr w:type="spellEnd"/>
      <w:r>
        <w:rPr>
          <w:rFonts w:ascii="Times New Roman" w:hAnsi="Times New Roman"/>
          <w:sz w:val="24"/>
          <w:szCs w:val="24"/>
        </w:rPr>
        <w:t xml:space="preserve"> tissue, with arginase II particularly implicated in age-related and diabetes-induced erectile dysfunction (</w:t>
      </w:r>
      <w:proofErr w:type="spellStart"/>
      <w:r>
        <w:rPr>
          <w:rFonts w:ascii="Times New Roman" w:hAnsi="Times New Roman"/>
          <w:sz w:val="24"/>
          <w:szCs w:val="24"/>
        </w:rPr>
        <w:t>Sangiorgi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Increased expression of arginase II has been shown to impair endothelial NOS activity and promote oxidative stress, leading to fibrosis and structural deterioration of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2024). Notably, this mechanism overlaps with the pathways influenced by phosphodiesterase-5 (PDE5), underscoring the interconnectedness of NO bioavailability, oxidative injury, and enzymatic regulation in the pathogenesis of ED.</w:t>
      </w:r>
    </w:p>
    <w:p w14:paraId="09538814"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Pharmacological agents or plant-derived compounds that inhibit arginase activity have shown promise in restoring erectile function. For instance, certain polyphenols and flavonoids found in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and other medicinal plants possess arginase-inhibitory effects, which may account for their </w:t>
      </w:r>
      <w:proofErr w:type="spellStart"/>
      <w:r>
        <w:rPr>
          <w:rFonts w:ascii="Times New Roman" w:hAnsi="Times New Roman"/>
          <w:sz w:val="24"/>
          <w:szCs w:val="24"/>
        </w:rPr>
        <w:t>vasodilatory</w:t>
      </w:r>
      <w:proofErr w:type="spellEnd"/>
      <w:r>
        <w:rPr>
          <w:rFonts w:ascii="Times New Roman" w:hAnsi="Times New Roman"/>
          <w:sz w:val="24"/>
          <w:szCs w:val="24"/>
        </w:rPr>
        <w:t xml:space="preserve"> and aphrodisiac properties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Targeting arginase not only boosts NO levels but also limits pro-fibrotic and inflammatory pathways, making it a compelling therapeutic target for drug development and </w:t>
      </w:r>
      <w:proofErr w:type="spellStart"/>
      <w:r>
        <w:rPr>
          <w:rFonts w:ascii="Times New Roman" w:hAnsi="Times New Roman"/>
          <w:sz w:val="24"/>
          <w:szCs w:val="24"/>
        </w:rPr>
        <w:t>phytotherapy</w:t>
      </w:r>
      <w:proofErr w:type="spellEnd"/>
      <w:r>
        <w:rPr>
          <w:rFonts w:ascii="Times New Roman" w:hAnsi="Times New Roman"/>
          <w:sz w:val="24"/>
          <w:szCs w:val="24"/>
        </w:rPr>
        <w:t xml:space="preserve"> in ED management.</w:t>
      </w:r>
    </w:p>
    <w:p w14:paraId="64982528" w14:textId="77777777" w:rsidR="00714D18" w:rsidRDefault="006E5117">
      <w:pPr>
        <w:pStyle w:val="Heading2"/>
        <w:spacing w:line="240" w:lineRule="auto"/>
      </w:pPr>
      <w:bookmarkStart w:id="20" w:name="_Toc2193"/>
      <w:r>
        <w:t>2.3.3 Nitric oxide</w:t>
      </w:r>
      <w:bookmarkEnd w:id="20"/>
      <w:r>
        <w:t xml:space="preserve"> </w:t>
      </w:r>
    </w:p>
    <w:p w14:paraId="3BD64AB8"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Nitric oxide (NO) is a pivotal signaling molecule in the physiology of penile erection, playing a central role in smooth muscle relaxation within the corpus </w:t>
      </w:r>
      <w:proofErr w:type="spellStart"/>
      <w:r>
        <w:rPr>
          <w:rFonts w:ascii="Times New Roman" w:hAnsi="Times New Roman"/>
          <w:sz w:val="24"/>
          <w:szCs w:val="24"/>
        </w:rPr>
        <w:t>cavernosum</w:t>
      </w:r>
      <w:proofErr w:type="spellEnd"/>
      <w:r>
        <w:rPr>
          <w:rFonts w:ascii="Times New Roman" w:hAnsi="Times New Roman"/>
          <w:sz w:val="24"/>
          <w:szCs w:val="24"/>
        </w:rPr>
        <w:t>. It is synthesized from the amino acid L-arginine by nitric oxide synthase (NOS), primarily the neuronal (</w:t>
      </w:r>
      <w:proofErr w:type="spellStart"/>
      <w:r>
        <w:rPr>
          <w:rFonts w:ascii="Times New Roman" w:hAnsi="Times New Roman"/>
          <w:sz w:val="24"/>
          <w:szCs w:val="24"/>
        </w:rPr>
        <w:t>nNOS</w:t>
      </w:r>
      <w:proofErr w:type="spellEnd"/>
      <w:r>
        <w:rPr>
          <w:rFonts w:ascii="Times New Roman" w:hAnsi="Times New Roman"/>
          <w:sz w:val="24"/>
          <w:szCs w:val="24"/>
        </w:rPr>
        <w:t>) and endothelial (</w:t>
      </w:r>
      <w:proofErr w:type="spellStart"/>
      <w:r>
        <w:rPr>
          <w:rFonts w:ascii="Times New Roman" w:hAnsi="Times New Roman"/>
          <w:sz w:val="24"/>
          <w:szCs w:val="24"/>
        </w:rPr>
        <w:t>eNOS</w:t>
      </w:r>
      <w:proofErr w:type="spellEnd"/>
      <w:r>
        <w:rPr>
          <w:rFonts w:ascii="Times New Roman" w:hAnsi="Times New Roman"/>
          <w:sz w:val="24"/>
          <w:szCs w:val="24"/>
        </w:rPr>
        <w:t xml:space="preserve">) isoforms. Upon sexual stimulation, NO is released from </w:t>
      </w:r>
      <w:proofErr w:type="spellStart"/>
      <w:r>
        <w:rPr>
          <w:rFonts w:ascii="Times New Roman" w:hAnsi="Times New Roman"/>
          <w:sz w:val="24"/>
          <w:szCs w:val="24"/>
        </w:rPr>
        <w:t>nonadrenergic</w:t>
      </w:r>
      <w:proofErr w:type="spellEnd"/>
      <w:r>
        <w:rPr>
          <w:rFonts w:ascii="Times New Roman" w:hAnsi="Times New Roman"/>
          <w:sz w:val="24"/>
          <w:szCs w:val="24"/>
        </w:rPr>
        <w:t xml:space="preserve">, </w:t>
      </w:r>
      <w:proofErr w:type="spellStart"/>
      <w:r>
        <w:rPr>
          <w:rFonts w:ascii="Times New Roman" w:hAnsi="Times New Roman"/>
          <w:sz w:val="24"/>
          <w:szCs w:val="24"/>
        </w:rPr>
        <w:t>noncholinergic</w:t>
      </w:r>
      <w:proofErr w:type="spellEnd"/>
      <w:r>
        <w:rPr>
          <w:rFonts w:ascii="Times New Roman" w:hAnsi="Times New Roman"/>
          <w:sz w:val="24"/>
          <w:szCs w:val="24"/>
        </w:rPr>
        <w:t xml:space="preserve"> nerve terminals and endothelial cells into the smooth muscle tissue of the penis. This triggers the activation of soluble guanylate cyclase (</w:t>
      </w:r>
      <w:proofErr w:type="spellStart"/>
      <w:r>
        <w:rPr>
          <w:rFonts w:ascii="Times New Roman" w:hAnsi="Times New Roman"/>
          <w:sz w:val="24"/>
          <w:szCs w:val="24"/>
        </w:rPr>
        <w:t>sGC</w:t>
      </w:r>
      <w:proofErr w:type="spellEnd"/>
      <w:r>
        <w:rPr>
          <w:rFonts w:ascii="Times New Roman" w:hAnsi="Times New Roman"/>
          <w:sz w:val="24"/>
          <w:szCs w:val="24"/>
        </w:rPr>
        <w:t>), which catalyzes the conversion of guanosine triphosphate (GTP) to cyclic guanosine monophosphate (cGMP), a key second messenger that mediates smooth muscle relaxation and vasodilation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2024).</w:t>
      </w:r>
    </w:p>
    <w:p w14:paraId="26FD50DC"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The increase in cGMP levels reduces intracellular calcium concentrations, resulting in the relaxation of the trabecular smooth muscles and dilation of penile arterioles. This physiological cascade facilitates rapid blood influx into the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and compression of </w:t>
      </w:r>
      <w:proofErr w:type="spellStart"/>
      <w:r>
        <w:rPr>
          <w:rFonts w:ascii="Times New Roman" w:hAnsi="Times New Roman"/>
          <w:sz w:val="24"/>
          <w:szCs w:val="24"/>
        </w:rPr>
        <w:t>subtunical</w:t>
      </w:r>
      <w:proofErr w:type="spellEnd"/>
      <w:r>
        <w:rPr>
          <w:rFonts w:ascii="Times New Roman" w:hAnsi="Times New Roman"/>
          <w:sz w:val="24"/>
          <w:szCs w:val="24"/>
        </w:rPr>
        <w:t xml:space="preserve"> </w:t>
      </w:r>
      <w:proofErr w:type="spellStart"/>
      <w:r>
        <w:rPr>
          <w:rFonts w:ascii="Times New Roman" w:hAnsi="Times New Roman"/>
          <w:sz w:val="24"/>
          <w:szCs w:val="24"/>
        </w:rPr>
        <w:t>venules</w:t>
      </w:r>
      <w:proofErr w:type="spellEnd"/>
      <w:r>
        <w:rPr>
          <w:rFonts w:ascii="Times New Roman" w:hAnsi="Times New Roman"/>
          <w:sz w:val="24"/>
          <w:szCs w:val="24"/>
        </w:rPr>
        <w:t xml:space="preserve">, thereby sustaining erection (Wang &amp; Chung, 2025;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xml:space="preserve">, 2024). A deficiency in NO bioavailability, whether due to reduced NOS activity, substrate limitation (L-arginine), or increased oxidative degradation, leads to insufficient smooth muscle relaxation and subsequent erectile dysfunction (Zhu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Sangiorgi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w:t>
      </w:r>
    </w:p>
    <w:p w14:paraId="5F13BD7E"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Multiple pathophysiological conditions including diabetes, atherosclerosis, hypertension, and aging are associated with diminished NO signaling. In these states, endothelial dysfunction impairs </w:t>
      </w:r>
      <w:proofErr w:type="spellStart"/>
      <w:r>
        <w:rPr>
          <w:rFonts w:ascii="Times New Roman" w:hAnsi="Times New Roman"/>
          <w:sz w:val="24"/>
          <w:szCs w:val="24"/>
        </w:rPr>
        <w:t>eNOS</w:t>
      </w:r>
      <w:proofErr w:type="spellEnd"/>
      <w:r>
        <w:rPr>
          <w:rFonts w:ascii="Times New Roman" w:hAnsi="Times New Roman"/>
          <w:sz w:val="24"/>
          <w:szCs w:val="24"/>
        </w:rPr>
        <w:t xml:space="preserve"> function, while elevated reactive oxygen species (ROS) such as superoxide anions rapidly scavenge NO, forming </w:t>
      </w:r>
      <w:proofErr w:type="spellStart"/>
      <w:r>
        <w:rPr>
          <w:rFonts w:ascii="Times New Roman" w:hAnsi="Times New Roman"/>
          <w:sz w:val="24"/>
          <w:szCs w:val="24"/>
        </w:rPr>
        <w:t>peroxynitrite</w:t>
      </w:r>
      <w:proofErr w:type="spellEnd"/>
      <w:r>
        <w:rPr>
          <w:rFonts w:ascii="Times New Roman" w:hAnsi="Times New Roman"/>
          <w:sz w:val="24"/>
          <w:szCs w:val="24"/>
        </w:rPr>
        <w:t>—a reactive nitrogen species that further exacerbates vascular injury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2024). Consequently, NO deficiency is now recognized as one of the core molecular mechanisms underlying both organic and psychogenic forms of erectile dysfunction.</w:t>
      </w:r>
    </w:p>
    <w:p w14:paraId="1359861C"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Furthermore, the activity of NOS is tightly regulated by cofactors and intracellular conditions. For example, tetrahydrobiopterin (BH4) is a crucial NOS cofactor, and its depletion leads to uncoupling of NOS, resulting in the generation of superoxide instead of NO. In addition, asymmetric </w:t>
      </w:r>
      <w:proofErr w:type="spellStart"/>
      <w:r>
        <w:rPr>
          <w:rFonts w:ascii="Times New Roman" w:hAnsi="Times New Roman"/>
          <w:sz w:val="24"/>
          <w:szCs w:val="24"/>
        </w:rPr>
        <w:t>dimethylarginine</w:t>
      </w:r>
      <w:proofErr w:type="spellEnd"/>
      <w:r>
        <w:rPr>
          <w:rFonts w:ascii="Times New Roman" w:hAnsi="Times New Roman"/>
          <w:sz w:val="24"/>
          <w:szCs w:val="24"/>
        </w:rPr>
        <w:t xml:space="preserve"> (ADMA), an endogenous inhibitor of NOS, is elevated in many disease states and negatively impacts NO synthesis (</w:t>
      </w:r>
      <w:proofErr w:type="spellStart"/>
      <w:r>
        <w:rPr>
          <w:rFonts w:ascii="Times New Roman" w:hAnsi="Times New Roman"/>
          <w:sz w:val="24"/>
          <w:szCs w:val="24"/>
        </w:rPr>
        <w:t>Tarcan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2022). These biochemical disruptions compromise </w:t>
      </w:r>
      <w:proofErr w:type="spellStart"/>
      <w:r>
        <w:rPr>
          <w:rFonts w:ascii="Times New Roman" w:hAnsi="Times New Roman"/>
          <w:sz w:val="24"/>
          <w:szCs w:val="24"/>
        </w:rPr>
        <w:t>cavernosal</w:t>
      </w:r>
      <w:proofErr w:type="spellEnd"/>
      <w:r>
        <w:rPr>
          <w:rFonts w:ascii="Times New Roman" w:hAnsi="Times New Roman"/>
          <w:sz w:val="24"/>
          <w:szCs w:val="24"/>
        </w:rPr>
        <w:t xml:space="preserve"> vasodilation and are linked with reduced responsiveness to phosphodiesterase-5 inhibitors (PDE5is).</w:t>
      </w:r>
    </w:p>
    <w:p w14:paraId="6C7A92E5"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Therapeutic strategies targeting the NO pathway, such as L-arginine supplementation, NO donors, and herbal agents with NOS-modulating properties, are being actively explored for ED treatment. Recent studies suggest that combining L-arginine with antioxidants or PDE5 inhibitors may synergistically enhance erectile function, particularly in patients with endothelial dysfunction or SSRI-induced ED (Tian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xml:space="preserve">, 2024). </w:t>
      </w:r>
    </w:p>
    <w:p w14:paraId="35625A45" w14:textId="77777777" w:rsidR="00714D18" w:rsidRDefault="006E5117">
      <w:pPr>
        <w:pStyle w:val="Heading2"/>
        <w:spacing w:line="240" w:lineRule="auto"/>
      </w:pPr>
      <w:bookmarkStart w:id="21" w:name="_Toc3175"/>
      <w:r>
        <w:t>2.3.4 Creatinine Kinase</w:t>
      </w:r>
      <w:bookmarkEnd w:id="21"/>
    </w:p>
    <w:p w14:paraId="192DE54E" w14:textId="77777777" w:rsidR="00714D18" w:rsidRDefault="006E5117">
      <w:pPr>
        <w:spacing w:line="480" w:lineRule="auto"/>
        <w:jc w:val="both"/>
        <w:rPr>
          <w:rFonts w:ascii="Times New Roman" w:hAnsi="Times New Roman"/>
          <w:sz w:val="24"/>
          <w:szCs w:val="24"/>
        </w:rPr>
      </w:pPr>
      <w:proofErr w:type="spellStart"/>
      <w:r>
        <w:rPr>
          <w:rFonts w:ascii="Times New Roman" w:hAnsi="Times New Roman"/>
          <w:sz w:val="24"/>
          <w:szCs w:val="24"/>
        </w:rPr>
        <w:t>Creatine</w:t>
      </w:r>
      <w:proofErr w:type="spellEnd"/>
      <w:r>
        <w:rPr>
          <w:rFonts w:ascii="Times New Roman" w:hAnsi="Times New Roman"/>
          <w:sz w:val="24"/>
          <w:szCs w:val="24"/>
        </w:rPr>
        <w:t xml:space="preserve"> kinase (CK) is a critical enzyme involved in cellular energy homeostasis, catalyzing the reversible conversion of </w:t>
      </w:r>
      <w:proofErr w:type="spellStart"/>
      <w:r>
        <w:rPr>
          <w:rFonts w:ascii="Times New Roman" w:hAnsi="Times New Roman"/>
          <w:sz w:val="24"/>
          <w:szCs w:val="24"/>
        </w:rPr>
        <w:t>creatine</w:t>
      </w:r>
      <w:proofErr w:type="spellEnd"/>
      <w:r>
        <w:rPr>
          <w:rFonts w:ascii="Times New Roman" w:hAnsi="Times New Roman"/>
          <w:sz w:val="24"/>
          <w:szCs w:val="24"/>
        </w:rPr>
        <w:t xml:space="preserve"> and adenosine triphosphate (ATP) into phosphocreatine and adenosine diphosphate (ADP). This reaction forms a vital energy reservoir in tissues with high and fluctuating energy demands, including the smooth muscles of the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(Kim </w:t>
      </w:r>
      <w:r>
        <w:rPr>
          <w:rFonts w:ascii="Times New Roman" w:hAnsi="Times New Roman"/>
          <w:i/>
          <w:iCs/>
          <w:sz w:val="24"/>
          <w:szCs w:val="24"/>
        </w:rPr>
        <w:t>et al.,</w:t>
      </w:r>
      <w:r>
        <w:rPr>
          <w:rFonts w:ascii="Times New Roman" w:hAnsi="Times New Roman"/>
          <w:sz w:val="24"/>
          <w:szCs w:val="24"/>
        </w:rPr>
        <w:t xml:space="preserve"> 2001; </w:t>
      </w:r>
      <w:proofErr w:type="spellStart"/>
      <w:r>
        <w:rPr>
          <w:rFonts w:ascii="Times New Roman" w:hAnsi="Times New Roman"/>
          <w:sz w:val="24"/>
          <w:szCs w:val="24"/>
        </w:rPr>
        <w:t>Salehiyeh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In the erectile process, CK contributes to the rapid regeneration of ATP, enabling sustained contraction and relaxation of smooth muscle cells during penile tumescence and </w:t>
      </w:r>
      <w:proofErr w:type="spellStart"/>
      <w:r>
        <w:rPr>
          <w:rFonts w:ascii="Times New Roman" w:hAnsi="Times New Roman"/>
          <w:sz w:val="24"/>
          <w:szCs w:val="24"/>
        </w:rPr>
        <w:t>detumescence</w:t>
      </w:r>
      <w:proofErr w:type="spellEnd"/>
      <w:r>
        <w:rPr>
          <w:rFonts w:ascii="Times New Roman" w:hAnsi="Times New Roman"/>
          <w:sz w:val="24"/>
          <w:szCs w:val="24"/>
        </w:rPr>
        <w:t>.</w:t>
      </w:r>
    </w:p>
    <w:p w14:paraId="10C2ABD1"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In erectile tissues, especially during erection, the energy requirement is elevated due to the mechanical and biochemical workload of vasodilation and smooth muscle modulation. CK is localized in penile smooth muscle, where it ensures an immediate supply of high-energy phosphates for myosin ATPase activity and calcium reuptake by sarcoplasmic reticulum </w:t>
      </w:r>
      <w:proofErr w:type="spellStart"/>
      <w:r>
        <w:rPr>
          <w:rFonts w:ascii="Times New Roman" w:hAnsi="Times New Roman"/>
          <w:sz w:val="24"/>
          <w:szCs w:val="24"/>
        </w:rPr>
        <w:t>ATPases</w:t>
      </w:r>
      <w:proofErr w:type="spellEnd"/>
      <w:r>
        <w:rPr>
          <w:rFonts w:ascii="Times New Roman" w:hAnsi="Times New Roman"/>
          <w:sz w:val="24"/>
          <w:szCs w:val="24"/>
        </w:rPr>
        <w:t xml:space="preserve">—essential for smooth muscle contraction and relaxation cycles (Lee </w:t>
      </w:r>
      <w:r>
        <w:rPr>
          <w:rFonts w:ascii="Times New Roman" w:hAnsi="Times New Roman"/>
          <w:i/>
          <w:iCs/>
          <w:sz w:val="24"/>
          <w:szCs w:val="24"/>
        </w:rPr>
        <w:t>et al.,</w:t>
      </w:r>
      <w:r>
        <w:rPr>
          <w:rFonts w:ascii="Times New Roman" w:hAnsi="Times New Roman"/>
          <w:sz w:val="24"/>
          <w:szCs w:val="24"/>
        </w:rPr>
        <w:t xml:space="preserve"> 2014; </w:t>
      </w:r>
      <w:proofErr w:type="spellStart"/>
      <w:r>
        <w:rPr>
          <w:rFonts w:ascii="Times New Roman" w:hAnsi="Times New Roman"/>
          <w:sz w:val="24"/>
          <w:szCs w:val="24"/>
        </w:rPr>
        <w:t>Giri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Altered CK activity has been implicated in erectile dysfunction (ED), especially when associated with systemic metabolic disorders like diabetes, which impair ATP synthesis and phosphocreatine buffering (Nguyen </w:t>
      </w:r>
      <w:r>
        <w:rPr>
          <w:rFonts w:ascii="Times New Roman" w:hAnsi="Times New Roman"/>
          <w:i/>
          <w:iCs/>
          <w:sz w:val="24"/>
          <w:szCs w:val="24"/>
        </w:rPr>
        <w:t>et al.,</w:t>
      </w:r>
      <w:r>
        <w:rPr>
          <w:rFonts w:ascii="Times New Roman" w:hAnsi="Times New Roman"/>
          <w:sz w:val="24"/>
          <w:szCs w:val="24"/>
        </w:rPr>
        <w:t xml:space="preserve"> 2024).</w:t>
      </w:r>
    </w:p>
    <w:p w14:paraId="17463989"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Experimental studies demonstrate that CK levels and function are compromised in erectile tissues under oxidative stress and hypoxic conditions, leading to impaired energy metabolism. A study by </w:t>
      </w:r>
      <w:proofErr w:type="spellStart"/>
      <w:r>
        <w:rPr>
          <w:rFonts w:ascii="Times New Roman" w:hAnsi="Times New Roman"/>
          <w:sz w:val="24"/>
          <w:szCs w:val="24"/>
        </w:rPr>
        <w:t>Hersch</w:t>
      </w:r>
      <w:proofErr w:type="spellEnd"/>
      <w:r>
        <w:rPr>
          <w:rFonts w:ascii="Times New Roman" w:hAnsi="Times New Roman"/>
          <w:sz w:val="24"/>
          <w:szCs w:val="24"/>
        </w:rPr>
        <w:t xml:space="preserve"> et al. (2004) showed that hypoxia-induced dysfunction in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tissue was associated with altered CK activity and decreased energy availability. Similarly, reduced CK activity has been linked to diminished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contractility and decreased erectile response in aging or disease states (</w:t>
      </w:r>
      <w:proofErr w:type="spellStart"/>
      <w:r>
        <w:rPr>
          <w:rFonts w:ascii="Times New Roman" w:hAnsi="Times New Roman"/>
          <w:sz w:val="24"/>
          <w:szCs w:val="24"/>
        </w:rPr>
        <w:t>Salehiyeh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7C19F09E" w14:textId="77777777" w:rsidR="00714D18" w:rsidRDefault="006E5117">
      <w:pPr>
        <w:spacing w:line="480" w:lineRule="auto"/>
        <w:jc w:val="both"/>
        <w:rPr>
          <w:rFonts w:ascii="Times New Roman" w:hAnsi="Times New Roman"/>
          <w:b/>
          <w:bCs/>
          <w:sz w:val="24"/>
          <w:szCs w:val="24"/>
        </w:rPr>
      </w:pPr>
      <w:r>
        <w:rPr>
          <w:rFonts w:ascii="Times New Roman" w:hAnsi="Times New Roman"/>
          <w:sz w:val="24"/>
          <w:szCs w:val="24"/>
        </w:rPr>
        <w:t xml:space="preserve">The measurement of CK </w:t>
      </w:r>
      <w:proofErr w:type="spellStart"/>
      <w:r>
        <w:rPr>
          <w:rFonts w:ascii="Times New Roman" w:hAnsi="Times New Roman"/>
          <w:sz w:val="24"/>
          <w:szCs w:val="24"/>
        </w:rPr>
        <w:t>isoenzymes</w:t>
      </w:r>
      <w:proofErr w:type="spellEnd"/>
      <w:r>
        <w:rPr>
          <w:rFonts w:ascii="Times New Roman" w:hAnsi="Times New Roman"/>
          <w:sz w:val="24"/>
          <w:szCs w:val="24"/>
        </w:rPr>
        <w:t xml:space="preserve"> (e.g., CK-MM in muscle) can also serve as a biomarker for muscular integrity and stress in experimental models of ED. For instance, a 2024 study assessing the effect of testosterone-boosting herbal compounds reported improvements in erectile parameters alongside elevated CK levels, suggesting enhanced muscular energy turnover in penile tissue (</w:t>
      </w:r>
      <w:proofErr w:type="spellStart"/>
      <w:r>
        <w:rPr>
          <w:rFonts w:ascii="Times New Roman" w:hAnsi="Times New Roman"/>
          <w:sz w:val="24"/>
          <w:szCs w:val="24"/>
        </w:rPr>
        <w:t>Obalana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
    <w:p w14:paraId="0A30D1EA" w14:textId="77777777" w:rsidR="00714D18" w:rsidRDefault="006E5117">
      <w:pPr>
        <w:pStyle w:val="Heading2"/>
        <w:spacing w:line="240" w:lineRule="auto"/>
      </w:pPr>
      <w:bookmarkStart w:id="22" w:name="_Toc12405"/>
      <w:r>
        <w:t>2.4 Treatment of Erectile Dysfunction</w:t>
      </w:r>
      <w:bookmarkEnd w:id="22"/>
    </w:p>
    <w:p w14:paraId="0DF1C2DF"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The treatment of erectile dysfunction (ED) has evolved significantly over the past two decades, encompassing both pharmacological and non-pharmacological approaches tailored to the patient's etiology, comorbidities, and preferences. The cornerstone of pharmacological therapy remains the use of phosphodiesterase type 5 inhibitors (PDE5is), such as sildenafil, </w:t>
      </w:r>
      <w:proofErr w:type="spellStart"/>
      <w:r>
        <w:rPr>
          <w:rFonts w:ascii="Times New Roman" w:hAnsi="Times New Roman"/>
          <w:sz w:val="24"/>
          <w:szCs w:val="24"/>
        </w:rPr>
        <w:t>tadalafil</w:t>
      </w:r>
      <w:proofErr w:type="spellEnd"/>
      <w:r>
        <w:rPr>
          <w:rFonts w:ascii="Times New Roman" w:hAnsi="Times New Roman"/>
          <w:sz w:val="24"/>
          <w:szCs w:val="24"/>
        </w:rPr>
        <w:t xml:space="preserve">, </w:t>
      </w:r>
      <w:proofErr w:type="spellStart"/>
      <w:r>
        <w:rPr>
          <w:rFonts w:ascii="Times New Roman" w:hAnsi="Times New Roman"/>
          <w:sz w:val="24"/>
          <w:szCs w:val="24"/>
        </w:rPr>
        <w:t>vardenafil</w:t>
      </w:r>
      <w:proofErr w:type="spellEnd"/>
      <w:r>
        <w:rPr>
          <w:rFonts w:ascii="Times New Roman" w:hAnsi="Times New Roman"/>
          <w:sz w:val="24"/>
          <w:szCs w:val="24"/>
        </w:rPr>
        <w:t xml:space="preserve">, and </w:t>
      </w:r>
      <w:proofErr w:type="spellStart"/>
      <w:r>
        <w:rPr>
          <w:rFonts w:ascii="Times New Roman" w:hAnsi="Times New Roman"/>
          <w:sz w:val="24"/>
          <w:szCs w:val="24"/>
        </w:rPr>
        <w:t>avanafil</w:t>
      </w:r>
      <w:proofErr w:type="spellEnd"/>
      <w:r>
        <w:rPr>
          <w:rFonts w:ascii="Times New Roman" w:hAnsi="Times New Roman"/>
          <w:sz w:val="24"/>
          <w:szCs w:val="24"/>
        </w:rPr>
        <w:t xml:space="preserve">. These agents enhance the nitric oxide–cGMP pathway, promoting relaxation of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and improving penile blood flow during sexual stimulation (Nik-</w:t>
      </w:r>
      <w:proofErr w:type="spellStart"/>
      <w:r>
        <w:rPr>
          <w:rFonts w:ascii="Times New Roman" w:hAnsi="Times New Roman"/>
          <w:sz w:val="24"/>
          <w:szCs w:val="24"/>
        </w:rPr>
        <w:t>Ahd</w:t>
      </w:r>
      <w:proofErr w:type="spellEnd"/>
      <w:r>
        <w:rPr>
          <w:rFonts w:ascii="Times New Roman" w:hAnsi="Times New Roman"/>
          <w:sz w:val="24"/>
          <w:szCs w:val="24"/>
        </w:rPr>
        <w:t xml:space="preserve"> &amp; </w:t>
      </w:r>
      <w:proofErr w:type="spellStart"/>
      <w:r>
        <w:rPr>
          <w:rFonts w:ascii="Times New Roman" w:hAnsi="Times New Roman"/>
          <w:sz w:val="24"/>
          <w:szCs w:val="24"/>
        </w:rPr>
        <w:t>Shindel</w:t>
      </w:r>
      <w:proofErr w:type="spellEnd"/>
      <w:r>
        <w:rPr>
          <w:rFonts w:ascii="Times New Roman" w:hAnsi="Times New Roman"/>
          <w:sz w:val="24"/>
          <w:szCs w:val="24"/>
        </w:rPr>
        <w:t xml:space="preserve">, 2022;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PDE5is are effective in approximately 70–80% of patients, although their efficacy may be reduced in individuals with severe endothelial dysfunction, diabetes, or those using SSRIs (Zhu </w:t>
      </w:r>
      <w:r>
        <w:rPr>
          <w:rFonts w:ascii="Times New Roman" w:hAnsi="Times New Roman"/>
          <w:i/>
          <w:iCs/>
          <w:sz w:val="24"/>
          <w:szCs w:val="24"/>
        </w:rPr>
        <w:t>et al.,</w:t>
      </w:r>
      <w:r>
        <w:rPr>
          <w:rFonts w:ascii="Times New Roman" w:hAnsi="Times New Roman"/>
          <w:sz w:val="24"/>
          <w:szCs w:val="24"/>
        </w:rPr>
        <w:t xml:space="preserve"> 2025).</w:t>
      </w:r>
    </w:p>
    <w:p w14:paraId="0ECD95B8"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Testosterone replacement therapy (TRT) is another cornerstone in ED management, particularly in men with confirmed hypogonadism. Low testosterone levels negatively affect libido, penile tissue architecture, and nitric oxide synthase expression. Studies show that TRT improves sexual desire and may enhance responsiveness to PDE5is in men with borderline testosterone levels (</w:t>
      </w:r>
      <w:proofErr w:type="spellStart"/>
      <w:r>
        <w:rPr>
          <w:rFonts w:ascii="Times New Roman" w:hAnsi="Times New Roman"/>
          <w:sz w:val="24"/>
          <w:szCs w:val="24"/>
        </w:rPr>
        <w:t>Paschou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Rastrelli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However, TRT is contraindicated in certain patients, including those with prostate cancer, and must be carefully monitored due to potential adverse effects.</w:t>
      </w:r>
    </w:p>
    <w:p w14:paraId="7FF569DD"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rPr>
        <w:drawing>
          <wp:inline distT="0" distB="0" distL="114300" distR="114300" wp14:anchorId="0E932E79" wp14:editId="3F6A8AFC">
            <wp:extent cx="3484880" cy="3431540"/>
            <wp:effectExtent l="0" t="0" r="1270" b="16510"/>
            <wp:docPr id="3" name="Picture 3" descr="General-mechanism-of-action-of-sildenafil-in-erectile-dysfunction-Sexual-st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al-mechanism-of-action-of-sildenafil-in-erectile-dysfunction-Sexual-stimulation"/>
                    <pic:cNvPicPr>
                      <a:picLocks noChangeAspect="1"/>
                    </pic:cNvPicPr>
                  </pic:nvPicPr>
                  <pic:blipFill>
                    <a:blip r:embed="rId11"/>
                    <a:stretch>
                      <a:fillRect/>
                    </a:stretch>
                  </pic:blipFill>
                  <pic:spPr>
                    <a:xfrm>
                      <a:off x="0" y="0"/>
                      <a:ext cx="3484880" cy="3431540"/>
                    </a:xfrm>
                    <a:prstGeom prst="rect">
                      <a:avLst/>
                    </a:prstGeom>
                  </pic:spPr>
                </pic:pic>
              </a:graphicData>
            </a:graphic>
          </wp:inline>
        </w:drawing>
      </w:r>
    </w:p>
    <w:p w14:paraId="04EB4211"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Figure 2: Treatment of Erectile Dysfunction</w:t>
      </w:r>
    </w:p>
    <w:p w14:paraId="5052468A"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Source; New Approaches in Oncology for Repositioning Drugs: The Case of PDE5 Inhibitor Sildenafil (2025)</w:t>
      </w:r>
    </w:p>
    <w:p w14:paraId="7F68F718"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In parallel with pharmacological options, non-pharmacological interventions have gained attention for their holistic and complementary benefits. Lifestyle modifications such as regular physical activity, weight loss, smoking cessation, and adherence to Mediterranean or DASH diets are associated with improved erectile function and reduced vascular inflammation (</w:t>
      </w:r>
      <w:proofErr w:type="spellStart"/>
      <w:r>
        <w:rPr>
          <w:rFonts w:ascii="Times New Roman" w:hAnsi="Times New Roman"/>
          <w:sz w:val="24"/>
          <w:szCs w:val="24"/>
        </w:rPr>
        <w:t>Bonarska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Vardi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2022). Exercise, particularly aerobic training, has been shown to enhance endothelial health, increase testosterone, and improve overall sexual performance in men with metabolic syndrome or cardiovascular risk factors (Sun </w:t>
      </w:r>
      <w:r>
        <w:rPr>
          <w:rFonts w:ascii="Times New Roman" w:hAnsi="Times New Roman"/>
          <w:i/>
          <w:iCs/>
          <w:sz w:val="24"/>
          <w:szCs w:val="24"/>
        </w:rPr>
        <w:t>et al.,</w:t>
      </w:r>
      <w:r>
        <w:rPr>
          <w:rFonts w:ascii="Times New Roman" w:hAnsi="Times New Roman"/>
          <w:sz w:val="24"/>
          <w:szCs w:val="24"/>
        </w:rPr>
        <w:t xml:space="preserve"> 2025).</w:t>
      </w:r>
    </w:p>
    <w:p w14:paraId="78DC4130"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Complementary and herbal therapies are increasingly being incorporated into ED management, especially in regions with strong </w:t>
      </w:r>
      <w:proofErr w:type="spellStart"/>
      <w:r>
        <w:rPr>
          <w:rFonts w:ascii="Times New Roman" w:hAnsi="Times New Roman"/>
          <w:sz w:val="24"/>
          <w:szCs w:val="24"/>
        </w:rPr>
        <w:t>ethnomedical</w:t>
      </w:r>
      <w:proofErr w:type="spellEnd"/>
      <w:r>
        <w:rPr>
          <w:rFonts w:ascii="Times New Roman" w:hAnsi="Times New Roman"/>
          <w:sz w:val="24"/>
          <w:szCs w:val="24"/>
        </w:rPr>
        <w:t xml:space="preserve"> traditions. Extracts from plants such as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w:t>
      </w:r>
      <w:proofErr w:type="spellStart"/>
      <w:r>
        <w:rPr>
          <w:rFonts w:ascii="Times New Roman" w:hAnsi="Times New Roman"/>
          <w:sz w:val="24"/>
          <w:szCs w:val="24"/>
        </w:rPr>
        <w:t>Panax</w:t>
      </w:r>
      <w:proofErr w:type="spellEnd"/>
      <w:r>
        <w:rPr>
          <w:rFonts w:ascii="Times New Roman" w:hAnsi="Times New Roman"/>
          <w:sz w:val="24"/>
          <w:szCs w:val="24"/>
        </w:rPr>
        <w:t xml:space="preserve"> ginseng, </w:t>
      </w:r>
      <w:proofErr w:type="spellStart"/>
      <w:r>
        <w:rPr>
          <w:rFonts w:ascii="Times New Roman" w:hAnsi="Times New Roman"/>
          <w:sz w:val="24"/>
          <w:szCs w:val="24"/>
        </w:rPr>
        <w:t>Epimedium</w:t>
      </w:r>
      <w:proofErr w:type="spellEnd"/>
      <w:r>
        <w:rPr>
          <w:rFonts w:ascii="Times New Roman" w:hAnsi="Times New Roman"/>
          <w:sz w:val="24"/>
          <w:szCs w:val="24"/>
        </w:rPr>
        <w:t xml:space="preserve"> </w:t>
      </w:r>
      <w:proofErr w:type="spellStart"/>
      <w:r>
        <w:rPr>
          <w:rFonts w:ascii="Times New Roman" w:hAnsi="Times New Roman"/>
          <w:sz w:val="24"/>
          <w:szCs w:val="24"/>
        </w:rPr>
        <w:t>brevicornum</w:t>
      </w:r>
      <w:proofErr w:type="spellEnd"/>
      <w:r>
        <w:rPr>
          <w:rFonts w:ascii="Times New Roman" w:hAnsi="Times New Roman"/>
          <w:sz w:val="24"/>
          <w:szCs w:val="24"/>
        </w:rPr>
        <w:t xml:space="preserve">, and </w:t>
      </w:r>
      <w:proofErr w:type="spellStart"/>
      <w:r>
        <w:rPr>
          <w:rFonts w:ascii="Times New Roman" w:hAnsi="Times New Roman"/>
          <w:sz w:val="24"/>
          <w:szCs w:val="24"/>
        </w:rPr>
        <w:t>Tribulus</w:t>
      </w:r>
      <w:proofErr w:type="spellEnd"/>
      <w:r>
        <w:rPr>
          <w:rFonts w:ascii="Times New Roman" w:hAnsi="Times New Roman"/>
          <w:sz w:val="24"/>
          <w:szCs w:val="24"/>
        </w:rPr>
        <w:t xml:space="preserve"> </w:t>
      </w:r>
      <w:proofErr w:type="spellStart"/>
      <w:r>
        <w:rPr>
          <w:rFonts w:ascii="Times New Roman" w:hAnsi="Times New Roman"/>
          <w:sz w:val="24"/>
          <w:szCs w:val="24"/>
        </w:rPr>
        <w:t>terrestris</w:t>
      </w:r>
      <w:proofErr w:type="spellEnd"/>
      <w:r>
        <w:rPr>
          <w:rFonts w:ascii="Times New Roman" w:hAnsi="Times New Roman"/>
          <w:sz w:val="24"/>
          <w:szCs w:val="24"/>
        </w:rPr>
        <w:t xml:space="preserve"> have shown potential to improve erectile function via antioxidant, androgenic, or NO-enhancing mechanisms (Wang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These therapies are generally well tolerated and may serve as alternatives or adjuncts to conventional medication, particularly in SSRI-induced or psychogenic ED. Nonetheless, quality control and clinical validation remain challenges in herbal medicine.</w:t>
      </w:r>
    </w:p>
    <w:p w14:paraId="34BDB6D0" w14:textId="77777777" w:rsidR="00714D18" w:rsidRDefault="006E5117">
      <w:pPr>
        <w:spacing w:line="480" w:lineRule="auto"/>
        <w:jc w:val="both"/>
        <w:rPr>
          <w:rFonts w:ascii="Times New Roman" w:hAnsi="Times New Roman"/>
          <w:b/>
          <w:bCs/>
          <w:sz w:val="24"/>
          <w:szCs w:val="24"/>
        </w:rPr>
      </w:pPr>
      <w:r>
        <w:rPr>
          <w:rFonts w:ascii="Times New Roman" w:hAnsi="Times New Roman"/>
          <w:sz w:val="24"/>
          <w:szCs w:val="24"/>
        </w:rPr>
        <w:t>Psychosexual therapy, including cognitive-behavioral therapy (CBT), partner communication training, and mindfulness, remains essential in cases of psychogenic ED or when performance anxiety is present. These therapies help improve psychological resilience and relational dynamics, which are often disrupted in men with ED (</w:t>
      </w:r>
      <w:proofErr w:type="spellStart"/>
      <w:r>
        <w:rPr>
          <w:rFonts w:ascii="Times New Roman" w:hAnsi="Times New Roman"/>
          <w:sz w:val="24"/>
          <w:szCs w:val="24"/>
        </w:rPr>
        <w:t>Carella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w:t>
      </w:r>
    </w:p>
    <w:p w14:paraId="6D1B2473" w14:textId="77777777" w:rsidR="00714D18" w:rsidRDefault="006E5117">
      <w:pPr>
        <w:pStyle w:val="Heading2"/>
        <w:spacing w:line="240" w:lineRule="auto"/>
      </w:pPr>
      <w:bookmarkStart w:id="23" w:name="_Toc15373"/>
      <w:r>
        <w:t>2.4.1 Limitations of Current Erectile Dysfunction Treatment</w:t>
      </w:r>
      <w:bookmarkEnd w:id="23"/>
    </w:p>
    <w:p w14:paraId="45523647"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Despite significant advancements in the management of erectile dysfunction (ED), current treatment modalities present notable limitations that restrict their long-term effectiveness and universal applicability. Phosphodiesterase type 5 inhibitors (PDE5is), such as sildenafil and </w:t>
      </w:r>
      <w:proofErr w:type="spellStart"/>
      <w:r>
        <w:rPr>
          <w:rFonts w:ascii="Times New Roman" w:hAnsi="Times New Roman"/>
          <w:sz w:val="24"/>
          <w:szCs w:val="24"/>
        </w:rPr>
        <w:t>tadalafil</w:t>
      </w:r>
      <w:proofErr w:type="spellEnd"/>
      <w:r>
        <w:rPr>
          <w:rFonts w:ascii="Times New Roman" w:hAnsi="Times New Roman"/>
          <w:sz w:val="24"/>
          <w:szCs w:val="24"/>
        </w:rPr>
        <w:t>, are widely prescribed and often considered the first-line therapy. However, 30–40% of patients fail to respond adequately to PDE5is, especially those with diabetes, severe endothelial dysfunction, or after pelvic surgery (</w:t>
      </w:r>
      <w:proofErr w:type="spellStart"/>
      <w:r>
        <w:rPr>
          <w:rFonts w:ascii="Times New Roman" w:hAnsi="Times New Roman"/>
          <w:sz w:val="24"/>
          <w:szCs w:val="24"/>
        </w:rPr>
        <w:t>Pyrgidis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Moreover, PDE5 is require sexual stimulation to be effective and do not address underlying psychological or hormonal causes of ED (</w:t>
      </w:r>
      <w:proofErr w:type="spellStart"/>
      <w:r>
        <w:rPr>
          <w:rFonts w:ascii="Times New Roman" w:hAnsi="Times New Roman"/>
          <w:sz w:val="24"/>
          <w:szCs w:val="24"/>
        </w:rPr>
        <w:t>Rastrelli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w:t>
      </w:r>
    </w:p>
    <w:p w14:paraId="7DF92E36"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Testosterone replacement therapy (TRT) is frequently used in </w:t>
      </w:r>
      <w:proofErr w:type="spellStart"/>
      <w:r>
        <w:rPr>
          <w:rFonts w:ascii="Times New Roman" w:hAnsi="Times New Roman"/>
          <w:sz w:val="24"/>
          <w:szCs w:val="24"/>
        </w:rPr>
        <w:t>hypogonadal</w:t>
      </w:r>
      <w:proofErr w:type="spellEnd"/>
      <w:r>
        <w:rPr>
          <w:rFonts w:ascii="Times New Roman" w:hAnsi="Times New Roman"/>
          <w:sz w:val="24"/>
          <w:szCs w:val="24"/>
        </w:rPr>
        <w:t xml:space="preserve"> men with ED, yet its benefits are inconsistent. While TRT can improve libido and erectile function in testosterone-deficient men, its impact is minimal in men with normal baseline testosterone levels. Long-term safety concerns such as cardiovascular risks and prostate health complications also limit its widespread use (</w:t>
      </w:r>
      <w:proofErr w:type="spellStart"/>
      <w:r>
        <w:rPr>
          <w:rFonts w:ascii="Times New Roman" w:hAnsi="Times New Roman"/>
          <w:sz w:val="24"/>
          <w:szCs w:val="24"/>
        </w:rPr>
        <w:t>Paschou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Furthermore, many patients require combination therapy with TRT and PDE5is to achieve satisfactory results, highlighting the insufficiency of monotherapy in complex cases (Islam </w:t>
      </w:r>
      <w:r>
        <w:rPr>
          <w:rFonts w:ascii="Times New Roman" w:hAnsi="Times New Roman"/>
          <w:i/>
          <w:iCs/>
          <w:sz w:val="24"/>
          <w:szCs w:val="24"/>
        </w:rPr>
        <w:t>et al.,</w:t>
      </w:r>
      <w:r>
        <w:rPr>
          <w:rFonts w:ascii="Times New Roman" w:hAnsi="Times New Roman"/>
          <w:sz w:val="24"/>
          <w:szCs w:val="24"/>
        </w:rPr>
        <w:t xml:space="preserve"> 2022).</w:t>
      </w:r>
    </w:p>
    <w:p w14:paraId="5B6EC773"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Herbal and complementary medicine have emerged as alternatives, particularly in populations that seek natural or culturally congruent therapies. While some plant-based treatments like </w:t>
      </w:r>
      <w:proofErr w:type="spellStart"/>
      <w:r>
        <w:rPr>
          <w:rFonts w:ascii="Times New Roman" w:hAnsi="Times New Roman"/>
          <w:sz w:val="24"/>
          <w:szCs w:val="24"/>
        </w:rPr>
        <w:t>Panax</w:t>
      </w:r>
      <w:proofErr w:type="spellEnd"/>
      <w:r>
        <w:rPr>
          <w:rFonts w:ascii="Times New Roman" w:hAnsi="Times New Roman"/>
          <w:sz w:val="24"/>
          <w:szCs w:val="24"/>
        </w:rPr>
        <w:t xml:space="preserve"> ginseng,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and </w:t>
      </w:r>
      <w:proofErr w:type="spellStart"/>
      <w:r>
        <w:rPr>
          <w:rFonts w:ascii="Times New Roman" w:hAnsi="Times New Roman"/>
          <w:sz w:val="24"/>
          <w:szCs w:val="24"/>
        </w:rPr>
        <w:t>Tribulus</w:t>
      </w:r>
      <w:proofErr w:type="spellEnd"/>
      <w:r>
        <w:rPr>
          <w:rFonts w:ascii="Times New Roman" w:hAnsi="Times New Roman"/>
          <w:sz w:val="24"/>
          <w:szCs w:val="24"/>
        </w:rPr>
        <w:t xml:space="preserve"> </w:t>
      </w:r>
      <w:proofErr w:type="spellStart"/>
      <w:r>
        <w:rPr>
          <w:rFonts w:ascii="Times New Roman" w:hAnsi="Times New Roman"/>
          <w:sz w:val="24"/>
          <w:szCs w:val="24"/>
        </w:rPr>
        <w:t>terrestris</w:t>
      </w:r>
      <w:proofErr w:type="spellEnd"/>
      <w:r>
        <w:rPr>
          <w:rFonts w:ascii="Times New Roman" w:hAnsi="Times New Roman"/>
          <w:sz w:val="24"/>
          <w:szCs w:val="24"/>
        </w:rPr>
        <w:t xml:space="preserve"> show potential, the lack of standardized formulations, dose-response data, and robust clinical trials undermines their credibility in mainstream medicine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Additionally, concerns about adulteration, drug-herb interactions, and delayed onset of action limit their utility for acute ED management.</w:t>
      </w:r>
    </w:p>
    <w:p w14:paraId="43E66DF4"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Psychosexual therapies, including cognitive behavioral therapy and couples counseling, are essential in managing psychogenic ED. However, access to trained therapists, stigma, and low patient compliance often hinder their effectiveness. These interventions require consistent patient engagement and may not yield immediate results, which discourages patients seeking faster outcomes (</w:t>
      </w:r>
      <w:proofErr w:type="spellStart"/>
      <w:r>
        <w:rPr>
          <w:rFonts w:ascii="Times New Roman" w:hAnsi="Times New Roman"/>
          <w:sz w:val="24"/>
          <w:szCs w:val="24"/>
        </w:rPr>
        <w:t>Carella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Additionally, few healthcare systems integrate psychological interventions with pharmacotherapy as part of a standard ED care pathway.</w:t>
      </w:r>
    </w:p>
    <w:p w14:paraId="7A15080C"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Lastly, surgical options like penile prostheses, although effective for refractory ED, are invasive and associated with risks such as infection, mechanical failure, and patient dissatisfaction due to unrealistic expectations. As such, they are reserved for patients unresponsive to all other treatments (</w:t>
      </w:r>
      <w:proofErr w:type="spellStart"/>
      <w:r>
        <w:rPr>
          <w:rFonts w:ascii="Times New Roman" w:hAnsi="Times New Roman"/>
          <w:sz w:val="24"/>
          <w:szCs w:val="24"/>
        </w:rPr>
        <w:t>Bonarska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Collectively, these limitations highlight the need for novel, integrative, and patient-tailored approaches that can address the multifactorial nature of ED, improve adherence, and target its underlying pathophysiology.</w:t>
      </w:r>
    </w:p>
    <w:p w14:paraId="13E2AF78" w14:textId="77777777" w:rsidR="00714D18" w:rsidRDefault="006E5117">
      <w:pPr>
        <w:pStyle w:val="Heading2"/>
        <w:spacing w:line="240" w:lineRule="auto"/>
      </w:pPr>
      <w:bookmarkStart w:id="24" w:name="_Toc24234"/>
      <w:r>
        <w:t xml:space="preserve">2.5 </w:t>
      </w:r>
      <w:proofErr w:type="spellStart"/>
      <w:r>
        <w:t>Syzygium</w:t>
      </w:r>
      <w:proofErr w:type="spellEnd"/>
      <w:r>
        <w:t xml:space="preserve"> </w:t>
      </w:r>
      <w:proofErr w:type="spellStart"/>
      <w:r>
        <w:t>aromaticum</w:t>
      </w:r>
      <w:bookmarkEnd w:id="24"/>
      <w:proofErr w:type="spellEnd"/>
    </w:p>
    <w:p w14:paraId="7A7252DA" w14:textId="77777777" w:rsidR="00714D18" w:rsidRDefault="006E5117">
      <w:pPr>
        <w:spacing w:line="480" w:lineRule="auto"/>
        <w:jc w:val="both"/>
        <w:rPr>
          <w:rFonts w:ascii="Times New Roman" w:hAnsi="Times New Roman"/>
          <w:sz w:val="24"/>
          <w:szCs w:val="24"/>
        </w:rPr>
      </w:pP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commonly known as clove, is a medicinal crop well known to possess a broad variety of pharmacological activities including antioxidant, anti-inflammatory, antimicrobial, and aphrodisiac. Traditionally, clove has also been used in African, Asian, and </w:t>
      </w:r>
      <w:proofErr w:type="spellStart"/>
      <w:r>
        <w:rPr>
          <w:rFonts w:ascii="Times New Roman" w:hAnsi="Times New Roman"/>
          <w:sz w:val="24"/>
          <w:szCs w:val="24"/>
        </w:rPr>
        <w:t>Ayurvedic</w:t>
      </w:r>
      <w:proofErr w:type="spellEnd"/>
      <w:r>
        <w:rPr>
          <w:rFonts w:ascii="Times New Roman" w:hAnsi="Times New Roman"/>
          <w:sz w:val="24"/>
          <w:szCs w:val="24"/>
        </w:rPr>
        <w:t xml:space="preserve"> medicine and has been investigated for its ability to cure sexual dysfunction and enhance male reproductive health (</w:t>
      </w:r>
      <w:proofErr w:type="spellStart"/>
      <w:r>
        <w:rPr>
          <w:rFonts w:ascii="Times New Roman" w:hAnsi="Times New Roman"/>
          <w:sz w:val="24"/>
          <w:szCs w:val="24"/>
        </w:rPr>
        <w:t>Sarkodie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Its aphrodisiac effect can be attributed largely because of its composition of </w:t>
      </w:r>
      <w:proofErr w:type="spellStart"/>
      <w:r>
        <w:rPr>
          <w:rFonts w:ascii="Times New Roman" w:hAnsi="Times New Roman"/>
          <w:sz w:val="24"/>
          <w:szCs w:val="24"/>
        </w:rPr>
        <w:t>eugenol</w:t>
      </w:r>
      <w:proofErr w:type="spellEnd"/>
      <w:r>
        <w:rPr>
          <w:rFonts w:ascii="Times New Roman" w:hAnsi="Times New Roman"/>
          <w:sz w:val="24"/>
          <w:szCs w:val="24"/>
        </w:rPr>
        <w:t xml:space="preserve">, a bioactive phenolic compound that has been found to regulate the production of NO and increase blood flow through smooth muscle tissues like </w:t>
      </w:r>
      <w:r>
        <w:rPr>
          <w:rFonts w:ascii="Times New Roman" w:hAnsi="Times New Roman"/>
          <w:i/>
          <w:iCs/>
          <w:sz w:val="24"/>
          <w:szCs w:val="24"/>
        </w:rPr>
        <w:t xml:space="preserve">Corpora </w:t>
      </w:r>
      <w:proofErr w:type="spellStart"/>
      <w:r>
        <w:rPr>
          <w:rFonts w:ascii="Times New Roman" w:hAnsi="Times New Roman"/>
          <w:i/>
          <w:iCs/>
          <w:sz w:val="24"/>
          <w:szCs w:val="24"/>
        </w:rPr>
        <w:t>cavernosae</w:t>
      </w:r>
      <w:proofErr w:type="spellEnd"/>
      <w:r>
        <w:rPr>
          <w:rFonts w:ascii="Times New Roman" w:hAnsi="Times New Roman"/>
          <w:sz w:val="24"/>
          <w:szCs w:val="24"/>
        </w:rPr>
        <w:t>.</w:t>
      </w:r>
    </w:p>
    <w:p w14:paraId="0EE1613F"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Preclinical studies reveal that S. </w:t>
      </w:r>
      <w:proofErr w:type="spellStart"/>
      <w:r>
        <w:rPr>
          <w:rFonts w:ascii="Times New Roman" w:hAnsi="Times New Roman"/>
          <w:sz w:val="24"/>
          <w:szCs w:val="24"/>
        </w:rPr>
        <w:t>aromaticum</w:t>
      </w:r>
      <w:proofErr w:type="spellEnd"/>
      <w:r>
        <w:rPr>
          <w:rFonts w:ascii="Times New Roman" w:hAnsi="Times New Roman"/>
          <w:sz w:val="24"/>
          <w:szCs w:val="24"/>
        </w:rPr>
        <w:t xml:space="preserve"> extracts improve sexual behavior in male rats, including enhanced mounting frequency, reduced mount latency, and better erection quality. These effects are speculated to be mediated through the activation of L-arginine/NO signaling pathway, which is essential for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relaxation and penile erection maintenance (Tang </w:t>
      </w:r>
      <w:r>
        <w:rPr>
          <w:rFonts w:ascii="Times New Roman" w:hAnsi="Times New Roman"/>
          <w:i/>
          <w:iCs/>
          <w:sz w:val="24"/>
          <w:szCs w:val="24"/>
        </w:rPr>
        <w:t>et al.,</w:t>
      </w:r>
      <w:r>
        <w:rPr>
          <w:rFonts w:ascii="Times New Roman" w:hAnsi="Times New Roman"/>
          <w:sz w:val="24"/>
          <w:szCs w:val="24"/>
        </w:rPr>
        <w:t xml:space="preserve"> 2017; </w:t>
      </w:r>
      <w:proofErr w:type="spellStart"/>
      <w:r>
        <w:rPr>
          <w:rFonts w:ascii="Times New Roman" w:hAnsi="Times New Roman"/>
          <w:sz w:val="24"/>
          <w:szCs w:val="24"/>
        </w:rPr>
        <w:t>Sarkodie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Besides,. </w:t>
      </w:r>
      <w:proofErr w:type="spellStart"/>
      <w:r>
        <w:rPr>
          <w:rFonts w:ascii="Times New Roman" w:hAnsi="Times New Roman"/>
          <w:sz w:val="24"/>
          <w:szCs w:val="24"/>
        </w:rPr>
        <w:t>aromaticum</w:t>
      </w:r>
      <w:proofErr w:type="spellEnd"/>
      <w:r>
        <w:rPr>
          <w:rFonts w:ascii="Times New Roman" w:hAnsi="Times New Roman"/>
          <w:sz w:val="24"/>
          <w:szCs w:val="24"/>
        </w:rPr>
        <w:t xml:space="preserve"> has also demonstrated the capacity to upregulate endogenous antioxidant enzymes such as superoxide dismutase (SOD) and catalase, hence safeguarding penile tissue against oxidative stress, a common etiology of erectile dysfunction.</w:t>
      </w:r>
    </w:p>
    <w:p w14:paraId="775C5E83"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Another most significant pharmacological characteristic of S. </w:t>
      </w:r>
      <w:proofErr w:type="spellStart"/>
      <w:r>
        <w:rPr>
          <w:rFonts w:ascii="Times New Roman" w:hAnsi="Times New Roman"/>
          <w:sz w:val="24"/>
          <w:szCs w:val="24"/>
        </w:rPr>
        <w:t>aromaticum</w:t>
      </w:r>
      <w:proofErr w:type="spellEnd"/>
      <w:r>
        <w:rPr>
          <w:rFonts w:ascii="Times New Roman" w:hAnsi="Times New Roman"/>
          <w:sz w:val="24"/>
          <w:szCs w:val="24"/>
        </w:rPr>
        <w:t xml:space="preserve"> is its ability to modulate hormone levels. Its ability to increase serum testosterone levels following the administration of clove extracts in animal models has been thought to be its therapeutic effect on androgen biosynthesis or testicular function (</w:t>
      </w:r>
      <w:proofErr w:type="spellStart"/>
      <w:r>
        <w:rPr>
          <w:rFonts w:ascii="Times New Roman" w:hAnsi="Times New Roman"/>
          <w:sz w:val="24"/>
          <w:szCs w:val="24"/>
        </w:rPr>
        <w:t>Sarkodie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It is particularly observed in SSRI-induced erectile dysfunction, such as that caused by paroxetine, which is known to decrease testosterone levels and suppress NO synthesis in penile tissue.</w:t>
      </w:r>
    </w:p>
    <w:p w14:paraId="2DA2C35F"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Besides its physiological effect, S. </w:t>
      </w:r>
      <w:proofErr w:type="spellStart"/>
      <w:r>
        <w:rPr>
          <w:rFonts w:ascii="Times New Roman" w:hAnsi="Times New Roman"/>
          <w:sz w:val="24"/>
          <w:szCs w:val="24"/>
        </w:rPr>
        <w:t>aromaticum</w:t>
      </w:r>
      <w:proofErr w:type="spellEnd"/>
      <w:r>
        <w:rPr>
          <w:rFonts w:ascii="Times New Roman" w:hAnsi="Times New Roman"/>
          <w:sz w:val="24"/>
          <w:szCs w:val="24"/>
        </w:rPr>
        <w:t xml:space="preserve"> is well-tolerated at moderate doses and has not demonstrated significant toxicological concerns with short-term use. Significant doses or long-term use may be dangerous to reproductive capacity or hepatotoxicity, which renders it suitable for dose standardization in clinical application (El-Saber </w:t>
      </w:r>
      <w:proofErr w:type="spellStart"/>
      <w:r>
        <w:rPr>
          <w:rFonts w:ascii="Times New Roman" w:hAnsi="Times New Roman"/>
          <w:sz w:val="24"/>
          <w:szCs w:val="24"/>
        </w:rPr>
        <w:t>Batiha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w:t>
      </w:r>
    </w:p>
    <w:p w14:paraId="582DF00C" w14:textId="77777777" w:rsidR="00714D18" w:rsidRDefault="006E5117">
      <w:pPr>
        <w:pStyle w:val="Heading2"/>
        <w:spacing w:line="240" w:lineRule="auto"/>
      </w:pPr>
      <w:bookmarkStart w:id="25" w:name="_Toc24722"/>
      <w:r>
        <w:t xml:space="preserve">2.5.1 Bioactive Components of </w:t>
      </w:r>
      <w:proofErr w:type="spellStart"/>
      <w:r>
        <w:t>Syzygium</w:t>
      </w:r>
      <w:proofErr w:type="spellEnd"/>
      <w:r>
        <w:t xml:space="preserve"> </w:t>
      </w:r>
      <w:proofErr w:type="spellStart"/>
      <w:r>
        <w:t>aromaticum</w:t>
      </w:r>
      <w:bookmarkEnd w:id="25"/>
      <w:proofErr w:type="spellEnd"/>
    </w:p>
    <w:p w14:paraId="755EE2B5" w14:textId="77777777" w:rsidR="00714D18" w:rsidRDefault="006E5117">
      <w:pPr>
        <w:spacing w:line="480" w:lineRule="auto"/>
        <w:jc w:val="both"/>
        <w:rPr>
          <w:rFonts w:ascii="Times New Roman" w:hAnsi="Times New Roman"/>
          <w:sz w:val="24"/>
          <w:szCs w:val="24"/>
        </w:rPr>
      </w:pP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or clove is pharmacologically active due to a rich portfolio of bioactive compounds that are liable for its therapeutic potential, such as erectile dysfunction management. The chief bioactive constituents include </w:t>
      </w:r>
      <w:proofErr w:type="spellStart"/>
      <w:r>
        <w:rPr>
          <w:rFonts w:ascii="Times New Roman" w:hAnsi="Times New Roman"/>
          <w:sz w:val="24"/>
          <w:szCs w:val="24"/>
        </w:rPr>
        <w:t>eugenol</w:t>
      </w:r>
      <w:proofErr w:type="spellEnd"/>
      <w:r>
        <w:rPr>
          <w:rFonts w:ascii="Times New Roman" w:hAnsi="Times New Roman"/>
          <w:sz w:val="24"/>
          <w:szCs w:val="24"/>
        </w:rPr>
        <w:t xml:space="preserve">, </w:t>
      </w:r>
      <w:proofErr w:type="spellStart"/>
      <w:r>
        <w:rPr>
          <w:rFonts w:ascii="Times New Roman" w:hAnsi="Times New Roman"/>
          <w:sz w:val="24"/>
          <w:szCs w:val="24"/>
        </w:rPr>
        <w:t>eugenol</w:t>
      </w:r>
      <w:proofErr w:type="spellEnd"/>
      <w:r>
        <w:rPr>
          <w:rFonts w:ascii="Times New Roman" w:hAnsi="Times New Roman"/>
          <w:sz w:val="24"/>
          <w:szCs w:val="24"/>
        </w:rPr>
        <w:t xml:space="preserve"> acetate, β-</w:t>
      </w:r>
      <w:proofErr w:type="spellStart"/>
      <w:r>
        <w:rPr>
          <w:rFonts w:ascii="Times New Roman" w:hAnsi="Times New Roman"/>
          <w:sz w:val="24"/>
          <w:szCs w:val="24"/>
        </w:rPr>
        <w:t>caryophyllene</w:t>
      </w:r>
      <w:proofErr w:type="spellEnd"/>
      <w:r>
        <w:rPr>
          <w:rFonts w:ascii="Times New Roman" w:hAnsi="Times New Roman"/>
          <w:sz w:val="24"/>
          <w:szCs w:val="24"/>
        </w:rPr>
        <w:t xml:space="preserve">, flavonoids, tannins, </w:t>
      </w:r>
      <w:proofErr w:type="spellStart"/>
      <w:r>
        <w:rPr>
          <w:rFonts w:ascii="Times New Roman" w:hAnsi="Times New Roman"/>
          <w:sz w:val="24"/>
          <w:szCs w:val="24"/>
        </w:rPr>
        <w:t>saponins</w:t>
      </w:r>
      <w:proofErr w:type="spellEnd"/>
      <w:r>
        <w:rPr>
          <w:rFonts w:ascii="Times New Roman" w:hAnsi="Times New Roman"/>
          <w:sz w:val="24"/>
          <w:szCs w:val="24"/>
        </w:rPr>
        <w:t xml:space="preserve">, and </w:t>
      </w:r>
      <w:proofErr w:type="spellStart"/>
      <w:r>
        <w:rPr>
          <w:rFonts w:ascii="Times New Roman" w:hAnsi="Times New Roman"/>
          <w:sz w:val="24"/>
          <w:szCs w:val="24"/>
        </w:rPr>
        <w:t>triterpenoids</w:t>
      </w:r>
      <w:proofErr w:type="spellEnd"/>
      <w:r>
        <w:rPr>
          <w:rFonts w:ascii="Times New Roman" w:hAnsi="Times New Roman"/>
          <w:sz w:val="24"/>
          <w:szCs w:val="24"/>
        </w:rPr>
        <w:t>, among others. These phytochemicals are also principally responsible for the plant's antioxidant, anti-inflammatory, analgesic, antimicrobial, and aphrodisiac properties (</w:t>
      </w:r>
      <w:proofErr w:type="spellStart"/>
      <w:r>
        <w:rPr>
          <w:rFonts w:ascii="Times New Roman" w:hAnsi="Times New Roman"/>
          <w:sz w:val="24"/>
          <w:szCs w:val="24"/>
        </w:rPr>
        <w:t>Yanuarty</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Otunola</w:t>
      </w:r>
      <w:proofErr w:type="spellEnd"/>
      <w:r>
        <w:rPr>
          <w:rFonts w:ascii="Times New Roman" w:hAnsi="Times New Roman"/>
          <w:sz w:val="24"/>
          <w:szCs w:val="24"/>
        </w:rPr>
        <w:t>, 2022).</w:t>
      </w:r>
    </w:p>
    <w:p w14:paraId="542C3E9A" w14:textId="77777777" w:rsidR="00714D18" w:rsidRDefault="006E5117">
      <w:pPr>
        <w:spacing w:line="480" w:lineRule="auto"/>
        <w:jc w:val="both"/>
        <w:rPr>
          <w:rFonts w:ascii="Times New Roman" w:hAnsi="Times New Roman"/>
          <w:sz w:val="24"/>
          <w:szCs w:val="24"/>
        </w:rPr>
      </w:pPr>
      <w:proofErr w:type="spellStart"/>
      <w:r>
        <w:rPr>
          <w:rFonts w:ascii="Times New Roman" w:hAnsi="Times New Roman"/>
          <w:sz w:val="24"/>
          <w:szCs w:val="24"/>
        </w:rPr>
        <w:t>Eugenol</w:t>
      </w:r>
      <w:proofErr w:type="spellEnd"/>
      <w:r>
        <w:rPr>
          <w:rFonts w:ascii="Times New Roman" w:hAnsi="Times New Roman"/>
          <w:sz w:val="24"/>
          <w:szCs w:val="24"/>
        </w:rPr>
        <w:t xml:space="preserve">, the major compound of clove essential oil, has been acclaimed for its strong antioxidant property. It is a free radical scavenger and plays a significant role in protecting endothelial cells and penile smooth muscle against oxidative stress-mediated damage, which is commonly implicated in erectile dysfunction (Caballero-Gallardo et al., 2025). </w:t>
      </w:r>
      <w:proofErr w:type="spellStart"/>
      <w:r>
        <w:rPr>
          <w:rFonts w:ascii="Times New Roman" w:hAnsi="Times New Roman"/>
          <w:sz w:val="24"/>
          <w:szCs w:val="24"/>
        </w:rPr>
        <w:t>Eugenol</w:t>
      </w:r>
      <w:proofErr w:type="spellEnd"/>
      <w:r>
        <w:rPr>
          <w:rFonts w:ascii="Times New Roman" w:hAnsi="Times New Roman"/>
          <w:sz w:val="24"/>
          <w:szCs w:val="24"/>
        </w:rPr>
        <w:t xml:space="preserve"> also stimulates nitric oxide (NO) release and helps in vasodilation through endothelial modulation, thereby facilitating penile erection (</w:t>
      </w:r>
      <w:proofErr w:type="spellStart"/>
      <w:r>
        <w:rPr>
          <w:rFonts w:ascii="Times New Roman" w:hAnsi="Times New Roman"/>
          <w:sz w:val="24"/>
          <w:szCs w:val="24"/>
        </w:rPr>
        <w:t>Sarkodie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406A75BC"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In addition to </w:t>
      </w:r>
      <w:proofErr w:type="spellStart"/>
      <w:r>
        <w:rPr>
          <w:rFonts w:ascii="Times New Roman" w:hAnsi="Times New Roman"/>
          <w:sz w:val="24"/>
          <w:szCs w:val="24"/>
        </w:rPr>
        <w:t>eugenol</w:t>
      </w:r>
      <w:proofErr w:type="spellEnd"/>
      <w:r>
        <w:rPr>
          <w:rFonts w:ascii="Times New Roman" w:hAnsi="Times New Roman"/>
          <w:sz w:val="24"/>
          <w:szCs w:val="24"/>
        </w:rPr>
        <w:t xml:space="preserve">, </w:t>
      </w:r>
      <w:r>
        <w:rPr>
          <w:rFonts w:ascii="Times New Roman" w:hAnsi="Times New Roman"/>
          <w:i/>
          <w:iCs/>
          <w:sz w:val="24"/>
          <w:szCs w:val="24"/>
        </w:rPr>
        <w:t xml:space="preserve">S.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w:t>
      </w:r>
      <w:proofErr w:type="spellStart"/>
      <w:r>
        <w:rPr>
          <w:rFonts w:ascii="Times New Roman" w:hAnsi="Times New Roman"/>
          <w:sz w:val="24"/>
          <w:szCs w:val="24"/>
        </w:rPr>
        <w:t>ethanolic</w:t>
      </w:r>
      <w:proofErr w:type="spellEnd"/>
      <w:r>
        <w:rPr>
          <w:rFonts w:ascii="Times New Roman" w:hAnsi="Times New Roman"/>
          <w:sz w:val="24"/>
          <w:szCs w:val="24"/>
        </w:rPr>
        <w:t xml:space="preserve"> and aqueous extracts also contain flavonoids such as </w:t>
      </w:r>
      <w:proofErr w:type="spellStart"/>
      <w:r>
        <w:rPr>
          <w:rFonts w:ascii="Times New Roman" w:hAnsi="Times New Roman"/>
          <w:sz w:val="24"/>
          <w:szCs w:val="24"/>
        </w:rPr>
        <w:t>kaempferol</w:t>
      </w:r>
      <w:proofErr w:type="spellEnd"/>
      <w:r>
        <w:rPr>
          <w:rFonts w:ascii="Times New Roman" w:hAnsi="Times New Roman"/>
          <w:sz w:val="24"/>
          <w:szCs w:val="24"/>
        </w:rPr>
        <w:t xml:space="preserve"> and quercetin. These compounds are known to have strong antioxidant and </w:t>
      </w:r>
      <w:proofErr w:type="spellStart"/>
      <w:r>
        <w:rPr>
          <w:rFonts w:ascii="Times New Roman" w:hAnsi="Times New Roman"/>
          <w:sz w:val="24"/>
          <w:szCs w:val="24"/>
        </w:rPr>
        <w:t>vasodilatory</w:t>
      </w:r>
      <w:proofErr w:type="spellEnd"/>
      <w:r>
        <w:rPr>
          <w:rFonts w:ascii="Times New Roman" w:hAnsi="Times New Roman"/>
          <w:sz w:val="24"/>
          <w:szCs w:val="24"/>
        </w:rPr>
        <w:t xml:space="preserve"> effects through enhanced activity of endothelial nitric oxide synthase (</w:t>
      </w:r>
      <w:proofErr w:type="spellStart"/>
      <w:r>
        <w:rPr>
          <w:rFonts w:ascii="Times New Roman" w:hAnsi="Times New Roman"/>
          <w:sz w:val="24"/>
          <w:szCs w:val="24"/>
        </w:rPr>
        <w:t>eNOS</w:t>
      </w:r>
      <w:proofErr w:type="spellEnd"/>
      <w:r>
        <w:rPr>
          <w:rFonts w:ascii="Times New Roman" w:hAnsi="Times New Roman"/>
          <w:sz w:val="24"/>
          <w:szCs w:val="24"/>
        </w:rPr>
        <w:t>) and NO bioavailability (</w:t>
      </w:r>
      <w:proofErr w:type="spellStart"/>
      <w:r>
        <w:rPr>
          <w:rFonts w:ascii="Times New Roman" w:hAnsi="Times New Roman"/>
          <w:sz w:val="24"/>
          <w:szCs w:val="24"/>
        </w:rPr>
        <w:t>Otunola</w:t>
      </w:r>
      <w:proofErr w:type="spellEnd"/>
      <w:r>
        <w:rPr>
          <w:rFonts w:ascii="Times New Roman" w:hAnsi="Times New Roman"/>
          <w:sz w:val="24"/>
          <w:szCs w:val="24"/>
        </w:rPr>
        <w:t xml:space="preserve">, 2022; </w:t>
      </w:r>
      <w:proofErr w:type="spellStart"/>
      <w:r>
        <w:rPr>
          <w:rFonts w:ascii="Times New Roman" w:hAnsi="Times New Roman"/>
          <w:sz w:val="24"/>
          <w:szCs w:val="24"/>
        </w:rPr>
        <w:t>Tuldjanah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Flavonoids are also involved in the regulation of hormonal pathways, including testosterone synthesis, which is required for sexual arousal and erectile function.</w:t>
      </w:r>
    </w:p>
    <w:p w14:paraId="4F337454" w14:textId="77777777" w:rsidR="00714D18" w:rsidRDefault="006E5117">
      <w:pPr>
        <w:spacing w:line="480" w:lineRule="auto"/>
        <w:jc w:val="both"/>
        <w:rPr>
          <w:rFonts w:ascii="Times New Roman" w:hAnsi="Times New Roman"/>
          <w:sz w:val="24"/>
          <w:szCs w:val="24"/>
        </w:rPr>
      </w:pPr>
      <w:proofErr w:type="spellStart"/>
      <w:r>
        <w:rPr>
          <w:rFonts w:ascii="Times New Roman" w:hAnsi="Times New Roman"/>
          <w:sz w:val="24"/>
          <w:szCs w:val="24"/>
        </w:rPr>
        <w:t>Triterpenoids</w:t>
      </w:r>
      <w:proofErr w:type="spellEnd"/>
      <w:r>
        <w:rPr>
          <w:rFonts w:ascii="Times New Roman" w:hAnsi="Times New Roman"/>
          <w:sz w:val="24"/>
          <w:szCs w:val="24"/>
        </w:rPr>
        <w:t xml:space="preserve"> and tannins present in clove have been reported to reinforce tissue integrity and induce anti-inflammatory activities capable of neutralizing oxidative and inflammatory insults in penile tissue. The </w:t>
      </w:r>
      <w:proofErr w:type="spellStart"/>
      <w:r>
        <w:rPr>
          <w:rFonts w:ascii="Times New Roman" w:hAnsi="Times New Roman"/>
          <w:sz w:val="24"/>
          <w:szCs w:val="24"/>
        </w:rPr>
        <w:t>phytoconstituents</w:t>
      </w:r>
      <w:proofErr w:type="spellEnd"/>
      <w:r>
        <w:rPr>
          <w:rFonts w:ascii="Times New Roman" w:hAnsi="Times New Roman"/>
          <w:sz w:val="24"/>
          <w:szCs w:val="24"/>
        </w:rPr>
        <w:t xml:space="preserve"> also improve sperm motility and quality in animal models, suggesting a general reproductive benefit (</w:t>
      </w:r>
      <w:proofErr w:type="spellStart"/>
      <w:r>
        <w:rPr>
          <w:rFonts w:ascii="Times New Roman" w:hAnsi="Times New Roman"/>
          <w:sz w:val="24"/>
          <w:szCs w:val="24"/>
        </w:rPr>
        <w:t>Boojar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Adama</w:t>
      </w:r>
      <w:proofErr w:type="spellEnd"/>
      <w:r>
        <w:rPr>
          <w:rFonts w:ascii="Times New Roman" w:hAnsi="Times New Roman"/>
          <w:sz w:val="24"/>
          <w:szCs w:val="24"/>
        </w:rPr>
        <w:t xml:space="preserve">, 2025). </w:t>
      </w:r>
      <w:proofErr w:type="spellStart"/>
      <w:r>
        <w:rPr>
          <w:rFonts w:ascii="Times New Roman" w:hAnsi="Times New Roman"/>
          <w:sz w:val="24"/>
          <w:szCs w:val="24"/>
        </w:rPr>
        <w:t>Saponins</w:t>
      </w:r>
      <w:proofErr w:type="spellEnd"/>
      <w:r>
        <w:rPr>
          <w:rFonts w:ascii="Times New Roman" w:hAnsi="Times New Roman"/>
          <w:sz w:val="24"/>
          <w:szCs w:val="24"/>
        </w:rPr>
        <w:t xml:space="preserve">, a class of </w:t>
      </w:r>
      <w:proofErr w:type="spellStart"/>
      <w:r>
        <w:rPr>
          <w:rFonts w:ascii="Times New Roman" w:hAnsi="Times New Roman"/>
          <w:sz w:val="24"/>
          <w:szCs w:val="24"/>
        </w:rPr>
        <w:t>phytoconstituents</w:t>
      </w:r>
      <w:proofErr w:type="spellEnd"/>
      <w:r>
        <w:rPr>
          <w:rFonts w:ascii="Times New Roman" w:hAnsi="Times New Roman"/>
          <w:sz w:val="24"/>
          <w:szCs w:val="24"/>
        </w:rPr>
        <w:t xml:space="preserve">, are reported to possess </w:t>
      </w:r>
      <w:proofErr w:type="spellStart"/>
      <w:r>
        <w:rPr>
          <w:rFonts w:ascii="Times New Roman" w:hAnsi="Times New Roman"/>
          <w:sz w:val="24"/>
          <w:szCs w:val="24"/>
        </w:rPr>
        <w:t>adaptogenic</w:t>
      </w:r>
      <w:proofErr w:type="spellEnd"/>
      <w:r>
        <w:rPr>
          <w:rFonts w:ascii="Times New Roman" w:hAnsi="Times New Roman"/>
          <w:sz w:val="24"/>
          <w:szCs w:val="24"/>
        </w:rPr>
        <w:t xml:space="preserve"> activities that improve stress tolerance and libido.</w:t>
      </w:r>
    </w:p>
    <w:p w14:paraId="04029BDA" w14:textId="77777777" w:rsidR="00714D18" w:rsidRDefault="006E5117">
      <w:pPr>
        <w:spacing w:line="480" w:lineRule="auto"/>
        <w:jc w:val="both"/>
        <w:rPr>
          <w:rFonts w:ascii="Times New Roman" w:hAnsi="Times New Roman"/>
          <w:sz w:val="24"/>
          <w:szCs w:val="24"/>
        </w:rPr>
      </w:pPr>
      <w:r>
        <w:rPr>
          <w:rFonts w:ascii="Times New Roman" w:hAnsi="Times New Roman"/>
          <w:sz w:val="24"/>
          <w:szCs w:val="24"/>
        </w:rPr>
        <w:t xml:space="preserve">Furthermore, phytochemical fractionation studies revealed that the aphrodisiac activity of S. </w:t>
      </w:r>
      <w:proofErr w:type="spellStart"/>
      <w:r>
        <w:rPr>
          <w:rFonts w:ascii="Times New Roman" w:hAnsi="Times New Roman"/>
          <w:sz w:val="24"/>
          <w:szCs w:val="24"/>
        </w:rPr>
        <w:t>aromaticum</w:t>
      </w:r>
      <w:proofErr w:type="spellEnd"/>
      <w:r>
        <w:rPr>
          <w:rFonts w:ascii="Times New Roman" w:hAnsi="Times New Roman"/>
          <w:sz w:val="24"/>
          <w:szCs w:val="24"/>
        </w:rPr>
        <w:t xml:space="preserve"> is due not only to </w:t>
      </w:r>
      <w:proofErr w:type="spellStart"/>
      <w:r>
        <w:rPr>
          <w:rFonts w:ascii="Times New Roman" w:hAnsi="Times New Roman"/>
          <w:sz w:val="24"/>
          <w:szCs w:val="24"/>
        </w:rPr>
        <w:t>eugenol</w:t>
      </w:r>
      <w:proofErr w:type="spellEnd"/>
      <w:r>
        <w:rPr>
          <w:rFonts w:ascii="Times New Roman" w:hAnsi="Times New Roman"/>
          <w:sz w:val="24"/>
          <w:szCs w:val="24"/>
        </w:rPr>
        <w:t xml:space="preserve"> but to synergistic action among its polyphenols, alkaloids, and volatile oils (</w:t>
      </w:r>
      <w:proofErr w:type="spellStart"/>
      <w:r>
        <w:rPr>
          <w:rFonts w:ascii="Times New Roman" w:hAnsi="Times New Roman"/>
          <w:sz w:val="24"/>
          <w:szCs w:val="24"/>
        </w:rPr>
        <w:t>Yanuarty</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
    <w:p w14:paraId="7321ABCC" w14:textId="77777777" w:rsidR="00714D18" w:rsidRDefault="006E5117">
      <w:pPr>
        <w:rPr>
          <w:rFonts w:ascii="Times New Roman" w:hAnsi="Times New Roman"/>
          <w:sz w:val="24"/>
          <w:szCs w:val="24"/>
        </w:rPr>
      </w:pPr>
      <w:r>
        <w:rPr>
          <w:rFonts w:ascii="Times New Roman" w:hAnsi="Times New Roman"/>
          <w:sz w:val="24"/>
          <w:szCs w:val="24"/>
        </w:rPr>
        <w:br w:type="page"/>
      </w:r>
    </w:p>
    <w:p w14:paraId="6DC89463" w14:textId="77777777" w:rsidR="00714D18" w:rsidRDefault="006E5117">
      <w:pPr>
        <w:pStyle w:val="Heading1"/>
        <w:spacing w:line="240" w:lineRule="auto"/>
        <w:ind w:left="2160" w:firstLine="720"/>
      </w:pPr>
      <w:bookmarkStart w:id="26" w:name="_Toc12238"/>
      <w:r>
        <w:t>CHAPTER THREE</w:t>
      </w:r>
      <w:bookmarkEnd w:id="26"/>
    </w:p>
    <w:p w14:paraId="42F18DBB" w14:textId="77777777" w:rsidR="00714D18" w:rsidRDefault="006E5117">
      <w:pPr>
        <w:pStyle w:val="Heading1"/>
        <w:spacing w:line="240" w:lineRule="auto"/>
      </w:pPr>
      <w:bookmarkStart w:id="27" w:name="_Toc19633"/>
      <w:r>
        <w:t>3.0 MATERIALS AND METHODS</w:t>
      </w:r>
      <w:bookmarkEnd w:id="27"/>
    </w:p>
    <w:p w14:paraId="47D70AD6" w14:textId="77777777" w:rsidR="00714D18" w:rsidRDefault="006E5117">
      <w:pPr>
        <w:pStyle w:val="Heading2"/>
        <w:spacing w:line="240" w:lineRule="auto"/>
      </w:pPr>
      <w:bookmarkStart w:id="28" w:name="_Toc31224"/>
      <w:r>
        <w:t>3.1 Materials</w:t>
      </w:r>
      <w:bookmarkEnd w:id="28"/>
    </w:p>
    <w:p w14:paraId="1FC78DA9" w14:textId="77777777" w:rsidR="00714D18" w:rsidRDefault="006E5117">
      <w:pPr>
        <w:pStyle w:val="Heading2"/>
        <w:spacing w:line="240" w:lineRule="auto"/>
      </w:pPr>
      <w:bookmarkStart w:id="29" w:name="_Toc15168"/>
      <w:r>
        <w:t>3.1.1 Plant Materials</w:t>
      </w:r>
      <w:bookmarkEnd w:id="29"/>
      <w:r>
        <w:t xml:space="preserve">  </w:t>
      </w:r>
    </w:p>
    <w:p w14:paraId="45923EAC" w14:textId="77777777" w:rsidR="00714D18" w:rsidRDefault="006E5117">
      <w:pPr>
        <w:spacing w:line="48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was purchased from Mandate Market in Ilorin, Kwara State. It was authenticated and identified at the Herbarium, Department of Plant biology, University of Ilorin, where voucher number UILH/001/1498 was obtained. </w:t>
      </w:r>
    </w:p>
    <w:p w14:paraId="167B21C1" w14:textId="77777777" w:rsidR="00714D18" w:rsidRDefault="006E5117">
      <w:pPr>
        <w:pStyle w:val="Heading2"/>
        <w:spacing w:line="240" w:lineRule="auto"/>
      </w:pPr>
      <w:bookmarkStart w:id="30" w:name="_Toc23870"/>
      <w:r>
        <w:t>3.1.2 Experimental Animal</w:t>
      </w:r>
      <w:bookmarkEnd w:id="30"/>
      <w:r>
        <w:t xml:space="preserve">  </w:t>
      </w:r>
    </w:p>
    <w:p w14:paraId="0CCAB7B7"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14:paraId="57F6AFB6" w14:textId="77777777" w:rsidR="00714D18" w:rsidRDefault="006E5117">
      <w:pPr>
        <w:pStyle w:val="Heading2"/>
        <w:spacing w:line="240" w:lineRule="auto"/>
      </w:pPr>
      <w:bookmarkStart w:id="31" w:name="_Toc16950"/>
      <w:r>
        <w:t>3.1.3 Reagents and Kits</w:t>
      </w:r>
      <w:bookmarkEnd w:id="31"/>
      <w:r>
        <w:t xml:space="preserve">  </w:t>
      </w:r>
    </w:p>
    <w:p w14:paraId="2DBFB6DB" w14:textId="77777777" w:rsidR="00714D18" w:rsidRDefault="006E5117">
      <w:pPr>
        <w:spacing w:line="480" w:lineRule="auto"/>
        <w:jc w:val="both"/>
        <w:rPr>
          <w:rFonts w:ascii="Times New Roman" w:hAnsi="Times New Roman" w:cs="Times New Roman"/>
          <w:b/>
          <w:bCs/>
          <w:sz w:val="24"/>
          <w:szCs w:val="24"/>
        </w:rPr>
      </w:pPr>
      <w:proofErr w:type="spellStart"/>
      <w:r>
        <w:rPr>
          <w:rFonts w:ascii="Times New Roman" w:hAnsi="Times New Roman" w:cs="Times New Roman"/>
          <w:sz w:val="24"/>
          <w:szCs w:val="24"/>
        </w:rPr>
        <w:t>Seroxat</w:t>
      </w:r>
      <w:proofErr w:type="spellEnd"/>
      <w:r>
        <w:rPr>
          <w:rFonts w:ascii="Times New Roman" w:hAnsi="Times New Roman" w:cs="Times New Roman"/>
          <w:sz w:val="24"/>
          <w:szCs w:val="24"/>
        </w:rPr>
        <w:t xml:space="preserve"> (paroxetine) was purchased from General Drug Pharmacy, Ilorin. obtained from </w:t>
      </w:r>
      <w:proofErr w:type="spellStart"/>
      <w:r>
        <w:rPr>
          <w:rFonts w:ascii="Times New Roman" w:hAnsi="Times New Roman" w:cs="Times New Roman"/>
          <w:sz w:val="24"/>
          <w:szCs w:val="24"/>
        </w:rPr>
        <w:t>Elab</w:t>
      </w:r>
      <w:proofErr w:type="spellEnd"/>
      <w:r>
        <w:rPr>
          <w:rFonts w:ascii="Times New Roman" w:hAnsi="Times New Roman" w:cs="Times New Roman"/>
          <w:sz w:val="24"/>
          <w:szCs w:val="24"/>
        </w:rPr>
        <w:t xml:space="preserve"> Scientifics, epinephrine, DTNB (</w:t>
      </w:r>
      <w:proofErr w:type="spellStart"/>
      <w:r>
        <w:rPr>
          <w:rFonts w:ascii="Times New Roman" w:hAnsi="Times New Roman" w:cs="Times New Roman"/>
          <w:sz w:val="24"/>
          <w:szCs w:val="24"/>
        </w:rPr>
        <w:t>Ellman’s</w:t>
      </w:r>
      <w:proofErr w:type="spellEnd"/>
      <w:r>
        <w:rPr>
          <w:rFonts w:ascii="Times New Roman" w:hAnsi="Times New Roman" w:cs="Times New Roman"/>
          <w:sz w:val="24"/>
          <w:szCs w:val="24"/>
        </w:rPr>
        <w:t xml:space="preserve"> Reagent) (5,5-dithio-bis-2-nitrobenzoic acid) and glucose from Sigma. The assay kits for High Density </w:t>
      </w:r>
      <w:proofErr w:type="spellStart"/>
      <w:r>
        <w:rPr>
          <w:rFonts w:ascii="Times New Roman" w:hAnsi="Times New Roman" w:cs="Times New Roman"/>
          <w:sz w:val="24"/>
          <w:szCs w:val="24"/>
        </w:rPr>
        <w:t>Lipoproten</w:t>
      </w:r>
      <w:proofErr w:type="spellEnd"/>
      <w:r>
        <w:rPr>
          <w:rFonts w:ascii="Times New Roman" w:hAnsi="Times New Roman" w:cs="Times New Roman"/>
          <w:sz w:val="24"/>
          <w:szCs w:val="24"/>
        </w:rPr>
        <w:t xml:space="preserve"> (HDL), total cholesterol, triglyceride, were products of </w:t>
      </w:r>
      <w:proofErr w:type="spellStart"/>
      <w:r>
        <w:rPr>
          <w:rFonts w:ascii="Times New Roman" w:hAnsi="Times New Roman" w:cs="Times New Roman"/>
          <w:sz w:val="24"/>
          <w:szCs w:val="24"/>
        </w:rPr>
        <w:t>Randox</w:t>
      </w:r>
      <w:proofErr w:type="spellEnd"/>
      <w:r>
        <w:rPr>
          <w:rFonts w:ascii="Times New Roman" w:hAnsi="Times New Roman" w:cs="Times New Roman"/>
          <w:sz w:val="24"/>
          <w:szCs w:val="24"/>
        </w:rPr>
        <w:t xml:space="preserve"> Laboratories Ltd., Co-Antrim, UK. Other reagents to be used were of analytical grade.</w:t>
      </w:r>
    </w:p>
    <w:p w14:paraId="2ED6ABF4" w14:textId="77777777" w:rsidR="00714D18" w:rsidRDefault="006E5117">
      <w:pPr>
        <w:pStyle w:val="Heading2"/>
        <w:spacing w:line="240" w:lineRule="auto"/>
      </w:pPr>
      <w:bookmarkStart w:id="32" w:name="_Toc32038"/>
      <w:r>
        <w:t>3.2 Methods</w:t>
      </w:r>
      <w:bookmarkEnd w:id="32"/>
    </w:p>
    <w:p w14:paraId="7C8F728C" w14:textId="77777777" w:rsidR="00714D18" w:rsidRDefault="006E5117">
      <w:pPr>
        <w:pStyle w:val="Heading2"/>
        <w:spacing w:line="240" w:lineRule="auto"/>
      </w:pPr>
      <w:bookmarkStart w:id="33" w:name="_Toc28352"/>
      <w:r>
        <w:t>3.2.1 Preparation of Clove Extract</w:t>
      </w:r>
      <w:bookmarkEnd w:id="33"/>
    </w:p>
    <w:p w14:paraId="262A6CEE" w14:textId="77777777" w:rsidR="00714D18" w:rsidRDefault="006E5117">
      <w:pPr>
        <w:spacing w:line="48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aqueous extract was prepared using the method 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(2012) with slight modifications. Briefly, approximately 150 g crude powder was mixed in 1.5 L distilled water, and the mixture was left over night with shaking. The mixture was then filtered and freeze-dried to obtain brown flakes which were pulverized into powder and stored for the research.</w:t>
      </w:r>
    </w:p>
    <w:p w14:paraId="44A1BAE8" w14:textId="77777777" w:rsidR="00714D18" w:rsidRDefault="00714D18">
      <w:pPr>
        <w:spacing w:line="480" w:lineRule="auto"/>
        <w:jc w:val="both"/>
        <w:rPr>
          <w:rFonts w:ascii="Times New Roman" w:hAnsi="Times New Roman" w:cs="Times New Roman"/>
          <w:b/>
          <w:bCs/>
          <w:sz w:val="24"/>
          <w:szCs w:val="24"/>
        </w:rPr>
      </w:pPr>
    </w:p>
    <w:p w14:paraId="0B8C24F6" w14:textId="77777777" w:rsidR="00714D18" w:rsidRDefault="006E5117">
      <w:pPr>
        <w:pStyle w:val="Heading2"/>
        <w:spacing w:line="240" w:lineRule="auto"/>
      </w:pPr>
      <w:bookmarkStart w:id="34" w:name="_Toc21219"/>
      <w:r>
        <w:t>3.2.2 Experimental Design</w:t>
      </w:r>
      <w:bookmarkEnd w:id="34"/>
    </w:p>
    <w:p w14:paraId="1A729A35"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w:t>
      </w:r>
      <w:proofErr w:type="spellStart"/>
      <w:r>
        <w:rPr>
          <w:rFonts w:ascii="Times New Roman" w:hAnsi="Times New Roman" w:cs="Times New Roman"/>
          <w:sz w:val="24"/>
          <w:szCs w:val="24"/>
        </w:rPr>
        <w:t>Wistar</w:t>
      </w:r>
      <w:proofErr w:type="spellEnd"/>
      <w:r>
        <w:rPr>
          <w:rFonts w:ascii="Times New Roman" w:hAnsi="Times New Roman" w:cs="Times New Roman"/>
          <w:sz w:val="24"/>
          <w:szCs w:val="24"/>
        </w:rPr>
        <w:t xml:space="preserve"> rats were randomly assigned to five groups, each consisting of five rats. They were treated as follows:</w:t>
      </w:r>
    </w:p>
    <w:p w14:paraId="39929681"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14:paraId="47A4B5FE"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14:paraId="14E6B707"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14:paraId="720854A4"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aqueous extract (SAAE).</w:t>
      </w:r>
    </w:p>
    <w:p w14:paraId="44A41442"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14:paraId="65AA0B68" w14:textId="77777777" w:rsidR="00714D18" w:rsidRDefault="006E5117">
      <w:pPr>
        <w:pStyle w:val="Heading2"/>
        <w:spacing w:line="240" w:lineRule="auto"/>
      </w:pPr>
      <w:bookmarkStart w:id="35" w:name="_Toc23318"/>
      <w:r>
        <w:t>3.2.3 Induction of Erectile Dysfunction</w:t>
      </w:r>
      <w:bookmarkEnd w:id="35"/>
    </w:p>
    <w:p w14:paraId="4784700B" w14:textId="77777777" w:rsidR="00714D18" w:rsidRDefault="006E5117">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Erectile dysfunction was induced using the method described by </w:t>
      </w:r>
      <w:proofErr w:type="spellStart"/>
      <w:r>
        <w:rPr>
          <w:rFonts w:ascii="Times New Roman" w:hAnsi="Times New Roman" w:cs="Times New Roman"/>
          <w:sz w:val="24"/>
          <w:szCs w:val="24"/>
        </w:rPr>
        <w:t>Muritala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Bewaji</w:t>
      </w:r>
      <w:proofErr w:type="spellEnd"/>
      <w:r>
        <w:rPr>
          <w:rFonts w:ascii="Times New Roman" w:hAnsi="Times New Roman" w:cs="Times New Roman"/>
          <w:sz w:val="24"/>
          <w:szCs w:val="24"/>
        </w:rPr>
        <w:t xml:space="preserve">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14:paraId="3ECB38FA" w14:textId="77777777" w:rsidR="00714D18" w:rsidRDefault="006E5117">
      <w:pPr>
        <w:pStyle w:val="Heading2"/>
        <w:spacing w:line="240" w:lineRule="auto"/>
      </w:pPr>
      <w:bookmarkStart w:id="36" w:name="_Toc18007"/>
      <w:r>
        <w:t>3.2.4 Determination of Body-Organ Weight Ratio</w:t>
      </w:r>
      <w:bookmarkEnd w:id="36"/>
    </w:p>
    <w:p w14:paraId="1555A6A4"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For assessment of possible changes in the organ sizes after induction of erectile dysfunction and administration of the extract, the animals were weighed before sacrifice. After sacrifice, their hearts and penises were excised, blotted in tissue paper to remove blood and water, and weighed for determination of hearts-body and penises-body weight ratios (</w:t>
      </w:r>
      <w:proofErr w:type="spellStart"/>
      <w:r>
        <w:rPr>
          <w:rFonts w:ascii="Times New Roman" w:hAnsi="Times New Roman" w:cs="Times New Roman"/>
          <w:sz w:val="24"/>
          <w:szCs w:val="24"/>
        </w:rPr>
        <w:t>Yakubu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14:paraId="11E69090" w14:textId="77777777" w:rsidR="00714D18" w:rsidRDefault="00714D18">
      <w:pPr>
        <w:spacing w:line="480" w:lineRule="auto"/>
        <w:jc w:val="both"/>
        <w:rPr>
          <w:rFonts w:ascii="Times New Roman" w:hAnsi="Times New Roman" w:cs="Times New Roman"/>
          <w:b/>
          <w:bCs/>
          <w:sz w:val="24"/>
          <w:szCs w:val="24"/>
        </w:rPr>
      </w:pPr>
    </w:p>
    <w:p w14:paraId="55449384" w14:textId="77777777" w:rsidR="00714D18" w:rsidRDefault="006E5117">
      <w:pPr>
        <w:pStyle w:val="Heading2"/>
      </w:pPr>
      <w:bookmarkStart w:id="37" w:name="_Toc21493"/>
      <w:r>
        <w:t>3.2.5 Determination of Phosphodiesterase 5 Activity</w:t>
      </w:r>
      <w:bookmarkEnd w:id="37"/>
    </w:p>
    <w:p w14:paraId="42DC196D"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Penile phosphodiesterase 5 (PDE5) activity was measured using the Butcher and Sutherland (1962) method. Concisely, the samples (penis homogenates) were incubated with cGMP, which served as the substrate, followed by spectrophotometric detection of the reaction product. The enzymatic activity was then estimated using the following equation:</w:t>
      </w:r>
    </w:p>
    <w:p w14:paraId="10C848B6" w14:textId="77777777" w:rsidR="00714D18" w:rsidRDefault="006E5117">
      <w:pPr>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EA = </w:t>
      </w:r>
      <m:oMath>
        <m:f>
          <m:fPr>
            <m:ctrlPr>
              <w:rPr>
                <w:rFonts w:ascii="Cambria Math" w:hAnsi="Cambria Math" w:cs="Times New Roman"/>
                <w:iCs/>
                <w:sz w:val="24"/>
                <w:szCs w:val="24"/>
              </w:rPr>
            </m:ctrlPr>
          </m:fPr>
          <m:num>
            <m:r>
              <m:rPr>
                <m:sty m:val="p"/>
              </m:rPr>
              <w:rPr>
                <w:rFonts w:ascii="Cambria Math" w:hAnsi="Cambria Math" w:cs="Times New Roman"/>
                <w:sz w:val="24"/>
                <w:szCs w:val="24"/>
              </w:rPr>
              <m:t>VΔC</m:t>
            </m:r>
          </m:num>
          <m:den>
            <m:r>
              <m:rPr>
                <m:sty m:val="p"/>
              </m:rPr>
              <w:rPr>
                <w:rFonts w:ascii="Cambria Math" w:hAnsi="Cambria Math" w:cs="Times New Roman"/>
                <w:sz w:val="24"/>
                <w:szCs w:val="24"/>
              </w:rPr>
              <m:t>V3</m:t>
            </m:r>
          </m:den>
        </m:f>
      </m:oMath>
      <w:r>
        <w:rPr>
          <w:rFonts w:ascii="Times New Roman" w:hAnsi="Times New Roman" w:cs="Times New Roman"/>
          <w:iCs/>
          <w:sz w:val="24"/>
          <w:szCs w:val="24"/>
        </w:rPr>
        <w:t xml:space="preserve"> (units/mL)</w:t>
      </w:r>
    </w:p>
    <w:p w14:paraId="6E9A26FC" w14:textId="77777777" w:rsidR="00714D18" w:rsidRDefault="006E5117">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14:paraId="2AD68C95" w14:textId="77777777" w:rsidR="00714D18" w:rsidRDefault="006E5117">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14:paraId="03DBED59" w14:textId="77777777" w:rsidR="00714D18" w:rsidRDefault="006E5117">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14:paraId="272D322B" w14:textId="77777777" w:rsidR="00714D18" w:rsidRDefault="006E5117">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14:paraId="0BEA765D" w14:textId="77777777" w:rsidR="00714D18" w:rsidRDefault="006E5117">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minutes)</w:t>
      </w:r>
    </w:p>
    <w:p w14:paraId="3CCB7FFD" w14:textId="77777777" w:rsidR="00714D18" w:rsidRDefault="006E5117">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14:paraId="65F9DB35" w14:textId="77777777" w:rsidR="00714D18" w:rsidRDefault="006E5117">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14:paraId="3D5B7957" w14:textId="77777777" w:rsidR="00714D18" w:rsidRDefault="006E5117">
      <w:pPr>
        <w:pStyle w:val="Heading2"/>
        <w:spacing w:line="240" w:lineRule="auto"/>
      </w:pPr>
      <w:bookmarkStart w:id="38" w:name="_Toc27686"/>
      <w:bookmarkStart w:id="39" w:name="_Hlk202822397"/>
      <w:r>
        <w:t>3.2.6 Determination of Penile Nitric Oxide Concentrations</w:t>
      </w:r>
      <w:bookmarkEnd w:id="38"/>
    </w:p>
    <w:p w14:paraId="794AC675"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xml:space="preserve">. (1982). This assay involved the reaction of nitrate and nitrite with </w:t>
      </w:r>
      <w:proofErr w:type="spellStart"/>
      <w:r>
        <w:rPr>
          <w:rFonts w:ascii="Times New Roman" w:hAnsi="Times New Roman" w:cs="Times New Roman"/>
          <w:sz w:val="24"/>
          <w:szCs w:val="24"/>
        </w:rPr>
        <w:t>Griess</w:t>
      </w:r>
      <w:proofErr w:type="spellEnd"/>
      <w:r>
        <w:rPr>
          <w:rFonts w:ascii="Times New Roman" w:hAnsi="Times New Roman" w:cs="Times New Roman"/>
          <w:sz w:val="24"/>
          <w:szCs w:val="24"/>
        </w:rPr>
        <w:t xml:space="preserve"> reagent to form a colored complex, which was quantified </w:t>
      </w:r>
      <w:proofErr w:type="spellStart"/>
      <w:r>
        <w:rPr>
          <w:rFonts w:ascii="Times New Roman" w:hAnsi="Times New Roman" w:cs="Times New Roman"/>
          <w:sz w:val="24"/>
          <w:szCs w:val="24"/>
        </w:rPr>
        <w:t>spectrophotometrically</w:t>
      </w:r>
      <w:proofErr w:type="spellEnd"/>
      <w:r>
        <w:rPr>
          <w:rFonts w:ascii="Times New Roman" w:hAnsi="Times New Roman" w:cs="Times New Roman"/>
          <w:sz w:val="24"/>
          <w:szCs w:val="24"/>
        </w:rPr>
        <w:t>. The nitric oxide concentration was determined based on standard calibration curve.</w:t>
      </w:r>
    </w:p>
    <w:p w14:paraId="44AC7E20" w14:textId="77777777" w:rsidR="00714D18" w:rsidRDefault="006E5117">
      <w:pPr>
        <w:pStyle w:val="Heading2"/>
        <w:spacing w:line="240" w:lineRule="auto"/>
      </w:pPr>
      <w:bookmarkStart w:id="40" w:name="_Toc4838"/>
      <w:r>
        <w:t>3.2.7 Arginase Activity</w:t>
      </w:r>
      <w:bookmarkEnd w:id="40"/>
    </w:p>
    <w:p w14:paraId="286F62A0" w14:textId="77777777" w:rsidR="00714D18" w:rsidRDefault="006E5117">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Arginase activity assay in penile organs was carried out using the method of </w:t>
      </w:r>
      <w:proofErr w:type="spellStart"/>
      <w:r>
        <w:rPr>
          <w:rFonts w:ascii="Times New Roman" w:hAnsi="Times New Roman" w:cs="Times New Roman"/>
          <w:sz w:val="24"/>
          <w:szCs w:val="24"/>
        </w:rPr>
        <w:t>Stickings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eastAsia="Calibri" w:hAnsi="Times New Roman" w:cs="Times New Roman"/>
          <w:sz w:val="24"/>
          <w:szCs w:val="24"/>
        </w:rPr>
        <w:t xml:space="preserve">. In this method, 50µl of the homogenate of each of the organs was measured into an </w:t>
      </w:r>
      <w:proofErr w:type="spellStart"/>
      <w:r>
        <w:rPr>
          <w:rFonts w:ascii="Times New Roman" w:eastAsia="Calibri" w:hAnsi="Times New Roman" w:cs="Times New Roman"/>
          <w:sz w:val="24"/>
          <w:szCs w:val="24"/>
        </w:rPr>
        <w:t>eppenduff</w:t>
      </w:r>
      <w:proofErr w:type="spellEnd"/>
      <w:r>
        <w:rPr>
          <w:rFonts w:ascii="Times New Roman" w:eastAsia="Calibri" w:hAnsi="Times New Roman" w:cs="Times New Roman"/>
          <w:sz w:val="24"/>
          <w:szCs w:val="24"/>
        </w:rPr>
        <w:t xml:space="preserve"> tube, and 200µl of arginase buffer was added to it. The mixture was incubated for 1 </w:t>
      </w:r>
      <w:proofErr w:type="spellStart"/>
      <w:r>
        <w:rPr>
          <w:rFonts w:ascii="Times New Roman" w:eastAsia="Calibri" w:hAnsi="Times New Roman" w:cs="Times New Roman"/>
          <w:sz w:val="24"/>
          <w:szCs w:val="24"/>
        </w:rPr>
        <w:t>hr</w:t>
      </w:r>
      <w:proofErr w:type="spellEnd"/>
      <w:r>
        <w:rPr>
          <w:rFonts w:ascii="Times New Roman" w:eastAsia="Calibri" w:hAnsi="Times New Roman" w:cs="Times New Roman"/>
          <w:sz w:val="24"/>
          <w:szCs w:val="24"/>
        </w:rPr>
        <w:t xml:space="preserve"> at 37</w:t>
      </w:r>
      <w:r>
        <w:rPr>
          <w:rFonts w:ascii="Times New Roman" w:eastAsia="Calibri" w:hAnsi="Times New Roman" w:cs="Times New Roman"/>
          <w:sz w:val="24"/>
          <w:szCs w:val="24"/>
          <w:vertAlign w:val="superscript"/>
        </w:rPr>
        <w:t>o</w:t>
      </w:r>
      <w:r>
        <w:rPr>
          <w:rFonts w:ascii="Times New Roman" w:eastAsia="Calibri" w:hAnsi="Times New Roman" w:cs="Times New Roman"/>
          <w:sz w:val="24"/>
          <w:szCs w:val="24"/>
        </w:rPr>
        <w:t xml:space="preserve">C, after which 100µl of 0.5 M </w:t>
      </w:r>
      <w:proofErr w:type="spellStart"/>
      <w:r>
        <w:rPr>
          <w:rFonts w:ascii="Times New Roman" w:eastAsia="Calibri" w:hAnsi="Times New Roman" w:cs="Times New Roman"/>
          <w:sz w:val="24"/>
          <w:szCs w:val="24"/>
        </w:rPr>
        <w:t>hypochloride</w:t>
      </w:r>
      <w:proofErr w:type="spellEnd"/>
      <w:r>
        <w:rPr>
          <w:rFonts w:ascii="Times New Roman" w:eastAsia="Calibri" w:hAnsi="Times New Roman" w:cs="Times New Roman"/>
          <w:sz w:val="24"/>
          <w:szCs w:val="24"/>
        </w:rPr>
        <w:t xml:space="preserve"> was added to it. The mixture was then centrifuged at 8000rpm for 3minutes.  The mixture was thereafter quantified using urea i.e. 100ul of urea reagent was added to 20µl of the supernatant. The absorbance value was taken at 380nm and the concentration of urea is estimated using the following equation:</w:t>
      </w:r>
    </w:p>
    <w:p w14:paraId="54275529" w14:textId="77777777" w:rsidR="00714D18" w:rsidRDefault="006E5117">
      <w:pPr>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Concentration of urea (mg/dl)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Asample ×concentration of standard</m:t>
            </m:r>
          </m:num>
          <m:den>
            <m:r>
              <w:rPr>
                <w:rFonts w:ascii="Cambria Math" w:eastAsia="Calibri" w:hAnsi="Cambria Math" w:cs="Times New Roman"/>
                <w:sz w:val="24"/>
                <w:szCs w:val="24"/>
              </w:rPr>
              <m:t>Astandard</m:t>
            </m:r>
          </m:den>
        </m:f>
      </m:oMath>
      <w:r>
        <w:rPr>
          <w:rFonts w:ascii="Times New Roman" w:eastAsia="Calibri" w:hAnsi="Times New Roman" w:cs="Times New Roman"/>
          <w:sz w:val="24"/>
          <w:szCs w:val="24"/>
        </w:rPr>
        <w:t xml:space="preserve"> </w:t>
      </w:r>
    </w:p>
    <w:p w14:paraId="03FAF937" w14:textId="77777777" w:rsidR="00714D18" w:rsidRDefault="006E5117">
      <w:pPr>
        <w:spacing w:after="200" w:line="480" w:lineRule="auto"/>
        <w:jc w:val="both"/>
        <w:rPr>
          <w:rFonts w:ascii="Times New Roman" w:hAnsi="Times New Roman" w:cs="Times New Roman"/>
          <w:b/>
          <w:bCs/>
          <w:sz w:val="24"/>
          <w:szCs w:val="24"/>
        </w:rPr>
      </w:pPr>
      <w:r>
        <w:rPr>
          <w:rFonts w:ascii="Times New Roman" w:eastAsia="Calibri" w:hAnsi="Times New Roman" w:cs="Times New Roman"/>
          <w:sz w:val="24"/>
          <w:szCs w:val="24"/>
        </w:rPr>
        <w:t>Concentration of standard = 13.1 mg/dl</w:t>
      </w:r>
      <w:bookmarkEnd w:id="39"/>
    </w:p>
    <w:p w14:paraId="4E3754FF" w14:textId="77777777" w:rsidR="00714D18" w:rsidRDefault="006E5117">
      <w:pPr>
        <w:pStyle w:val="Heading2"/>
        <w:spacing w:line="240" w:lineRule="auto"/>
      </w:pPr>
      <w:bookmarkStart w:id="41" w:name="_Toc31072"/>
      <w:r>
        <w:t xml:space="preserve">3.2.8 </w:t>
      </w:r>
      <w:proofErr w:type="spellStart"/>
      <w:r>
        <w:t>Creatine</w:t>
      </w:r>
      <w:proofErr w:type="spellEnd"/>
      <w:r>
        <w:t xml:space="preserve"> Kinase (CK) Activity Assay</w:t>
      </w:r>
      <w:bookmarkEnd w:id="41"/>
      <w:r>
        <w:t xml:space="preserve">  </w:t>
      </w:r>
    </w:p>
    <w:p w14:paraId="3BC4A64F"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Serum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kinase (CK) activity was quantified using the Witt and Trendelenburg (1982) method. The assay measured CK activity based on the enzymatic conversion of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phosphate, with absorbance recorded </w:t>
      </w:r>
      <w:proofErr w:type="spellStart"/>
      <w:r>
        <w:rPr>
          <w:rFonts w:ascii="Times New Roman" w:hAnsi="Times New Roman" w:cs="Times New Roman"/>
          <w:sz w:val="24"/>
          <w:szCs w:val="24"/>
        </w:rPr>
        <w:t>spectrophotometrically</w:t>
      </w:r>
      <w:proofErr w:type="spellEnd"/>
      <w:r>
        <w:rPr>
          <w:rFonts w:ascii="Times New Roman" w:hAnsi="Times New Roman" w:cs="Times New Roman"/>
          <w:sz w:val="24"/>
          <w:szCs w:val="24"/>
        </w:rPr>
        <w:t xml:space="preserve">. The enzyme activity was calculated using the following equation: </w:t>
      </w:r>
    </w:p>
    <w:p w14:paraId="022CFF37" w14:textId="77777777" w:rsidR="00714D18" w:rsidRDefault="006E5117">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kinase (U/l) = 4127 x (</w:t>
      </w:r>
      <w:proofErr w:type="spellStart"/>
      <w:r>
        <w:rPr>
          <w:rFonts w:ascii="Times New Roman" w:hAnsi="Times New Roman" w:cs="Times New Roman"/>
          <w:sz w:val="24"/>
          <w:szCs w:val="24"/>
        </w:rPr>
        <w:t>ΔAbsorbance</w:t>
      </w:r>
      <w:proofErr w:type="spellEnd"/>
      <w:r>
        <w:rPr>
          <w:rFonts w:ascii="Times New Roman" w:hAnsi="Times New Roman" w:cs="Times New Roman"/>
          <w:sz w:val="24"/>
          <w:szCs w:val="24"/>
        </w:rPr>
        <w:t>/minute x dilution factor)</w:t>
      </w:r>
    </w:p>
    <w:p w14:paraId="1347A4A5"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Where 4127 is the standard factor used in preparation of the enzyme kit.</w:t>
      </w:r>
    </w:p>
    <w:p w14:paraId="3E84023E" w14:textId="77777777" w:rsidR="00714D18" w:rsidRDefault="006E5117">
      <w:pPr>
        <w:pStyle w:val="Heading2"/>
        <w:spacing w:line="240" w:lineRule="auto"/>
      </w:pPr>
      <w:bookmarkStart w:id="42" w:name="_Toc31671"/>
      <w:r>
        <w:t>3.2.9 Lipid Profile</w:t>
      </w:r>
      <w:bookmarkEnd w:id="42"/>
    </w:p>
    <w:p w14:paraId="6956ED1F" w14:textId="77777777" w:rsidR="00714D18" w:rsidRDefault="006E5117">
      <w:pPr>
        <w:pStyle w:val="Heading2"/>
        <w:spacing w:line="240" w:lineRule="auto"/>
        <w:rPr>
          <w:rFonts w:cs="Times New Roman"/>
          <w:szCs w:val="24"/>
        </w:rPr>
      </w:pPr>
      <w:bookmarkStart w:id="43" w:name="_Toc16784"/>
      <w:r>
        <w:t>3.2.9.1 Serum Total Cholesterol Concentration</w:t>
      </w:r>
      <w:bookmarkEnd w:id="43"/>
    </w:p>
    <w:p w14:paraId="46D3ADFB" w14:textId="77777777" w:rsidR="00714D18" w:rsidRDefault="006E5117">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37ᵒC for 5min. The absorbance of sample and standard were read against the blank at 546nm. The cholesterol concentration was then calculated using the following equation:</w:t>
      </w:r>
    </w:p>
    <w:p w14:paraId="41C6495B" w14:textId="77777777" w:rsidR="00714D18" w:rsidRDefault="006E5117">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cholesterol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 xml:space="preserve">/L) = </w:t>
      </w:r>
      <m:oMath>
        <m:f>
          <m:fPr>
            <m:ctrlPr>
              <w:rPr>
                <w:rFonts w:ascii="Cambria Math" w:hAnsi="Cambria Math" w:cs="Times New Roman"/>
                <w:i/>
                <w:sz w:val="24"/>
                <w:szCs w:val="24"/>
              </w:rPr>
            </m:ctrlPr>
          </m:fPr>
          <m:num>
            <m:r>
              <w:rPr>
                <w:rFonts w:ascii="Cambria Math" w:hAnsi="Cambria Math" w:cs="Times New Roman"/>
                <w:sz w:val="24"/>
                <w:szCs w:val="24"/>
              </w:rPr>
              <m:t>Asample ×Concentration of Standard</m:t>
            </m:r>
          </m:num>
          <m:den>
            <m:r>
              <w:rPr>
                <w:rFonts w:ascii="Cambria Math" w:hAnsi="Cambria Math" w:cs="Times New Roman"/>
                <w:sz w:val="24"/>
                <w:szCs w:val="24"/>
              </w:rPr>
              <m:t>Astandard</m:t>
            </m:r>
          </m:den>
        </m:f>
      </m:oMath>
      <w:r>
        <w:rPr>
          <w:rFonts w:ascii="Times New Roman" w:hAnsi="Times New Roman" w:cs="Times New Roman"/>
          <w:sz w:val="24"/>
          <w:szCs w:val="24"/>
        </w:rPr>
        <w:t xml:space="preserve"> </w:t>
      </w:r>
    </w:p>
    <w:p w14:paraId="6EF8F35C" w14:textId="77777777" w:rsidR="00714D18" w:rsidRDefault="006E51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standard = 5.10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14:paraId="5F9CFF50" w14:textId="77777777" w:rsidR="00714D18" w:rsidRDefault="00714D18">
      <w:pPr>
        <w:spacing w:line="360" w:lineRule="auto"/>
        <w:jc w:val="both"/>
        <w:rPr>
          <w:rFonts w:ascii="Times New Roman" w:hAnsi="Times New Roman" w:cs="Times New Roman"/>
          <w:b/>
          <w:sz w:val="24"/>
          <w:szCs w:val="24"/>
        </w:rPr>
      </w:pPr>
    </w:p>
    <w:p w14:paraId="24FB99AC" w14:textId="77777777" w:rsidR="00714D18" w:rsidRDefault="006E5117">
      <w:pPr>
        <w:pStyle w:val="Heading2"/>
        <w:spacing w:line="240" w:lineRule="auto"/>
      </w:pPr>
      <w:bookmarkStart w:id="44" w:name="_Toc32472"/>
      <w:r>
        <w:t>3.2.9.2 Triglycerides concentration</w:t>
      </w:r>
      <w:bookmarkEnd w:id="44"/>
    </w:p>
    <w:p w14:paraId="63432DC1" w14:textId="77777777" w:rsidR="00714D18" w:rsidRDefault="006E5117">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w:t>
      </w:r>
      <w:proofErr w:type="spellStart"/>
      <w:r>
        <w:rPr>
          <w:rFonts w:ascii="Times New Roman" w:hAnsi="Times New Roman" w:cs="Times New Roman"/>
          <w:sz w:val="24"/>
          <w:szCs w:val="24"/>
        </w:rPr>
        <w:t>Hainline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w:t>
      </w:r>
      <w:proofErr w:type="spellStart"/>
      <w:r>
        <w:rPr>
          <w:rFonts w:ascii="Times New Roman" w:hAnsi="Times New Roman" w:cs="Times New Roman"/>
          <w:sz w:val="24"/>
          <w:szCs w:val="24"/>
        </w:rPr>
        <w:t>glycerokinase</w:t>
      </w:r>
      <w:proofErr w:type="spellEnd"/>
      <w:r>
        <w:rPr>
          <w:rFonts w:ascii="Times New Roman" w:hAnsi="Times New Roman" w:cs="Times New Roman"/>
          <w:sz w:val="24"/>
          <w:szCs w:val="24"/>
        </w:rPr>
        <w:t>, glyceryl-3-phosphate oxidase and peroxidase were added to each test tube. The solution was mixed, left undisturbed for 10min at room temperature (20-25 0 C). The absorbance of sample and standard was measured against the blank within 60 min at 500nm. The triglycerides were then estimated using the equation below:</w:t>
      </w:r>
    </w:p>
    <w:p w14:paraId="233F2FE3" w14:textId="77777777" w:rsidR="00714D18" w:rsidRDefault="006E5117">
      <w:pPr>
        <w:tabs>
          <w:tab w:val="left" w:pos="0"/>
          <w:tab w:val="left" w:pos="720"/>
          <w:tab w:val="left" w:pos="5040"/>
          <w:tab w:val="left" w:pos="6390"/>
          <w:tab w:val="left" w:pos="747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14:paraId="4A1CEB16" w14:textId="77777777" w:rsidR="00714D18" w:rsidRDefault="006E5117">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TG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 xml:space="preserve">/L) = </w:t>
      </w:r>
      <m:oMath>
        <m:f>
          <m:fPr>
            <m:ctrlPr>
              <w:rPr>
                <w:rFonts w:ascii="Cambria Math" w:hAnsi="Cambria Math" w:cs="Times New Roman"/>
                <w:i/>
                <w:sz w:val="24"/>
                <w:szCs w:val="24"/>
              </w:rPr>
            </m:ctrlPr>
          </m:fPr>
          <m:num>
            <m:r>
              <w:rPr>
                <w:rFonts w:ascii="Cambria Math" w:hAnsi="Cambria Math" w:cs="Times New Roman"/>
                <w:sz w:val="24"/>
                <w:szCs w:val="24"/>
              </w:rPr>
              <m:t>Asample ×Concentration of Standard</m:t>
            </m:r>
          </m:num>
          <m:den>
            <m:r>
              <w:rPr>
                <w:rFonts w:ascii="Cambria Math" w:hAnsi="Cambria Math" w:cs="Times New Roman"/>
                <w:sz w:val="24"/>
                <w:szCs w:val="24"/>
              </w:rPr>
              <m:t>Astandard</m:t>
            </m:r>
          </m:den>
        </m:f>
      </m:oMath>
    </w:p>
    <w:p w14:paraId="527379BE" w14:textId="77777777" w:rsidR="00714D18" w:rsidRDefault="006E5117">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standard = 2.21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14:paraId="33124431" w14:textId="77777777" w:rsidR="00714D18" w:rsidRDefault="006E5117">
      <w:pPr>
        <w:pStyle w:val="Heading2"/>
        <w:spacing w:line="240" w:lineRule="auto"/>
      </w:pPr>
      <w:bookmarkStart w:id="45" w:name="_Toc31284"/>
      <w:r>
        <w:t>3.2.9.3 Serum High Density Lipoprotein-Cholesterol Concentration</w:t>
      </w:r>
      <w:bookmarkEnd w:id="45"/>
    </w:p>
    <w:p w14:paraId="5ECEE14B"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w:t>
      </w:r>
      <w:proofErr w:type="spellStart"/>
      <w:r>
        <w:rPr>
          <w:rFonts w:ascii="Times New Roman" w:hAnsi="Times New Roman" w:cs="Times New Roman"/>
          <w:sz w:val="24"/>
          <w:szCs w:val="24"/>
        </w:rPr>
        <w:t>phosphotungstic</w:t>
      </w:r>
      <w:proofErr w:type="spellEnd"/>
      <w:r>
        <w:rPr>
          <w:rFonts w:ascii="Times New Roman" w:hAnsi="Times New Roman" w:cs="Times New Roman"/>
          <w:sz w:val="24"/>
          <w:szCs w:val="24"/>
        </w:rPr>
        <w:t xml:space="preserve"> acid and magnesium chloride were added to each test tube. The solution was mixed and left undisturbed for 10min at room temperature. This was then centrifuged at 4000 rpm for 10 minutes. The clear supernatant was separated off within two hours and the cholesterol content determined by the CHOD-PAP method earlier described.</w:t>
      </w:r>
    </w:p>
    <w:p w14:paraId="41A5DDC0" w14:textId="77777777" w:rsidR="00714D18" w:rsidRDefault="006E5117">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HDL cholesterol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 xml:space="preserve">/L) = </w:t>
      </w:r>
      <m:oMath>
        <m:f>
          <m:fPr>
            <m:ctrlPr>
              <w:rPr>
                <w:rFonts w:ascii="Cambria Math" w:hAnsi="Cambria Math" w:cs="Times New Roman"/>
                <w:i/>
                <w:sz w:val="24"/>
                <w:szCs w:val="24"/>
              </w:rPr>
            </m:ctrlPr>
          </m:fPr>
          <m:num>
            <m:r>
              <w:rPr>
                <w:rFonts w:ascii="Cambria Math" w:hAnsi="Cambria Math" w:cs="Times New Roman"/>
                <w:sz w:val="24"/>
                <w:szCs w:val="24"/>
              </w:rPr>
              <m:t>Asample ×Concentration of Standard</m:t>
            </m:r>
          </m:num>
          <m:den>
            <m:r>
              <w:rPr>
                <w:rFonts w:ascii="Cambria Math" w:hAnsi="Cambria Math" w:cs="Times New Roman"/>
                <w:sz w:val="24"/>
                <w:szCs w:val="24"/>
              </w:rPr>
              <m:t>Astandard</m:t>
            </m:r>
          </m:den>
        </m:f>
      </m:oMath>
    </w:p>
    <w:p w14:paraId="1338F0FC" w14:textId="77777777" w:rsidR="00714D18" w:rsidRDefault="006E51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standard = 5.10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14:paraId="0A81AC0C" w14:textId="77777777" w:rsidR="00714D18" w:rsidRDefault="00714D18">
      <w:pPr>
        <w:spacing w:line="360" w:lineRule="auto"/>
        <w:jc w:val="both"/>
        <w:rPr>
          <w:rFonts w:ascii="Times New Roman" w:hAnsi="Times New Roman" w:cs="Times New Roman"/>
          <w:sz w:val="24"/>
          <w:szCs w:val="24"/>
        </w:rPr>
      </w:pPr>
    </w:p>
    <w:p w14:paraId="2BB1FA30" w14:textId="77777777" w:rsidR="00714D18" w:rsidRDefault="00714D18">
      <w:pPr>
        <w:spacing w:line="360" w:lineRule="auto"/>
        <w:jc w:val="both"/>
        <w:rPr>
          <w:rFonts w:ascii="Times New Roman" w:hAnsi="Times New Roman" w:cs="Times New Roman"/>
          <w:b/>
          <w:sz w:val="24"/>
          <w:szCs w:val="24"/>
        </w:rPr>
      </w:pPr>
    </w:p>
    <w:p w14:paraId="65D7D542" w14:textId="77777777" w:rsidR="00714D18" w:rsidRDefault="006E5117">
      <w:pPr>
        <w:pStyle w:val="Heading2"/>
        <w:spacing w:line="240" w:lineRule="auto"/>
      </w:pPr>
      <w:bookmarkStart w:id="46" w:name="_Toc3958"/>
      <w:r>
        <w:t>3.2.9.4 Serum Low Density Lipoprotein-Cholesterol Concentration</w:t>
      </w:r>
      <w:bookmarkEnd w:id="46"/>
    </w:p>
    <w:p w14:paraId="241D2C4E" w14:textId="77777777" w:rsidR="00714D18" w:rsidRDefault="006E5117">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(PVS) reaction as described by </w:t>
      </w:r>
      <w:proofErr w:type="spellStart"/>
      <w:r>
        <w:rPr>
          <w:rFonts w:ascii="Times New Roman" w:hAnsi="Times New Roman" w:cs="Times New Roman"/>
          <w:sz w:val="24"/>
          <w:szCs w:val="24"/>
        </w:rPr>
        <w:t>Demacker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(1984).</w:t>
      </w:r>
    </w:p>
    <w:p w14:paraId="0E397253" w14:textId="77777777" w:rsidR="00714D18" w:rsidRDefault="006E5117">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14:paraId="4CE3804A" w14:textId="77777777" w:rsidR="00714D18" w:rsidRDefault="006E5117">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14:paraId="4EBD822E" w14:textId="77777777" w:rsidR="00714D18" w:rsidRDefault="006E5117">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14:paraId="5737FCBF" w14:textId="77777777" w:rsidR="00714D18" w:rsidRDefault="006E5117">
      <w:pPr>
        <w:pStyle w:val="Heading2"/>
        <w:spacing w:line="240" w:lineRule="auto"/>
      </w:pPr>
      <w:bookmarkStart w:id="47" w:name="_Toc5856"/>
      <w:r>
        <w:t xml:space="preserve">3.2.9.5 </w:t>
      </w:r>
      <w:proofErr w:type="spellStart"/>
      <w:r>
        <w:t>Atherogenic</w:t>
      </w:r>
      <w:proofErr w:type="spellEnd"/>
      <w:r>
        <w:t xml:space="preserve"> Index</w:t>
      </w:r>
      <w:bookmarkEnd w:id="47"/>
    </w:p>
    <w:p w14:paraId="19E803A8" w14:textId="77777777" w:rsidR="00714D18" w:rsidRDefault="006E5117">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atherogenic</w:t>
      </w:r>
      <w:proofErr w:type="spellEnd"/>
      <w:r>
        <w:rPr>
          <w:rFonts w:ascii="Times New Roman" w:hAnsi="Times New Roman" w:cs="Times New Roman"/>
          <w:sz w:val="24"/>
          <w:szCs w:val="24"/>
        </w:rPr>
        <w:t xml:space="preserve"> index of each animal was estimated using the method of </w:t>
      </w:r>
      <w:proofErr w:type="spellStart"/>
      <w:r>
        <w:rPr>
          <w:rFonts w:ascii="Times New Roman" w:hAnsi="Times New Roman" w:cs="Times New Roman"/>
          <w:sz w:val="24"/>
          <w:szCs w:val="24"/>
        </w:rPr>
        <w:t>Dobiášová</w:t>
      </w:r>
      <w:proofErr w:type="spellEnd"/>
      <w:r>
        <w:rPr>
          <w:rFonts w:ascii="Times New Roman" w:hAnsi="Times New Roman" w:cs="Times New Roman"/>
          <w:sz w:val="24"/>
          <w:szCs w:val="24"/>
        </w:rPr>
        <w:t xml:space="preserve"> (2006). It is expressed as the logarithmic transformation of the ratio of triglycerides (TG) to high-density lipoprotein cholesterol (HDL-C):</w:t>
      </w:r>
    </w:p>
    <w:p w14:paraId="74E0F675" w14:textId="77777777" w:rsidR="00714D18" w:rsidRDefault="006E5117">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AI = log (</w:t>
      </w:r>
      <m:oMath>
        <m:f>
          <m:fPr>
            <m:ctrlPr>
              <w:rPr>
                <w:rFonts w:ascii="Cambria Math" w:hAnsi="Cambria Math" w:cs="Times New Roman"/>
                <w:iCs/>
                <w:sz w:val="24"/>
                <w:szCs w:val="24"/>
              </w:rPr>
            </m:ctrlPr>
          </m:fPr>
          <m:num>
            <m:r>
              <m:rPr>
                <m:sty m:val="p"/>
              </m:rPr>
              <w:rPr>
                <w:rFonts w:ascii="Cambria Math" w:hAnsi="Cambria Math" w:cs="Times New Roman"/>
                <w:sz w:val="24"/>
                <w:szCs w:val="24"/>
              </w:rPr>
              <m:t>TG</m:t>
            </m:r>
          </m:num>
          <m:den>
            <m:r>
              <m:rPr>
                <m:sty m:val="p"/>
              </m:rPr>
              <w:rPr>
                <w:rFonts w:ascii="Cambria Math" w:hAnsi="Cambria Math" w:cs="Times New Roman"/>
                <w:sz w:val="24"/>
                <w:szCs w:val="24"/>
              </w:rPr>
              <m:t>HDL</m:t>
            </m:r>
          </m:den>
        </m:f>
      </m:oMath>
      <w:r>
        <w:rPr>
          <w:rFonts w:ascii="Times New Roman" w:hAnsi="Times New Roman" w:cs="Times New Roman"/>
          <w:sz w:val="24"/>
          <w:szCs w:val="24"/>
        </w:rPr>
        <w:t>)</w:t>
      </w:r>
    </w:p>
    <w:p w14:paraId="755BC9B5" w14:textId="77777777" w:rsidR="00714D18" w:rsidRDefault="006E5117">
      <w:pPr>
        <w:pStyle w:val="Heading2"/>
        <w:spacing w:line="240" w:lineRule="auto"/>
      </w:pPr>
      <w:bookmarkStart w:id="48" w:name="_Toc21381"/>
      <w:r>
        <w:t>3.2.10 Statistical Analysis</w:t>
      </w:r>
      <w:bookmarkEnd w:id="48"/>
    </w:p>
    <w:p w14:paraId="5D561179" w14:textId="77777777" w:rsidR="00714D18" w:rsidRDefault="006E5117">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obtained were expressed as mean ± standard error of mean (S.E.M.) of three replicates. Graphs were obtained using </w:t>
      </w:r>
      <w:proofErr w:type="spellStart"/>
      <w:r>
        <w:rPr>
          <w:rFonts w:ascii="Times New Roman" w:hAnsi="Times New Roman" w:cs="Times New Roman"/>
          <w:sz w:val="24"/>
          <w:szCs w:val="24"/>
        </w:rPr>
        <w:t>Graphpad</w:t>
      </w:r>
      <w:proofErr w:type="spellEnd"/>
      <w:r>
        <w:rPr>
          <w:rFonts w:ascii="Times New Roman" w:hAnsi="Times New Roman" w:cs="Times New Roman"/>
          <w:sz w:val="24"/>
          <w:szCs w:val="24"/>
        </w:rPr>
        <w:t xml:space="preserve"> prism version 8.0, and one-way analysis of variance (ANOVA) was used for statistical evaluation using Duncan’s </w:t>
      </w:r>
      <w:proofErr w:type="spellStart"/>
      <w:r>
        <w:rPr>
          <w:rFonts w:ascii="Times New Roman" w:hAnsi="Times New Roman" w:cs="Times New Roman"/>
          <w:sz w:val="24"/>
          <w:szCs w:val="24"/>
        </w:rPr>
        <w:t>posthoc</w:t>
      </w:r>
      <w:proofErr w:type="spellEnd"/>
      <w:r>
        <w:rPr>
          <w:rFonts w:ascii="Times New Roman" w:hAnsi="Times New Roman" w:cs="Times New Roman"/>
          <w:sz w:val="24"/>
          <w:szCs w:val="24"/>
        </w:rPr>
        <w:t xml:space="preserve"> test of SPSS for multiple comparisons. Values analyzed were considered statistically significant at p&lt;0.05.</w:t>
      </w:r>
    </w:p>
    <w:p w14:paraId="49E93E60" w14:textId="77777777" w:rsidR="00714D18" w:rsidRDefault="00714D18">
      <w:pPr>
        <w:spacing w:line="480" w:lineRule="auto"/>
        <w:jc w:val="both"/>
        <w:rPr>
          <w:rFonts w:ascii="Times New Roman" w:hAnsi="Times New Roman"/>
          <w:sz w:val="24"/>
          <w:szCs w:val="24"/>
        </w:rPr>
      </w:pPr>
    </w:p>
    <w:p w14:paraId="140AC68A" w14:textId="77777777" w:rsidR="00714D18" w:rsidRDefault="00714D18">
      <w:pPr>
        <w:spacing w:line="480" w:lineRule="auto"/>
        <w:rPr>
          <w:rFonts w:ascii="Times New Roman" w:hAnsi="Times New Roman"/>
          <w:sz w:val="24"/>
          <w:szCs w:val="24"/>
        </w:rPr>
      </w:pPr>
    </w:p>
    <w:p w14:paraId="7C6F518E" w14:textId="77777777" w:rsidR="00714D18" w:rsidRDefault="006E5117">
      <w:pPr>
        <w:rPr>
          <w:rFonts w:ascii="Times New Roman" w:hAnsi="Times New Roman" w:cs="Times New Roman"/>
          <w:sz w:val="24"/>
          <w:szCs w:val="24"/>
        </w:rPr>
      </w:pPr>
      <w:r>
        <w:rPr>
          <w:rFonts w:ascii="Times New Roman" w:hAnsi="Times New Roman" w:cs="Times New Roman"/>
          <w:sz w:val="24"/>
          <w:szCs w:val="24"/>
        </w:rPr>
        <w:br w:type="page"/>
      </w:r>
    </w:p>
    <w:p w14:paraId="5598A1FB" w14:textId="77777777" w:rsidR="00714D18" w:rsidRDefault="006E5117">
      <w:pPr>
        <w:pStyle w:val="Heading1"/>
        <w:spacing w:line="240" w:lineRule="auto"/>
        <w:ind w:left="2160" w:firstLine="720"/>
      </w:pPr>
      <w:bookmarkStart w:id="49" w:name="_Toc27551"/>
      <w:r>
        <w:t>CHAPTER FOUR</w:t>
      </w:r>
      <w:bookmarkEnd w:id="49"/>
    </w:p>
    <w:p w14:paraId="5B8AFB84" w14:textId="77777777" w:rsidR="00714D18" w:rsidRDefault="006E5117">
      <w:pPr>
        <w:pStyle w:val="Heading1"/>
        <w:spacing w:line="240" w:lineRule="auto"/>
      </w:pPr>
      <w:bookmarkStart w:id="50" w:name="_Toc9504"/>
      <w:r>
        <w:t>4.0 RESULTS</w:t>
      </w:r>
      <w:bookmarkEnd w:id="50"/>
    </w:p>
    <w:p w14:paraId="7DDFCEEA" w14:textId="77777777" w:rsidR="00714D18" w:rsidRDefault="006E5117">
      <w:pPr>
        <w:pStyle w:val="Heading2"/>
        <w:spacing w:line="240" w:lineRule="auto"/>
      </w:pPr>
      <w:bookmarkStart w:id="51" w:name="_Toc28506"/>
      <w:r>
        <w:t>4.1 Percentage Yield of the Extract</w:t>
      </w:r>
      <w:bookmarkEnd w:id="51"/>
    </w:p>
    <w:p w14:paraId="0E11F0A8" w14:textId="77777777" w:rsidR="00714D18" w:rsidRDefault="006E5117">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2" w:name="_Hlk203135764"/>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aqueous </w:t>
      </w:r>
      <w:bookmarkEnd w:id="52"/>
      <w:r>
        <w:rPr>
          <w:rFonts w:ascii="Times New Roman" w:hAnsi="Times New Roman" w:cs="Times New Roman"/>
          <w:sz w:val="24"/>
          <w:szCs w:val="24"/>
        </w:rPr>
        <w:t>extract using 500 g of the plant sample, 78 g of extract was obtained.</w:t>
      </w:r>
    </w:p>
    <w:p w14:paraId="614A0411" w14:textId="77777777" w:rsidR="00714D18" w:rsidRDefault="006E5117">
      <w:pPr>
        <w:spacing w:line="480" w:lineRule="auto"/>
        <w:rPr>
          <w:rFonts w:ascii="Times New Roman" w:hAnsi="Times New Roman" w:cs="Times New Roman"/>
          <w:sz w:val="24"/>
          <w:szCs w:val="24"/>
        </w:rPr>
      </w:pPr>
      <w:r>
        <w:rPr>
          <w:rFonts w:ascii="Times New Roman" w:hAnsi="Times New Roman" w:cs="Times New Roman"/>
          <w:sz w:val="24"/>
          <w:szCs w:val="24"/>
        </w:rPr>
        <w:t xml:space="preserve">% Yield = </w:t>
      </w:r>
      <m:oMath>
        <m:f>
          <m:fPr>
            <m:ctrlPr>
              <w:rPr>
                <w:rFonts w:ascii="Cambria Math" w:hAnsi="Cambria Math" w:cs="Times New Roman"/>
                <w:iCs/>
                <w:sz w:val="28"/>
                <w:szCs w:val="28"/>
              </w:rPr>
            </m:ctrlPr>
          </m:fPr>
          <m:num>
            <m:r>
              <m:rPr>
                <m:sty m:val="p"/>
              </m:rPr>
              <w:rPr>
                <w:rFonts w:ascii="Cambria Math" w:hAnsi="Cambria Math" w:cs="Times New Roman"/>
                <w:sz w:val="28"/>
                <w:szCs w:val="28"/>
              </w:rPr>
              <m:t>Weight of Extract</m:t>
            </m:r>
          </m:num>
          <m:den>
            <m:r>
              <m:rPr>
                <m:sty m:val="p"/>
              </m:rPr>
              <w:rPr>
                <w:rFonts w:ascii="Cambria Math" w:hAnsi="Cambria Math" w:cs="Times New Roman"/>
                <w:sz w:val="28"/>
                <w:szCs w:val="28"/>
              </w:rPr>
              <m:t>Weight o Sample</m:t>
            </m:r>
          </m:den>
        </m:f>
      </m:oMath>
      <w:r>
        <w:rPr>
          <w:rFonts w:ascii="Times New Roman" w:hAnsi="Times New Roman" w:cs="Times New Roman"/>
          <w:sz w:val="24"/>
          <w:szCs w:val="24"/>
        </w:rPr>
        <w:t xml:space="preserve"> × 100</w:t>
      </w:r>
    </w:p>
    <w:p w14:paraId="6F8AF25D" w14:textId="77777777" w:rsidR="00714D18" w:rsidRDefault="006E5117">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78 g</m:t>
            </m:r>
          </m:num>
          <m:den>
            <m:r>
              <m:rPr>
                <m:sty m:val="p"/>
              </m:rPr>
              <w:rPr>
                <w:rFonts w:ascii="Cambria Math" w:hAnsi="Cambria Math" w:cs="Times New Roman"/>
                <w:sz w:val="28"/>
                <w:szCs w:val="28"/>
              </w:rPr>
              <m:t>500 g</m:t>
            </m:r>
          </m:den>
        </m:f>
      </m:oMath>
      <w:r>
        <w:rPr>
          <w:rFonts w:ascii="Times New Roman" w:hAnsi="Times New Roman" w:cs="Times New Roman"/>
          <w:sz w:val="24"/>
          <w:szCs w:val="24"/>
        </w:rPr>
        <w:t xml:space="preserve"> × 100</w:t>
      </w:r>
    </w:p>
    <w:p w14:paraId="4080D318" w14:textId="77777777" w:rsidR="00714D18" w:rsidRDefault="006E5117">
      <w:pPr>
        <w:spacing w:line="480" w:lineRule="auto"/>
        <w:ind w:left="420" w:firstLine="420"/>
        <w:rPr>
          <w:rFonts w:ascii="Times New Roman" w:hAnsi="Times New Roman" w:cs="Times New Roman"/>
          <w:sz w:val="24"/>
          <w:szCs w:val="24"/>
        </w:rPr>
      </w:pPr>
      <w:r>
        <w:rPr>
          <w:rFonts w:ascii="Times New Roman" w:hAnsi="Times New Roman" w:cs="Times New Roman"/>
          <w:sz w:val="24"/>
          <w:szCs w:val="24"/>
        </w:rPr>
        <w:t>= 15.6 %</w:t>
      </w:r>
    </w:p>
    <w:p w14:paraId="292F1C8E" w14:textId="77777777" w:rsidR="00714D18" w:rsidRDefault="006E5117">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Therefore, the percentage yield of the </w:t>
      </w:r>
      <w:r>
        <w:rPr>
          <w:rFonts w:ascii="Times New Roman" w:hAnsi="Times New Roman" w:cs="Times New Roman"/>
          <w:i/>
          <w:iCs/>
          <w:sz w:val="24"/>
          <w:szCs w:val="24"/>
        </w:rPr>
        <w:t xml:space="preserve">S. aromatic </w:t>
      </w:r>
      <w:r>
        <w:rPr>
          <w:rFonts w:ascii="Times New Roman" w:hAnsi="Times New Roman" w:cs="Times New Roman"/>
          <w:sz w:val="24"/>
          <w:szCs w:val="24"/>
        </w:rPr>
        <w:t>extract was 15.6 %</w:t>
      </w:r>
    </w:p>
    <w:p w14:paraId="0F674F74" w14:textId="77777777" w:rsidR="00714D18" w:rsidRDefault="006E5117">
      <w:pPr>
        <w:pStyle w:val="Heading2"/>
        <w:spacing w:line="240" w:lineRule="auto"/>
      </w:pPr>
      <w:bookmarkStart w:id="53" w:name="_Toc30697"/>
      <w:r>
        <w:t xml:space="preserve">4.2 Phytochemical Screening of </w:t>
      </w:r>
      <w:proofErr w:type="spellStart"/>
      <w:r>
        <w:t>Syzygium</w:t>
      </w:r>
      <w:proofErr w:type="spellEnd"/>
      <w:r>
        <w:t xml:space="preserve"> </w:t>
      </w:r>
      <w:proofErr w:type="spellStart"/>
      <w:r>
        <w:t>aromaticum</w:t>
      </w:r>
      <w:proofErr w:type="spellEnd"/>
      <w:r>
        <w:t xml:space="preserve"> Aqueous Extract</w:t>
      </w:r>
      <w:bookmarkEnd w:id="53"/>
    </w:p>
    <w:p w14:paraId="095FBCC8" w14:textId="77777777" w:rsidR="00714D18" w:rsidRDefault="006E5117">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aqueous extract (SAAE) revealed the presence of tannins,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xml:space="preserve">, flavonoids, glycosides, alkaloids, phenols and steroids (Table 4.1). However, </w:t>
      </w:r>
      <w:proofErr w:type="spellStart"/>
      <w:r>
        <w:rPr>
          <w:rFonts w:ascii="Times New Roman" w:hAnsi="Times New Roman" w:cs="Times New Roman"/>
          <w:sz w:val="24"/>
          <w:szCs w:val="24"/>
        </w:rPr>
        <w:t>terpenoids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phlobatannins</w:t>
      </w:r>
      <w:proofErr w:type="spellEnd"/>
      <w:r>
        <w:rPr>
          <w:rFonts w:ascii="Times New Roman" w:hAnsi="Times New Roman" w:cs="Times New Roman"/>
          <w:sz w:val="24"/>
          <w:szCs w:val="24"/>
        </w:rPr>
        <w:t xml:space="preserve"> in phytochemical screening were not present.</w:t>
      </w:r>
    </w:p>
    <w:p w14:paraId="38D9FB81" w14:textId="77777777" w:rsidR="00714D18" w:rsidRDefault="00714D18">
      <w:pPr>
        <w:spacing w:line="480" w:lineRule="auto"/>
        <w:rPr>
          <w:rFonts w:ascii="Times New Roman" w:hAnsi="Times New Roman" w:cs="Times New Roman"/>
          <w:b/>
          <w:bCs/>
          <w:sz w:val="24"/>
          <w:szCs w:val="24"/>
        </w:rPr>
      </w:pPr>
    </w:p>
    <w:p w14:paraId="1D925C35" w14:textId="77777777" w:rsidR="00714D18" w:rsidRDefault="006E5117">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4.1: Phytochemical Screening of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aromaticum</w:t>
      </w:r>
      <w:proofErr w:type="spellEnd"/>
      <w:r>
        <w:rPr>
          <w:rFonts w:ascii="Times New Roman" w:hAnsi="Times New Roman" w:cs="Times New Roman"/>
          <w:b/>
          <w:bCs/>
          <w:sz w:val="24"/>
          <w:szCs w:val="24"/>
        </w:rPr>
        <w:t xml:space="preserve"> Aqueous Extract</w:t>
      </w:r>
    </w:p>
    <w:tbl>
      <w:tblPr>
        <w:tblW w:w="0" w:type="auto"/>
        <w:tblLayout w:type="fixed"/>
        <w:tblLook w:val="04A0" w:firstRow="1" w:lastRow="0" w:firstColumn="1" w:lastColumn="0" w:noHBand="0" w:noVBand="1"/>
      </w:tblPr>
      <w:tblGrid>
        <w:gridCol w:w="2880"/>
        <w:gridCol w:w="2880"/>
        <w:gridCol w:w="2880"/>
      </w:tblGrid>
      <w:tr w:rsidR="00714D18" w14:paraId="14756746" w14:textId="77777777">
        <w:tc>
          <w:tcPr>
            <w:tcW w:w="2880" w:type="dxa"/>
            <w:tcBorders>
              <w:top w:val="single" w:sz="8" w:space="0" w:color="auto"/>
            </w:tcBorders>
          </w:tcPr>
          <w:p w14:paraId="12E816A7" w14:textId="77777777" w:rsidR="00714D18" w:rsidRDefault="006E5117">
            <w:pPr>
              <w:pStyle w:val="NormalWeb"/>
              <w:spacing w:beforeAutospacing="0" w:afterAutospacing="0" w:line="216" w:lineRule="atLeast"/>
              <w:jc w:val="center"/>
            </w:pPr>
            <w:r>
              <w:rPr>
                <w:rFonts w:eastAsia="-webkit-standard" w:hint="eastAsia"/>
                <w:b/>
              </w:rPr>
              <w:t>S/N</w:t>
            </w:r>
          </w:p>
        </w:tc>
        <w:tc>
          <w:tcPr>
            <w:tcW w:w="2880" w:type="dxa"/>
            <w:tcBorders>
              <w:top w:val="single" w:sz="8" w:space="0" w:color="auto"/>
            </w:tcBorders>
          </w:tcPr>
          <w:p w14:paraId="6CB9BD63" w14:textId="77777777" w:rsidR="00714D18" w:rsidRDefault="006E5117">
            <w:pPr>
              <w:pStyle w:val="NormalWeb"/>
              <w:spacing w:beforeAutospacing="0" w:afterAutospacing="0" w:line="216" w:lineRule="atLeast"/>
              <w:jc w:val="center"/>
            </w:pPr>
            <w:r>
              <w:rPr>
                <w:rFonts w:eastAsia="-webkit-standard" w:hint="eastAsia"/>
                <w:b/>
              </w:rPr>
              <w:t>Phytochemical Class</w:t>
            </w:r>
          </w:p>
        </w:tc>
        <w:tc>
          <w:tcPr>
            <w:tcW w:w="2880" w:type="dxa"/>
            <w:tcBorders>
              <w:top w:val="single" w:sz="8" w:space="0" w:color="auto"/>
            </w:tcBorders>
          </w:tcPr>
          <w:p w14:paraId="2CA36C10" w14:textId="77777777" w:rsidR="00714D18" w:rsidRDefault="006E5117">
            <w:pPr>
              <w:pStyle w:val="NormalWeb"/>
              <w:spacing w:beforeAutospacing="0" w:afterAutospacing="0" w:line="216" w:lineRule="atLeast"/>
              <w:jc w:val="center"/>
            </w:pPr>
            <w:r>
              <w:rPr>
                <w:rFonts w:eastAsia="-webkit-standard" w:hint="eastAsia"/>
                <w:b/>
              </w:rPr>
              <w:t>Results</w:t>
            </w:r>
          </w:p>
        </w:tc>
      </w:tr>
      <w:tr w:rsidR="00714D18" w14:paraId="7E7C7E9D" w14:textId="77777777">
        <w:tc>
          <w:tcPr>
            <w:tcW w:w="2880" w:type="dxa"/>
            <w:tcBorders>
              <w:top w:val="single" w:sz="8" w:space="0" w:color="auto"/>
            </w:tcBorders>
          </w:tcPr>
          <w:p w14:paraId="7707AA83" w14:textId="77777777" w:rsidR="00714D18" w:rsidRDefault="006E5117">
            <w:pPr>
              <w:pStyle w:val="NormalWeb"/>
              <w:spacing w:beforeAutospacing="0" w:afterAutospacing="0" w:line="216" w:lineRule="atLeast"/>
            </w:pPr>
            <w:r>
              <w:rPr>
                <w:rFonts w:eastAsia="-webkit-standard" w:hint="eastAsia"/>
              </w:rPr>
              <w:t>1</w:t>
            </w:r>
          </w:p>
        </w:tc>
        <w:tc>
          <w:tcPr>
            <w:tcW w:w="2880" w:type="dxa"/>
            <w:tcBorders>
              <w:top w:val="single" w:sz="8" w:space="0" w:color="auto"/>
            </w:tcBorders>
          </w:tcPr>
          <w:p w14:paraId="7C256BBB" w14:textId="77777777" w:rsidR="00714D18" w:rsidRDefault="006E5117">
            <w:pPr>
              <w:pStyle w:val="NormalWeb"/>
              <w:spacing w:beforeAutospacing="0" w:afterAutospacing="0" w:line="216" w:lineRule="atLeast"/>
            </w:pPr>
            <w:r>
              <w:rPr>
                <w:rFonts w:eastAsia="-webkit-standard" w:hint="eastAsia"/>
              </w:rPr>
              <w:t>Tannins</w:t>
            </w:r>
          </w:p>
        </w:tc>
        <w:tc>
          <w:tcPr>
            <w:tcW w:w="2880" w:type="dxa"/>
            <w:tcBorders>
              <w:top w:val="single" w:sz="8" w:space="0" w:color="auto"/>
            </w:tcBorders>
          </w:tcPr>
          <w:p w14:paraId="42A2E6C9" w14:textId="77777777" w:rsidR="00714D18" w:rsidRDefault="006E5117">
            <w:pPr>
              <w:pStyle w:val="NormalWeb"/>
              <w:spacing w:beforeAutospacing="0" w:afterAutospacing="0" w:line="216" w:lineRule="atLeast"/>
              <w:jc w:val="center"/>
            </w:pPr>
            <w:r>
              <w:rPr>
                <w:rFonts w:eastAsia="-webkit-standard" w:hint="eastAsia"/>
              </w:rPr>
              <w:t>+</w:t>
            </w:r>
          </w:p>
        </w:tc>
      </w:tr>
      <w:tr w:rsidR="00714D18" w14:paraId="0EA461B9" w14:textId="77777777">
        <w:tc>
          <w:tcPr>
            <w:tcW w:w="2880" w:type="dxa"/>
          </w:tcPr>
          <w:p w14:paraId="091245D3" w14:textId="77777777" w:rsidR="00714D18" w:rsidRDefault="006E5117">
            <w:pPr>
              <w:pStyle w:val="NormalWeb"/>
              <w:spacing w:beforeAutospacing="0" w:afterAutospacing="0" w:line="216" w:lineRule="atLeast"/>
            </w:pPr>
            <w:r>
              <w:rPr>
                <w:rFonts w:eastAsia="-webkit-standard" w:hint="eastAsia"/>
              </w:rPr>
              <w:t>2</w:t>
            </w:r>
          </w:p>
        </w:tc>
        <w:tc>
          <w:tcPr>
            <w:tcW w:w="2880" w:type="dxa"/>
          </w:tcPr>
          <w:p w14:paraId="1D0D5BA3" w14:textId="77777777" w:rsidR="00714D18" w:rsidRDefault="006E5117">
            <w:pPr>
              <w:pStyle w:val="NormalWeb"/>
              <w:spacing w:beforeAutospacing="0" w:afterAutospacing="0" w:line="216" w:lineRule="atLeast"/>
            </w:pPr>
            <w:proofErr w:type="spellStart"/>
            <w:r>
              <w:rPr>
                <w:rFonts w:eastAsia="-webkit-standard" w:hint="eastAsia"/>
              </w:rPr>
              <w:t>Saponins</w:t>
            </w:r>
            <w:proofErr w:type="spellEnd"/>
          </w:p>
        </w:tc>
        <w:tc>
          <w:tcPr>
            <w:tcW w:w="2880" w:type="dxa"/>
          </w:tcPr>
          <w:p w14:paraId="24814798" w14:textId="77777777" w:rsidR="00714D18" w:rsidRDefault="006E5117">
            <w:pPr>
              <w:pStyle w:val="NormalWeb"/>
              <w:spacing w:beforeAutospacing="0" w:afterAutospacing="0" w:line="216" w:lineRule="atLeast"/>
              <w:jc w:val="center"/>
            </w:pPr>
            <w:r>
              <w:rPr>
                <w:rFonts w:eastAsia="-webkit-standard" w:hint="eastAsia"/>
              </w:rPr>
              <w:t>+</w:t>
            </w:r>
          </w:p>
        </w:tc>
      </w:tr>
      <w:tr w:rsidR="00714D18" w14:paraId="1AB67706" w14:textId="77777777">
        <w:tc>
          <w:tcPr>
            <w:tcW w:w="2880" w:type="dxa"/>
          </w:tcPr>
          <w:p w14:paraId="53459EF8" w14:textId="77777777" w:rsidR="00714D18" w:rsidRDefault="006E5117">
            <w:pPr>
              <w:pStyle w:val="NormalWeb"/>
              <w:spacing w:beforeAutospacing="0" w:afterAutospacing="0" w:line="216" w:lineRule="atLeast"/>
            </w:pPr>
            <w:r>
              <w:rPr>
                <w:rFonts w:eastAsia="-webkit-standard" w:hint="eastAsia"/>
              </w:rPr>
              <w:t>3</w:t>
            </w:r>
          </w:p>
        </w:tc>
        <w:tc>
          <w:tcPr>
            <w:tcW w:w="2880" w:type="dxa"/>
          </w:tcPr>
          <w:p w14:paraId="30F062BE" w14:textId="77777777" w:rsidR="00714D18" w:rsidRDefault="006E5117">
            <w:pPr>
              <w:pStyle w:val="NormalWeb"/>
              <w:spacing w:beforeAutospacing="0" w:afterAutospacing="0" w:line="216" w:lineRule="atLeast"/>
            </w:pPr>
            <w:r>
              <w:rPr>
                <w:rFonts w:eastAsia="-webkit-standard" w:hint="eastAsia"/>
              </w:rPr>
              <w:t>Flavonoids</w:t>
            </w:r>
          </w:p>
        </w:tc>
        <w:tc>
          <w:tcPr>
            <w:tcW w:w="2880" w:type="dxa"/>
          </w:tcPr>
          <w:p w14:paraId="1108D3EA" w14:textId="77777777" w:rsidR="00714D18" w:rsidRDefault="006E5117">
            <w:pPr>
              <w:pStyle w:val="NormalWeb"/>
              <w:spacing w:beforeAutospacing="0" w:afterAutospacing="0" w:line="216" w:lineRule="atLeast"/>
              <w:jc w:val="center"/>
            </w:pPr>
            <w:r>
              <w:rPr>
                <w:rFonts w:eastAsia="-webkit-standard" w:hint="eastAsia"/>
              </w:rPr>
              <w:t>+</w:t>
            </w:r>
          </w:p>
        </w:tc>
      </w:tr>
      <w:tr w:rsidR="00714D18" w14:paraId="1EC281C3" w14:textId="77777777">
        <w:tc>
          <w:tcPr>
            <w:tcW w:w="2880" w:type="dxa"/>
          </w:tcPr>
          <w:p w14:paraId="6500F1CD" w14:textId="77777777" w:rsidR="00714D18" w:rsidRDefault="006E5117">
            <w:pPr>
              <w:pStyle w:val="NormalWeb"/>
              <w:spacing w:beforeAutospacing="0" w:afterAutospacing="0" w:line="216" w:lineRule="atLeast"/>
            </w:pPr>
            <w:r>
              <w:rPr>
                <w:rFonts w:eastAsia="-webkit-standard" w:hint="eastAsia"/>
              </w:rPr>
              <w:t>4</w:t>
            </w:r>
          </w:p>
        </w:tc>
        <w:tc>
          <w:tcPr>
            <w:tcW w:w="2880" w:type="dxa"/>
          </w:tcPr>
          <w:p w14:paraId="70493065" w14:textId="77777777" w:rsidR="00714D18" w:rsidRDefault="006E5117">
            <w:pPr>
              <w:pStyle w:val="NormalWeb"/>
              <w:spacing w:beforeAutospacing="0" w:afterAutospacing="0" w:line="216" w:lineRule="atLeast"/>
            </w:pPr>
            <w:proofErr w:type="spellStart"/>
            <w:r>
              <w:rPr>
                <w:rFonts w:eastAsia="-webkit-standard" w:hint="eastAsia"/>
              </w:rPr>
              <w:t>Terpenoids</w:t>
            </w:r>
            <w:proofErr w:type="spellEnd"/>
          </w:p>
        </w:tc>
        <w:tc>
          <w:tcPr>
            <w:tcW w:w="2880" w:type="dxa"/>
          </w:tcPr>
          <w:p w14:paraId="42D27440" w14:textId="77777777" w:rsidR="00714D18" w:rsidRDefault="006E5117">
            <w:pPr>
              <w:pStyle w:val="NormalWeb"/>
              <w:spacing w:beforeAutospacing="0" w:afterAutospacing="0" w:line="216" w:lineRule="atLeast"/>
              <w:jc w:val="center"/>
            </w:pPr>
            <w:r>
              <w:rPr>
                <w:rFonts w:eastAsia="-webkit-standard" w:hint="eastAsia"/>
              </w:rPr>
              <w:t>-</w:t>
            </w:r>
          </w:p>
        </w:tc>
      </w:tr>
      <w:tr w:rsidR="00714D18" w14:paraId="2F733A47" w14:textId="77777777">
        <w:tc>
          <w:tcPr>
            <w:tcW w:w="2880" w:type="dxa"/>
          </w:tcPr>
          <w:p w14:paraId="26F8C665" w14:textId="77777777" w:rsidR="00714D18" w:rsidRDefault="006E5117">
            <w:pPr>
              <w:pStyle w:val="NormalWeb"/>
              <w:spacing w:beforeAutospacing="0" w:afterAutospacing="0" w:line="216" w:lineRule="atLeast"/>
            </w:pPr>
            <w:r>
              <w:rPr>
                <w:rFonts w:eastAsia="-webkit-standard" w:hint="eastAsia"/>
              </w:rPr>
              <w:t>5</w:t>
            </w:r>
          </w:p>
        </w:tc>
        <w:tc>
          <w:tcPr>
            <w:tcW w:w="2880" w:type="dxa"/>
          </w:tcPr>
          <w:p w14:paraId="30DFDF25" w14:textId="77777777" w:rsidR="00714D18" w:rsidRDefault="006E5117">
            <w:pPr>
              <w:pStyle w:val="NormalWeb"/>
              <w:spacing w:beforeAutospacing="0" w:afterAutospacing="0" w:line="216" w:lineRule="atLeast"/>
            </w:pPr>
            <w:r>
              <w:rPr>
                <w:rFonts w:eastAsia="-webkit-standard" w:hint="eastAsia"/>
              </w:rPr>
              <w:t>Glycosides</w:t>
            </w:r>
          </w:p>
        </w:tc>
        <w:tc>
          <w:tcPr>
            <w:tcW w:w="2880" w:type="dxa"/>
          </w:tcPr>
          <w:p w14:paraId="178048BD" w14:textId="77777777" w:rsidR="00714D18" w:rsidRDefault="006E5117">
            <w:pPr>
              <w:pStyle w:val="NormalWeb"/>
              <w:spacing w:beforeAutospacing="0" w:afterAutospacing="0" w:line="216" w:lineRule="atLeast"/>
              <w:jc w:val="center"/>
            </w:pPr>
            <w:r>
              <w:rPr>
                <w:rFonts w:eastAsia="-webkit-standard" w:hint="eastAsia"/>
              </w:rPr>
              <w:t>+</w:t>
            </w:r>
          </w:p>
        </w:tc>
      </w:tr>
      <w:tr w:rsidR="00714D18" w14:paraId="049837ED" w14:textId="77777777">
        <w:tc>
          <w:tcPr>
            <w:tcW w:w="2880" w:type="dxa"/>
          </w:tcPr>
          <w:p w14:paraId="728F716F" w14:textId="77777777" w:rsidR="00714D18" w:rsidRDefault="006E5117">
            <w:pPr>
              <w:pStyle w:val="NormalWeb"/>
              <w:spacing w:beforeAutospacing="0" w:afterAutospacing="0" w:line="216" w:lineRule="atLeast"/>
            </w:pPr>
            <w:r>
              <w:rPr>
                <w:rFonts w:eastAsia="-webkit-standard" w:hint="eastAsia"/>
              </w:rPr>
              <w:t>6</w:t>
            </w:r>
          </w:p>
        </w:tc>
        <w:tc>
          <w:tcPr>
            <w:tcW w:w="2880" w:type="dxa"/>
          </w:tcPr>
          <w:p w14:paraId="03FF9FA5" w14:textId="77777777" w:rsidR="00714D18" w:rsidRDefault="006E5117">
            <w:pPr>
              <w:pStyle w:val="NormalWeb"/>
              <w:spacing w:beforeAutospacing="0" w:afterAutospacing="0" w:line="216" w:lineRule="atLeast"/>
            </w:pPr>
            <w:proofErr w:type="spellStart"/>
            <w:r>
              <w:rPr>
                <w:rFonts w:eastAsia="-webkit-standard" w:hint="eastAsia"/>
              </w:rPr>
              <w:t>Phlobatannins</w:t>
            </w:r>
            <w:proofErr w:type="spellEnd"/>
          </w:p>
        </w:tc>
        <w:tc>
          <w:tcPr>
            <w:tcW w:w="2880" w:type="dxa"/>
          </w:tcPr>
          <w:p w14:paraId="009C3B36" w14:textId="77777777" w:rsidR="00714D18" w:rsidRDefault="006E5117">
            <w:pPr>
              <w:pStyle w:val="NormalWeb"/>
              <w:spacing w:beforeAutospacing="0" w:afterAutospacing="0" w:line="216" w:lineRule="atLeast"/>
              <w:jc w:val="center"/>
            </w:pPr>
            <w:r>
              <w:rPr>
                <w:rFonts w:eastAsia="-webkit-standard" w:hint="eastAsia"/>
              </w:rPr>
              <w:t>-</w:t>
            </w:r>
          </w:p>
        </w:tc>
      </w:tr>
      <w:tr w:rsidR="00714D18" w14:paraId="0DFCECBF" w14:textId="77777777">
        <w:tc>
          <w:tcPr>
            <w:tcW w:w="2880" w:type="dxa"/>
          </w:tcPr>
          <w:p w14:paraId="5EA62024" w14:textId="77777777" w:rsidR="00714D18" w:rsidRDefault="006E5117">
            <w:pPr>
              <w:pStyle w:val="NormalWeb"/>
              <w:spacing w:beforeAutospacing="0" w:afterAutospacing="0" w:line="216" w:lineRule="atLeast"/>
            </w:pPr>
            <w:r>
              <w:rPr>
                <w:rFonts w:eastAsia="-webkit-standard" w:hint="eastAsia"/>
              </w:rPr>
              <w:t>7</w:t>
            </w:r>
          </w:p>
        </w:tc>
        <w:tc>
          <w:tcPr>
            <w:tcW w:w="2880" w:type="dxa"/>
          </w:tcPr>
          <w:p w14:paraId="262BEE64" w14:textId="77777777" w:rsidR="00714D18" w:rsidRDefault="006E5117">
            <w:pPr>
              <w:pStyle w:val="NormalWeb"/>
              <w:spacing w:beforeAutospacing="0" w:afterAutospacing="0" w:line="216" w:lineRule="atLeast"/>
            </w:pPr>
            <w:r>
              <w:rPr>
                <w:rFonts w:eastAsia="-webkit-standard" w:hint="eastAsia"/>
              </w:rPr>
              <w:t>Alkaloids</w:t>
            </w:r>
          </w:p>
        </w:tc>
        <w:tc>
          <w:tcPr>
            <w:tcW w:w="2880" w:type="dxa"/>
          </w:tcPr>
          <w:p w14:paraId="7E65445F" w14:textId="77777777" w:rsidR="00714D18" w:rsidRDefault="006E5117">
            <w:pPr>
              <w:pStyle w:val="NormalWeb"/>
              <w:spacing w:beforeAutospacing="0" w:afterAutospacing="0" w:line="216" w:lineRule="atLeast"/>
              <w:jc w:val="center"/>
            </w:pPr>
            <w:r>
              <w:rPr>
                <w:rFonts w:eastAsia="-webkit-standard" w:hint="eastAsia"/>
              </w:rPr>
              <w:t>+</w:t>
            </w:r>
          </w:p>
        </w:tc>
      </w:tr>
      <w:tr w:rsidR="00714D18" w14:paraId="0BC1DE8C" w14:textId="77777777">
        <w:tc>
          <w:tcPr>
            <w:tcW w:w="2880" w:type="dxa"/>
          </w:tcPr>
          <w:p w14:paraId="3B131502" w14:textId="77777777" w:rsidR="00714D18" w:rsidRDefault="006E5117">
            <w:pPr>
              <w:pStyle w:val="NormalWeb"/>
              <w:spacing w:beforeAutospacing="0" w:afterAutospacing="0" w:line="216" w:lineRule="atLeast"/>
            </w:pPr>
            <w:r>
              <w:rPr>
                <w:rFonts w:eastAsia="-webkit-standard" w:hint="eastAsia"/>
              </w:rPr>
              <w:t>8</w:t>
            </w:r>
          </w:p>
        </w:tc>
        <w:tc>
          <w:tcPr>
            <w:tcW w:w="2880" w:type="dxa"/>
          </w:tcPr>
          <w:p w14:paraId="6619BB5A" w14:textId="77777777" w:rsidR="00714D18" w:rsidRDefault="006E5117">
            <w:pPr>
              <w:pStyle w:val="NormalWeb"/>
              <w:spacing w:beforeAutospacing="0" w:afterAutospacing="0" w:line="216" w:lineRule="atLeast"/>
            </w:pPr>
            <w:r>
              <w:rPr>
                <w:rFonts w:eastAsia="-webkit-standard" w:hint="eastAsia"/>
              </w:rPr>
              <w:t>Phenols</w:t>
            </w:r>
          </w:p>
        </w:tc>
        <w:tc>
          <w:tcPr>
            <w:tcW w:w="2880" w:type="dxa"/>
          </w:tcPr>
          <w:p w14:paraId="04354C6F" w14:textId="77777777" w:rsidR="00714D18" w:rsidRDefault="006E5117">
            <w:pPr>
              <w:pStyle w:val="NormalWeb"/>
              <w:spacing w:beforeAutospacing="0" w:afterAutospacing="0" w:line="216" w:lineRule="atLeast"/>
              <w:jc w:val="center"/>
            </w:pPr>
            <w:r>
              <w:rPr>
                <w:rFonts w:eastAsia="-webkit-standard" w:hint="eastAsia"/>
              </w:rPr>
              <w:t>+</w:t>
            </w:r>
          </w:p>
        </w:tc>
      </w:tr>
      <w:tr w:rsidR="00714D18" w14:paraId="729BFC4D" w14:textId="77777777">
        <w:tc>
          <w:tcPr>
            <w:tcW w:w="2880" w:type="dxa"/>
            <w:tcBorders>
              <w:bottom w:val="single" w:sz="8" w:space="0" w:color="auto"/>
            </w:tcBorders>
          </w:tcPr>
          <w:p w14:paraId="27835862" w14:textId="77777777" w:rsidR="00714D18" w:rsidRDefault="006E5117">
            <w:pPr>
              <w:pStyle w:val="NormalWeb"/>
              <w:spacing w:beforeAutospacing="0" w:afterAutospacing="0" w:line="216" w:lineRule="atLeast"/>
            </w:pPr>
            <w:r>
              <w:rPr>
                <w:rFonts w:eastAsia="-webkit-standard" w:hint="eastAsia"/>
              </w:rPr>
              <w:t>9</w:t>
            </w:r>
          </w:p>
        </w:tc>
        <w:tc>
          <w:tcPr>
            <w:tcW w:w="2880" w:type="dxa"/>
            <w:tcBorders>
              <w:bottom w:val="single" w:sz="8" w:space="0" w:color="auto"/>
            </w:tcBorders>
          </w:tcPr>
          <w:p w14:paraId="74E271ED" w14:textId="77777777" w:rsidR="00714D18" w:rsidRDefault="006E5117">
            <w:pPr>
              <w:pStyle w:val="NormalWeb"/>
              <w:spacing w:beforeAutospacing="0" w:afterAutospacing="0" w:line="216" w:lineRule="atLeast"/>
            </w:pPr>
            <w:r>
              <w:rPr>
                <w:rFonts w:eastAsia="-webkit-standard" w:hint="eastAsia"/>
              </w:rPr>
              <w:t>Steroids</w:t>
            </w:r>
          </w:p>
        </w:tc>
        <w:tc>
          <w:tcPr>
            <w:tcW w:w="2880" w:type="dxa"/>
            <w:tcBorders>
              <w:bottom w:val="single" w:sz="8" w:space="0" w:color="auto"/>
            </w:tcBorders>
          </w:tcPr>
          <w:p w14:paraId="2E39987F" w14:textId="77777777" w:rsidR="00714D18" w:rsidRDefault="006E5117">
            <w:pPr>
              <w:pStyle w:val="NormalWeb"/>
              <w:spacing w:beforeAutospacing="0" w:afterAutospacing="0" w:line="216" w:lineRule="atLeast"/>
              <w:jc w:val="center"/>
            </w:pPr>
            <w:r>
              <w:rPr>
                <w:rFonts w:eastAsia="-webkit-standard" w:hint="eastAsia"/>
              </w:rPr>
              <w:t>+</w:t>
            </w:r>
          </w:p>
        </w:tc>
      </w:tr>
    </w:tbl>
    <w:p w14:paraId="652B10B4" w14:textId="77777777" w:rsidR="00714D18" w:rsidRDefault="006E5117">
      <w:pPr>
        <w:pStyle w:val="NormalWeb"/>
        <w:spacing w:beforeAutospacing="0" w:afterAutospacing="0" w:line="324" w:lineRule="atLeast"/>
        <w:rPr>
          <w:rFonts w:eastAsia="-webkit-standard"/>
          <w:color w:val="000000"/>
        </w:rPr>
      </w:pPr>
      <w:r>
        <w:rPr>
          <w:rFonts w:eastAsia="-webkit-standard"/>
          <w:color w:val="000000"/>
        </w:rPr>
        <w:t> </w:t>
      </w:r>
    </w:p>
    <w:p w14:paraId="402CB776" w14:textId="77777777" w:rsidR="00714D18" w:rsidRDefault="006E5117">
      <w:pPr>
        <w:rPr>
          <w:rFonts w:ascii="Times New Roman" w:hAnsi="Times New Roman" w:cs="Times New Roman"/>
          <w:b/>
          <w:bCs/>
          <w:sz w:val="24"/>
          <w:szCs w:val="24"/>
        </w:rPr>
      </w:pPr>
      <w:r>
        <w:rPr>
          <w:rFonts w:ascii="Times New Roman" w:hAnsi="Times New Roman" w:cs="Times New Roman"/>
          <w:b/>
          <w:bCs/>
          <w:sz w:val="24"/>
          <w:szCs w:val="24"/>
        </w:rPr>
        <w:t>Keys:</w:t>
      </w:r>
    </w:p>
    <w:p w14:paraId="0E86FD31" w14:textId="77777777" w:rsidR="00714D18" w:rsidRDefault="006E5117">
      <w:pPr>
        <w:rPr>
          <w:rFonts w:ascii="Times New Roman" w:hAnsi="Times New Roman" w:cs="Times New Roman"/>
          <w:sz w:val="24"/>
          <w:szCs w:val="24"/>
        </w:rPr>
      </w:pPr>
      <w:r>
        <w:rPr>
          <w:rFonts w:ascii="Times New Roman" w:hAnsi="Times New Roman" w:cs="Times New Roman"/>
          <w:sz w:val="24"/>
          <w:szCs w:val="24"/>
        </w:rPr>
        <w:t>+ = Present</w:t>
      </w:r>
    </w:p>
    <w:p w14:paraId="6BABF3AD" w14:textId="77777777" w:rsidR="00714D18" w:rsidRDefault="006E5117">
      <w:pPr>
        <w:rPr>
          <w:rFonts w:ascii="Times New Roman" w:hAnsi="Times New Roman" w:cs="Times New Roman"/>
          <w:sz w:val="24"/>
          <w:szCs w:val="24"/>
        </w:rPr>
      </w:pPr>
      <w:r>
        <w:rPr>
          <w:rFonts w:ascii="Times New Roman" w:hAnsi="Times New Roman" w:cs="Times New Roman"/>
          <w:sz w:val="24"/>
          <w:szCs w:val="24"/>
        </w:rPr>
        <w:t>- = Absent</w:t>
      </w:r>
    </w:p>
    <w:p w14:paraId="3EB01A80" w14:textId="77777777" w:rsidR="00714D18" w:rsidRDefault="00714D18">
      <w:pPr>
        <w:spacing w:line="480" w:lineRule="auto"/>
        <w:rPr>
          <w:rFonts w:ascii="Times New Roman" w:hAnsi="Times New Roman" w:cs="Times New Roman"/>
          <w:b/>
          <w:bCs/>
          <w:sz w:val="24"/>
          <w:szCs w:val="24"/>
        </w:rPr>
      </w:pPr>
    </w:p>
    <w:p w14:paraId="04F57480" w14:textId="77777777" w:rsidR="00714D18" w:rsidRDefault="006E5117">
      <w:pPr>
        <w:pStyle w:val="Heading2"/>
        <w:spacing w:line="240" w:lineRule="auto"/>
      </w:pPr>
      <w:bookmarkStart w:id="54" w:name="_Toc1592"/>
      <w:r>
        <w:t>4.3 Penile Organ-Body Ratios</w:t>
      </w:r>
      <w:bookmarkEnd w:id="54"/>
    </w:p>
    <w:p w14:paraId="5782F75D"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organ-body ratio of group 2 (dysfunctional untreated group) was significantly lower (p&lt;0.05) compared to others (Figure 4.1). There was no significant difference (p&lt;0.05) in the penile organ-body ratios of normal control and sildenafil citrate (standard) groups. The penile organ-body ratios of groups 4 and 5 (200mg/kg body weight SAAE and 400mg/kg body weight SAAE) were significantly (p&lt;0.05) lower compared to that of the normal control. </w:t>
      </w:r>
    </w:p>
    <w:p w14:paraId="565892B6" w14:textId="77777777" w:rsidR="00714D18" w:rsidRDefault="009C1834">
      <w:pPr>
        <w:jc w:val="both"/>
        <w:rPr>
          <w:rFonts w:ascii="Times New Roman" w:hAnsi="Times New Roman" w:cs="Times New Roman"/>
          <w:sz w:val="24"/>
          <w:szCs w:val="24"/>
        </w:rPr>
      </w:pPr>
      <w:r>
        <w:rPr>
          <w:noProof/>
        </w:rPr>
      </w:r>
      <w:r w:rsidR="009C1834">
        <w:rPr>
          <w:noProof/>
        </w:rPr>
        <w:object w:dxaOrig="8826" w:dyaOrig="4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9pt;height:208.55pt" o:ole="">
            <v:imagedata r:id="rId12" o:title=""/>
          </v:shape>
          <o:OLEObject Type="Embed" ProgID="Prism8.Document" ShapeID="_x0000_i1025" DrawAspect="Content" ObjectID="_1813879853" r:id="rId13"/>
        </w:object>
      </w:r>
    </w:p>
    <w:p w14:paraId="1F01277C" w14:textId="77777777" w:rsidR="00714D18" w:rsidRDefault="006E511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Ratios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i/>
          <w:iCs/>
          <w:sz w:val="24"/>
          <w:szCs w:val="24"/>
        </w:rPr>
        <w:t xml:space="preserve"> aromatic</w:t>
      </w:r>
      <w:r>
        <w:rPr>
          <w:rFonts w:ascii="Times New Roman" w:hAnsi="Times New Roman" w:cs="Times New Roman"/>
          <w:b/>
          <w:bCs/>
          <w:sz w:val="24"/>
          <w:szCs w:val="24"/>
        </w:rPr>
        <w:t xml:space="preserve"> Extract (SAAE)</w:t>
      </w:r>
    </w:p>
    <w:p w14:paraId="0A5491F2" w14:textId="77777777" w:rsidR="00714D18" w:rsidRDefault="006E5117">
      <w:pPr>
        <w:pStyle w:val="Heading2"/>
        <w:spacing w:line="240" w:lineRule="auto"/>
      </w:pPr>
      <w:bookmarkStart w:id="55" w:name="_Toc2629"/>
      <w:r>
        <w:t>4.4 Nitric Oxide Concentration</w:t>
      </w:r>
      <w:bookmarkEnd w:id="55"/>
    </w:p>
    <w:p w14:paraId="696FB8D8"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untreated group) was significantly lower (p&lt;0.05) compared to others (Figure 4.2). There was no significant difference (p&lt;0.05) in the nitric oxide levels of sildenafil citrate, 200mg/kg body weight SAAE and 400mg/kg body weight SAAE groups.</w:t>
      </w:r>
    </w:p>
    <w:p w14:paraId="7E131EB1" w14:textId="77777777" w:rsidR="00714D18" w:rsidRDefault="009C1834">
      <w:pPr>
        <w:rPr>
          <w:rFonts w:ascii="Times New Roman" w:hAnsi="Times New Roman" w:cs="Times New Roman"/>
          <w:sz w:val="24"/>
          <w:szCs w:val="24"/>
        </w:rPr>
      </w:pPr>
      <w:r>
        <w:rPr>
          <w:rFonts w:ascii="Times New Roman" w:hAnsi="Times New Roman" w:cs="Times New Roman"/>
          <w:noProof/>
          <w:sz w:val="24"/>
          <w:szCs w:val="24"/>
        </w:rPr>
      </w:r>
      <w:r w:rsidR="009C1834">
        <w:rPr>
          <w:rFonts w:ascii="Times New Roman" w:hAnsi="Times New Roman" w:cs="Times New Roman"/>
          <w:noProof/>
          <w:sz w:val="24"/>
          <w:szCs w:val="24"/>
        </w:rPr>
        <w:object w:dxaOrig="8707" w:dyaOrig="3910">
          <v:shape id="_x0000_i1026" type="#_x0000_t75" style="width:435.35pt;height:195.65pt" o:ole="">
            <v:imagedata r:id="rId14" o:title=""/>
          </v:shape>
          <o:OLEObject Type="Embed" ProgID="Prism8.Document" ShapeID="_x0000_i1026" DrawAspect="Content" ObjectID="_1813879854" r:id="rId15"/>
        </w:object>
      </w:r>
    </w:p>
    <w:p w14:paraId="3E8D5F8A"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Figure 4.2:</w:t>
      </w:r>
      <w:r>
        <w:rPr>
          <w:rFonts w:ascii="Times New Roman" w:hAnsi="Times New Roman" w:cs="Times New Roman"/>
          <w:sz w:val="24"/>
          <w:szCs w:val="24"/>
        </w:rPr>
        <w:t xml:space="preserve"> </w:t>
      </w:r>
      <w:r>
        <w:rPr>
          <w:rFonts w:ascii="Times New Roman" w:hAnsi="Times New Roman" w:cs="Times New Roman"/>
          <w:b/>
          <w:bCs/>
          <w:sz w:val="24"/>
          <w:szCs w:val="24"/>
        </w:rPr>
        <w:t xml:space="preserve">Nitric Oxide Levels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509718E8" w14:textId="77777777" w:rsidR="00714D18" w:rsidRDefault="006E5117">
      <w:pPr>
        <w:pStyle w:val="Heading2"/>
        <w:spacing w:line="240" w:lineRule="auto"/>
      </w:pPr>
      <w:bookmarkStart w:id="56" w:name="_Toc15457"/>
      <w:r>
        <w:t>4.5 In vivo Enzyme Assays</w:t>
      </w:r>
      <w:bookmarkEnd w:id="56"/>
    </w:p>
    <w:p w14:paraId="4FA36C13" w14:textId="77777777" w:rsidR="00714D18" w:rsidRDefault="006E5117">
      <w:pPr>
        <w:pStyle w:val="Heading2"/>
        <w:spacing w:line="240" w:lineRule="auto"/>
      </w:pPr>
      <w:bookmarkStart w:id="57" w:name="_Toc18863"/>
      <w:r>
        <w:t>4.5.1 Phosphodiesterase 5</w:t>
      </w:r>
      <w:bookmarkEnd w:id="57"/>
    </w:p>
    <w:p w14:paraId="4B75EF0A"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 5 activity in group 2 (dysfunctional untreated group) was significantly higher (p&lt;0.05) compared to others (Figure 4.3). There was no significant difference (p&lt;0.05) in the phosphodiesterase 5 activity of normal control, sildenafil citrate and 400mg/kg SAAE groups. The phosphodiesterase 5 activity in 200mg/kg SAAE was significantly higher (p&lt;0.05) than those of the normal control, sildenafil citrate and 400mg/kg SAAE groups.</w:t>
      </w:r>
    </w:p>
    <w:p w14:paraId="0660402F" w14:textId="77777777" w:rsidR="00714D18" w:rsidRDefault="00714D18">
      <w:pPr>
        <w:rPr>
          <w:rFonts w:ascii="Times New Roman" w:hAnsi="Times New Roman" w:cs="Times New Roman"/>
          <w:sz w:val="24"/>
          <w:szCs w:val="24"/>
        </w:rPr>
      </w:pPr>
    </w:p>
    <w:p w14:paraId="358AED9E" w14:textId="77777777" w:rsidR="00714D18" w:rsidRDefault="00714D18">
      <w:pPr>
        <w:rPr>
          <w:rFonts w:ascii="Times New Roman" w:hAnsi="Times New Roman" w:cs="Times New Roman"/>
          <w:sz w:val="24"/>
          <w:szCs w:val="24"/>
        </w:rPr>
      </w:pPr>
    </w:p>
    <w:p w14:paraId="2DCA9620" w14:textId="77777777" w:rsidR="00714D18" w:rsidRDefault="00714D18">
      <w:pPr>
        <w:rPr>
          <w:rFonts w:ascii="Times New Roman" w:hAnsi="Times New Roman" w:cs="Times New Roman"/>
          <w:sz w:val="24"/>
          <w:szCs w:val="24"/>
        </w:rPr>
      </w:pPr>
    </w:p>
    <w:p w14:paraId="4FEE074A" w14:textId="77777777" w:rsidR="00714D18" w:rsidRDefault="00714D18">
      <w:pPr>
        <w:rPr>
          <w:rFonts w:ascii="Times New Roman" w:hAnsi="Times New Roman" w:cs="Times New Roman"/>
          <w:sz w:val="24"/>
          <w:szCs w:val="24"/>
        </w:rPr>
      </w:pPr>
    </w:p>
    <w:p w14:paraId="799A8E87" w14:textId="77777777" w:rsidR="00714D18" w:rsidRDefault="009C1834">
      <w:pPr>
        <w:rPr>
          <w:rFonts w:ascii="Times New Roman" w:hAnsi="Times New Roman" w:cs="Times New Roman"/>
          <w:sz w:val="24"/>
          <w:szCs w:val="24"/>
        </w:rPr>
      </w:pPr>
      <w:r>
        <w:rPr>
          <w:rFonts w:ascii="Times New Roman" w:hAnsi="Times New Roman" w:cs="Times New Roman"/>
          <w:noProof/>
          <w:sz w:val="24"/>
          <w:szCs w:val="24"/>
        </w:rPr>
      </w:r>
      <w:r w:rsidR="009C1834">
        <w:rPr>
          <w:rFonts w:ascii="Times New Roman" w:hAnsi="Times New Roman" w:cs="Times New Roman"/>
          <w:noProof/>
          <w:sz w:val="24"/>
          <w:szCs w:val="24"/>
        </w:rPr>
        <w:object w:dxaOrig="9546" w:dyaOrig="4325">
          <v:shape id="_x0000_i1027" type="#_x0000_t75" style="width:477.35pt;height:3in" o:ole="">
            <v:imagedata r:id="rId16" o:title=""/>
          </v:shape>
          <o:OLEObject Type="Embed" ProgID="Prism8.Document" ShapeID="_x0000_i1027" DrawAspect="Content" ObjectID="_1813879855" r:id="rId17"/>
        </w:object>
      </w:r>
    </w:p>
    <w:p w14:paraId="395AB96B" w14:textId="77777777" w:rsidR="00714D18" w:rsidRDefault="006E511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phosphodiesterase Activity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688818C2" w14:textId="77777777" w:rsidR="00714D18" w:rsidRDefault="006E5117">
      <w:pPr>
        <w:pStyle w:val="Heading2"/>
        <w:spacing w:line="240" w:lineRule="auto"/>
      </w:pPr>
      <w:bookmarkStart w:id="58" w:name="_Toc23441"/>
      <w:r>
        <w:t>4.5.2 Arginase</w:t>
      </w:r>
      <w:bookmarkEnd w:id="58"/>
    </w:p>
    <w:p w14:paraId="482AB0FA"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Arginase in group 2(dysfunctional untreated group) was significantly higher (p&lt;0.05) compared to other (Figure 4.4). There was no significant difference (p&lt;0.05) in the arginase activity of normal control, sildenafil citrate (standard), 200mg/kg body weight SAAE and 400mg/kg body weight SAAE groups   </w:t>
      </w:r>
    </w:p>
    <w:p w14:paraId="28D4533E" w14:textId="77777777" w:rsidR="00714D18" w:rsidRDefault="00714D18">
      <w:pPr>
        <w:spacing w:line="480" w:lineRule="auto"/>
        <w:jc w:val="both"/>
        <w:rPr>
          <w:rFonts w:ascii="Times New Roman" w:hAnsi="Times New Roman" w:cs="Times New Roman"/>
          <w:sz w:val="24"/>
          <w:szCs w:val="24"/>
        </w:rPr>
      </w:pPr>
    </w:p>
    <w:p w14:paraId="748A44FE" w14:textId="77777777" w:rsidR="00714D18" w:rsidRDefault="009C1834">
      <w:pPr>
        <w:rPr>
          <w:rFonts w:ascii="Times New Roman" w:hAnsi="Times New Roman" w:cs="Times New Roman"/>
          <w:sz w:val="24"/>
          <w:szCs w:val="24"/>
        </w:rPr>
      </w:pPr>
      <w:r>
        <w:rPr>
          <w:rFonts w:ascii="Times New Roman" w:hAnsi="Times New Roman" w:cs="Times New Roman"/>
          <w:noProof/>
          <w:sz w:val="24"/>
          <w:szCs w:val="24"/>
        </w:rPr>
      </w:r>
      <w:r w:rsidR="009C1834">
        <w:rPr>
          <w:rFonts w:ascii="Times New Roman" w:hAnsi="Times New Roman" w:cs="Times New Roman"/>
          <w:noProof/>
          <w:sz w:val="24"/>
          <w:szCs w:val="24"/>
        </w:rPr>
        <w:object w:dxaOrig="8724" w:dyaOrig="3996">
          <v:shape id="_x0000_i1028" type="#_x0000_t75" style="width:436.2pt;height:200pt" o:ole="">
            <v:imagedata r:id="rId18" o:title=""/>
          </v:shape>
          <o:OLEObject Type="Embed" ProgID="Prism8.Document" ShapeID="_x0000_i1028" DrawAspect="Content" ObjectID="_1813879856" r:id="rId19"/>
        </w:object>
      </w:r>
    </w:p>
    <w:p w14:paraId="7785AB72" w14:textId="77777777" w:rsidR="00714D18" w:rsidRDefault="006E511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4.4: The Arginase Activity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5E0F3943" w14:textId="77777777" w:rsidR="00714D18" w:rsidRDefault="006E5117">
      <w:pPr>
        <w:pStyle w:val="Heading2"/>
        <w:spacing w:line="240" w:lineRule="auto"/>
      </w:pPr>
      <w:bookmarkStart w:id="59" w:name="_Toc19066"/>
      <w:r>
        <w:t>4.5.3 Creatinine Kinase</w:t>
      </w:r>
      <w:bookmarkEnd w:id="59"/>
    </w:p>
    <w:p w14:paraId="09149B21"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kinase in group 2 (dysfunctional untreated group) was significantly higher (p&lt;0.05) compared to others (Figure 4.5). There was no significant difference (p&lt;0.05) in the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kinase of normal control, sildenafil citrate (standard), 200mg/kg body weight SAAE and 400mg/kg body weight SAAE groups.</w:t>
      </w:r>
    </w:p>
    <w:p w14:paraId="76900804" w14:textId="77777777" w:rsidR="00714D18" w:rsidRDefault="009C1834">
      <w:pPr>
        <w:rPr>
          <w:rFonts w:ascii="Times New Roman" w:hAnsi="Times New Roman" w:cs="Times New Roman"/>
          <w:sz w:val="24"/>
          <w:szCs w:val="24"/>
        </w:rPr>
      </w:pPr>
      <w:r>
        <w:rPr>
          <w:rFonts w:ascii="Times New Roman" w:hAnsi="Times New Roman" w:cs="Times New Roman"/>
          <w:noProof/>
          <w:sz w:val="24"/>
          <w:szCs w:val="24"/>
        </w:rPr>
      </w:r>
      <w:r w:rsidR="009C1834">
        <w:rPr>
          <w:rFonts w:ascii="Times New Roman" w:hAnsi="Times New Roman" w:cs="Times New Roman"/>
          <w:noProof/>
          <w:sz w:val="24"/>
          <w:szCs w:val="24"/>
        </w:rPr>
        <w:object w:dxaOrig="7656" w:dyaOrig="3996">
          <v:shape id="_x0000_i1029" type="#_x0000_t75" style="width:382.8pt;height:200pt" o:ole="">
            <v:imagedata r:id="rId20" o:title=""/>
          </v:shape>
          <o:OLEObject Type="Embed" ProgID="Prism8.Document" ShapeID="_x0000_i1029" DrawAspect="Content" ObjectID="_1813879857" r:id="rId21"/>
        </w:object>
      </w:r>
    </w:p>
    <w:p w14:paraId="0E908927" w14:textId="77777777" w:rsidR="00714D18" w:rsidRDefault="006E511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Creatinine Kinase Activity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59EA4ED8" w14:textId="77777777" w:rsidR="00714D18" w:rsidRDefault="006E5117">
      <w:pPr>
        <w:pStyle w:val="Heading2"/>
        <w:spacing w:line="240" w:lineRule="auto"/>
      </w:pPr>
      <w:bookmarkStart w:id="60" w:name="_Toc23112"/>
      <w:r>
        <w:t>4.6 Serum Lipid Profile</w:t>
      </w:r>
      <w:bookmarkEnd w:id="60"/>
    </w:p>
    <w:p w14:paraId="0CDF9EB8"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14:paraId="79D8C20C"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14:paraId="0B9931F6"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Triacylglycerol (TAG) in group 2 (dysfunctional untreated group) was significantly higher (p&lt;0.05) compared to others. There was no significant difference (p&lt;0.05) in the triacylglycerol concentrations of normal control, sildenafil citrate and 400mg/kg body weight SAAE. The triacylglycerol in 400mg/kg body weight SAAE group was significantly lower (p&lt;0.05) than 200mg/kg body weight SAAE group.</w:t>
      </w:r>
    </w:p>
    <w:p w14:paraId="0F1E578D" w14:textId="77777777" w:rsidR="00714D18" w:rsidRDefault="006E5117">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14:paraId="1A118402" w14:textId="77777777" w:rsidR="00714D18" w:rsidRDefault="006E511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pPr w:leftFromText="180" w:rightFromText="180" w:vertAnchor="text" w:horzAnchor="page" w:tblpX="521" w:tblpY="563"/>
        <w:tblOverlap w:val="never"/>
        <w:tblW w:w="10615" w:type="dxa"/>
        <w:tblLayout w:type="fixed"/>
        <w:tblLook w:val="04A0" w:firstRow="1" w:lastRow="0" w:firstColumn="1" w:lastColumn="0" w:noHBand="0" w:noVBand="1"/>
      </w:tblPr>
      <w:tblGrid>
        <w:gridCol w:w="591"/>
        <w:gridCol w:w="3261"/>
        <w:gridCol w:w="1723"/>
        <w:gridCol w:w="1710"/>
        <w:gridCol w:w="1710"/>
        <w:gridCol w:w="1620"/>
      </w:tblGrid>
      <w:tr w:rsidR="00714D18" w14:paraId="4351E634" w14:textId="77777777">
        <w:tc>
          <w:tcPr>
            <w:tcW w:w="591" w:type="dxa"/>
            <w:tcBorders>
              <w:top w:val="single" w:sz="8" w:space="0" w:color="auto"/>
              <w:bottom w:val="single" w:sz="8" w:space="0" w:color="auto"/>
            </w:tcBorders>
          </w:tcPr>
          <w:p w14:paraId="2D01F4A7" w14:textId="77777777" w:rsidR="00714D18" w:rsidRDefault="006E5117">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S/N</w:t>
            </w:r>
          </w:p>
        </w:tc>
        <w:tc>
          <w:tcPr>
            <w:tcW w:w="3261" w:type="dxa"/>
            <w:tcBorders>
              <w:top w:val="single" w:sz="8" w:space="0" w:color="auto"/>
              <w:bottom w:val="single" w:sz="8" w:space="0" w:color="auto"/>
            </w:tcBorders>
          </w:tcPr>
          <w:p w14:paraId="3F137FC9" w14:textId="77777777" w:rsidR="00714D18" w:rsidRDefault="006E5117">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Groups</w:t>
            </w:r>
          </w:p>
        </w:tc>
        <w:tc>
          <w:tcPr>
            <w:tcW w:w="1723" w:type="dxa"/>
            <w:tcBorders>
              <w:top w:val="single" w:sz="8" w:space="0" w:color="auto"/>
              <w:bottom w:val="single" w:sz="8" w:space="0" w:color="auto"/>
            </w:tcBorders>
          </w:tcPr>
          <w:p w14:paraId="6A1A290B" w14:textId="77777777" w:rsidR="00714D18" w:rsidRDefault="006E5117">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LDL</w:t>
            </w:r>
          </w:p>
          <w:p w14:paraId="08A581D6" w14:textId="77777777" w:rsidR="00714D18" w:rsidRDefault="006E5117">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w:t>
            </w:r>
            <w:proofErr w:type="spellStart"/>
            <w:r>
              <w:rPr>
                <w:rFonts w:ascii="Times New Roman" w:hAnsi="Times New Roman" w:cs="Times New Roman" w:hint="eastAsia"/>
                <w:b/>
                <w:bCs/>
                <w:kern w:val="2"/>
                <w:sz w:val="24"/>
                <w:szCs w:val="24"/>
              </w:rPr>
              <w:t>mmol</w:t>
            </w:r>
            <w:proofErr w:type="spellEnd"/>
            <w:r>
              <w:rPr>
                <w:rFonts w:ascii="Times New Roman" w:hAnsi="Times New Roman" w:cs="Times New Roman" w:hint="eastAsia"/>
                <w:b/>
                <w:bCs/>
                <w:kern w:val="2"/>
                <w:sz w:val="24"/>
                <w:szCs w:val="24"/>
              </w:rPr>
              <w:t>/L)</w:t>
            </w:r>
          </w:p>
        </w:tc>
        <w:tc>
          <w:tcPr>
            <w:tcW w:w="1710" w:type="dxa"/>
            <w:tcBorders>
              <w:top w:val="single" w:sz="8" w:space="0" w:color="auto"/>
              <w:bottom w:val="single" w:sz="8" w:space="0" w:color="auto"/>
            </w:tcBorders>
          </w:tcPr>
          <w:p w14:paraId="5072A55D" w14:textId="77777777" w:rsidR="00714D18" w:rsidRDefault="006E5117">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HDL</w:t>
            </w:r>
          </w:p>
          <w:p w14:paraId="593ECA95" w14:textId="77777777" w:rsidR="00714D18" w:rsidRDefault="006E5117">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w:t>
            </w:r>
            <w:proofErr w:type="spellStart"/>
            <w:r>
              <w:rPr>
                <w:rFonts w:ascii="Times New Roman" w:hAnsi="Times New Roman" w:cs="Times New Roman" w:hint="eastAsia"/>
                <w:b/>
                <w:bCs/>
                <w:kern w:val="2"/>
                <w:sz w:val="24"/>
                <w:szCs w:val="24"/>
              </w:rPr>
              <w:t>mmol</w:t>
            </w:r>
            <w:proofErr w:type="spellEnd"/>
            <w:r>
              <w:rPr>
                <w:rFonts w:ascii="Times New Roman" w:hAnsi="Times New Roman" w:cs="Times New Roman" w:hint="eastAsia"/>
                <w:b/>
                <w:bCs/>
                <w:kern w:val="2"/>
                <w:sz w:val="24"/>
                <w:szCs w:val="24"/>
              </w:rPr>
              <w:t>/L)</w:t>
            </w:r>
          </w:p>
        </w:tc>
        <w:tc>
          <w:tcPr>
            <w:tcW w:w="1710" w:type="dxa"/>
            <w:tcBorders>
              <w:top w:val="single" w:sz="8" w:space="0" w:color="auto"/>
              <w:bottom w:val="single" w:sz="8" w:space="0" w:color="auto"/>
            </w:tcBorders>
          </w:tcPr>
          <w:p w14:paraId="58EEA240" w14:textId="77777777" w:rsidR="00714D18" w:rsidRDefault="006E5117">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TAG</w:t>
            </w:r>
          </w:p>
          <w:p w14:paraId="55D34F36" w14:textId="77777777" w:rsidR="00714D18" w:rsidRDefault="006E5117">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w:t>
            </w:r>
            <w:proofErr w:type="spellStart"/>
            <w:r>
              <w:rPr>
                <w:rFonts w:ascii="Times New Roman" w:hAnsi="Times New Roman" w:cs="Times New Roman" w:hint="eastAsia"/>
                <w:b/>
                <w:bCs/>
                <w:kern w:val="2"/>
                <w:sz w:val="24"/>
                <w:szCs w:val="24"/>
              </w:rPr>
              <w:t>mmol</w:t>
            </w:r>
            <w:proofErr w:type="spellEnd"/>
            <w:r>
              <w:rPr>
                <w:rFonts w:ascii="Times New Roman" w:hAnsi="Times New Roman" w:cs="Times New Roman" w:hint="eastAsia"/>
                <w:b/>
                <w:bCs/>
                <w:kern w:val="2"/>
                <w:sz w:val="24"/>
                <w:szCs w:val="24"/>
              </w:rPr>
              <w:t>/L)</w:t>
            </w:r>
          </w:p>
        </w:tc>
        <w:tc>
          <w:tcPr>
            <w:tcW w:w="1620" w:type="dxa"/>
            <w:tcBorders>
              <w:top w:val="single" w:sz="8" w:space="0" w:color="auto"/>
              <w:bottom w:val="single" w:sz="8" w:space="0" w:color="auto"/>
            </w:tcBorders>
          </w:tcPr>
          <w:p w14:paraId="26929BEB" w14:textId="77777777" w:rsidR="00714D18" w:rsidRDefault="006E5117">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Cholesterol</w:t>
            </w:r>
          </w:p>
          <w:p w14:paraId="61743CEB" w14:textId="77777777" w:rsidR="00714D18" w:rsidRDefault="006E5117">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w:t>
            </w:r>
            <w:proofErr w:type="spellStart"/>
            <w:r>
              <w:rPr>
                <w:rFonts w:ascii="Times New Roman" w:hAnsi="Times New Roman" w:cs="Times New Roman" w:hint="eastAsia"/>
                <w:b/>
                <w:bCs/>
                <w:kern w:val="2"/>
                <w:sz w:val="24"/>
                <w:szCs w:val="24"/>
              </w:rPr>
              <w:t>mmol</w:t>
            </w:r>
            <w:proofErr w:type="spellEnd"/>
            <w:r>
              <w:rPr>
                <w:rFonts w:ascii="Times New Roman" w:hAnsi="Times New Roman" w:cs="Times New Roman" w:hint="eastAsia"/>
                <w:b/>
                <w:bCs/>
                <w:kern w:val="2"/>
                <w:sz w:val="24"/>
                <w:szCs w:val="24"/>
              </w:rPr>
              <w:t>/L)</w:t>
            </w:r>
          </w:p>
        </w:tc>
      </w:tr>
      <w:tr w:rsidR="00714D18" w14:paraId="16B3A409" w14:textId="77777777">
        <w:tc>
          <w:tcPr>
            <w:tcW w:w="591" w:type="dxa"/>
            <w:tcBorders>
              <w:top w:val="single" w:sz="8" w:space="0" w:color="auto"/>
            </w:tcBorders>
          </w:tcPr>
          <w:p w14:paraId="37F922C5" w14:textId="77777777" w:rsidR="00714D18" w:rsidRDefault="006E5117">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1</w:t>
            </w:r>
          </w:p>
        </w:tc>
        <w:tc>
          <w:tcPr>
            <w:tcW w:w="3261" w:type="dxa"/>
            <w:tcBorders>
              <w:top w:val="single" w:sz="8" w:space="0" w:color="auto"/>
            </w:tcBorders>
          </w:tcPr>
          <w:p w14:paraId="6BB7BD26"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Normal Control</w:t>
            </w:r>
          </w:p>
        </w:tc>
        <w:tc>
          <w:tcPr>
            <w:tcW w:w="1723" w:type="dxa"/>
            <w:tcBorders>
              <w:top w:val="single" w:sz="8" w:space="0" w:color="auto"/>
            </w:tcBorders>
          </w:tcPr>
          <w:p w14:paraId="02E055FE"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5.14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710" w:type="dxa"/>
            <w:tcBorders>
              <w:top w:val="single" w:sz="8" w:space="0" w:color="auto"/>
            </w:tcBorders>
          </w:tcPr>
          <w:p w14:paraId="734F960F"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9.07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c</w:t>
            </w:r>
          </w:p>
        </w:tc>
        <w:tc>
          <w:tcPr>
            <w:tcW w:w="1710" w:type="dxa"/>
            <w:tcBorders>
              <w:top w:val="single" w:sz="8" w:space="0" w:color="auto"/>
            </w:tcBorders>
          </w:tcPr>
          <w:p w14:paraId="4F3CC4C5"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3.01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0.50</w:t>
            </w:r>
            <w:r>
              <w:rPr>
                <w:rFonts w:ascii="Times New Roman" w:hAnsi="Times New Roman" w:cs="Times New Roman" w:hint="eastAsia"/>
                <w:kern w:val="2"/>
                <w:sz w:val="24"/>
                <w:szCs w:val="24"/>
                <w:vertAlign w:val="superscript"/>
              </w:rPr>
              <w:t>ab</w:t>
            </w:r>
          </w:p>
        </w:tc>
        <w:tc>
          <w:tcPr>
            <w:tcW w:w="1620" w:type="dxa"/>
            <w:tcBorders>
              <w:top w:val="single" w:sz="8" w:space="0" w:color="auto"/>
            </w:tcBorders>
          </w:tcPr>
          <w:p w14:paraId="6955ABFB"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16.82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1.13</w:t>
            </w:r>
            <w:r>
              <w:rPr>
                <w:rFonts w:ascii="Times New Roman" w:hAnsi="Times New Roman" w:cs="Times New Roman" w:hint="eastAsia"/>
                <w:kern w:val="2"/>
                <w:sz w:val="24"/>
                <w:szCs w:val="24"/>
                <w:vertAlign w:val="superscript"/>
              </w:rPr>
              <w:t>a</w:t>
            </w:r>
          </w:p>
        </w:tc>
      </w:tr>
      <w:tr w:rsidR="00714D18" w14:paraId="6F6AA684" w14:textId="77777777">
        <w:tc>
          <w:tcPr>
            <w:tcW w:w="591" w:type="dxa"/>
          </w:tcPr>
          <w:p w14:paraId="04A8BDAC" w14:textId="77777777" w:rsidR="00714D18" w:rsidRDefault="006E5117">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2</w:t>
            </w:r>
          </w:p>
        </w:tc>
        <w:tc>
          <w:tcPr>
            <w:tcW w:w="3261" w:type="dxa"/>
          </w:tcPr>
          <w:p w14:paraId="58811F23"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Dysfunctional Untreated</w:t>
            </w:r>
          </w:p>
        </w:tc>
        <w:tc>
          <w:tcPr>
            <w:tcW w:w="1723" w:type="dxa"/>
          </w:tcPr>
          <w:p w14:paraId="6C946FA2"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18.77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0.54</w:t>
            </w:r>
            <w:r>
              <w:rPr>
                <w:rFonts w:ascii="Times New Roman" w:hAnsi="Times New Roman" w:cs="Times New Roman" w:hint="eastAsia"/>
                <w:kern w:val="2"/>
                <w:sz w:val="24"/>
                <w:szCs w:val="24"/>
                <w:vertAlign w:val="superscript"/>
              </w:rPr>
              <w:t>c</w:t>
            </w:r>
          </w:p>
        </w:tc>
        <w:tc>
          <w:tcPr>
            <w:tcW w:w="1710" w:type="dxa"/>
          </w:tcPr>
          <w:p w14:paraId="158B859A"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6.27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0.37</w:t>
            </w:r>
            <w:r>
              <w:rPr>
                <w:rFonts w:ascii="Times New Roman" w:hAnsi="Times New Roman" w:cs="Times New Roman" w:hint="eastAsia"/>
                <w:kern w:val="2"/>
                <w:sz w:val="24"/>
                <w:szCs w:val="24"/>
                <w:vertAlign w:val="superscript"/>
              </w:rPr>
              <w:t>a</w:t>
            </w:r>
          </w:p>
        </w:tc>
        <w:tc>
          <w:tcPr>
            <w:tcW w:w="1710" w:type="dxa"/>
          </w:tcPr>
          <w:p w14:paraId="24912011"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c</w:t>
            </w:r>
          </w:p>
        </w:tc>
        <w:tc>
          <w:tcPr>
            <w:tcW w:w="1620" w:type="dxa"/>
          </w:tcPr>
          <w:p w14:paraId="6E87EBB6"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23.13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1.22</w:t>
            </w:r>
            <w:r>
              <w:rPr>
                <w:rFonts w:ascii="Times New Roman" w:hAnsi="Times New Roman" w:cs="Times New Roman" w:hint="eastAsia"/>
                <w:kern w:val="2"/>
                <w:sz w:val="24"/>
                <w:szCs w:val="24"/>
                <w:vertAlign w:val="superscript"/>
              </w:rPr>
              <w:t>c</w:t>
            </w:r>
          </w:p>
        </w:tc>
      </w:tr>
      <w:tr w:rsidR="00714D18" w14:paraId="2629DCF7" w14:textId="77777777">
        <w:tc>
          <w:tcPr>
            <w:tcW w:w="591" w:type="dxa"/>
          </w:tcPr>
          <w:p w14:paraId="69830A77" w14:textId="77777777" w:rsidR="00714D18" w:rsidRDefault="006E5117">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3</w:t>
            </w:r>
          </w:p>
        </w:tc>
        <w:tc>
          <w:tcPr>
            <w:tcW w:w="3261" w:type="dxa"/>
          </w:tcPr>
          <w:p w14:paraId="63356273"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Sildenafil Citrate</w:t>
            </w:r>
          </w:p>
        </w:tc>
        <w:tc>
          <w:tcPr>
            <w:tcW w:w="1723" w:type="dxa"/>
          </w:tcPr>
          <w:p w14:paraId="120ED336"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8.78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0.15</w:t>
            </w:r>
            <w:r>
              <w:rPr>
                <w:rFonts w:ascii="Times New Roman" w:hAnsi="Times New Roman" w:cs="Times New Roman" w:hint="eastAsia"/>
                <w:kern w:val="2"/>
                <w:sz w:val="24"/>
                <w:szCs w:val="24"/>
                <w:vertAlign w:val="superscript"/>
              </w:rPr>
              <w:t>b</w:t>
            </w:r>
          </w:p>
        </w:tc>
        <w:tc>
          <w:tcPr>
            <w:tcW w:w="1710" w:type="dxa"/>
          </w:tcPr>
          <w:p w14:paraId="5DC974A4"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7.73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b</w:t>
            </w:r>
          </w:p>
        </w:tc>
        <w:tc>
          <w:tcPr>
            <w:tcW w:w="1710" w:type="dxa"/>
          </w:tcPr>
          <w:p w14:paraId="148C8FFF"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0.24</w:t>
            </w:r>
            <w:r>
              <w:rPr>
                <w:rFonts w:ascii="Times New Roman" w:hAnsi="Times New Roman" w:cs="Times New Roman" w:hint="eastAsia"/>
                <w:kern w:val="2"/>
                <w:sz w:val="24"/>
                <w:szCs w:val="24"/>
                <w:vertAlign w:val="superscript"/>
              </w:rPr>
              <w:t>ab</w:t>
            </w:r>
          </w:p>
        </w:tc>
        <w:tc>
          <w:tcPr>
            <w:tcW w:w="1620" w:type="dxa"/>
          </w:tcPr>
          <w:p w14:paraId="6F7CE9FF"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20.38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1.03</w:t>
            </w:r>
            <w:r>
              <w:rPr>
                <w:rFonts w:ascii="Times New Roman" w:hAnsi="Times New Roman" w:cs="Times New Roman" w:hint="eastAsia"/>
                <w:kern w:val="2"/>
                <w:sz w:val="24"/>
                <w:szCs w:val="24"/>
                <w:vertAlign w:val="superscript"/>
              </w:rPr>
              <w:t>bc</w:t>
            </w:r>
          </w:p>
        </w:tc>
      </w:tr>
      <w:tr w:rsidR="00714D18" w14:paraId="26A1B0E4" w14:textId="77777777">
        <w:tc>
          <w:tcPr>
            <w:tcW w:w="591" w:type="dxa"/>
          </w:tcPr>
          <w:p w14:paraId="2F0EB6D7" w14:textId="77777777" w:rsidR="00714D18" w:rsidRDefault="006E5117">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4</w:t>
            </w:r>
          </w:p>
        </w:tc>
        <w:tc>
          <w:tcPr>
            <w:tcW w:w="3261" w:type="dxa"/>
          </w:tcPr>
          <w:p w14:paraId="6289180A"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200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SAAE</w:t>
            </w:r>
          </w:p>
        </w:tc>
        <w:tc>
          <w:tcPr>
            <w:tcW w:w="1723" w:type="dxa"/>
          </w:tcPr>
          <w:p w14:paraId="406C31D7"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9.37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0.45</w:t>
            </w:r>
            <w:r>
              <w:rPr>
                <w:rFonts w:ascii="Times New Roman" w:hAnsi="Times New Roman" w:cs="Times New Roman" w:hint="eastAsia"/>
                <w:kern w:val="2"/>
                <w:sz w:val="24"/>
                <w:szCs w:val="24"/>
                <w:vertAlign w:val="superscript"/>
              </w:rPr>
              <w:t>b</w:t>
            </w:r>
          </w:p>
        </w:tc>
        <w:tc>
          <w:tcPr>
            <w:tcW w:w="1710" w:type="dxa"/>
          </w:tcPr>
          <w:p w14:paraId="11C0E8C3"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0.23</w:t>
            </w:r>
            <w:r>
              <w:rPr>
                <w:rFonts w:ascii="Times New Roman" w:hAnsi="Times New Roman" w:cs="Times New Roman" w:hint="eastAsia"/>
                <w:kern w:val="2"/>
                <w:sz w:val="24"/>
                <w:szCs w:val="24"/>
                <w:vertAlign w:val="superscript"/>
              </w:rPr>
              <w:t>b</w:t>
            </w:r>
          </w:p>
        </w:tc>
        <w:tc>
          <w:tcPr>
            <w:tcW w:w="1710" w:type="dxa"/>
          </w:tcPr>
          <w:p w14:paraId="30AE4AA5" w14:textId="77777777" w:rsidR="00714D18" w:rsidRDefault="006E5117">
            <w:pPr>
              <w:rPr>
                <w:rFonts w:ascii="Times New Roman" w:hAnsi="Times New Roman" w:cs="Times New Roman"/>
                <w:b/>
                <w:bCs/>
                <w:kern w:val="2"/>
                <w:sz w:val="24"/>
                <w:szCs w:val="24"/>
              </w:rPr>
            </w:pPr>
            <w:r>
              <w:rPr>
                <w:rFonts w:ascii="Times New Roman" w:hAnsi="Times New Roman" w:cs="Times New Roman" w:hint="eastAsia"/>
                <w:kern w:val="2"/>
                <w:sz w:val="24"/>
                <w:szCs w:val="24"/>
              </w:rPr>
              <w:t xml:space="preserve">3.85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0.48</w:t>
            </w:r>
            <w:r>
              <w:rPr>
                <w:rFonts w:ascii="Times New Roman" w:hAnsi="Times New Roman" w:cs="Times New Roman" w:hint="eastAsia"/>
                <w:kern w:val="2"/>
                <w:sz w:val="24"/>
                <w:szCs w:val="24"/>
                <w:vertAlign w:val="superscript"/>
              </w:rPr>
              <w:t>b</w:t>
            </w:r>
          </w:p>
        </w:tc>
        <w:tc>
          <w:tcPr>
            <w:tcW w:w="1620" w:type="dxa"/>
          </w:tcPr>
          <w:p w14:paraId="2972728F"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19.13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1.12</w:t>
            </w:r>
            <w:r>
              <w:rPr>
                <w:rFonts w:ascii="Times New Roman" w:hAnsi="Times New Roman" w:cs="Times New Roman" w:hint="eastAsia"/>
                <w:kern w:val="2"/>
                <w:sz w:val="24"/>
                <w:szCs w:val="24"/>
                <w:vertAlign w:val="superscript"/>
              </w:rPr>
              <w:t>ab</w:t>
            </w:r>
          </w:p>
        </w:tc>
      </w:tr>
      <w:tr w:rsidR="00714D18" w14:paraId="2554FDE7" w14:textId="77777777">
        <w:tc>
          <w:tcPr>
            <w:tcW w:w="591" w:type="dxa"/>
            <w:tcBorders>
              <w:bottom w:val="single" w:sz="8" w:space="0" w:color="auto"/>
            </w:tcBorders>
          </w:tcPr>
          <w:p w14:paraId="240BE59C" w14:textId="77777777" w:rsidR="00714D18" w:rsidRDefault="006E5117">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5</w:t>
            </w:r>
          </w:p>
        </w:tc>
        <w:tc>
          <w:tcPr>
            <w:tcW w:w="3261" w:type="dxa"/>
            <w:tcBorders>
              <w:bottom w:val="single" w:sz="8" w:space="0" w:color="auto"/>
            </w:tcBorders>
          </w:tcPr>
          <w:p w14:paraId="77744FC9"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400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SAAE</w:t>
            </w:r>
          </w:p>
        </w:tc>
        <w:tc>
          <w:tcPr>
            <w:tcW w:w="1723" w:type="dxa"/>
            <w:tcBorders>
              <w:bottom w:val="single" w:sz="8" w:space="0" w:color="auto"/>
            </w:tcBorders>
          </w:tcPr>
          <w:p w14:paraId="4425C21D"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8.81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14:paraId="7794A22E"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8.15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14:paraId="1C1EC223"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2.66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620" w:type="dxa"/>
            <w:tcBorders>
              <w:bottom w:val="single" w:sz="8" w:space="0" w:color="auto"/>
            </w:tcBorders>
          </w:tcPr>
          <w:p w14:paraId="630A831E" w14:textId="77777777" w:rsidR="00714D18" w:rsidRDefault="006E5117">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18.02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0.49</w:t>
            </w:r>
            <w:r>
              <w:rPr>
                <w:rFonts w:ascii="Times New Roman" w:hAnsi="Times New Roman" w:cs="Times New Roman" w:hint="eastAsia"/>
                <w:kern w:val="2"/>
                <w:sz w:val="24"/>
                <w:szCs w:val="24"/>
                <w:vertAlign w:val="superscript"/>
              </w:rPr>
              <w:t>ab</w:t>
            </w:r>
          </w:p>
        </w:tc>
      </w:tr>
    </w:tbl>
    <w:p w14:paraId="489D3EE4" w14:textId="77777777" w:rsidR="00714D18" w:rsidRDefault="00714D18">
      <w:pPr>
        <w:rPr>
          <w:rFonts w:ascii="Times New Roman" w:hAnsi="Times New Roman" w:cs="Times New Roman"/>
          <w:sz w:val="24"/>
          <w:szCs w:val="24"/>
        </w:rPr>
      </w:pPr>
    </w:p>
    <w:p w14:paraId="53827E9A" w14:textId="77777777" w:rsidR="00714D18" w:rsidRDefault="00714D18">
      <w:pPr>
        <w:rPr>
          <w:rFonts w:ascii="Times New Roman" w:hAnsi="Times New Roman" w:cs="Times New Roman"/>
          <w:sz w:val="24"/>
          <w:szCs w:val="24"/>
        </w:rPr>
      </w:pPr>
    </w:p>
    <w:p w14:paraId="503FC89D" w14:textId="77777777" w:rsidR="00714D18" w:rsidRDefault="00714D18">
      <w:pPr>
        <w:rPr>
          <w:rFonts w:ascii="Times New Roman" w:hAnsi="Times New Roman" w:cs="Times New Roman"/>
          <w:sz w:val="24"/>
          <w:szCs w:val="24"/>
        </w:rPr>
      </w:pPr>
    </w:p>
    <w:p w14:paraId="3A0013BD" w14:textId="77777777" w:rsidR="00714D18" w:rsidRDefault="006E5117">
      <w:pPr>
        <w:rPr>
          <w:rFonts w:ascii="Times New Roman" w:hAnsi="Times New Roman" w:cs="Times New Roman"/>
          <w:sz w:val="24"/>
          <w:szCs w:val="24"/>
        </w:rPr>
      </w:pPr>
      <w:r>
        <w:rPr>
          <w:rFonts w:ascii="Times New Roman" w:hAnsi="Times New Roman" w:cs="Times New Roman"/>
          <w:sz w:val="24"/>
          <w:szCs w:val="24"/>
        </w:rPr>
        <w:t xml:space="preserve">SAAE: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Aqueous Extract</w:t>
      </w:r>
    </w:p>
    <w:p w14:paraId="3002184C" w14:textId="77777777" w:rsidR="00714D18" w:rsidRDefault="006E5117">
      <w:pPr>
        <w:rPr>
          <w:rFonts w:ascii="Times New Roman" w:hAnsi="Times New Roman" w:cs="Times New Roman"/>
          <w:sz w:val="24"/>
          <w:szCs w:val="24"/>
        </w:rPr>
      </w:pPr>
      <w:r>
        <w:rPr>
          <w:rFonts w:ascii="Times New Roman" w:hAnsi="Times New Roman" w:cs="Times New Roman"/>
          <w:sz w:val="24"/>
          <w:szCs w:val="24"/>
        </w:rPr>
        <w:br w:type="page"/>
      </w:r>
    </w:p>
    <w:p w14:paraId="5B6ADEE5" w14:textId="77777777" w:rsidR="00714D18" w:rsidRDefault="006E5117">
      <w:pPr>
        <w:pStyle w:val="Heading1"/>
        <w:spacing w:line="240" w:lineRule="auto"/>
        <w:ind w:left="1440" w:firstLine="720"/>
      </w:pPr>
      <w:bookmarkStart w:id="61" w:name="_Toc30383"/>
      <w:r>
        <w:t>CHAPTER FIVE</w:t>
      </w:r>
      <w:bookmarkEnd w:id="61"/>
    </w:p>
    <w:p w14:paraId="2DF5D561" w14:textId="77777777" w:rsidR="00714D18" w:rsidRDefault="006E5117">
      <w:pPr>
        <w:pStyle w:val="Heading1"/>
        <w:spacing w:line="240" w:lineRule="auto"/>
      </w:pPr>
      <w:bookmarkStart w:id="62" w:name="_Toc22960"/>
      <w:r>
        <w:t>5.0 DISCUSSION, CONCLUSION AND RECOMMENDATION</w:t>
      </w:r>
      <w:bookmarkEnd w:id="62"/>
    </w:p>
    <w:p w14:paraId="4B07AA14" w14:textId="77777777" w:rsidR="00714D18" w:rsidRDefault="006E5117">
      <w:pPr>
        <w:pStyle w:val="Heading2"/>
        <w:spacing w:line="240" w:lineRule="auto"/>
      </w:pPr>
      <w:bookmarkStart w:id="63" w:name="_Toc29947"/>
      <w:r>
        <w:t>5.1 Discussion</w:t>
      </w:r>
      <w:bookmarkEnd w:id="63"/>
    </w:p>
    <w:p w14:paraId="001491D1"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aqueous extract (SAAE) highlight the therapeutic potential of clove-derived phytochemicals in modulating biochemical and physiological pathways relevant to male reproductive health. The significant reduction in penile organ-body ratio in the untreated paroxetine group aligns with existing evidence that selective serotonin reuptake inhibitors (SSRIs), such as paroxetine, impair sexual function by inhibiting dopaminergic and nitric oxide (NO)-mediated pathways critical for erection and libido (</w:t>
      </w:r>
      <w:proofErr w:type="spellStart"/>
      <w:r>
        <w:rPr>
          <w:rFonts w:ascii="Times New Roman" w:hAnsi="Times New Roman" w:cs="Times New Roman"/>
          <w:sz w:val="24"/>
          <w:szCs w:val="24"/>
        </w:rPr>
        <w:t>Khawam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components of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particularly </w:t>
      </w:r>
      <w:proofErr w:type="spellStart"/>
      <w:r>
        <w:rPr>
          <w:rFonts w:ascii="Times New Roman" w:hAnsi="Times New Roman" w:cs="Times New Roman"/>
          <w:sz w:val="24"/>
          <w:szCs w:val="24"/>
        </w:rPr>
        <w:t>eugenol</w:t>
      </w:r>
      <w:proofErr w:type="spellEnd"/>
      <w:r>
        <w:rPr>
          <w:rFonts w:ascii="Times New Roman" w:hAnsi="Times New Roman" w:cs="Times New Roman"/>
          <w:sz w:val="24"/>
          <w:szCs w:val="24"/>
        </w:rPr>
        <w:t xml:space="preserve">, flavonoids, and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exert tissue-protective effects and potentially enhance androgenic stimulation (</w:t>
      </w:r>
      <w:proofErr w:type="spellStart"/>
      <w:r>
        <w:rPr>
          <w:rFonts w:ascii="Times New Roman" w:hAnsi="Times New Roman" w:cs="Times New Roman"/>
          <w:sz w:val="24"/>
          <w:szCs w:val="24"/>
        </w:rPr>
        <w:t>Taghipour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302ABC85"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restoration of NO concentrations in the SAAE-treated groups indicates a reversal of paroxetine-mediated oxidative and endothelial dysfunction. Nitric oxide is essential for corpus </w:t>
      </w:r>
      <w:proofErr w:type="spellStart"/>
      <w:r>
        <w:rPr>
          <w:rFonts w:ascii="Times New Roman" w:hAnsi="Times New Roman" w:cs="Times New Roman"/>
          <w:sz w:val="24"/>
          <w:szCs w:val="24"/>
        </w:rPr>
        <w:t>cavernosum</w:t>
      </w:r>
      <w:proofErr w:type="spellEnd"/>
      <w:r>
        <w:rPr>
          <w:rFonts w:ascii="Times New Roman" w:hAnsi="Times New Roman" w:cs="Times New Roman"/>
          <w:sz w:val="24"/>
          <w:szCs w:val="24"/>
        </w:rPr>
        <w:t xml:space="preserve"> relaxation and penile erection, and its reduction is a hallmark of drug-induced erectile dysfunction (Chauhan </w:t>
      </w:r>
      <w:r>
        <w:rPr>
          <w:rFonts w:ascii="Times New Roman" w:hAnsi="Times New Roman" w:cs="Times New Roman"/>
          <w:i/>
          <w:iCs/>
          <w:sz w:val="24"/>
          <w:szCs w:val="24"/>
        </w:rPr>
        <w:t>et al.,</w:t>
      </w:r>
      <w:r>
        <w:rPr>
          <w:rFonts w:ascii="Times New Roman" w:hAnsi="Times New Roman" w:cs="Times New Roman"/>
          <w:sz w:val="24"/>
          <w:szCs w:val="24"/>
        </w:rPr>
        <w:t xml:space="preserve"> 2020). Several phytochemicals found in clove, notably flavonoids and phenolic compounds, are known to enhance NO synthase activity and reduce oxidative stress (Yilmaz-Oral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validates the efficacy of clove extract as a natural PDE5 modulator. This observation is supported by the findings of </w:t>
      </w:r>
      <w:proofErr w:type="spellStart"/>
      <w:r>
        <w:rPr>
          <w:rFonts w:ascii="Times New Roman" w:hAnsi="Times New Roman" w:cs="Times New Roman"/>
          <w:sz w:val="24"/>
          <w:szCs w:val="24"/>
        </w:rPr>
        <w:t>Elkomy</w:t>
      </w:r>
      <w:proofErr w:type="spellEnd"/>
      <w:r>
        <w:rPr>
          <w:rFonts w:ascii="Times New Roman" w:hAnsi="Times New Roman" w:cs="Times New Roman"/>
          <w:sz w:val="24"/>
          <w:szCs w:val="24"/>
        </w:rPr>
        <w:t xml:space="preserve"> et al. (2018), who demonstrated that clove oil improves testicular function and NO availability in toxicological models.</w:t>
      </w:r>
    </w:p>
    <w:p w14:paraId="728EF9A1"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Phosphodiesterase-5 (PDE5) plays a central role in penile </w:t>
      </w:r>
      <w:proofErr w:type="spellStart"/>
      <w:r>
        <w:rPr>
          <w:rFonts w:ascii="Times New Roman" w:hAnsi="Times New Roman" w:cs="Times New Roman"/>
          <w:sz w:val="24"/>
          <w:szCs w:val="24"/>
        </w:rPr>
        <w:t>detumescence</w:t>
      </w:r>
      <w:proofErr w:type="spellEnd"/>
      <w:r>
        <w:rPr>
          <w:rFonts w:ascii="Times New Roman" w:hAnsi="Times New Roman" w:cs="Times New Roman"/>
          <w:sz w:val="24"/>
          <w:szCs w:val="24"/>
        </w:rPr>
        <w:t xml:space="preserve"> by degrading cyclic GMP. The elevated PDE5 activity in the paroxetine-only group and its normalization in the 400 mg/kg SAAE group suggest that the extract may inhibit PDE5 enzymatic activity, akin to the mechanism of action of sildenafil. This effect was less pronounced in the 200 mg/kg SAAE group, reinforcing the dose-dependent efficacy of the extract. </w:t>
      </w:r>
      <w:proofErr w:type="spellStart"/>
      <w:r>
        <w:rPr>
          <w:rFonts w:ascii="Times New Roman" w:hAnsi="Times New Roman" w:cs="Times New Roman"/>
          <w:sz w:val="24"/>
          <w:szCs w:val="24"/>
        </w:rPr>
        <w:t>Eugenol</w:t>
      </w:r>
      <w:proofErr w:type="spellEnd"/>
      <w:r>
        <w:rPr>
          <w:rFonts w:ascii="Times New Roman" w:hAnsi="Times New Roman" w:cs="Times New Roman"/>
          <w:sz w:val="24"/>
          <w:szCs w:val="24"/>
        </w:rPr>
        <w:t>, a major constituent of clove, has been shown to inhibit PDE enzymes and promote smooth muscle relaxation, thus enhancing erectile function (</w:t>
      </w:r>
      <w:proofErr w:type="spellStart"/>
      <w:r>
        <w:rPr>
          <w:rFonts w:ascii="Times New Roman" w:hAnsi="Times New Roman" w:cs="Times New Roman"/>
          <w:sz w:val="24"/>
          <w:szCs w:val="24"/>
        </w:rPr>
        <w:t>Okukpe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 cGMP signaling (</w:t>
      </w:r>
      <w:proofErr w:type="spellStart"/>
      <w:r>
        <w:rPr>
          <w:rFonts w:ascii="Times New Roman" w:hAnsi="Times New Roman" w:cs="Times New Roman"/>
          <w:sz w:val="24"/>
          <w:szCs w:val="24"/>
        </w:rPr>
        <w:t>Taghipour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720B8F9E"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reduction of arginase activity in the treatment groups is significant, as this enzyme competes with nitric oxide synthase for the common substrate L-arginine. Elevated arginase activity is a known contributor to erectile dysfunction through reduced substrate availability for NO synthesis (Gul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arginase activity in SAAE-treated rats mirrors the effect of sildenafil and reflects the extract's ability to maintain NO production by regulating arginase expression. These findings are in line with the work of </w:t>
      </w:r>
      <w:proofErr w:type="spellStart"/>
      <w:r>
        <w:rPr>
          <w:rFonts w:ascii="Times New Roman" w:hAnsi="Times New Roman" w:cs="Times New Roman"/>
          <w:sz w:val="24"/>
          <w:szCs w:val="24"/>
        </w:rPr>
        <w:t>Soltani</w:t>
      </w:r>
      <w:proofErr w:type="spellEnd"/>
      <w:r>
        <w:rPr>
          <w:rFonts w:ascii="Times New Roman" w:hAnsi="Times New Roman" w:cs="Times New Roman"/>
          <w:sz w:val="24"/>
          <w:szCs w:val="24"/>
        </w:rPr>
        <w:t xml:space="preserve"> et al. (2023), who reported that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extract modulates inflammatory and oxidative pathways, potentially </w:t>
      </w:r>
      <w:proofErr w:type="spellStart"/>
      <w:r>
        <w:rPr>
          <w:rFonts w:ascii="Times New Roman" w:hAnsi="Times New Roman" w:cs="Times New Roman"/>
          <w:sz w:val="24"/>
          <w:szCs w:val="24"/>
        </w:rPr>
        <w:t>downregulating</w:t>
      </w:r>
      <w:proofErr w:type="spellEnd"/>
      <w:r>
        <w:rPr>
          <w:rFonts w:ascii="Times New Roman" w:hAnsi="Times New Roman" w:cs="Times New Roman"/>
          <w:sz w:val="24"/>
          <w:szCs w:val="24"/>
        </w:rPr>
        <w:t xml:space="preserve"> arginase via antioxidant activity.</w:t>
      </w:r>
    </w:p>
    <w:p w14:paraId="4091A373"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decline in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kinase (CK) activity in the treatment groups relative to the paroxetine-only group further supports the protective effect of SAAE on muscular energy metabolism in penile tissues. Elevated CK levels are often associated with tissue damage and impaired muscular energy handling. The normalization of CK activity suggests that SAAE supports the restoration of mitochondrial integrity and energy transfer processes in the penile smooth muscle and possibly the testis, as previously indicated by </w:t>
      </w:r>
      <w:proofErr w:type="spellStart"/>
      <w:r>
        <w:rPr>
          <w:rFonts w:ascii="Times New Roman" w:hAnsi="Times New Roman" w:cs="Times New Roman"/>
          <w:sz w:val="24"/>
          <w:szCs w:val="24"/>
        </w:rPr>
        <w:t>Chikere</w:t>
      </w:r>
      <w:proofErr w:type="spellEnd"/>
      <w:r>
        <w:rPr>
          <w:rFonts w:ascii="Times New Roman" w:hAnsi="Times New Roman" w:cs="Times New Roman"/>
          <w:sz w:val="24"/>
          <w:szCs w:val="24"/>
        </w:rPr>
        <w:t xml:space="preserve"> et al. (2015), who observed clove extract ameliorating histopathological damage in reproductive tissues.</w:t>
      </w:r>
    </w:p>
    <w:p w14:paraId="2E3840C7"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dyslipidemic</w:t>
      </w:r>
      <w:proofErr w:type="spellEnd"/>
      <w:r>
        <w:rPr>
          <w:rFonts w:ascii="Times New Roman" w:hAnsi="Times New Roman" w:cs="Times New Roman"/>
          <w:sz w:val="24"/>
          <w:szCs w:val="24"/>
        </w:rPr>
        <w:t xml:space="preserve"> effects induced by paroxetine were also evident, with elevated LDL, total cholesterol, and triacylglycerol (TAG), alongside decreased HDL levels in the dysfunctional group. 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effectively reversed these alterations, particularly at the higher dose, showing comparable outcomes to sildenafil. This </w:t>
      </w:r>
      <w:proofErr w:type="spellStart"/>
      <w:r>
        <w:rPr>
          <w:rFonts w:ascii="Times New Roman" w:hAnsi="Times New Roman" w:cs="Times New Roman"/>
          <w:sz w:val="24"/>
          <w:szCs w:val="24"/>
        </w:rPr>
        <w:t>hypolipidemic</w:t>
      </w:r>
      <w:proofErr w:type="spellEnd"/>
      <w:r>
        <w:rPr>
          <w:rFonts w:ascii="Times New Roman" w:hAnsi="Times New Roman" w:cs="Times New Roman"/>
          <w:sz w:val="24"/>
          <w:szCs w:val="24"/>
        </w:rPr>
        <w:t xml:space="preserve"> effect is likely due to the antioxidant and </w:t>
      </w:r>
      <w:proofErr w:type="spellStart"/>
      <w:r>
        <w:rPr>
          <w:rFonts w:ascii="Times New Roman" w:hAnsi="Times New Roman" w:cs="Times New Roman"/>
          <w:sz w:val="24"/>
          <w:szCs w:val="24"/>
        </w:rPr>
        <w:t>hepatoprotective</w:t>
      </w:r>
      <w:proofErr w:type="spellEnd"/>
      <w:r>
        <w:rPr>
          <w:rFonts w:ascii="Times New Roman" w:hAnsi="Times New Roman" w:cs="Times New Roman"/>
          <w:sz w:val="24"/>
          <w:szCs w:val="24"/>
        </w:rPr>
        <w:t xml:space="preserve"> action of polyphenols in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which enhance lipid catabolism and reduce lipid peroxidation (</w:t>
      </w: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w:t>
      </w:r>
      <w:proofErr w:type="spellStart"/>
      <w:r>
        <w:rPr>
          <w:rFonts w:ascii="Times New Roman" w:hAnsi="Times New Roman" w:cs="Times New Roman"/>
          <w:sz w:val="24"/>
          <w:szCs w:val="24"/>
        </w:rPr>
        <w:t>Hussien</w:t>
      </w:r>
      <w:proofErr w:type="spellEnd"/>
      <w:r>
        <w:rPr>
          <w:rFonts w:ascii="Times New Roman" w:hAnsi="Times New Roman" w:cs="Times New Roman"/>
          <w:sz w:val="24"/>
          <w:szCs w:val="24"/>
        </w:rPr>
        <w:t xml:space="preserve"> et al. (2024), clove extract significantly reduced LDL and total cholesterol levels in diabetic rats, supporting its potential in correcting drug-induced dyslipidemia.</w:t>
      </w:r>
    </w:p>
    <w:p w14:paraId="3F19EF81" w14:textId="77777777" w:rsidR="00714D18" w:rsidRDefault="006E5117">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and flavonoids, contribute synergistically to its therapeutic effects. Flavonoids in particular are well-known for their ability to scavenge free radicals, modulate endothelial function, and enhance reproductive hormone profiles (</w:t>
      </w:r>
      <w:proofErr w:type="spellStart"/>
      <w:r>
        <w:rPr>
          <w:rFonts w:ascii="Times New Roman" w:hAnsi="Times New Roman" w:cs="Times New Roman"/>
          <w:sz w:val="24"/>
          <w:szCs w:val="24"/>
        </w:rPr>
        <w:t>Dehghani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w:t>
      </w:r>
      <w:proofErr w:type="spellStart"/>
      <w:r>
        <w:rPr>
          <w:rFonts w:ascii="Times New Roman" w:hAnsi="Times New Roman" w:cs="Times New Roman"/>
          <w:sz w:val="24"/>
          <w:szCs w:val="24"/>
        </w:rPr>
        <w:t>terpenoids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phlobatannins</w:t>
      </w:r>
      <w:proofErr w:type="spellEnd"/>
      <w:r>
        <w:rPr>
          <w:rFonts w:ascii="Times New Roman" w:hAnsi="Times New Roman" w:cs="Times New Roman"/>
          <w:sz w:val="24"/>
          <w:szCs w:val="24"/>
        </w:rPr>
        <w:t>, though noteworthy, did not appear to compromise the efficacy of the extract, indicating that the major active compounds present were sufficient to induce measurable physiological and biochemical improvements.</w:t>
      </w:r>
    </w:p>
    <w:p w14:paraId="61060034" w14:textId="77777777" w:rsidR="00714D18" w:rsidRDefault="006E5117">
      <w:pPr>
        <w:pStyle w:val="Heading2"/>
        <w:spacing w:line="240" w:lineRule="auto"/>
      </w:pPr>
      <w:bookmarkStart w:id="64" w:name="_Toc20326"/>
      <w:r>
        <w:t>5.2 Conclusion</w:t>
      </w:r>
      <w:bookmarkEnd w:id="64"/>
    </w:p>
    <w:p w14:paraId="3E42AAA6"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aqueous extract effectively mitigated paroxetine-induced reproductive and metabolic dysfunction in male rats. The extract's rich phytochemical content, including flavonoids,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eugenol</w:t>
      </w:r>
      <w:proofErr w:type="spellEnd"/>
      <w:r>
        <w:rPr>
          <w:rFonts w:ascii="Times New Roman" w:hAnsi="Times New Roman" w:cs="Times New Roman"/>
          <w:sz w:val="24"/>
          <w:szCs w:val="24"/>
        </w:rPr>
        <w:t>, contributed to the restoration of nitric oxide levels, inhibition of phosphodiesterase-5 activity, normalization of lipid profiles, and protection of reproductive tissues. These findings suggest that clove extract possesses multi-targeted therapeutic potential and could serve as a complementary approach for managing SSRI-induced sexual dysfunction and associated biochemical imbalances. Further research is warranted to explore its clinical relevance and mechanistic pathways in humans.</w:t>
      </w:r>
    </w:p>
    <w:p w14:paraId="1E998164" w14:textId="77777777" w:rsidR="00714D18" w:rsidRDefault="00714D18">
      <w:pPr>
        <w:spacing w:line="480" w:lineRule="auto"/>
        <w:jc w:val="both"/>
        <w:rPr>
          <w:rFonts w:ascii="Times New Roman" w:hAnsi="Times New Roman" w:cs="Times New Roman"/>
          <w:b/>
          <w:bCs/>
          <w:sz w:val="24"/>
          <w:szCs w:val="24"/>
        </w:rPr>
      </w:pPr>
    </w:p>
    <w:p w14:paraId="0205A011" w14:textId="77777777" w:rsidR="00714D18" w:rsidRDefault="00714D18">
      <w:pPr>
        <w:spacing w:line="480" w:lineRule="auto"/>
        <w:jc w:val="both"/>
        <w:rPr>
          <w:rFonts w:ascii="Times New Roman" w:hAnsi="Times New Roman" w:cs="Times New Roman"/>
          <w:b/>
          <w:bCs/>
          <w:sz w:val="24"/>
          <w:szCs w:val="24"/>
        </w:rPr>
      </w:pPr>
    </w:p>
    <w:p w14:paraId="2CDA4B46" w14:textId="77777777" w:rsidR="00714D18" w:rsidRDefault="00714D18">
      <w:pPr>
        <w:spacing w:line="480" w:lineRule="auto"/>
        <w:jc w:val="both"/>
        <w:rPr>
          <w:rFonts w:ascii="Times New Roman" w:hAnsi="Times New Roman" w:cs="Times New Roman"/>
          <w:b/>
          <w:bCs/>
          <w:sz w:val="24"/>
          <w:szCs w:val="24"/>
        </w:rPr>
      </w:pPr>
    </w:p>
    <w:p w14:paraId="4D867E85" w14:textId="77777777" w:rsidR="00714D18" w:rsidRDefault="006E5117">
      <w:pPr>
        <w:pStyle w:val="Heading2"/>
        <w:spacing w:line="240" w:lineRule="auto"/>
      </w:pPr>
      <w:bookmarkStart w:id="65" w:name="_Toc8899"/>
      <w:r>
        <w:t>5.3 Recommendation</w:t>
      </w:r>
      <w:bookmarkEnd w:id="65"/>
    </w:p>
    <w:p w14:paraId="3BB086BD" w14:textId="77777777" w:rsidR="00714D18" w:rsidRDefault="006E5117">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14:paraId="7E2DD301" w14:textId="77777777" w:rsidR="00714D18" w:rsidRDefault="006E511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Clinical trials should be initiated to evaluate the safety, dosage range, and efficacy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aqueous extract in managing sexual dysfunction in human subjects, particularly those on SSRI medications like paroxetine.</w:t>
      </w:r>
    </w:p>
    <w:p w14:paraId="3F04BF1B" w14:textId="77777777" w:rsidR="00714D18" w:rsidRDefault="006E511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which clove extract modulates nitric oxide synthesis, phosphodiesterase-5 activity, and lipid metabolism.</w:t>
      </w:r>
    </w:p>
    <w:p w14:paraId="34243E4F" w14:textId="77777777" w:rsidR="00714D18" w:rsidRDefault="006E511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for the observed pharmacological effects.</w:t>
      </w:r>
    </w:p>
    <w:p w14:paraId="6D772BD2" w14:textId="77777777" w:rsidR="00714D18" w:rsidRDefault="006E511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14:paraId="0FD9104D" w14:textId="77777777" w:rsidR="00714D18" w:rsidRDefault="00714D18">
      <w:pPr>
        <w:rPr>
          <w:rFonts w:ascii="Times New Roman" w:hAnsi="Times New Roman" w:cs="Times New Roman"/>
          <w:sz w:val="24"/>
          <w:szCs w:val="24"/>
        </w:rPr>
      </w:pPr>
    </w:p>
    <w:p w14:paraId="15531AF0" w14:textId="77777777" w:rsidR="00714D18" w:rsidRDefault="006E5117">
      <w:pPr>
        <w:rPr>
          <w:b/>
        </w:rPr>
      </w:pPr>
      <w:r>
        <w:rPr>
          <w:rFonts w:ascii="Times New Roman" w:hAnsi="Times New Roman" w:cs="Times New Roman"/>
          <w:sz w:val="24"/>
          <w:szCs w:val="24"/>
        </w:rPr>
        <w:br w:type="page"/>
      </w:r>
    </w:p>
    <w:p w14:paraId="303D2F2C" w14:textId="77777777" w:rsidR="00714D18" w:rsidRDefault="006E5117">
      <w:pPr>
        <w:pStyle w:val="Heading1"/>
        <w:spacing w:line="240" w:lineRule="auto"/>
        <w:ind w:left="2160" w:firstLine="720"/>
      </w:pPr>
      <w:bookmarkStart w:id="66" w:name="_Toc26004"/>
      <w:r>
        <w:t>REFERENCES</w:t>
      </w:r>
      <w:bookmarkEnd w:id="66"/>
    </w:p>
    <w:p w14:paraId="3647777D" w14:textId="77777777" w:rsidR="00714D18" w:rsidRDefault="006E5117">
      <w:pPr>
        <w:pStyle w:val="NormalWeb"/>
      </w:pPr>
      <w:r>
        <w:t xml:space="preserve">Abdel-Kader, M. S., </w:t>
      </w:r>
      <w:proofErr w:type="spellStart"/>
      <w:r>
        <w:t>Alam</w:t>
      </w:r>
      <w:proofErr w:type="spellEnd"/>
      <w:r>
        <w:t xml:space="preserve">, P., </w:t>
      </w:r>
      <w:proofErr w:type="spellStart"/>
      <w:r>
        <w:t>Soliman</w:t>
      </w:r>
      <w:proofErr w:type="spellEnd"/>
      <w:r>
        <w:t>, G. A., &amp; Al-</w:t>
      </w:r>
      <w:proofErr w:type="spellStart"/>
      <w:r>
        <w:t>Shdefat</w:t>
      </w:r>
      <w:proofErr w:type="spellEnd"/>
      <w:r>
        <w:t xml:space="preserve">, R. (2021). Eco-friendly stability-indicating RP-HPTLC method for sildenafil analysis, characterization and biological evaluation of its oxidized stress degradation product. </w:t>
      </w:r>
      <w:r>
        <w:rPr>
          <w:rStyle w:val="Emphasis"/>
        </w:rPr>
        <w:t>Scientific Reports</w:t>
      </w:r>
      <w:r>
        <w:t xml:space="preserve">, 11, 1–11. </w:t>
      </w:r>
      <w:hyperlink r:id="rId22" w:history="1">
        <w:r>
          <w:rPr>
            <w:rStyle w:val="Hyperlink"/>
          </w:rPr>
          <w:t>https://www.nature.com/articles/s41598-021-94854-6</w:t>
        </w:r>
      </w:hyperlink>
    </w:p>
    <w:p w14:paraId="6EBFBB57" w14:textId="77777777" w:rsidR="00714D18" w:rsidRDefault="006E5117">
      <w:pPr>
        <w:jc w:val="both"/>
        <w:rPr>
          <w:rFonts w:ascii="Times New Roman" w:hAnsi="Times New Roman" w:cs="Times New Roman"/>
          <w:sz w:val="24"/>
          <w:szCs w:val="24"/>
        </w:rPr>
      </w:pP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Elkomy</w:t>
      </w:r>
      <w:proofErr w:type="spellEnd"/>
      <w:r>
        <w:rPr>
          <w:rFonts w:ascii="Times New Roman" w:hAnsi="Times New Roman" w:cs="Times New Roman"/>
          <w:sz w:val="24"/>
          <w:szCs w:val="24"/>
        </w:rPr>
        <w:t xml:space="preserve">, A., &amp; Ibrahim, S. (2018). Protective effects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oil (clove) against acrylamide-induced hepatic, renal, and testicular toxicity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hyperlink r:id="rId23" w:history="1">
        <w:r>
          <w:rPr>
            <w:rStyle w:val="Hyperlink"/>
            <w:rFonts w:ascii="Times New Roman" w:hAnsi="Times New Roman" w:cs="Times New Roman"/>
            <w:sz w:val="24"/>
            <w:szCs w:val="24"/>
          </w:rPr>
          <w:t>https://www.researchgate.net/publication/325584549</w:t>
        </w:r>
      </w:hyperlink>
    </w:p>
    <w:p w14:paraId="4C82FD01" w14:textId="77777777" w:rsidR="00714D18" w:rsidRDefault="006E5117">
      <w:pPr>
        <w:pStyle w:val="NormalWeb"/>
      </w:pPr>
      <w:proofErr w:type="spellStart"/>
      <w:r>
        <w:t>Adama</w:t>
      </w:r>
      <w:proofErr w:type="spellEnd"/>
      <w:r>
        <w:t xml:space="preserve">, O. I. (2025). Hydro-maceration and decoction of clove seed as an aphrodisiac: A structured literature review. </w:t>
      </w:r>
      <w:r>
        <w:rPr>
          <w:rStyle w:val="Emphasis"/>
        </w:rPr>
        <w:t>Archives of Biotechnology &amp; Pharmaceutical Research</w:t>
      </w:r>
      <w:r>
        <w:t xml:space="preserve">. </w:t>
      </w:r>
      <w:hyperlink r:id="rId24" w:history="1">
        <w:r>
          <w:rPr>
            <w:rStyle w:val="Hyperlink"/>
          </w:rPr>
          <w:t>PDF link</w:t>
        </w:r>
      </w:hyperlink>
    </w:p>
    <w:p w14:paraId="5830E7B4" w14:textId="77777777" w:rsidR="00714D18" w:rsidRDefault="006E5117">
      <w:pPr>
        <w:pStyle w:val="NormalWeb"/>
      </w:pPr>
      <w:proofErr w:type="spellStart"/>
      <w:r>
        <w:t>Adedayo</w:t>
      </w:r>
      <w:proofErr w:type="spellEnd"/>
      <w:r>
        <w:t xml:space="preserve">, B. C., </w:t>
      </w:r>
      <w:proofErr w:type="spellStart"/>
      <w:r>
        <w:t>Jesubowale</w:t>
      </w:r>
      <w:proofErr w:type="spellEnd"/>
      <w:r>
        <w:t xml:space="preserve">, O. S., &amp; Adebayo, A. A. (2021). Toxicological evaluation and in vitro assessment of antioxidant and anticholinesterase properties of </w:t>
      </w:r>
      <w:proofErr w:type="spellStart"/>
      <w:r>
        <w:rPr>
          <w:rStyle w:val="Emphasis"/>
        </w:rPr>
        <w:t>Andrographis</w:t>
      </w:r>
      <w:proofErr w:type="spellEnd"/>
      <w:r>
        <w:rPr>
          <w:rStyle w:val="Emphasis"/>
        </w:rPr>
        <w:t xml:space="preserve"> </w:t>
      </w:r>
      <w:proofErr w:type="spellStart"/>
      <w:r>
        <w:rPr>
          <w:rStyle w:val="Emphasis"/>
        </w:rPr>
        <w:t>paniculata</w:t>
      </w:r>
      <w:proofErr w:type="spellEnd"/>
      <w:r>
        <w:t xml:space="preserve"> extract. </w:t>
      </w:r>
      <w:r>
        <w:rPr>
          <w:rStyle w:val="Emphasis"/>
        </w:rPr>
        <w:t>Interdisciplinary Toxicology</w:t>
      </w:r>
      <w:r>
        <w:t xml:space="preserve">, 14(1), 1–10. </w:t>
      </w:r>
      <w:hyperlink r:id="rId25" w:history="1">
        <w:r>
          <w:rPr>
            <w:rStyle w:val="Hyperlink"/>
          </w:rPr>
          <w:t>https://sciendo.com/pdf/10.2478/intox-2021-0001</w:t>
        </w:r>
      </w:hyperlink>
    </w:p>
    <w:p w14:paraId="6735C426" w14:textId="77777777" w:rsidR="00714D18" w:rsidRDefault="006E5117">
      <w:pPr>
        <w:pStyle w:val="NormalWeb"/>
      </w:pPr>
      <w:proofErr w:type="spellStart"/>
      <w:r>
        <w:t>Ademosun</w:t>
      </w:r>
      <w:proofErr w:type="spellEnd"/>
      <w:r>
        <w:t xml:space="preserve">, A. O., Adebayo, A. A., &amp; </w:t>
      </w:r>
      <w:proofErr w:type="spellStart"/>
      <w:r>
        <w:t>Oboh</w:t>
      </w:r>
      <w:proofErr w:type="spellEnd"/>
      <w:r>
        <w:t xml:space="preserve">, G. (2019). </w:t>
      </w:r>
      <w:proofErr w:type="spellStart"/>
      <w:r>
        <w:rPr>
          <w:rStyle w:val="Emphasis"/>
        </w:rPr>
        <w:t>Anogeissus</w:t>
      </w:r>
      <w:proofErr w:type="spellEnd"/>
      <w:r>
        <w:rPr>
          <w:rStyle w:val="Emphasis"/>
        </w:rPr>
        <w:t xml:space="preserve"> </w:t>
      </w:r>
      <w:proofErr w:type="spellStart"/>
      <w:r>
        <w:rPr>
          <w:rStyle w:val="Emphasis"/>
        </w:rPr>
        <w:t>leiocarpus</w:t>
      </w:r>
      <w:proofErr w:type="spellEnd"/>
      <w:r>
        <w:t xml:space="preserve"> attenuates paroxetine-induced erectile dysfunction in male rats via enhanced sexual behavior, nitric oxide level and antioxidant status. </w:t>
      </w:r>
      <w:r>
        <w:rPr>
          <w:rStyle w:val="Emphasis"/>
        </w:rPr>
        <w:t>Biomedicine &amp; Pharmacotherapy, 111</w:t>
      </w:r>
      <w:r>
        <w:t xml:space="preserve">, 716–723. </w:t>
      </w:r>
      <w:hyperlink r:id="rId26" w:history="1">
        <w:r>
          <w:rPr>
            <w:rStyle w:val="Hyperlink"/>
          </w:rPr>
          <w:t>https://doi.org/10.1016/j.biopha.2018.12.142</w:t>
        </w:r>
      </w:hyperlink>
    </w:p>
    <w:p w14:paraId="14B2C4E4" w14:textId="77777777" w:rsidR="00714D18" w:rsidRDefault="006E5117">
      <w:pPr>
        <w:pStyle w:val="NormalWeb"/>
      </w:pPr>
      <w:proofErr w:type="spellStart"/>
      <w:r>
        <w:t>Ajiboye</w:t>
      </w:r>
      <w:proofErr w:type="spellEnd"/>
      <w:r>
        <w:t xml:space="preserve">, T. O., </w:t>
      </w:r>
      <w:proofErr w:type="spellStart"/>
      <w:r>
        <w:t>Nurudeen</w:t>
      </w:r>
      <w:proofErr w:type="spellEnd"/>
      <w:r>
        <w:t xml:space="preserve">, Q. O., &amp; </w:t>
      </w:r>
      <w:proofErr w:type="spellStart"/>
      <w:r>
        <w:t>Yakubu</w:t>
      </w:r>
      <w:proofErr w:type="spellEnd"/>
      <w:r>
        <w:t xml:space="preserve">, M. T. (2018). Effect of 50% </w:t>
      </w:r>
      <w:proofErr w:type="spellStart"/>
      <w:r>
        <w:t>ethanolic</w:t>
      </w:r>
      <w:proofErr w:type="spellEnd"/>
      <w:r>
        <w:t xml:space="preserve"> extract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(L.) </w:t>
      </w:r>
      <w:proofErr w:type="spellStart"/>
      <w:r>
        <w:t>Merr</w:t>
      </w:r>
      <w:proofErr w:type="spellEnd"/>
      <w:r>
        <w:t xml:space="preserve">. &amp; L.M. Perry (clove) on sexual dysfunction. </w:t>
      </w:r>
      <w:r>
        <w:rPr>
          <w:rStyle w:val="Emphasis"/>
        </w:rPr>
        <w:t>Journal of Basic and Clinical Physiology and Pharmacology</w:t>
      </w:r>
      <w:r>
        <w:t xml:space="preserve">, 29(3), 243–250. </w:t>
      </w:r>
      <w:hyperlink r:id="rId27" w:history="1">
        <w:r>
          <w:rPr>
            <w:rStyle w:val="Hyperlink"/>
          </w:rPr>
          <w:t>https://www.academia.edu/download/101815394/jbcpp-2013-006120230504-1-9xts55.pdf</w:t>
        </w:r>
      </w:hyperlink>
    </w:p>
    <w:p w14:paraId="29382590" w14:textId="77777777" w:rsidR="00714D18" w:rsidRDefault="006E5117">
      <w:pPr>
        <w:pStyle w:val="NormalWeb"/>
      </w:pPr>
      <w:r>
        <w:t>Al-</w:t>
      </w:r>
      <w:proofErr w:type="spellStart"/>
      <w:r>
        <w:t>Qahtani</w:t>
      </w:r>
      <w:proofErr w:type="spellEnd"/>
      <w:r>
        <w:t xml:space="preserve">, F. S., </w:t>
      </w:r>
      <w:proofErr w:type="spellStart"/>
      <w:r>
        <w:t>Battar</w:t>
      </w:r>
      <w:proofErr w:type="spellEnd"/>
      <w:r>
        <w:t xml:space="preserve">, S. S., &amp; </w:t>
      </w:r>
      <w:proofErr w:type="spellStart"/>
      <w:r>
        <w:t>Alqahtani</w:t>
      </w:r>
      <w:proofErr w:type="spellEnd"/>
      <w:r>
        <w:t xml:space="preserve">, M. M. M. (2025). The prevalence of erectile dysfunction and its associated factors among diabetic patients in the Southwestern Region of Saudi Arabia: An analytical cross-sectional study. </w:t>
      </w:r>
      <w:r>
        <w:rPr>
          <w:rStyle w:val="Emphasis"/>
        </w:rPr>
        <w:t>Journal of Men's Health</w:t>
      </w:r>
      <w:r>
        <w:t xml:space="preserve">, 21(1), 1–9. </w:t>
      </w:r>
      <w:hyperlink r:id="rId28" w:history="1">
        <w:r>
          <w:rPr>
            <w:rStyle w:val="Hyperlink"/>
          </w:rPr>
          <w:t>https://oss.jomh.org/files/article/20250530-552/pdf/JOMH2025020101.pdf</w:t>
        </w:r>
      </w:hyperlink>
    </w:p>
    <w:p w14:paraId="6A05CAC5" w14:textId="77777777" w:rsidR="00714D18" w:rsidRDefault="006E5117">
      <w:pPr>
        <w:pStyle w:val="NormalWeb"/>
      </w:pPr>
      <w:proofErr w:type="spellStart"/>
      <w:r>
        <w:t>Alrumaihi</w:t>
      </w:r>
      <w:proofErr w:type="spellEnd"/>
      <w:r>
        <w:t xml:space="preserve">, F., </w:t>
      </w:r>
      <w:proofErr w:type="spellStart"/>
      <w:r>
        <w:t>Raut</w:t>
      </w:r>
      <w:proofErr w:type="spellEnd"/>
      <w:r>
        <w:t xml:space="preserve">, R., </w:t>
      </w:r>
      <w:proofErr w:type="spellStart"/>
      <w:r>
        <w:t>Yahia</w:t>
      </w:r>
      <w:proofErr w:type="spellEnd"/>
      <w:r>
        <w:t xml:space="preserve">, E. A., Kumar, V., &amp; Anwar, S. (2024). A review on risk factors, diagnostic innovations, and plant-based therapies for the management of erectile dysfunction. </w:t>
      </w:r>
      <w:proofErr w:type="spellStart"/>
      <w:r>
        <w:rPr>
          <w:rStyle w:val="Emphasis"/>
        </w:rPr>
        <w:t>Uro</w:t>
      </w:r>
      <w:proofErr w:type="spellEnd"/>
      <w:r>
        <w:rPr>
          <w:rStyle w:val="Emphasis"/>
        </w:rPr>
        <w:t>, 4</w:t>
      </w:r>
      <w:r>
        <w:t xml:space="preserve">(2), 60–88. </w:t>
      </w:r>
      <w:hyperlink r:id="rId29" w:history="1">
        <w:r>
          <w:rPr>
            <w:rStyle w:val="Hyperlink"/>
          </w:rPr>
          <w:t>https://www.mdpi.com/2673-4397/4/2/6</w:t>
        </w:r>
      </w:hyperlink>
    </w:p>
    <w:p w14:paraId="7B40D003" w14:textId="77777777" w:rsidR="00714D18" w:rsidRDefault="006E5117">
      <w:pPr>
        <w:pStyle w:val="NormalWeb"/>
      </w:pPr>
      <w:proofErr w:type="spellStart"/>
      <w:r>
        <w:t>Besong</w:t>
      </w:r>
      <w:proofErr w:type="spellEnd"/>
      <w:r>
        <w:t xml:space="preserve">, E. E., </w:t>
      </w:r>
      <w:proofErr w:type="spellStart"/>
      <w:r>
        <w:t>Akhigbe</w:t>
      </w:r>
      <w:proofErr w:type="spellEnd"/>
      <w:r>
        <w:t xml:space="preserve">, T. M., </w:t>
      </w:r>
      <w:proofErr w:type="spellStart"/>
      <w:r>
        <w:t>Ashonibare</w:t>
      </w:r>
      <w:proofErr w:type="spellEnd"/>
      <w:r>
        <w:t xml:space="preserve">, P. J., &amp; </w:t>
      </w:r>
      <w:proofErr w:type="spellStart"/>
      <w:r>
        <w:t>Adeyemi</w:t>
      </w:r>
      <w:proofErr w:type="spellEnd"/>
      <w:r>
        <w:t xml:space="preserve">, A. M. (2023). Zinc improves sexual performance and erectile function by preventing penile oxidative injury and upregulating circulating testosterone in lead-exposed rats. </w:t>
      </w:r>
      <w:r>
        <w:rPr>
          <w:rStyle w:val="Emphasis"/>
        </w:rPr>
        <w:t>Redox Report</w:t>
      </w:r>
      <w:r>
        <w:t xml:space="preserve">, 28(1), 1–9. </w:t>
      </w:r>
      <w:hyperlink r:id="rId30" w:history="1">
        <w:r>
          <w:rPr>
            <w:rStyle w:val="Hyperlink"/>
          </w:rPr>
          <w:t>https://www.tandfonline.com/doi/abs/10.1080/13510002.2023.2225675</w:t>
        </w:r>
      </w:hyperlink>
    </w:p>
    <w:p w14:paraId="00790B3D" w14:textId="77777777" w:rsidR="00714D18" w:rsidRDefault="006E5117">
      <w:pPr>
        <w:pStyle w:val="NormalWeb"/>
      </w:pPr>
      <w:proofErr w:type="spellStart"/>
      <w:r>
        <w:t>Bonarska</w:t>
      </w:r>
      <w:proofErr w:type="spellEnd"/>
      <w:r>
        <w:t xml:space="preserve">, M., </w:t>
      </w:r>
      <w:proofErr w:type="spellStart"/>
      <w:r>
        <w:t>Adasik</w:t>
      </w:r>
      <w:proofErr w:type="spellEnd"/>
      <w:r>
        <w:t xml:space="preserve">, D., </w:t>
      </w:r>
      <w:proofErr w:type="spellStart"/>
      <w:r>
        <w:t>Szymczyk</w:t>
      </w:r>
      <w:proofErr w:type="spellEnd"/>
      <w:r>
        <w:t xml:space="preserve">, S., &amp; </w:t>
      </w:r>
      <w:proofErr w:type="spellStart"/>
      <w:r>
        <w:t>Łocik</w:t>
      </w:r>
      <w:proofErr w:type="spellEnd"/>
      <w:r>
        <w:t xml:space="preserve">, G. (2025). A narrative review of independent treatment methods for ED: Diet, supplements, pharmacotherapy, and physiotherapy. </w:t>
      </w:r>
      <w:r>
        <w:rPr>
          <w:rStyle w:val="Emphasis"/>
        </w:rPr>
        <w:t>Journal of Clinical Medicine, 14</w:t>
      </w:r>
      <w:r>
        <w:t xml:space="preserve">(7), 2386. </w:t>
      </w:r>
      <w:hyperlink r:id="rId31" w:history="1">
        <w:r>
          <w:rPr>
            <w:rStyle w:val="Hyperlink"/>
          </w:rPr>
          <w:t>https://www.mdpi.com/2077-0383/14/7/2386</w:t>
        </w:r>
      </w:hyperlink>
    </w:p>
    <w:p w14:paraId="3EB0D849" w14:textId="77777777" w:rsidR="00714D18" w:rsidRDefault="006E5117">
      <w:pPr>
        <w:pStyle w:val="NormalWeb"/>
      </w:pPr>
      <w:proofErr w:type="spellStart"/>
      <w:r>
        <w:t>Boojar</w:t>
      </w:r>
      <w:proofErr w:type="spellEnd"/>
      <w:r>
        <w:t xml:space="preserve">, M. M. A., </w:t>
      </w:r>
      <w:proofErr w:type="spellStart"/>
      <w:r>
        <w:t>Shakeri</w:t>
      </w:r>
      <w:proofErr w:type="spellEnd"/>
      <w:r>
        <w:t xml:space="preserve">, M., &amp; </w:t>
      </w:r>
      <w:proofErr w:type="spellStart"/>
      <w:r>
        <w:t>Saberi</w:t>
      </w:r>
      <w:proofErr w:type="spellEnd"/>
      <w:r>
        <w:t xml:space="preserve">, M. (2024). Herbal treatments and their impact on male fertility: A comprehensive review. </w:t>
      </w:r>
      <w:proofErr w:type="spellStart"/>
      <w:r>
        <w:rPr>
          <w:rStyle w:val="Emphasis"/>
        </w:rPr>
        <w:t>ResearchGate</w:t>
      </w:r>
      <w:proofErr w:type="spellEnd"/>
      <w:r>
        <w:t xml:space="preserve">. </w:t>
      </w:r>
      <w:hyperlink r:id="rId32" w:history="1">
        <w:r>
          <w:rPr>
            <w:rStyle w:val="Hyperlink"/>
          </w:rPr>
          <w:t>Link</w:t>
        </w:r>
      </w:hyperlink>
    </w:p>
    <w:p w14:paraId="21663A0B" w14:textId="77777777" w:rsidR="00714D18" w:rsidRDefault="006E5117">
      <w:pPr>
        <w:pStyle w:val="NormalWeb"/>
      </w:pPr>
      <w:r>
        <w:t>Caballero-Gallardo, K., Quintero-</w:t>
      </w:r>
      <w:proofErr w:type="spellStart"/>
      <w:r>
        <w:t>Rincón</w:t>
      </w:r>
      <w:proofErr w:type="spellEnd"/>
      <w:r>
        <w:t xml:space="preserve">, P., &amp; Michel, M. R. (2025). Aromatherapy and essential oils: Holistic strategies in complementary medicine. </w:t>
      </w:r>
      <w:r>
        <w:rPr>
          <w:rStyle w:val="Emphasis"/>
        </w:rPr>
        <w:t>Plants, 14</w:t>
      </w:r>
      <w:r>
        <w:t xml:space="preserve">(3), 400. </w:t>
      </w:r>
      <w:hyperlink r:id="rId33" w:history="1">
        <w:r>
          <w:rPr>
            <w:rStyle w:val="Hyperlink"/>
          </w:rPr>
          <w:t>https://www.mdpi.com/2223-7747/14/3/400</w:t>
        </w:r>
      </w:hyperlink>
    </w:p>
    <w:p w14:paraId="69CD8EE9" w14:textId="77777777" w:rsidR="00714D18" w:rsidRDefault="006E5117">
      <w:pPr>
        <w:pStyle w:val="NormalWeb"/>
      </w:pPr>
      <w:proofErr w:type="spellStart"/>
      <w:r>
        <w:t>Campolo</w:t>
      </w:r>
      <w:proofErr w:type="spellEnd"/>
      <w:r>
        <w:t xml:space="preserve">, F., </w:t>
      </w:r>
      <w:proofErr w:type="spellStart"/>
      <w:r>
        <w:t>Barbagallo</w:t>
      </w:r>
      <w:proofErr w:type="spellEnd"/>
      <w:r>
        <w:t xml:space="preserve">, F., </w:t>
      </w:r>
      <w:proofErr w:type="spellStart"/>
      <w:r>
        <w:t>Franceschini</w:t>
      </w:r>
      <w:proofErr w:type="spellEnd"/>
      <w:r>
        <w:t xml:space="preserve">, E., </w:t>
      </w:r>
      <w:proofErr w:type="spellStart"/>
      <w:r>
        <w:t>Crecca</w:t>
      </w:r>
      <w:proofErr w:type="spellEnd"/>
      <w:r>
        <w:t xml:space="preserve">, C., &amp; Maggi, M. (2020). PDE5 inhibitors in type 2 diabetes cardiovascular complications. </w:t>
      </w:r>
      <w:r>
        <w:rPr>
          <w:rStyle w:val="Emphasis"/>
        </w:rPr>
        <w:t>Endocrines, 1</w:t>
      </w:r>
      <w:r>
        <w:t xml:space="preserve">(2), 122–135. </w:t>
      </w:r>
      <w:hyperlink r:id="rId34" w:history="1">
        <w:r>
          <w:rPr>
            <w:rStyle w:val="Hyperlink"/>
          </w:rPr>
          <w:t>https://www.mdpi.com/2673-396X/1/2/9</w:t>
        </w:r>
      </w:hyperlink>
    </w:p>
    <w:p w14:paraId="0DF07576" w14:textId="77777777" w:rsidR="00714D18" w:rsidRDefault="006E5117">
      <w:pPr>
        <w:pStyle w:val="NormalWeb"/>
      </w:pPr>
      <w:proofErr w:type="spellStart"/>
      <w:r>
        <w:t>Carella</w:t>
      </w:r>
      <w:proofErr w:type="spellEnd"/>
      <w:r>
        <w:t xml:space="preserve">, M. C., </w:t>
      </w:r>
      <w:proofErr w:type="spellStart"/>
      <w:r>
        <w:t>Forleo</w:t>
      </w:r>
      <w:proofErr w:type="spellEnd"/>
      <w:r>
        <w:t xml:space="preserve">, C., </w:t>
      </w:r>
      <w:proofErr w:type="spellStart"/>
      <w:r>
        <w:t>Stanca</w:t>
      </w:r>
      <w:proofErr w:type="spellEnd"/>
      <w:r>
        <w:t xml:space="preserve">, A., &amp; </w:t>
      </w:r>
      <w:proofErr w:type="spellStart"/>
      <w:r>
        <w:t>Carulli</w:t>
      </w:r>
      <w:proofErr w:type="spellEnd"/>
      <w:r>
        <w:t xml:space="preserve">, E. (2023). Heart failure and erectile dysfunction: Clinical implications. </w:t>
      </w:r>
      <w:r>
        <w:rPr>
          <w:rStyle w:val="Emphasis"/>
        </w:rPr>
        <w:t>Current Heart Failure Reports, 20</w:t>
      </w:r>
      <w:r>
        <w:t xml:space="preserve">(4), 241–252. </w:t>
      </w:r>
      <w:hyperlink r:id="rId35" w:history="1">
        <w:r>
          <w:rPr>
            <w:rStyle w:val="Hyperlink"/>
          </w:rPr>
          <w:t>https://doi.org/10.1007/s11897-023-00632-y</w:t>
        </w:r>
      </w:hyperlink>
    </w:p>
    <w:p w14:paraId="5CD6EA29" w14:textId="77777777" w:rsidR="00714D18" w:rsidRDefault="006E5117">
      <w:pPr>
        <w:jc w:val="both"/>
        <w:rPr>
          <w:rFonts w:ascii="Times New Roman" w:hAnsi="Times New Roman" w:cs="Times New Roman"/>
          <w:sz w:val="24"/>
          <w:szCs w:val="24"/>
        </w:rPr>
      </w:pPr>
      <w:r>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Pr>
          <w:rFonts w:ascii="Times New Roman" w:hAnsi="Times New Roman" w:cs="Times New Roman"/>
          <w:i/>
          <w:iCs/>
          <w:sz w:val="24"/>
          <w:szCs w:val="24"/>
        </w:rPr>
        <w:t>Biomedicine &amp; Pharmacotherapy</w:t>
      </w:r>
      <w:r>
        <w:rPr>
          <w:rFonts w:ascii="Times New Roman" w:hAnsi="Times New Roman" w:cs="Times New Roman"/>
          <w:sz w:val="24"/>
          <w:szCs w:val="24"/>
        </w:rPr>
        <w:t xml:space="preserve">, 125, 109898. </w:t>
      </w:r>
      <w:hyperlink r:id="rId36" w:history="1">
        <w:r>
          <w:rPr>
            <w:rStyle w:val="Hyperlink"/>
            <w:rFonts w:ascii="Times New Roman" w:hAnsi="Times New Roman" w:cs="Times New Roman"/>
            <w:sz w:val="24"/>
            <w:szCs w:val="24"/>
          </w:rPr>
          <w:t>https://doi.org/10.1016/j.biopha.2019.109898</w:t>
        </w:r>
      </w:hyperlink>
    </w:p>
    <w:p w14:paraId="3BE20CDF" w14:textId="77777777" w:rsidR="00714D18" w:rsidRDefault="006E5117">
      <w:pPr>
        <w:jc w:val="both"/>
        <w:rPr>
          <w:rFonts w:ascii="Times New Roman" w:hAnsi="Times New Roman" w:cs="Times New Roman"/>
          <w:sz w:val="24"/>
          <w:szCs w:val="24"/>
        </w:rPr>
      </w:pPr>
      <w:proofErr w:type="spellStart"/>
      <w:r>
        <w:rPr>
          <w:rFonts w:ascii="Times New Roman" w:hAnsi="Times New Roman" w:cs="Times New Roman"/>
          <w:sz w:val="24"/>
          <w:szCs w:val="24"/>
        </w:rPr>
        <w:t>Chikere</w:t>
      </w:r>
      <w:proofErr w:type="spellEnd"/>
      <w:r>
        <w:rPr>
          <w:rFonts w:ascii="Times New Roman" w:hAnsi="Times New Roman" w:cs="Times New Roman"/>
          <w:sz w:val="24"/>
          <w:szCs w:val="24"/>
        </w:rPr>
        <w:t xml:space="preserve">, O. U., Liman, F. L., </w:t>
      </w:r>
      <w:proofErr w:type="spellStart"/>
      <w:r>
        <w:rPr>
          <w:rFonts w:ascii="Times New Roman" w:hAnsi="Times New Roman" w:cs="Times New Roman"/>
          <w:sz w:val="24"/>
          <w:szCs w:val="24"/>
        </w:rPr>
        <w:t>Nnabuihe</w:t>
      </w:r>
      <w:proofErr w:type="spellEnd"/>
      <w:r>
        <w:rPr>
          <w:rFonts w:ascii="Times New Roman" w:hAnsi="Times New Roman" w:cs="Times New Roman"/>
          <w:sz w:val="24"/>
          <w:szCs w:val="24"/>
        </w:rPr>
        <w:t xml:space="preserve">, E. D., &amp; </w:t>
      </w:r>
      <w:proofErr w:type="spellStart"/>
      <w:r>
        <w:rPr>
          <w:rFonts w:ascii="Times New Roman" w:hAnsi="Times New Roman" w:cs="Times New Roman"/>
          <w:sz w:val="24"/>
          <w:szCs w:val="24"/>
        </w:rPr>
        <w:t>Uchechi</w:t>
      </w:r>
      <w:proofErr w:type="spellEnd"/>
      <w:r>
        <w:rPr>
          <w:rFonts w:ascii="Times New Roman" w:hAnsi="Times New Roman" w:cs="Times New Roman"/>
          <w:sz w:val="24"/>
          <w:szCs w:val="24"/>
        </w:rPr>
        <w:t xml:space="preserve">, E. E. (2015). The effects of </w:t>
      </w:r>
      <w:proofErr w:type="spellStart"/>
      <w:r>
        <w:rPr>
          <w:rFonts w:ascii="Times New Roman" w:hAnsi="Times New Roman" w:cs="Times New Roman"/>
          <w:sz w:val="24"/>
          <w:szCs w:val="24"/>
        </w:rPr>
        <w:t>methanolic</w:t>
      </w:r>
      <w:proofErr w:type="spellEnd"/>
      <w:r>
        <w:rPr>
          <w:rFonts w:ascii="Times New Roman" w:hAnsi="Times New Roman" w:cs="Times New Roman"/>
          <w:sz w:val="24"/>
          <w:szCs w:val="24"/>
        </w:rPr>
        <w:t xml:space="preserve"> extract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(clove bud) on the histology of testis in adult male </w:t>
      </w:r>
      <w:proofErr w:type="spellStart"/>
      <w:r>
        <w:rPr>
          <w:rFonts w:ascii="Times New Roman" w:hAnsi="Times New Roman" w:cs="Times New Roman"/>
          <w:sz w:val="24"/>
          <w:szCs w:val="24"/>
        </w:rPr>
        <w:t>Wistar</w:t>
      </w:r>
      <w:proofErr w:type="spellEnd"/>
      <w:r>
        <w:rPr>
          <w:rFonts w:ascii="Times New Roman" w:hAnsi="Times New Roman" w:cs="Times New Roman"/>
          <w:sz w:val="24"/>
          <w:szCs w:val="24"/>
        </w:rPr>
        <w:t xml:space="preserve">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hyperlink r:id="rId37" w:history="1">
        <w:r>
          <w:rPr>
            <w:rStyle w:val="Hyperlink"/>
            <w:rFonts w:ascii="Times New Roman" w:hAnsi="Times New Roman" w:cs="Times New Roman"/>
            <w:sz w:val="24"/>
            <w:szCs w:val="24"/>
          </w:rPr>
          <w:t>https://core.ac.uk/download/pdf/234655967.pdf</w:t>
        </w:r>
      </w:hyperlink>
    </w:p>
    <w:p w14:paraId="6A14A904" w14:textId="77777777" w:rsidR="00714D18" w:rsidRDefault="006E5117">
      <w:pPr>
        <w:pStyle w:val="NormalWeb"/>
      </w:pPr>
      <w:proofErr w:type="spellStart"/>
      <w:r>
        <w:t>Crescioli</w:t>
      </w:r>
      <w:proofErr w:type="spellEnd"/>
      <w:r>
        <w:t xml:space="preserve">, C., &amp; </w:t>
      </w:r>
      <w:proofErr w:type="spellStart"/>
      <w:r>
        <w:t>Paronetto</w:t>
      </w:r>
      <w:proofErr w:type="spellEnd"/>
      <w:r>
        <w:t xml:space="preserve">, M. P. (2024). Rethinking phosphodiesterase 5 inhibition: the old, the new, and the perspective in human health. </w:t>
      </w:r>
      <w:r>
        <w:rPr>
          <w:rStyle w:val="Emphasis"/>
        </w:rPr>
        <w:t>Frontiers in Endocrinology, 15</w:t>
      </w:r>
      <w:r>
        <w:t xml:space="preserve">, Article 1461642. </w:t>
      </w:r>
      <w:hyperlink r:id="rId38" w:history="1">
        <w:r>
          <w:rPr>
            <w:rStyle w:val="Hyperlink"/>
          </w:rPr>
          <w:t>https://www.frontiersin.org/articles/10.3389/fendo.2024.1461642/full</w:t>
        </w:r>
      </w:hyperlink>
    </w:p>
    <w:p w14:paraId="35A4EEC6" w14:textId="77777777" w:rsidR="00714D18" w:rsidRDefault="006E5117">
      <w:pPr>
        <w:jc w:val="both"/>
        <w:rPr>
          <w:rFonts w:ascii="Times New Roman" w:hAnsi="Times New Roman" w:cs="Times New Roman"/>
          <w:sz w:val="24"/>
          <w:szCs w:val="24"/>
        </w:rPr>
      </w:pPr>
      <w:proofErr w:type="spellStart"/>
      <w:r>
        <w:rPr>
          <w:rFonts w:ascii="Times New Roman" w:hAnsi="Times New Roman" w:cs="Times New Roman"/>
          <w:sz w:val="24"/>
          <w:szCs w:val="24"/>
        </w:rPr>
        <w:t>Dehghani</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Heshmatpour</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Taghizadeh</w:t>
      </w:r>
      <w:proofErr w:type="spellEnd"/>
      <w:r>
        <w:rPr>
          <w:rFonts w:ascii="Times New Roman" w:hAnsi="Times New Roman" w:cs="Times New Roman"/>
          <w:sz w:val="24"/>
          <w:szCs w:val="24"/>
        </w:rPr>
        <w:t xml:space="preserve">, M. (2012). Toxic effects of water/alcoholic extract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hyperlink r:id="rId39" w:history="1">
        <w:r>
          <w:rPr>
            <w:rStyle w:val="Hyperlink"/>
            <w:rFonts w:ascii="Times New Roman" w:hAnsi="Times New Roman" w:cs="Times New Roman"/>
            <w:sz w:val="24"/>
            <w:szCs w:val="24"/>
          </w:rPr>
          <w:t>https://dergipark.org.tr/en/download/article-file/95639</w:t>
        </w:r>
      </w:hyperlink>
    </w:p>
    <w:p w14:paraId="1368E020" w14:textId="77777777" w:rsidR="00714D18" w:rsidRDefault="006E5117">
      <w:pPr>
        <w:pStyle w:val="NormalWeb"/>
      </w:pPr>
      <w:proofErr w:type="spellStart"/>
      <w:r>
        <w:t>Dilixiati</w:t>
      </w:r>
      <w:proofErr w:type="spellEnd"/>
      <w:r>
        <w:t xml:space="preserve">, D., </w:t>
      </w:r>
      <w:proofErr w:type="spellStart"/>
      <w:r>
        <w:t>Waili</w:t>
      </w:r>
      <w:proofErr w:type="spellEnd"/>
      <w:r>
        <w:t xml:space="preserve">, A., </w:t>
      </w:r>
      <w:proofErr w:type="spellStart"/>
      <w:r>
        <w:t>Tuerxunmaimaiti</w:t>
      </w:r>
      <w:proofErr w:type="spellEnd"/>
      <w:r>
        <w:t xml:space="preserve">, A., Tao, L., &amp; Zhang, Y. (2024). Risk factors for erectile dysfunction in diabetes mellitus: A systematic review and meta-analysis. </w:t>
      </w:r>
      <w:r>
        <w:rPr>
          <w:rStyle w:val="Emphasis"/>
        </w:rPr>
        <w:t>Frontiers in Endocrinology</w:t>
      </w:r>
      <w:r>
        <w:t xml:space="preserve">, 15, Article 1368079. </w:t>
      </w:r>
      <w:hyperlink r:id="rId40" w:history="1">
        <w:r>
          <w:rPr>
            <w:rStyle w:val="Hyperlink"/>
          </w:rPr>
          <w:t>https://doi.org/10.3389/fendo.2024.1368079</w:t>
        </w:r>
      </w:hyperlink>
    </w:p>
    <w:p w14:paraId="396AD5F6" w14:textId="77777777" w:rsidR="00714D18" w:rsidRDefault="006E5117">
      <w:pPr>
        <w:pStyle w:val="NormalWeb"/>
      </w:pPr>
      <w:proofErr w:type="spellStart"/>
      <w:r>
        <w:t>Elekofehinti</w:t>
      </w:r>
      <w:proofErr w:type="spellEnd"/>
      <w:r>
        <w:t xml:space="preserve">, O. O., </w:t>
      </w:r>
      <w:proofErr w:type="spellStart"/>
      <w:r>
        <w:t>Akintoye</w:t>
      </w:r>
      <w:proofErr w:type="spellEnd"/>
      <w:r>
        <w:t xml:space="preserve">, O. N., &amp; </w:t>
      </w:r>
      <w:proofErr w:type="spellStart"/>
      <w:r>
        <w:t>Akinjiyan</w:t>
      </w:r>
      <w:proofErr w:type="spellEnd"/>
      <w:r>
        <w:t xml:space="preserve">, M. O. (2024). Effect of </w:t>
      </w:r>
      <w:proofErr w:type="spellStart"/>
      <w:r>
        <w:rPr>
          <w:rStyle w:val="Emphasis"/>
        </w:rPr>
        <w:t>Carpolobia</w:t>
      </w:r>
      <w:proofErr w:type="spellEnd"/>
      <w:r>
        <w:rPr>
          <w:rStyle w:val="Emphasis"/>
        </w:rPr>
        <w:t xml:space="preserve"> </w:t>
      </w:r>
      <w:proofErr w:type="spellStart"/>
      <w:r>
        <w:rPr>
          <w:rStyle w:val="Emphasis"/>
        </w:rPr>
        <w:t>lutea</w:t>
      </w:r>
      <w:proofErr w:type="spellEnd"/>
      <w:r>
        <w:t xml:space="preserve"> leaf extract on erectile dysfunction induced by paroxetine in rats. </w:t>
      </w:r>
      <w:proofErr w:type="spellStart"/>
      <w:r>
        <w:rPr>
          <w:rStyle w:val="Emphasis"/>
        </w:rPr>
        <w:t>Phytomedicine</w:t>
      </w:r>
      <w:proofErr w:type="spellEnd"/>
      <w:r>
        <w:rPr>
          <w:rStyle w:val="Emphasis"/>
        </w:rPr>
        <w:t xml:space="preserve"> Plus, 4</w:t>
      </w:r>
      <w:r>
        <w:t xml:space="preserve">(2), 100384. </w:t>
      </w:r>
      <w:hyperlink r:id="rId41" w:history="1">
        <w:r>
          <w:rPr>
            <w:rStyle w:val="Hyperlink"/>
          </w:rPr>
          <w:t>https://doi.org/10.1016/j.phyplu.2024.100384</w:t>
        </w:r>
      </w:hyperlink>
    </w:p>
    <w:p w14:paraId="529F09E5" w14:textId="77777777" w:rsidR="00714D18" w:rsidRDefault="006E5117">
      <w:pPr>
        <w:jc w:val="both"/>
        <w:rPr>
          <w:rFonts w:ascii="Times New Roman" w:hAnsi="Times New Roman" w:cs="Times New Roman"/>
          <w:sz w:val="24"/>
          <w:szCs w:val="24"/>
        </w:rPr>
      </w:pPr>
      <w:proofErr w:type="spellStart"/>
      <w:r>
        <w:rPr>
          <w:rFonts w:ascii="Times New Roman" w:hAnsi="Times New Roman" w:cs="Times New Roman"/>
          <w:sz w:val="24"/>
          <w:szCs w:val="24"/>
        </w:rPr>
        <w:t>Elkomy</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xml:space="preserve">, M., &amp; Ibrahim, S. (2018). Protective effects of clove oil against reproductive toxicity: a biochemical and histological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hyperlink r:id="rId42" w:history="1">
        <w:r>
          <w:rPr>
            <w:rStyle w:val="Hyperlink"/>
            <w:rFonts w:ascii="Times New Roman" w:hAnsi="Times New Roman" w:cs="Times New Roman"/>
            <w:sz w:val="24"/>
            <w:szCs w:val="24"/>
          </w:rPr>
          <w:t>https://www.researchgate.net/publication/325584549</w:t>
        </w:r>
      </w:hyperlink>
    </w:p>
    <w:p w14:paraId="3A4B73A1" w14:textId="77777777" w:rsidR="00714D18" w:rsidRDefault="006E5117">
      <w:pPr>
        <w:pStyle w:val="NormalWeb"/>
      </w:pPr>
      <w:r>
        <w:t xml:space="preserve">El-Saber </w:t>
      </w:r>
      <w:proofErr w:type="spellStart"/>
      <w:r>
        <w:t>Batiha</w:t>
      </w:r>
      <w:proofErr w:type="spellEnd"/>
      <w:r>
        <w:t xml:space="preserve">, G., </w:t>
      </w:r>
      <w:proofErr w:type="spellStart"/>
      <w:r>
        <w:t>Beshbishy</w:t>
      </w:r>
      <w:proofErr w:type="spellEnd"/>
      <w:r>
        <w:t>, A. M., El-</w:t>
      </w:r>
      <w:proofErr w:type="spellStart"/>
      <w:r>
        <w:t>Mleeh</w:t>
      </w:r>
      <w:proofErr w:type="spellEnd"/>
      <w:r>
        <w:t>, A., Abdel-</w:t>
      </w:r>
      <w:proofErr w:type="spellStart"/>
      <w:r>
        <w:t>Daim</w:t>
      </w:r>
      <w:proofErr w:type="spellEnd"/>
      <w:r>
        <w:t xml:space="preserve">, M. M., &amp; </w:t>
      </w:r>
      <w:proofErr w:type="spellStart"/>
      <w:r>
        <w:t>Devkota</w:t>
      </w:r>
      <w:proofErr w:type="spellEnd"/>
      <w:r>
        <w:t xml:space="preserve">, H. P. (2020). Traditional uses, bioactive chemical constituents, and pharmacological and toxicological activities of </w:t>
      </w:r>
      <w:proofErr w:type="spellStart"/>
      <w:r>
        <w:rPr>
          <w:rStyle w:val="Emphasis"/>
        </w:rPr>
        <w:t>Glycyrrhiza</w:t>
      </w:r>
      <w:proofErr w:type="spellEnd"/>
      <w:r>
        <w:rPr>
          <w:rStyle w:val="Emphasis"/>
        </w:rPr>
        <w:t xml:space="preserve"> </w:t>
      </w:r>
      <w:proofErr w:type="spellStart"/>
      <w:r>
        <w:rPr>
          <w:rStyle w:val="Emphasis"/>
        </w:rPr>
        <w:t>glabra</w:t>
      </w:r>
      <w:proofErr w:type="spellEnd"/>
      <w:r>
        <w:t xml:space="preserve"> L. (</w:t>
      </w:r>
      <w:proofErr w:type="spellStart"/>
      <w:r>
        <w:t>Fabaceae</w:t>
      </w:r>
      <w:proofErr w:type="spellEnd"/>
      <w:r>
        <w:t xml:space="preserve">). </w:t>
      </w:r>
      <w:r>
        <w:rPr>
          <w:rStyle w:val="Emphasis"/>
        </w:rPr>
        <w:t>Biomolecules, 10</w:t>
      </w:r>
      <w:r>
        <w:t xml:space="preserve">(3), 352. </w:t>
      </w:r>
      <w:hyperlink r:id="rId43" w:history="1">
        <w:r>
          <w:rPr>
            <w:rStyle w:val="Hyperlink"/>
          </w:rPr>
          <w:t>https://www.mdpi.com/2218-273X/10/3/352</w:t>
        </w:r>
      </w:hyperlink>
    </w:p>
    <w:p w14:paraId="7B9FAE5E" w14:textId="77777777" w:rsidR="00714D18" w:rsidRDefault="006E5117">
      <w:pPr>
        <w:pStyle w:val="NormalWeb"/>
      </w:pPr>
      <w:r>
        <w:t xml:space="preserve">Feng, Y., Qu, X., &amp; </w:t>
      </w:r>
      <w:proofErr w:type="spellStart"/>
      <w:r>
        <w:t>Hao</w:t>
      </w:r>
      <w:proofErr w:type="spellEnd"/>
      <w:r>
        <w:t xml:space="preserve">, H. (2025). Progress in the study of the effects of selective serotonin reuptake inhibitors (SSRIs) on the reproductive system. </w:t>
      </w:r>
      <w:r>
        <w:rPr>
          <w:rStyle w:val="Emphasis"/>
        </w:rPr>
        <w:t>Frontiers in Pharmacology, 16</w:t>
      </w:r>
      <w:r>
        <w:t xml:space="preserve">, Article 1567863. </w:t>
      </w:r>
      <w:hyperlink r:id="rId44" w:history="1">
        <w:r>
          <w:rPr>
            <w:rStyle w:val="Hyperlink"/>
          </w:rPr>
          <w:t>https://doi.org/10.3389/fphar.2025.1567863</w:t>
        </w:r>
      </w:hyperlink>
    </w:p>
    <w:p w14:paraId="37F145E8" w14:textId="77777777" w:rsidR="00714D18" w:rsidRDefault="006E5117">
      <w:pPr>
        <w:pStyle w:val="NormalWeb"/>
      </w:pPr>
      <w:proofErr w:type="spellStart"/>
      <w:r>
        <w:t>Gebeyehu</w:t>
      </w:r>
      <w:proofErr w:type="spellEnd"/>
      <w:r>
        <w:t xml:space="preserve">, N. A., </w:t>
      </w:r>
      <w:proofErr w:type="spellStart"/>
      <w:r>
        <w:t>Gesese</w:t>
      </w:r>
      <w:proofErr w:type="spellEnd"/>
      <w:r>
        <w:t xml:space="preserve">, M. M., </w:t>
      </w:r>
      <w:proofErr w:type="spellStart"/>
      <w:r>
        <w:t>Tegegne</w:t>
      </w:r>
      <w:proofErr w:type="spellEnd"/>
      <w:r>
        <w:t xml:space="preserve">, K. D., &amp; </w:t>
      </w:r>
      <w:proofErr w:type="spellStart"/>
      <w:r>
        <w:t>Kebede</w:t>
      </w:r>
      <w:proofErr w:type="spellEnd"/>
      <w:r>
        <w:t xml:space="preserve">, Y. S. (2023). Global prevalence of sexual dysfunction among diabetic patients from 2008 to 2022: Systematic review and meta-analysis. </w:t>
      </w:r>
      <w:r>
        <w:rPr>
          <w:rStyle w:val="Emphasis"/>
        </w:rPr>
        <w:t>Metabolism Open</w:t>
      </w:r>
      <w:r>
        <w:t xml:space="preserve">, 19, Article 1000191. </w:t>
      </w:r>
      <w:hyperlink r:id="rId45" w:history="1">
        <w:r>
          <w:rPr>
            <w:rStyle w:val="Hyperlink"/>
          </w:rPr>
          <w:t>https://doi.org/10.1016/j.metop.2023.1000191</w:t>
        </w:r>
      </w:hyperlink>
    </w:p>
    <w:p w14:paraId="3E13B591" w14:textId="77777777" w:rsidR="00714D18" w:rsidRDefault="006E5117">
      <w:pPr>
        <w:pStyle w:val="NormalWeb"/>
      </w:pPr>
      <w:proofErr w:type="spellStart"/>
      <w:r>
        <w:t>Giri</w:t>
      </w:r>
      <w:proofErr w:type="spellEnd"/>
      <w:r>
        <w:t xml:space="preserve">, S., </w:t>
      </w:r>
      <w:proofErr w:type="spellStart"/>
      <w:r>
        <w:t>Varshney</w:t>
      </w:r>
      <w:proofErr w:type="spellEnd"/>
      <w:r>
        <w:t xml:space="preserve">, K. K., &amp; Srivastava, R. (2024). Therapeutic potential and prospects of L-arginine in various diseases and its clinical intervention. </w:t>
      </w:r>
      <w:r>
        <w:rPr>
          <w:rStyle w:val="Emphasis"/>
        </w:rPr>
        <w:t>Current Drug Therapy, 19</w:t>
      </w:r>
      <w:r>
        <w:t xml:space="preserve">(1), 25–33. </w:t>
      </w:r>
      <w:hyperlink r:id="rId46" w:history="1">
        <w:r>
          <w:rPr>
            <w:rStyle w:val="Hyperlink"/>
          </w:rPr>
          <w:t>https://www.benthamdirect.com/content/journals/cdth/10.2174/0115748855260802231019072509</w:t>
        </w:r>
      </w:hyperlink>
    </w:p>
    <w:p w14:paraId="15293ED1" w14:textId="77777777" w:rsidR="00714D18" w:rsidRDefault="006E5117">
      <w:pPr>
        <w:pStyle w:val="NormalWeb"/>
      </w:pPr>
      <w:r>
        <w:t xml:space="preserve">Goldstein, I., Goren, A., Li, V. W., &amp; Tang, W. Y. (2020). Epidemiology update of erectile dysfunction in eight countries with high burden. </w:t>
      </w:r>
      <w:r>
        <w:rPr>
          <w:rStyle w:val="Emphasis"/>
        </w:rPr>
        <w:t>Sexual Medicine Reviews</w:t>
      </w:r>
      <w:r>
        <w:t xml:space="preserve">, 8(1), 48–56. </w:t>
      </w:r>
      <w:hyperlink r:id="rId47" w:history="1">
        <w:r>
          <w:rPr>
            <w:rStyle w:val="Hyperlink"/>
          </w:rPr>
          <w:t>https://doi.org/10.1016/j.sxmr.2019.06.004</w:t>
        </w:r>
      </w:hyperlink>
    </w:p>
    <w:p w14:paraId="6A5B81CF" w14:textId="77777777" w:rsidR="00714D18" w:rsidRDefault="006E5117">
      <w:pPr>
        <w:pStyle w:val="NormalWeb"/>
      </w:pPr>
      <w:proofErr w:type="spellStart"/>
      <w:r>
        <w:t>Hersch</w:t>
      </w:r>
      <w:proofErr w:type="spellEnd"/>
      <w:r>
        <w:t xml:space="preserve">, E., Huang, J., &amp; </w:t>
      </w:r>
      <w:proofErr w:type="spellStart"/>
      <w:r>
        <w:t>Grider</w:t>
      </w:r>
      <w:proofErr w:type="spellEnd"/>
      <w:r>
        <w:t xml:space="preserve">, J. R. (2004). </w:t>
      </w:r>
      <w:proofErr w:type="spellStart"/>
      <w:r>
        <w:t>Gq</w:t>
      </w:r>
      <w:proofErr w:type="spellEnd"/>
      <w:r>
        <w:t xml:space="preserve">/G13 signaling by ET-1 in smooth muscle: MYPT1 phosphorylation via ETA and CPI-17 </w:t>
      </w:r>
      <w:proofErr w:type="spellStart"/>
      <w:r>
        <w:t>dephosphorylation</w:t>
      </w:r>
      <w:proofErr w:type="spellEnd"/>
      <w:r>
        <w:t xml:space="preserve"> via ETB. </w:t>
      </w:r>
      <w:r>
        <w:rPr>
          <w:rStyle w:val="Emphasis"/>
        </w:rPr>
        <w:t>American Journal of Physiology-Cell Physiology, 287</w:t>
      </w:r>
      <w:r>
        <w:t xml:space="preserve">(2), C456–C463. </w:t>
      </w:r>
      <w:hyperlink r:id="rId48" w:history="1">
        <w:r>
          <w:rPr>
            <w:rStyle w:val="Hyperlink"/>
          </w:rPr>
          <w:t>https://doi.org/10.1152/ajpcell.00198.2004</w:t>
        </w:r>
      </w:hyperlink>
    </w:p>
    <w:p w14:paraId="538FD0A5" w14:textId="77777777" w:rsidR="00714D18" w:rsidRDefault="006E5117">
      <w:pPr>
        <w:jc w:val="both"/>
        <w:rPr>
          <w:rFonts w:ascii="Times New Roman" w:hAnsi="Times New Roman" w:cs="Times New Roman"/>
          <w:sz w:val="24"/>
          <w:szCs w:val="24"/>
        </w:rPr>
      </w:pPr>
      <w:proofErr w:type="spellStart"/>
      <w:r>
        <w:rPr>
          <w:rFonts w:ascii="Times New Roman" w:hAnsi="Times New Roman" w:cs="Times New Roman"/>
          <w:sz w:val="24"/>
          <w:szCs w:val="24"/>
        </w:rPr>
        <w:t>Hussien</w:t>
      </w:r>
      <w:proofErr w:type="spellEnd"/>
      <w:r>
        <w:rPr>
          <w:rFonts w:ascii="Times New Roman" w:hAnsi="Times New Roman" w:cs="Times New Roman"/>
          <w:sz w:val="24"/>
          <w:szCs w:val="24"/>
        </w:rPr>
        <w:t xml:space="preserve">, A. G., </w:t>
      </w:r>
      <w:proofErr w:type="spellStart"/>
      <w:r>
        <w:rPr>
          <w:rFonts w:ascii="Times New Roman" w:hAnsi="Times New Roman" w:cs="Times New Roman"/>
          <w:sz w:val="24"/>
          <w:szCs w:val="24"/>
        </w:rPr>
        <w:t>Fyiad</w:t>
      </w:r>
      <w:proofErr w:type="spellEnd"/>
      <w:r>
        <w:rPr>
          <w:rFonts w:ascii="Times New Roman" w:hAnsi="Times New Roman" w:cs="Times New Roman"/>
          <w:sz w:val="24"/>
          <w:szCs w:val="24"/>
        </w:rPr>
        <w:t xml:space="preserve">, A. E. A., &amp; Ali, M. M. (2024). The influence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ethanolic</w:t>
      </w:r>
      <w:proofErr w:type="spellEnd"/>
      <w:r>
        <w:rPr>
          <w:rFonts w:ascii="Times New Roman" w:hAnsi="Times New Roman" w:cs="Times New Roman"/>
          <w:sz w:val="24"/>
          <w:szCs w:val="24"/>
        </w:rPr>
        <w:t xml:space="preserve"> extract against </w:t>
      </w:r>
      <w:proofErr w:type="spellStart"/>
      <w:r>
        <w:rPr>
          <w:rFonts w:ascii="Times New Roman" w:hAnsi="Times New Roman" w:cs="Times New Roman"/>
          <w:sz w:val="24"/>
          <w:szCs w:val="24"/>
        </w:rPr>
        <w:t>streptozotocin</w:t>
      </w:r>
      <w:proofErr w:type="spellEnd"/>
      <w:r>
        <w:rPr>
          <w:rFonts w:ascii="Times New Roman" w:hAnsi="Times New Roman" w:cs="Times New Roman"/>
          <w:sz w:val="24"/>
          <w:szCs w:val="24"/>
        </w:rPr>
        <w:t xml:space="preserve">-induced diabetic rats.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hyperlink r:id="rId49" w:history="1">
        <w:r>
          <w:rPr>
            <w:rStyle w:val="Hyperlink"/>
            <w:rFonts w:ascii="Times New Roman" w:hAnsi="Times New Roman" w:cs="Times New Roman"/>
            <w:sz w:val="24"/>
            <w:szCs w:val="24"/>
          </w:rPr>
          <w:t>https://journals.ekb.eg/article_329525.html</w:t>
        </w:r>
      </w:hyperlink>
    </w:p>
    <w:p w14:paraId="4F4419BD" w14:textId="77777777" w:rsidR="00714D18" w:rsidRDefault="006E5117">
      <w:pPr>
        <w:pStyle w:val="NormalWeb"/>
      </w:pPr>
      <w:r>
        <w:t xml:space="preserve">Islam, M. M., Naveen, N. R., &amp; </w:t>
      </w:r>
      <w:proofErr w:type="spellStart"/>
      <w:r>
        <w:t>Anitha</w:t>
      </w:r>
      <w:proofErr w:type="spellEnd"/>
      <w:r>
        <w:t xml:space="preserve">, P. (2022). Recent advances and interventions to treat or manage erectile dysfunction. </w:t>
      </w:r>
      <w:r>
        <w:rPr>
          <w:rStyle w:val="Emphasis"/>
        </w:rPr>
        <w:t>Journal of Clinical Medicine, 11</w:t>
      </w:r>
      <w:r>
        <w:t xml:space="preserve">(11), 3140. </w:t>
      </w:r>
      <w:hyperlink r:id="rId50" w:history="1">
        <w:r>
          <w:rPr>
            <w:rStyle w:val="Hyperlink"/>
          </w:rPr>
          <w:t>https://www.mdpi.com/2077-0383/11/11/3140</w:t>
        </w:r>
      </w:hyperlink>
    </w:p>
    <w:p w14:paraId="029C52A9" w14:textId="77777777" w:rsidR="00714D18" w:rsidRDefault="006E5117">
      <w:pPr>
        <w:pStyle w:val="NormalWeb"/>
      </w:pPr>
      <w:proofErr w:type="spellStart"/>
      <w:r>
        <w:t>Kaltsas</w:t>
      </w:r>
      <w:proofErr w:type="spellEnd"/>
      <w:r>
        <w:t xml:space="preserve">, A., </w:t>
      </w:r>
      <w:proofErr w:type="spellStart"/>
      <w:r>
        <w:t>Dimitriadis</w:t>
      </w:r>
      <w:proofErr w:type="spellEnd"/>
      <w:r>
        <w:t xml:space="preserve">, F., </w:t>
      </w:r>
      <w:proofErr w:type="spellStart"/>
      <w:r>
        <w:t>Zachariou</w:t>
      </w:r>
      <w:proofErr w:type="spellEnd"/>
      <w:r>
        <w:t xml:space="preserve">, A., &amp; </w:t>
      </w:r>
      <w:proofErr w:type="spellStart"/>
      <w:r>
        <w:t>Sofikitis</w:t>
      </w:r>
      <w:proofErr w:type="spellEnd"/>
      <w:r>
        <w:t xml:space="preserve">, N. (2025). Phosphodiesterase type 5 inhibitors in male reproduction: Molecular mechanisms and clinical implications. </w:t>
      </w:r>
      <w:r>
        <w:rPr>
          <w:rStyle w:val="Emphasis"/>
        </w:rPr>
        <w:t>Cells, 14</w:t>
      </w:r>
      <w:r>
        <w:t xml:space="preserve">(2), 120. </w:t>
      </w:r>
      <w:hyperlink r:id="rId51" w:history="1">
        <w:r>
          <w:rPr>
            <w:rStyle w:val="Hyperlink"/>
          </w:rPr>
          <w:t>https://www.mdpi.com/2073-4409/14/2/120</w:t>
        </w:r>
      </w:hyperlink>
    </w:p>
    <w:p w14:paraId="421BDF8E" w14:textId="77777777" w:rsidR="00714D18" w:rsidRDefault="006E5117">
      <w:pPr>
        <w:pStyle w:val="NormalWeb"/>
      </w:pPr>
      <w:proofErr w:type="spellStart"/>
      <w:r>
        <w:t>Kassan</w:t>
      </w:r>
      <w:proofErr w:type="spellEnd"/>
      <w:r>
        <w:t xml:space="preserve">, M., </w:t>
      </w:r>
      <w:proofErr w:type="spellStart"/>
      <w:r>
        <w:t>Lasker</w:t>
      </w:r>
      <w:proofErr w:type="spellEnd"/>
      <w:r>
        <w:t xml:space="preserve">, G. F., </w:t>
      </w:r>
      <w:proofErr w:type="spellStart"/>
      <w:r>
        <w:t>Sikka</w:t>
      </w:r>
      <w:proofErr w:type="spellEnd"/>
      <w:r>
        <w:t xml:space="preserve">, S. C., </w:t>
      </w:r>
      <w:proofErr w:type="spellStart"/>
      <w:r>
        <w:t>Mandava</w:t>
      </w:r>
      <w:proofErr w:type="spellEnd"/>
      <w:r>
        <w:t xml:space="preserve">, S. H., &amp; </w:t>
      </w:r>
      <w:proofErr w:type="spellStart"/>
      <w:r>
        <w:t>Hellstrom</w:t>
      </w:r>
      <w:proofErr w:type="spellEnd"/>
      <w:r>
        <w:t xml:space="preserve">, W. J. G. (2013). Chronic </w:t>
      </w:r>
      <w:proofErr w:type="spellStart"/>
      <w:r>
        <w:t>escitalopram</w:t>
      </w:r>
      <w:proofErr w:type="spellEnd"/>
      <w:r>
        <w:t xml:space="preserve"> treatment induces erectile dysfunction by decreasing nitric oxide bioavailability mediated by increased NADPH oxidase activity. </w:t>
      </w:r>
      <w:r>
        <w:rPr>
          <w:rStyle w:val="Emphasis"/>
        </w:rPr>
        <w:t>Urology, 82</w:t>
      </w:r>
      <w:r>
        <w:t xml:space="preserve">(5), 1186–1192. </w:t>
      </w:r>
      <w:hyperlink r:id="rId52" w:history="1">
        <w:r>
          <w:rPr>
            <w:rStyle w:val="Hyperlink"/>
          </w:rPr>
          <w:t>https://doi.org/10.1016/j.urology.2013.05.049</w:t>
        </w:r>
      </w:hyperlink>
    </w:p>
    <w:p w14:paraId="425C3357" w14:textId="77777777" w:rsidR="00714D18" w:rsidRDefault="006E5117">
      <w:pPr>
        <w:jc w:val="both"/>
        <w:rPr>
          <w:rFonts w:ascii="Times New Roman" w:hAnsi="Times New Roman" w:cs="Times New Roman"/>
          <w:sz w:val="24"/>
          <w:szCs w:val="24"/>
        </w:rPr>
      </w:pPr>
      <w:proofErr w:type="spellStart"/>
      <w:r>
        <w:rPr>
          <w:rFonts w:ascii="Times New Roman" w:hAnsi="Times New Roman" w:cs="Times New Roman"/>
          <w:sz w:val="24"/>
          <w:szCs w:val="24"/>
        </w:rPr>
        <w:t>Khawam</w:t>
      </w:r>
      <w:proofErr w:type="spellEnd"/>
      <w:r>
        <w:rPr>
          <w:rFonts w:ascii="Times New Roman" w:hAnsi="Times New Roman" w:cs="Times New Roman"/>
          <w:sz w:val="24"/>
          <w:szCs w:val="24"/>
        </w:rPr>
        <w:t xml:space="preserve">, E. A., </w:t>
      </w:r>
      <w:proofErr w:type="spellStart"/>
      <w:r>
        <w:rPr>
          <w:rFonts w:ascii="Times New Roman" w:hAnsi="Times New Roman" w:cs="Times New Roman"/>
          <w:sz w:val="24"/>
          <w:szCs w:val="24"/>
        </w:rPr>
        <w:t>Laurencic</w:t>
      </w:r>
      <w:proofErr w:type="spellEnd"/>
      <w:r>
        <w:rPr>
          <w:rFonts w:ascii="Times New Roman" w:hAnsi="Times New Roman" w:cs="Times New Roman"/>
          <w:sz w:val="24"/>
          <w:szCs w:val="24"/>
        </w:rPr>
        <w:t xml:space="preserve">, G., &amp; Malone, D. A. (2021). Treating SSRI-induced sexual dysfunction: a review.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hyperlink r:id="rId53" w:history="1">
        <w:r>
          <w:rPr>
            <w:rStyle w:val="Hyperlink"/>
            <w:rFonts w:ascii="Times New Roman" w:hAnsi="Times New Roman" w:cs="Times New Roman"/>
            <w:sz w:val="24"/>
            <w:szCs w:val="24"/>
          </w:rPr>
          <w:t>https://doi.org/10.12788/acp.0016</w:t>
        </w:r>
      </w:hyperlink>
    </w:p>
    <w:p w14:paraId="662A5889" w14:textId="77777777" w:rsidR="00714D18" w:rsidRDefault="006E5117">
      <w:pPr>
        <w:pStyle w:val="NormalWeb"/>
      </w:pPr>
      <w:r>
        <w:t xml:space="preserve">Kim, N. N., Kim, J. J., </w:t>
      </w:r>
      <w:proofErr w:type="spellStart"/>
      <w:r>
        <w:t>Hypolite</w:t>
      </w:r>
      <w:proofErr w:type="spellEnd"/>
      <w:r>
        <w:t xml:space="preserve">, J., &amp; Levin, R. M. (2001). Altered contractility of rabbit penile corpus </w:t>
      </w:r>
      <w:proofErr w:type="spellStart"/>
      <w:r>
        <w:t>cavernosum</w:t>
      </w:r>
      <w:proofErr w:type="spellEnd"/>
      <w:r>
        <w:t xml:space="preserve"> smooth muscle by hypoxia. </w:t>
      </w:r>
      <w:r>
        <w:rPr>
          <w:rStyle w:val="Emphasis"/>
        </w:rPr>
        <w:t>The Journal of Urology, 166</w:t>
      </w:r>
      <w:r>
        <w:t xml:space="preserve">(2), 745–751. </w:t>
      </w:r>
      <w:hyperlink r:id="rId54" w:history="1">
        <w:r>
          <w:rPr>
            <w:rStyle w:val="Hyperlink"/>
          </w:rPr>
          <w:t>https://doi.org/10.1016/S0022-5347(01)66519-4</w:t>
        </w:r>
      </w:hyperlink>
    </w:p>
    <w:p w14:paraId="01936800" w14:textId="77777777" w:rsidR="00714D18" w:rsidRDefault="006E5117">
      <w:pPr>
        <w:pStyle w:val="NormalWeb"/>
      </w:pPr>
      <w:proofErr w:type="spellStart"/>
      <w:r>
        <w:t>Kpomah</w:t>
      </w:r>
      <w:proofErr w:type="spellEnd"/>
      <w:r>
        <w:t xml:space="preserve">, E. D., </w:t>
      </w:r>
      <w:proofErr w:type="spellStart"/>
      <w:r>
        <w:t>Osioma</w:t>
      </w:r>
      <w:proofErr w:type="spellEnd"/>
      <w:r>
        <w:t xml:space="preserve">, E., &amp; </w:t>
      </w:r>
      <w:proofErr w:type="spellStart"/>
      <w:r>
        <w:t>Agoro</w:t>
      </w:r>
      <w:proofErr w:type="spellEnd"/>
      <w:r>
        <w:t xml:space="preserve">, E. S. (2024). Sexual invigorating potentials of a combined extract of </w:t>
      </w:r>
      <w:proofErr w:type="spellStart"/>
      <w:r>
        <w:rPr>
          <w:rStyle w:val="Emphasis"/>
        </w:rPr>
        <w:t>Sabicea</w:t>
      </w:r>
      <w:proofErr w:type="spellEnd"/>
      <w:r>
        <w:rPr>
          <w:rStyle w:val="Emphasis"/>
        </w:rPr>
        <w:t xml:space="preserve"> </w:t>
      </w:r>
      <w:proofErr w:type="spellStart"/>
      <w:r>
        <w:rPr>
          <w:rStyle w:val="Emphasis"/>
        </w:rPr>
        <w:t>calycina</w:t>
      </w:r>
      <w:proofErr w:type="spellEnd"/>
      <w:r>
        <w:t xml:space="preserve"> and </w:t>
      </w:r>
      <w:proofErr w:type="spellStart"/>
      <w:r>
        <w:rPr>
          <w:rStyle w:val="Emphasis"/>
        </w:rPr>
        <w:t>Carpolobia</w:t>
      </w:r>
      <w:proofErr w:type="spellEnd"/>
      <w:r>
        <w:rPr>
          <w:rStyle w:val="Emphasis"/>
        </w:rPr>
        <w:t xml:space="preserve"> </w:t>
      </w:r>
      <w:proofErr w:type="spellStart"/>
      <w:r>
        <w:rPr>
          <w:rStyle w:val="Emphasis"/>
        </w:rPr>
        <w:t>lutea</w:t>
      </w:r>
      <w:proofErr w:type="spellEnd"/>
      <w:r>
        <w:t xml:space="preserve"> on male </w:t>
      </w:r>
      <w:proofErr w:type="spellStart"/>
      <w:r>
        <w:t>Wistar</w:t>
      </w:r>
      <w:proofErr w:type="spellEnd"/>
      <w:r>
        <w:t xml:space="preserve"> rats in crude oil challenged environment. </w:t>
      </w:r>
      <w:r>
        <w:rPr>
          <w:rStyle w:val="Emphasis"/>
        </w:rPr>
        <w:t>International Journal of Biochemistry Research and Review</w:t>
      </w:r>
      <w:r>
        <w:t xml:space="preserve">, 33(2), 32–45. </w:t>
      </w:r>
      <w:hyperlink r:id="rId55" w:history="1">
        <w:r>
          <w:rPr>
            <w:rStyle w:val="Hyperlink"/>
          </w:rPr>
          <w:t>https://www.researchgate.net/publication/377752319</w:t>
        </w:r>
      </w:hyperlink>
    </w:p>
    <w:p w14:paraId="0F096E84" w14:textId="77777777" w:rsidR="00714D18" w:rsidRDefault="006E5117">
      <w:pPr>
        <w:pStyle w:val="NormalWeb"/>
      </w:pPr>
      <w:r>
        <w:t xml:space="preserve">Lee, S., Hwang, Y. G., &amp; Chung, H. K. (2014). A proteomic analysis using an animal model for hyperlipidemia-related erectile dysfunction. </w:t>
      </w:r>
      <w:r>
        <w:rPr>
          <w:rStyle w:val="Emphasis"/>
        </w:rPr>
        <w:t>Drug Research, 64</w:t>
      </w:r>
      <w:r>
        <w:t xml:space="preserve">(5), 237–243. </w:t>
      </w:r>
      <w:hyperlink r:id="rId56" w:history="1">
        <w:r>
          <w:rPr>
            <w:rStyle w:val="Hyperlink"/>
          </w:rPr>
          <w:t>https://doi.org/10.1055/s-0033-1363994</w:t>
        </w:r>
      </w:hyperlink>
    </w:p>
    <w:p w14:paraId="77E17F5D" w14:textId="77777777" w:rsidR="00714D18" w:rsidRDefault="006E5117">
      <w:pPr>
        <w:pStyle w:val="NormalWeb"/>
      </w:pPr>
      <w:proofErr w:type="spellStart"/>
      <w:r>
        <w:t>Leyaro</w:t>
      </w:r>
      <w:proofErr w:type="spellEnd"/>
      <w:r>
        <w:t xml:space="preserve">, B. J., </w:t>
      </w:r>
      <w:proofErr w:type="spellStart"/>
      <w:r>
        <w:t>Nyalile</w:t>
      </w:r>
      <w:proofErr w:type="spellEnd"/>
      <w:r>
        <w:t xml:space="preserve">, K. B., </w:t>
      </w:r>
      <w:proofErr w:type="spellStart"/>
      <w:r>
        <w:t>Mushi</w:t>
      </w:r>
      <w:proofErr w:type="spellEnd"/>
      <w:r>
        <w:t xml:space="preserve">, E. H. P., &amp; Moshi, E. (2020). Prevalence and factors associated with erectile dysfunction among adult men in Moshi Municipal, Tanzania: A community-based study. </w:t>
      </w:r>
      <w:r>
        <w:rPr>
          <w:rStyle w:val="Emphasis"/>
        </w:rPr>
        <w:t>Basic and Clinical Andrology</w:t>
      </w:r>
      <w:r>
        <w:t xml:space="preserve">, 30(1), 1–9. </w:t>
      </w:r>
      <w:hyperlink r:id="rId57" w:history="1">
        <w:r>
          <w:rPr>
            <w:rStyle w:val="Hyperlink"/>
          </w:rPr>
          <w:t>https://doi.org/10.1186/s12610-020-00118-0</w:t>
        </w:r>
      </w:hyperlink>
    </w:p>
    <w:p w14:paraId="20E00E15" w14:textId="77777777" w:rsidR="00714D18" w:rsidRDefault="006E5117">
      <w:pPr>
        <w:pStyle w:val="NormalWeb"/>
      </w:pPr>
      <w:r>
        <w:t xml:space="preserve">Mobley, D. F., </w:t>
      </w:r>
      <w:proofErr w:type="spellStart"/>
      <w:r>
        <w:t>Khera</w:t>
      </w:r>
      <w:proofErr w:type="spellEnd"/>
      <w:r>
        <w:t xml:space="preserve">, M., &amp; Baum, N. (2017). Recent advances in the treatment of erectile dysfunction. </w:t>
      </w:r>
      <w:r>
        <w:rPr>
          <w:rStyle w:val="Emphasis"/>
        </w:rPr>
        <w:t>Postgraduate Medical Journal, 93</w:t>
      </w:r>
      <w:r>
        <w:t xml:space="preserve">(1105), 679–685. </w:t>
      </w:r>
      <w:hyperlink r:id="rId58" w:history="1">
        <w:r>
          <w:rPr>
            <w:rStyle w:val="Hyperlink"/>
          </w:rPr>
          <w:t>https://doi.org/10.1136/postgradmedj-2017-135045</w:t>
        </w:r>
      </w:hyperlink>
    </w:p>
    <w:p w14:paraId="4E88FE17" w14:textId="77777777" w:rsidR="00714D18" w:rsidRDefault="006E5117">
      <w:pPr>
        <w:pStyle w:val="NormalWeb"/>
      </w:pPr>
      <w:proofErr w:type="spellStart"/>
      <w:r>
        <w:t>Muritala</w:t>
      </w:r>
      <w:proofErr w:type="spellEnd"/>
      <w:r>
        <w:t xml:space="preserve">, H. F., &amp; </w:t>
      </w:r>
      <w:proofErr w:type="spellStart"/>
      <w:r>
        <w:t>Bewaji</w:t>
      </w:r>
      <w:proofErr w:type="spellEnd"/>
      <w:r>
        <w:t xml:space="preserve">, C. O. (2021). Paroxetine administration alters some biochemical parameters in male </w:t>
      </w:r>
      <w:proofErr w:type="spellStart"/>
      <w:r>
        <w:t>Wistar</w:t>
      </w:r>
      <w:proofErr w:type="spellEnd"/>
      <w:r>
        <w:t xml:space="preserve"> rats over a systemic period of thirty-five days. </w:t>
      </w:r>
      <w:r>
        <w:rPr>
          <w:rStyle w:val="Emphasis"/>
        </w:rPr>
        <w:t>Academia.edu</w:t>
      </w:r>
      <w:r>
        <w:t xml:space="preserve">. </w:t>
      </w:r>
      <w:hyperlink r:id="rId59" w:history="1">
        <w:r>
          <w:rPr>
            <w:rStyle w:val="Hyperlink"/>
          </w:rPr>
          <w:t>https://www.academia.edu/download/109912536/19.pdf</w:t>
        </w:r>
      </w:hyperlink>
    </w:p>
    <w:p w14:paraId="7888969D" w14:textId="77777777" w:rsidR="00714D18" w:rsidRDefault="006E5117">
      <w:pPr>
        <w:pStyle w:val="NormalWeb"/>
      </w:pPr>
      <w:r>
        <w:t xml:space="preserve">New Approaches in Oncology for Repositioning Drugs: The Case of PDE5 Inhibitor Sildenafil - Scientific Figure on </w:t>
      </w:r>
      <w:proofErr w:type="spellStart"/>
      <w:r>
        <w:t>ResearchGate</w:t>
      </w:r>
      <w:proofErr w:type="spellEnd"/>
      <w:r>
        <w:t>. Available from: https://www.researchgate.net/figure/General-mechanism-of-action-of-sildenafil-in-erectile-dysfunction-Sexual-stimulation_fig1_349633465 [accessed 8 Jul 2025]</w:t>
      </w:r>
    </w:p>
    <w:p w14:paraId="2B06F235" w14:textId="77777777" w:rsidR="00714D18" w:rsidRDefault="006E5117">
      <w:pPr>
        <w:pStyle w:val="NormalWeb"/>
      </w:pPr>
      <w:r>
        <w:t xml:space="preserve">Nguyen, H. N. N., Luong, T. V., &amp; Pham, A. K. (2024). Exploring the bidirectional link between erectile dysfunction and 10-year cardiovascular risk in men with diabetes and hypertension. </w:t>
      </w:r>
      <w:r>
        <w:rPr>
          <w:rStyle w:val="Emphasis"/>
        </w:rPr>
        <w:t>Scientific Reports, 14</w:t>
      </w:r>
      <w:r>
        <w:t xml:space="preserve">, Article 78182. </w:t>
      </w:r>
      <w:hyperlink r:id="rId60" w:history="1">
        <w:r>
          <w:rPr>
            <w:rStyle w:val="Hyperlink"/>
          </w:rPr>
          <w:t>https://doi.org/10.1038/s41598-024-78182-z</w:t>
        </w:r>
      </w:hyperlink>
    </w:p>
    <w:p w14:paraId="4486A7C1" w14:textId="77777777" w:rsidR="00714D18" w:rsidRDefault="006E5117">
      <w:pPr>
        <w:pStyle w:val="NormalWeb"/>
      </w:pPr>
      <w:r>
        <w:t>Nik-</w:t>
      </w:r>
      <w:proofErr w:type="spellStart"/>
      <w:r>
        <w:t>Ahd</w:t>
      </w:r>
      <w:proofErr w:type="spellEnd"/>
      <w:r>
        <w:t xml:space="preserve">, F., &amp; </w:t>
      </w:r>
      <w:proofErr w:type="spellStart"/>
      <w:r>
        <w:t>Shindel</w:t>
      </w:r>
      <w:proofErr w:type="spellEnd"/>
      <w:r>
        <w:t xml:space="preserve">, A. W. (2022). Pharmacotherapy for erectile dysfunction in 2021 and beyond. </w:t>
      </w:r>
      <w:r>
        <w:rPr>
          <w:rStyle w:val="Emphasis"/>
        </w:rPr>
        <w:t>Urologic Clinics of North America, 49</w:t>
      </w:r>
      <w:r>
        <w:t xml:space="preserve">(2), 197–209. </w:t>
      </w:r>
      <w:hyperlink r:id="rId61" w:history="1">
        <w:r>
          <w:rPr>
            <w:rStyle w:val="Hyperlink"/>
          </w:rPr>
          <w:t>https://doi.org/10.1016/j.ucl.2021.12.005</w:t>
        </w:r>
      </w:hyperlink>
    </w:p>
    <w:p w14:paraId="7CDE8268" w14:textId="77777777" w:rsidR="00714D18" w:rsidRDefault="006E5117">
      <w:pPr>
        <w:pStyle w:val="NormalWeb"/>
      </w:pPr>
      <w:proofErr w:type="spellStart"/>
      <w:r>
        <w:t>Obalana</w:t>
      </w:r>
      <w:proofErr w:type="spellEnd"/>
      <w:r>
        <w:t xml:space="preserve">, E., </w:t>
      </w:r>
      <w:proofErr w:type="spellStart"/>
      <w:r>
        <w:t>Oluwatimilehin</w:t>
      </w:r>
      <w:proofErr w:type="spellEnd"/>
      <w:r>
        <w:t>, O. E. (2024). Assessment of serum biomarkers of cardiac function (</w:t>
      </w:r>
      <w:proofErr w:type="spellStart"/>
      <w:r>
        <w:t>creatine</w:t>
      </w:r>
      <w:proofErr w:type="spellEnd"/>
      <w:r>
        <w:t xml:space="preserve"> kinase and troponin) in </w:t>
      </w:r>
      <w:proofErr w:type="spellStart"/>
      <w:r>
        <w:t>Wistar</w:t>
      </w:r>
      <w:proofErr w:type="spellEnd"/>
      <w:r>
        <w:t xml:space="preserve"> rats treated with Long Jack sperm enhancer. </w:t>
      </w:r>
      <w:proofErr w:type="spellStart"/>
      <w:r>
        <w:rPr>
          <w:rStyle w:val="Emphasis"/>
        </w:rPr>
        <w:t>ResearchGate</w:t>
      </w:r>
      <w:proofErr w:type="spellEnd"/>
      <w:r>
        <w:t xml:space="preserve">. </w:t>
      </w:r>
      <w:hyperlink r:id="rId62" w:history="1">
        <w:r>
          <w:rPr>
            <w:rStyle w:val="Hyperlink"/>
          </w:rPr>
          <w:t>https://www.researchgate.net/publication/383455071</w:t>
        </w:r>
      </w:hyperlink>
    </w:p>
    <w:p w14:paraId="7F3DD42D" w14:textId="77777777" w:rsidR="00714D18" w:rsidRDefault="006E5117">
      <w:pPr>
        <w:pStyle w:val="NormalWeb"/>
      </w:pPr>
      <w:proofErr w:type="spellStart"/>
      <w:r>
        <w:t>Odetayo</w:t>
      </w:r>
      <w:proofErr w:type="spellEnd"/>
      <w:r>
        <w:t xml:space="preserve">, A. F., &amp; </w:t>
      </w:r>
      <w:proofErr w:type="spellStart"/>
      <w:r>
        <w:t>Olayaki</w:t>
      </w:r>
      <w:proofErr w:type="spellEnd"/>
      <w:r>
        <w:t xml:space="preserve">, L. A. (2023). Omega-3 fatty acid improves sexual and erectile function in BPF-treated rats by upregulating NO/cGMP signaling and steroidogenic enzymes activities. </w:t>
      </w:r>
      <w:r>
        <w:rPr>
          <w:rStyle w:val="Emphasis"/>
        </w:rPr>
        <w:t>Scientific Reports</w:t>
      </w:r>
      <w:r>
        <w:t xml:space="preserve">, 13, 1–13. </w:t>
      </w:r>
      <w:hyperlink r:id="rId63" w:history="1">
        <w:r>
          <w:rPr>
            <w:rStyle w:val="Hyperlink"/>
          </w:rPr>
          <w:t>https://www.nature.com/articles/s41598-023-45344-4</w:t>
        </w:r>
      </w:hyperlink>
    </w:p>
    <w:p w14:paraId="0201C10E" w14:textId="77777777" w:rsidR="00714D18" w:rsidRDefault="006E5117">
      <w:pPr>
        <w:jc w:val="both"/>
        <w:rPr>
          <w:rFonts w:ascii="Times New Roman" w:hAnsi="Times New Roman" w:cs="Times New Roman"/>
          <w:sz w:val="24"/>
          <w:szCs w:val="24"/>
        </w:rPr>
      </w:pPr>
      <w:proofErr w:type="spellStart"/>
      <w:r>
        <w:rPr>
          <w:rFonts w:ascii="Times New Roman" w:hAnsi="Times New Roman" w:cs="Times New Roman"/>
          <w:sz w:val="24"/>
          <w:szCs w:val="24"/>
        </w:rPr>
        <w:t>Okukpe</w:t>
      </w:r>
      <w:proofErr w:type="spellEnd"/>
      <w:r>
        <w:rPr>
          <w:rFonts w:ascii="Times New Roman" w:hAnsi="Times New Roman" w:cs="Times New Roman"/>
          <w:sz w:val="24"/>
          <w:szCs w:val="24"/>
        </w:rPr>
        <w:t xml:space="preserve">, K. M., </w:t>
      </w:r>
      <w:proofErr w:type="spellStart"/>
      <w:r>
        <w:rPr>
          <w:rFonts w:ascii="Times New Roman" w:hAnsi="Times New Roman" w:cs="Times New Roman"/>
          <w:sz w:val="24"/>
          <w:szCs w:val="24"/>
        </w:rPr>
        <w:t>Adeyina</w:t>
      </w:r>
      <w:proofErr w:type="spellEnd"/>
      <w:r>
        <w:rPr>
          <w:rFonts w:ascii="Times New Roman" w:hAnsi="Times New Roman" w:cs="Times New Roman"/>
          <w:sz w:val="24"/>
          <w:szCs w:val="24"/>
        </w:rPr>
        <w:t xml:space="preserve">, A. O., </w:t>
      </w:r>
      <w:proofErr w:type="spellStart"/>
      <w:r>
        <w:rPr>
          <w:rFonts w:ascii="Times New Roman" w:hAnsi="Times New Roman" w:cs="Times New Roman"/>
          <w:sz w:val="24"/>
          <w:szCs w:val="24"/>
        </w:rPr>
        <w:t>Alli</w:t>
      </w:r>
      <w:proofErr w:type="spellEnd"/>
      <w:r>
        <w:rPr>
          <w:rFonts w:ascii="Times New Roman" w:hAnsi="Times New Roman" w:cs="Times New Roman"/>
          <w:sz w:val="24"/>
          <w:szCs w:val="24"/>
        </w:rPr>
        <w:t xml:space="preserve">, O. I., &amp; </w:t>
      </w:r>
      <w:proofErr w:type="spellStart"/>
      <w:r>
        <w:rPr>
          <w:rFonts w:ascii="Times New Roman" w:hAnsi="Times New Roman" w:cs="Times New Roman"/>
          <w:sz w:val="24"/>
          <w:szCs w:val="24"/>
        </w:rPr>
        <w:t>Ajao</w:t>
      </w:r>
      <w:proofErr w:type="spellEnd"/>
      <w:r>
        <w:rPr>
          <w:rFonts w:ascii="Times New Roman" w:hAnsi="Times New Roman" w:cs="Times New Roman"/>
          <w:sz w:val="24"/>
          <w:szCs w:val="24"/>
        </w:rPr>
        <w:t xml:space="preserve">, B. H. (2018). Hormone </w:t>
      </w:r>
      <w:proofErr w:type="spellStart"/>
      <w:r>
        <w:rPr>
          <w:rFonts w:ascii="Times New Roman" w:hAnsi="Times New Roman" w:cs="Times New Roman"/>
          <w:sz w:val="24"/>
          <w:szCs w:val="24"/>
        </w:rPr>
        <w:t>inducive</w:t>
      </w:r>
      <w:proofErr w:type="spellEnd"/>
      <w:r>
        <w:rPr>
          <w:rFonts w:ascii="Times New Roman" w:hAnsi="Times New Roman" w:cs="Times New Roman"/>
          <w:sz w:val="24"/>
          <w:szCs w:val="24"/>
        </w:rPr>
        <w:t xml:space="preserve"> effects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hyperlink r:id="rId64" w:history="1">
        <w:r>
          <w:rPr>
            <w:rStyle w:val="Hyperlink"/>
            <w:rFonts w:ascii="Times New Roman" w:hAnsi="Times New Roman" w:cs="Times New Roman"/>
            <w:sz w:val="24"/>
            <w:szCs w:val="24"/>
          </w:rPr>
          <w:t>https://www.njap.org.ng/index.php/njap/article/view/560</w:t>
        </w:r>
      </w:hyperlink>
    </w:p>
    <w:p w14:paraId="1857EF8F" w14:textId="77777777" w:rsidR="00714D18" w:rsidRDefault="006E5117">
      <w:pPr>
        <w:pStyle w:val="NormalWeb"/>
      </w:pPr>
      <w:proofErr w:type="spellStart"/>
      <w:r>
        <w:t>Otunola</w:t>
      </w:r>
      <w:proofErr w:type="spellEnd"/>
      <w:r>
        <w:t xml:space="preserve">, G. A. (2022). Culinary spices in food and medicine: An overview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w:t>
      </w:r>
      <w:r>
        <w:rPr>
          <w:rStyle w:val="Emphasis"/>
        </w:rPr>
        <w:t>Frontiers in Pharmacology, 12</w:t>
      </w:r>
      <w:r>
        <w:t xml:space="preserve">, 793200. </w:t>
      </w:r>
      <w:hyperlink r:id="rId65" w:history="1">
        <w:r>
          <w:rPr>
            <w:rStyle w:val="Hyperlink"/>
          </w:rPr>
          <w:t>https://www.frontiersin.org/articles/10.3389/fphar.2021.793200/full</w:t>
        </w:r>
      </w:hyperlink>
    </w:p>
    <w:p w14:paraId="008E00A5" w14:textId="77777777" w:rsidR="00714D18" w:rsidRDefault="006E5117">
      <w:pPr>
        <w:pStyle w:val="NormalWeb"/>
      </w:pPr>
      <w:proofErr w:type="spellStart"/>
      <w:r>
        <w:t>Oyovwi</w:t>
      </w:r>
      <w:proofErr w:type="spellEnd"/>
      <w:r>
        <w:t xml:space="preserve">, M. O., &amp; </w:t>
      </w:r>
      <w:proofErr w:type="spellStart"/>
      <w:r>
        <w:t>Atere</w:t>
      </w:r>
      <w:proofErr w:type="spellEnd"/>
      <w:r>
        <w:t xml:space="preserve">, A. D. (2024). Exploring the medicinal significance of L-arginine-mediated nitric oxide in preventing health disorders. </w:t>
      </w:r>
      <w:r>
        <w:rPr>
          <w:rStyle w:val="Emphasis"/>
        </w:rPr>
        <w:t>European Journal of Medicinal Chemistry Reports, 3</w:t>
      </w:r>
      <w:r>
        <w:t xml:space="preserve">, 100047. </w:t>
      </w:r>
      <w:hyperlink r:id="rId66" w:history="1">
        <w:r>
          <w:rPr>
            <w:rStyle w:val="Hyperlink"/>
          </w:rPr>
          <w:t>https://doi.org/10.1016/j.ejmcr.2024.100047</w:t>
        </w:r>
      </w:hyperlink>
    </w:p>
    <w:p w14:paraId="62BB6D31" w14:textId="77777777" w:rsidR="00714D18" w:rsidRDefault="006E5117">
      <w:pPr>
        <w:pStyle w:val="NormalWeb"/>
      </w:pPr>
      <w:proofErr w:type="spellStart"/>
      <w:r>
        <w:t>Paschou</w:t>
      </w:r>
      <w:proofErr w:type="spellEnd"/>
      <w:r>
        <w:t xml:space="preserve">, S. A., </w:t>
      </w:r>
      <w:proofErr w:type="spellStart"/>
      <w:r>
        <w:t>Athanasiadou</w:t>
      </w:r>
      <w:proofErr w:type="spellEnd"/>
      <w:r>
        <w:t xml:space="preserve">, K. I., &amp; </w:t>
      </w:r>
      <w:proofErr w:type="spellStart"/>
      <w:r>
        <w:t>Hafford-Letchfield</w:t>
      </w:r>
      <w:proofErr w:type="spellEnd"/>
      <w:r>
        <w:t xml:space="preserve">, T. (2024). Sexual health and wellbeing and the menopause: An EMAS clinical guide. </w:t>
      </w:r>
      <w:proofErr w:type="spellStart"/>
      <w:r>
        <w:rPr>
          <w:rStyle w:val="Emphasis"/>
        </w:rPr>
        <w:t>Maturitas</w:t>
      </w:r>
      <w:proofErr w:type="spellEnd"/>
      <w:r>
        <w:rPr>
          <w:rStyle w:val="Emphasis"/>
        </w:rPr>
        <w:t>, 185</w:t>
      </w:r>
      <w:r>
        <w:t xml:space="preserve">, 1–10. </w:t>
      </w:r>
      <w:hyperlink r:id="rId67" w:history="1">
        <w:r>
          <w:rPr>
            <w:rStyle w:val="Hyperlink"/>
          </w:rPr>
          <w:t>https://www.sciencedirect.com/science/article/pii/S0378512224001506</w:t>
        </w:r>
      </w:hyperlink>
    </w:p>
    <w:p w14:paraId="4B58D3EF" w14:textId="77777777" w:rsidR="00714D18" w:rsidRDefault="006E5117">
      <w:pPr>
        <w:pStyle w:val="NormalWeb"/>
      </w:pPr>
      <w:proofErr w:type="spellStart"/>
      <w:r>
        <w:t>Pyrgidis</w:t>
      </w:r>
      <w:proofErr w:type="spellEnd"/>
      <w:r>
        <w:t xml:space="preserve">, N., </w:t>
      </w:r>
      <w:proofErr w:type="spellStart"/>
      <w:r>
        <w:t>Mykoniatis</w:t>
      </w:r>
      <w:proofErr w:type="spellEnd"/>
      <w:r>
        <w:t xml:space="preserve">, I., </w:t>
      </w:r>
      <w:proofErr w:type="spellStart"/>
      <w:r>
        <w:t>Haidich</w:t>
      </w:r>
      <w:proofErr w:type="spellEnd"/>
      <w:r>
        <w:t xml:space="preserve">, A. B., </w:t>
      </w:r>
      <w:proofErr w:type="spellStart"/>
      <w:r>
        <w:t>Tirta</w:t>
      </w:r>
      <w:proofErr w:type="spellEnd"/>
      <w:r>
        <w:t xml:space="preserve">, M., &amp; </w:t>
      </w:r>
      <w:proofErr w:type="spellStart"/>
      <w:r>
        <w:t>Hatzichristodoulou</w:t>
      </w:r>
      <w:proofErr w:type="spellEnd"/>
      <w:r>
        <w:t xml:space="preserve">, G. (2021). The effect of PDE5 inhibitors on erectile function: A systematic overview. </w:t>
      </w:r>
      <w:r>
        <w:rPr>
          <w:rStyle w:val="Emphasis"/>
        </w:rPr>
        <w:t>Frontiers in Pharmacology, 12</w:t>
      </w:r>
      <w:r>
        <w:t xml:space="preserve">, 735708. </w:t>
      </w:r>
      <w:hyperlink r:id="rId68" w:history="1">
        <w:r>
          <w:rPr>
            <w:rStyle w:val="Hyperlink"/>
          </w:rPr>
          <w:t>https://doi.org/10.3389/fphar.2021.735708</w:t>
        </w:r>
      </w:hyperlink>
    </w:p>
    <w:p w14:paraId="29C742AE" w14:textId="77777777" w:rsidR="00714D18" w:rsidRDefault="006E5117">
      <w:pPr>
        <w:pStyle w:val="NormalWeb"/>
      </w:pPr>
      <w:proofErr w:type="spellStart"/>
      <w:r>
        <w:t>Rastrelli</w:t>
      </w:r>
      <w:proofErr w:type="spellEnd"/>
      <w:r>
        <w:t xml:space="preserve">, G., Antonio, L., Carrier, S., &amp; </w:t>
      </w:r>
      <w:proofErr w:type="spellStart"/>
      <w:r>
        <w:t>Isidori</w:t>
      </w:r>
      <w:proofErr w:type="spellEnd"/>
      <w:r>
        <w:t xml:space="preserve">, A. (2025). Hormonal regulation of men’s sexual function: ICSM 2024 recommendations. </w:t>
      </w:r>
      <w:r>
        <w:rPr>
          <w:rStyle w:val="Emphasis"/>
        </w:rPr>
        <w:t>Sexual Medicine Reviews, 13</w:t>
      </w:r>
      <w:r>
        <w:t xml:space="preserve">(2), 147–168. </w:t>
      </w:r>
      <w:hyperlink r:id="rId69" w:history="1">
        <w:r>
          <w:rPr>
            <w:rStyle w:val="Hyperlink"/>
          </w:rPr>
          <w:t>https://doi.org/10.1093/sxmrev/qeaf025</w:t>
        </w:r>
      </w:hyperlink>
    </w:p>
    <w:p w14:paraId="5C55D24B" w14:textId="77777777" w:rsidR="00714D18" w:rsidRDefault="006E5117">
      <w:pPr>
        <w:pStyle w:val="NormalWeb"/>
      </w:pPr>
      <w:proofErr w:type="spellStart"/>
      <w:r>
        <w:t>Sağır</w:t>
      </w:r>
      <w:proofErr w:type="spellEnd"/>
      <w:r>
        <w:t xml:space="preserve">, S., </w:t>
      </w:r>
      <w:proofErr w:type="spellStart"/>
      <w:r>
        <w:t>Ünsal</w:t>
      </w:r>
      <w:proofErr w:type="spellEnd"/>
      <w:r>
        <w:t xml:space="preserve">, V., </w:t>
      </w:r>
      <w:proofErr w:type="spellStart"/>
      <w:r>
        <w:t>Öner</w:t>
      </w:r>
      <w:proofErr w:type="spellEnd"/>
      <w:r>
        <w:t xml:space="preserve">, E., </w:t>
      </w:r>
      <w:proofErr w:type="spellStart"/>
      <w:r>
        <w:t>Yıldız</w:t>
      </w:r>
      <w:proofErr w:type="spellEnd"/>
      <w:r>
        <w:t xml:space="preserve">, R., &amp; </w:t>
      </w:r>
      <w:proofErr w:type="spellStart"/>
      <w:r>
        <w:t>Mert</w:t>
      </w:r>
      <w:proofErr w:type="spellEnd"/>
      <w:r>
        <w:t xml:space="preserve">, B. D. (2025). Comparison of PDE-5 inhibitors used in erectile dysfunction with some candidate molecules: A study involving molecular docking, ADMET, DFT, and biological target interactions. </w:t>
      </w:r>
      <w:r>
        <w:rPr>
          <w:rStyle w:val="Emphasis"/>
        </w:rPr>
        <w:t>BMC Urology, 25</w:t>
      </w:r>
      <w:r>
        <w:t xml:space="preserve">, Article 1727. </w:t>
      </w:r>
      <w:hyperlink r:id="rId70" w:history="1">
        <w:r>
          <w:rPr>
            <w:rStyle w:val="Hyperlink"/>
          </w:rPr>
          <w:t>https://doi.org/10.1186/s12894-025-01727-5</w:t>
        </w:r>
      </w:hyperlink>
    </w:p>
    <w:p w14:paraId="63717337" w14:textId="77777777" w:rsidR="00714D18" w:rsidRDefault="006E5117">
      <w:pPr>
        <w:pStyle w:val="NormalWeb"/>
      </w:pPr>
      <w:proofErr w:type="spellStart"/>
      <w:r>
        <w:t>Saikia</w:t>
      </w:r>
      <w:proofErr w:type="spellEnd"/>
      <w:r>
        <w:t xml:space="preserve">, Q., </w:t>
      </w:r>
      <w:proofErr w:type="spellStart"/>
      <w:r>
        <w:t>Adhikari</w:t>
      </w:r>
      <w:proofErr w:type="spellEnd"/>
      <w:r>
        <w:t xml:space="preserve">, K., Begum, T., &amp; Dutta, S. (2024). Erectile dysfunction: Basics and its management using plant products. </w:t>
      </w:r>
      <w:r>
        <w:rPr>
          <w:rStyle w:val="Emphasis"/>
        </w:rPr>
        <w:t>Egyptian Journal of Basic and Clinical Pharmacology, 14</w:t>
      </w:r>
      <w:r>
        <w:t xml:space="preserve">(1), 102–112. </w:t>
      </w:r>
      <w:hyperlink r:id="rId71" w:history="1">
        <w:r>
          <w:rPr>
            <w:rStyle w:val="Hyperlink"/>
          </w:rPr>
          <w:t>https://doi.org/10.1080/2314808X.2023.2300560</w:t>
        </w:r>
      </w:hyperlink>
    </w:p>
    <w:p w14:paraId="125DFB5F" w14:textId="77777777" w:rsidR="00714D18" w:rsidRDefault="006E5117">
      <w:pPr>
        <w:pStyle w:val="NormalWeb"/>
      </w:pPr>
      <w:proofErr w:type="spellStart"/>
      <w:r>
        <w:t>Salehiyeh</w:t>
      </w:r>
      <w:proofErr w:type="spellEnd"/>
      <w:r>
        <w:t xml:space="preserve">, S., </w:t>
      </w:r>
      <w:proofErr w:type="spellStart"/>
      <w:r>
        <w:t>Faiz</w:t>
      </w:r>
      <w:proofErr w:type="spellEnd"/>
      <w:r>
        <w:t xml:space="preserve">, A. F., &amp; </w:t>
      </w:r>
      <w:proofErr w:type="spellStart"/>
      <w:r>
        <w:t>Manzourolhojeh</w:t>
      </w:r>
      <w:proofErr w:type="spellEnd"/>
      <w:r>
        <w:t xml:space="preserve">, M. (2024). The functions of hydrogen sulfide on the urogenital system of both males and females: From inception to the present. </w:t>
      </w:r>
      <w:proofErr w:type="spellStart"/>
      <w:r>
        <w:rPr>
          <w:rStyle w:val="Emphasis"/>
        </w:rPr>
        <w:t>Naunyn</w:t>
      </w:r>
      <w:proofErr w:type="spellEnd"/>
      <w:r>
        <w:rPr>
          <w:rStyle w:val="Emphasis"/>
        </w:rPr>
        <w:t>–</w:t>
      </w:r>
      <w:proofErr w:type="spellStart"/>
      <w:r>
        <w:rPr>
          <w:rStyle w:val="Emphasis"/>
        </w:rPr>
        <w:t>Schmiedeberg's</w:t>
      </w:r>
      <w:proofErr w:type="spellEnd"/>
      <w:r>
        <w:rPr>
          <w:rStyle w:val="Emphasis"/>
        </w:rPr>
        <w:t xml:space="preserve"> Archives of Pharmacology</w:t>
      </w:r>
      <w:r>
        <w:t xml:space="preserve">. </w:t>
      </w:r>
      <w:hyperlink r:id="rId72" w:history="1">
        <w:r>
          <w:rPr>
            <w:rStyle w:val="Hyperlink"/>
          </w:rPr>
          <w:t>https://doi.org/10.1007/s00210-024-03086-8</w:t>
        </w:r>
      </w:hyperlink>
    </w:p>
    <w:p w14:paraId="3A811EB0" w14:textId="77777777" w:rsidR="00714D18" w:rsidRDefault="006E5117">
      <w:pPr>
        <w:pStyle w:val="NormalWeb"/>
      </w:pPr>
      <w:proofErr w:type="spellStart"/>
      <w:r>
        <w:t>Salvio</w:t>
      </w:r>
      <w:proofErr w:type="spellEnd"/>
      <w:r>
        <w:t xml:space="preserve">, G., Martino, M., </w:t>
      </w:r>
      <w:proofErr w:type="spellStart"/>
      <w:r>
        <w:t>Giancola</w:t>
      </w:r>
      <w:proofErr w:type="spellEnd"/>
      <w:r>
        <w:t xml:space="preserve">, G., &amp; </w:t>
      </w:r>
      <w:proofErr w:type="spellStart"/>
      <w:r>
        <w:t>Arnaldi</w:t>
      </w:r>
      <w:proofErr w:type="spellEnd"/>
      <w:r>
        <w:t xml:space="preserve">, G. (2021). Hypothalamic–pituitary diseases and erectile dysfunction. </w:t>
      </w:r>
      <w:r>
        <w:rPr>
          <w:rStyle w:val="Emphasis"/>
        </w:rPr>
        <w:t>Journal of Clinical Medicine</w:t>
      </w:r>
      <w:r>
        <w:t xml:space="preserve">, 10(12), 2551. </w:t>
      </w:r>
      <w:hyperlink r:id="rId73" w:history="1">
        <w:r>
          <w:rPr>
            <w:rStyle w:val="Hyperlink"/>
          </w:rPr>
          <w:t>https://www.mdpi.com/2077-0383/10/12/2551</w:t>
        </w:r>
      </w:hyperlink>
    </w:p>
    <w:p w14:paraId="0683221A" w14:textId="77777777" w:rsidR="00714D18" w:rsidRDefault="006E5117">
      <w:pPr>
        <w:pStyle w:val="NormalWeb"/>
      </w:pPr>
      <w:proofErr w:type="spellStart"/>
      <w:r>
        <w:t>Sangiorgi</w:t>
      </w:r>
      <w:proofErr w:type="spellEnd"/>
      <w:r>
        <w:t xml:space="preserve">, G., </w:t>
      </w:r>
      <w:proofErr w:type="spellStart"/>
      <w:r>
        <w:t>Cereda</w:t>
      </w:r>
      <w:proofErr w:type="spellEnd"/>
      <w:r>
        <w:t xml:space="preserve">, A., Benedetto, D., &amp; </w:t>
      </w:r>
      <w:proofErr w:type="spellStart"/>
      <w:r>
        <w:t>Bonanni</w:t>
      </w:r>
      <w:proofErr w:type="spellEnd"/>
      <w:r>
        <w:t xml:space="preserve">, M. (2021). Anatomy, pathophysiology, molecular mechanisms, and clinical management of erectile dysfunction in patients affected by coronary artery disease: A review. </w:t>
      </w:r>
      <w:r>
        <w:rPr>
          <w:rStyle w:val="Emphasis"/>
        </w:rPr>
        <w:t>Biomedicines, 9</w:t>
      </w:r>
      <w:r>
        <w:t xml:space="preserve">(4), 432. </w:t>
      </w:r>
      <w:hyperlink r:id="rId74" w:history="1">
        <w:r>
          <w:rPr>
            <w:rStyle w:val="Hyperlink"/>
          </w:rPr>
          <w:t>https://www.mdpi.com/2227-9059/9/4/432</w:t>
        </w:r>
      </w:hyperlink>
    </w:p>
    <w:p w14:paraId="6FC002F4" w14:textId="77777777" w:rsidR="00714D18" w:rsidRDefault="006E5117">
      <w:pPr>
        <w:pStyle w:val="NormalWeb"/>
      </w:pPr>
      <w:proofErr w:type="spellStart"/>
      <w:r>
        <w:t>Sarkodie</w:t>
      </w:r>
      <w:proofErr w:type="spellEnd"/>
      <w:r>
        <w:t xml:space="preserve">, J. A., </w:t>
      </w:r>
      <w:proofErr w:type="spellStart"/>
      <w:r>
        <w:t>Amponsah</w:t>
      </w:r>
      <w:proofErr w:type="spellEnd"/>
      <w:r>
        <w:t xml:space="preserve">, I. K., &amp; </w:t>
      </w:r>
      <w:proofErr w:type="spellStart"/>
      <w:r>
        <w:t>Yeboah</w:t>
      </w:r>
      <w:proofErr w:type="spellEnd"/>
      <w:r>
        <w:t xml:space="preserve">, F. O. (2024). Application of the Herbal Marker Ranking System (Herb Mars) for male vitality herbal remedies. </w:t>
      </w:r>
      <w:r>
        <w:rPr>
          <w:rStyle w:val="Emphasis"/>
        </w:rPr>
        <w:t>SSRN</w:t>
      </w:r>
      <w:r>
        <w:t xml:space="preserve">. </w:t>
      </w:r>
      <w:hyperlink r:id="rId75" w:history="1">
        <w:r>
          <w:rPr>
            <w:rStyle w:val="Hyperlink"/>
          </w:rPr>
          <w:t>https://papers.ssrn.com/sol3/papers.cfm?abstract_id=5270490</w:t>
        </w:r>
      </w:hyperlink>
    </w:p>
    <w:p w14:paraId="343E3DBB" w14:textId="77777777" w:rsidR="00714D18" w:rsidRDefault="006E5117">
      <w:pPr>
        <w:pStyle w:val="NormalWeb"/>
      </w:pPr>
      <w:r>
        <w:t xml:space="preserve">Stefan, M. G., Kiss, B., </w:t>
      </w:r>
      <w:proofErr w:type="spellStart"/>
      <w:r>
        <w:t>Gutleb</w:t>
      </w:r>
      <w:proofErr w:type="spellEnd"/>
      <w:r>
        <w:t xml:space="preserve">, A. C., &amp; </w:t>
      </w:r>
      <w:proofErr w:type="spellStart"/>
      <w:r>
        <w:t>Loghin</w:t>
      </w:r>
      <w:proofErr w:type="spellEnd"/>
      <w:r>
        <w:t xml:space="preserve">, F. (2020). Redox metabolism modulation as a mechanism in SSRI toxicity and pharmacological effects. </w:t>
      </w:r>
      <w:r>
        <w:rPr>
          <w:rStyle w:val="Emphasis"/>
        </w:rPr>
        <w:t>Archives of Toxicology, 94</w:t>
      </w:r>
      <w:r>
        <w:t xml:space="preserve">, 3145–3156. </w:t>
      </w:r>
      <w:hyperlink r:id="rId76" w:history="1">
        <w:r>
          <w:rPr>
            <w:rStyle w:val="Hyperlink"/>
          </w:rPr>
          <w:t>https://doi.org/10.1007/s00204-020-02721-6</w:t>
        </w:r>
      </w:hyperlink>
    </w:p>
    <w:p w14:paraId="52D308C6" w14:textId="77777777" w:rsidR="00714D18" w:rsidRDefault="006E5117">
      <w:pPr>
        <w:pStyle w:val="NormalWeb"/>
      </w:pPr>
      <w:r>
        <w:t xml:space="preserve">Sun, H., Zhao, Y., Liao, X., Ortega, F. B., &amp; Chen, Q. (2025). Effects and moderators of exercise training on erectile function: A systematic review and meta-analysis. </w:t>
      </w:r>
      <w:r>
        <w:rPr>
          <w:rStyle w:val="Emphasis"/>
        </w:rPr>
        <w:t>Research Square</w:t>
      </w:r>
      <w:r>
        <w:t xml:space="preserve">. </w:t>
      </w:r>
      <w:hyperlink r:id="rId77" w:history="1">
        <w:r>
          <w:rPr>
            <w:rStyle w:val="Hyperlink"/>
          </w:rPr>
          <w:t>https://www.researchsquare.com/article/rs-6075962/latest</w:t>
        </w:r>
      </w:hyperlink>
    </w:p>
    <w:p w14:paraId="0504659B" w14:textId="77777777" w:rsidR="00714D18" w:rsidRDefault="006E5117">
      <w:pPr>
        <w:pStyle w:val="NormalWeb"/>
      </w:pPr>
      <w:proofErr w:type="spellStart"/>
      <w:r>
        <w:t>Svennersten</w:t>
      </w:r>
      <w:proofErr w:type="spellEnd"/>
      <w:r>
        <w:t xml:space="preserve">, K., &amp; Reus, C. (2024). Etiology, surgical anatomy, and pathophysiology of male erectile dysfunction. </w:t>
      </w:r>
      <w:r>
        <w:rPr>
          <w:rStyle w:val="Emphasis"/>
        </w:rPr>
        <w:t>International Journal of Reconstructive Urology</w:t>
      </w:r>
      <w:r>
        <w:t xml:space="preserve">, 14(1), 1–12. </w:t>
      </w:r>
      <w:hyperlink r:id="rId78" w:history="1">
        <w:r>
          <w:rPr>
            <w:rStyle w:val="Hyperlink"/>
          </w:rPr>
          <w:t>https://journals.lww.com/ijoru/fulltext/2024/02010/etiology,_surgical_anatomy,_and_pathophysiology_of.2.aspx</w:t>
        </w:r>
      </w:hyperlink>
    </w:p>
    <w:p w14:paraId="14BA9E56" w14:textId="77777777" w:rsidR="00714D18" w:rsidRDefault="006E5117">
      <w:pPr>
        <w:jc w:val="both"/>
        <w:rPr>
          <w:rFonts w:ascii="Times New Roman" w:hAnsi="Times New Roman" w:cs="Times New Roman"/>
          <w:sz w:val="24"/>
          <w:szCs w:val="24"/>
        </w:rPr>
      </w:pPr>
      <w:proofErr w:type="spellStart"/>
      <w:r>
        <w:rPr>
          <w:rFonts w:ascii="Times New Roman" w:hAnsi="Times New Roman" w:cs="Times New Roman"/>
          <w:sz w:val="24"/>
          <w:szCs w:val="24"/>
        </w:rPr>
        <w:t>Taghipour</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Bahmanzadeh</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Rahimi</w:t>
      </w:r>
      <w:proofErr w:type="spellEnd"/>
      <w:r>
        <w:rPr>
          <w:rFonts w:ascii="Times New Roman" w:hAnsi="Times New Roman" w:cs="Times New Roman"/>
          <w:sz w:val="24"/>
          <w:szCs w:val="24"/>
        </w:rPr>
        <w:t xml:space="preserve">, R. (2023). The effects of clove and its constituents on reproductive system: A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hyperlink r:id="rId79" w:history="1">
        <w:r>
          <w:rPr>
            <w:rStyle w:val="Hyperlink"/>
            <w:rFonts w:ascii="Times New Roman" w:hAnsi="Times New Roman" w:cs="Times New Roman"/>
            <w:sz w:val="24"/>
            <w:szCs w:val="24"/>
          </w:rPr>
          <w:t>https://link.springer.com/article/10.1007/s43032-023-01223-x</w:t>
        </w:r>
      </w:hyperlink>
    </w:p>
    <w:p w14:paraId="56591777" w14:textId="77777777" w:rsidR="00714D18" w:rsidRDefault="006E5117">
      <w:pPr>
        <w:pStyle w:val="NormalWeb"/>
      </w:pPr>
      <w:r>
        <w:t xml:space="preserve">Tang, X., </w:t>
      </w:r>
      <w:proofErr w:type="spellStart"/>
      <w:r>
        <w:t>Olatunji</w:t>
      </w:r>
      <w:proofErr w:type="spellEnd"/>
      <w:r>
        <w:t xml:space="preserve">, O. J., Zhou, Y., &amp; </w:t>
      </w:r>
      <w:proofErr w:type="spellStart"/>
      <w:r>
        <w:t>Hou</w:t>
      </w:r>
      <w:proofErr w:type="spellEnd"/>
      <w:r>
        <w:t xml:space="preserve">, X. (2017). In vitro and in vivo aphrodisiac properties of the seed extract from </w:t>
      </w:r>
      <w:r>
        <w:rPr>
          <w:rStyle w:val="Emphasis"/>
        </w:rPr>
        <w:t xml:space="preserve">Allium </w:t>
      </w:r>
      <w:proofErr w:type="spellStart"/>
      <w:r>
        <w:rPr>
          <w:rStyle w:val="Emphasis"/>
        </w:rPr>
        <w:t>tuberosum</w:t>
      </w:r>
      <w:proofErr w:type="spellEnd"/>
      <w:r>
        <w:t xml:space="preserve"> on corpus </w:t>
      </w:r>
      <w:proofErr w:type="spellStart"/>
      <w:r>
        <w:t>cavernosum</w:t>
      </w:r>
      <w:proofErr w:type="spellEnd"/>
      <w:r>
        <w:t xml:space="preserve"> smooth muscle relaxation and sexual behavior parameters in male rats. </w:t>
      </w:r>
      <w:r>
        <w:rPr>
          <w:rStyle w:val="Emphasis"/>
        </w:rPr>
        <w:t>BMC Complementary and Alternative Medicine, 17</w:t>
      </w:r>
      <w:r>
        <w:t xml:space="preserve">(1), 538. </w:t>
      </w:r>
      <w:hyperlink r:id="rId80" w:history="1">
        <w:r>
          <w:rPr>
            <w:rStyle w:val="Hyperlink"/>
          </w:rPr>
          <w:t>https://doi.org/10.1186/s12906-017-2008-5</w:t>
        </w:r>
      </w:hyperlink>
    </w:p>
    <w:p w14:paraId="32E62259" w14:textId="77777777" w:rsidR="00714D18" w:rsidRDefault="006E5117">
      <w:pPr>
        <w:pStyle w:val="NormalWeb"/>
      </w:pPr>
      <w:proofErr w:type="spellStart"/>
      <w:r>
        <w:t>Tarcan</w:t>
      </w:r>
      <w:proofErr w:type="spellEnd"/>
      <w:r>
        <w:t xml:space="preserve">, T., Choi, H. P., &amp; </w:t>
      </w:r>
      <w:proofErr w:type="spellStart"/>
      <w:r>
        <w:t>Azadzoi</w:t>
      </w:r>
      <w:proofErr w:type="spellEnd"/>
      <w:r>
        <w:t xml:space="preserve">, K. M. (2022). Molecular regulation of concomitant lower urinary tract symptoms and erectile dysfunction in pelvic ischemia. </w:t>
      </w:r>
      <w:r>
        <w:rPr>
          <w:rStyle w:val="Emphasis"/>
        </w:rPr>
        <w:t>International Journal of Molecular Sciences, 23</w:t>
      </w:r>
      <w:r>
        <w:t xml:space="preserve">(24), 15988. </w:t>
      </w:r>
      <w:hyperlink r:id="rId81" w:history="1">
        <w:r>
          <w:rPr>
            <w:rStyle w:val="Hyperlink"/>
          </w:rPr>
          <w:t>https://www.mdpi.com/1422-0067/23/24/15988</w:t>
        </w:r>
      </w:hyperlink>
    </w:p>
    <w:p w14:paraId="41C07C4F" w14:textId="77777777" w:rsidR="00714D18" w:rsidRDefault="006E5117">
      <w:pPr>
        <w:pStyle w:val="NormalWeb"/>
      </w:pPr>
      <w:r>
        <w:t xml:space="preserve">Tian, Y., Zhou, Q., Li, W., Liu, M., &amp; Chen, Q. (2023). Efficacy of L-arginine and </w:t>
      </w:r>
      <w:proofErr w:type="spellStart"/>
      <w:r>
        <w:t>Pycnogenol</w:t>
      </w:r>
      <w:proofErr w:type="spellEnd"/>
      <w:r>
        <w:t xml:space="preserve">® in the treatment of male erectile dysfunction: A systematic review and meta-analysis. </w:t>
      </w:r>
      <w:r>
        <w:rPr>
          <w:rStyle w:val="Emphasis"/>
        </w:rPr>
        <w:t>Frontiers in Endocrinology, 14</w:t>
      </w:r>
      <w:r>
        <w:t xml:space="preserve">, Article 1211720. </w:t>
      </w:r>
      <w:hyperlink r:id="rId82" w:history="1">
        <w:r>
          <w:rPr>
            <w:rStyle w:val="Hyperlink"/>
          </w:rPr>
          <w:t>https://www.frontiersin.org/articles/10.3389/fendo.2023.1211720/full</w:t>
        </w:r>
      </w:hyperlink>
    </w:p>
    <w:p w14:paraId="106DC396" w14:textId="77777777" w:rsidR="00714D18" w:rsidRDefault="006E5117">
      <w:pPr>
        <w:pStyle w:val="NormalWeb"/>
      </w:pPr>
      <w:proofErr w:type="spellStart"/>
      <w:r>
        <w:t>Tuldjanah</w:t>
      </w:r>
      <w:proofErr w:type="spellEnd"/>
      <w:r>
        <w:t xml:space="preserve">, M., </w:t>
      </w:r>
      <w:proofErr w:type="spellStart"/>
      <w:r>
        <w:t>Yanuarty</w:t>
      </w:r>
      <w:proofErr w:type="spellEnd"/>
      <w:r>
        <w:t xml:space="preserve">, R., &amp; </w:t>
      </w:r>
      <w:proofErr w:type="spellStart"/>
      <w:r>
        <w:t>Sasdila</w:t>
      </w:r>
      <w:proofErr w:type="spellEnd"/>
      <w:r>
        <w:t xml:space="preserve">, S. (2024). Aphrodisiac activity of clove leaves ethanol extract and fractions in </w:t>
      </w:r>
      <w:proofErr w:type="spellStart"/>
      <w:r>
        <w:t>Wistar</w:t>
      </w:r>
      <w:proofErr w:type="spellEnd"/>
      <w:r>
        <w:t xml:space="preserve"> rats. </w:t>
      </w:r>
      <w:r>
        <w:rPr>
          <w:rStyle w:val="Emphasis"/>
        </w:rPr>
        <w:t xml:space="preserve">Sciences of </w:t>
      </w:r>
      <w:proofErr w:type="spellStart"/>
      <w:r>
        <w:rPr>
          <w:rStyle w:val="Emphasis"/>
        </w:rPr>
        <w:t>Phytochemistry</w:t>
      </w:r>
      <w:proofErr w:type="spellEnd"/>
      <w:r>
        <w:t xml:space="preserve">. </w:t>
      </w:r>
      <w:hyperlink r:id="rId83" w:history="1">
        <w:r>
          <w:rPr>
            <w:rStyle w:val="Hyperlink"/>
          </w:rPr>
          <w:t>https://etflin.com/article/183</w:t>
        </w:r>
      </w:hyperlink>
    </w:p>
    <w:p w14:paraId="5DF4FFA6" w14:textId="77777777" w:rsidR="00714D18" w:rsidRDefault="006E5117">
      <w:pPr>
        <w:pStyle w:val="NormalWeb"/>
      </w:pPr>
      <w:proofErr w:type="spellStart"/>
      <w:r>
        <w:t>Vardi</w:t>
      </w:r>
      <w:proofErr w:type="spellEnd"/>
      <w:r>
        <w:t xml:space="preserve">, Y., Appel, B., &amp; </w:t>
      </w:r>
      <w:proofErr w:type="spellStart"/>
      <w:r>
        <w:t>Gruenwald</w:t>
      </w:r>
      <w:proofErr w:type="spellEnd"/>
      <w:r>
        <w:t xml:space="preserve">, I. (2022). The effect of lifestyle changes on erectile function in obese men. </w:t>
      </w:r>
      <w:r>
        <w:rPr>
          <w:rStyle w:val="Emphasis"/>
        </w:rPr>
        <w:t>Andrology, 10</w:t>
      </w:r>
      <w:r>
        <w:t xml:space="preserve">(1), 34–42. </w:t>
      </w:r>
      <w:hyperlink r:id="rId84" w:history="1">
        <w:r>
          <w:rPr>
            <w:rStyle w:val="Hyperlink"/>
          </w:rPr>
          <w:t>https://doi.org/10.1111/andr.13028</w:t>
        </w:r>
      </w:hyperlink>
    </w:p>
    <w:p w14:paraId="1B0058F3" w14:textId="77777777" w:rsidR="00714D18" w:rsidRDefault="006E5117">
      <w:pPr>
        <w:pStyle w:val="NormalWeb"/>
      </w:pPr>
      <w:r>
        <w:t xml:space="preserve">Wang, H., &amp; Chung, E. (2025). Revisiting experimental models of erectile dysfunction and their value in drug discovery and development. </w:t>
      </w:r>
      <w:r>
        <w:rPr>
          <w:rStyle w:val="Emphasis"/>
        </w:rPr>
        <w:t>Expert Opinion on Drug Discovery, 20</w:t>
      </w:r>
      <w:r>
        <w:t xml:space="preserve">(2), 103–114. </w:t>
      </w:r>
      <w:hyperlink r:id="rId85" w:history="1">
        <w:r>
          <w:rPr>
            <w:rStyle w:val="Hyperlink"/>
          </w:rPr>
          <w:t>https://doi.org/10.1080/17460441.2025.2482065</w:t>
        </w:r>
      </w:hyperlink>
    </w:p>
    <w:p w14:paraId="77612D5A" w14:textId="77777777" w:rsidR="00714D18" w:rsidRDefault="006E5117">
      <w:pPr>
        <w:pStyle w:val="NormalWeb"/>
      </w:pPr>
      <w:r>
        <w:t xml:space="preserve">Wang, H., Chang, H., Sun, D., Wang, A., &amp; Yan, B. (2025). Therapeutic challenges of diabetes mellitus-related erectile dysfunction and the potential role of medicinal plants. </w:t>
      </w:r>
      <w:r>
        <w:rPr>
          <w:rStyle w:val="Emphasis"/>
        </w:rPr>
        <w:t>Drug Design, Development and Therapy, 19</w:t>
      </w:r>
      <w:r>
        <w:t xml:space="preserve">, 233–248. </w:t>
      </w:r>
      <w:hyperlink r:id="rId86" w:history="1">
        <w:r>
          <w:rPr>
            <w:rStyle w:val="Hyperlink"/>
          </w:rPr>
          <w:t>https://doi.org/10.2147/DDDT.S515403</w:t>
        </w:r>
      </w:hyperlink>
    </w:p>
    <w:p w14:paraId="6615D60C" w14:textId="77777777" w:rsidR="00714D18" w:rsidRDefault="006E5117">
      <w:pPr>
        <w:pStyle w:val="NormalWeb"/>
      </w:pPr>
      <w:r>
        <w:t xml:space="preserve">Woo, M. A., Martino, M., </w:t>
      </w:r>
      <w:proofErr w:type="spellStart"/>
      <w:r>
        <w:t>Arnaldi</w:t>
      </w:r>
      <w:proofErr w:type="spellEnd"/>
      <w:r>
        <w:t xml:space="preserve">, G., &amp; </w:t>
      </w:r>
      <w:proofErr w:type="spellStart"/>
      <w:r>
        <w:t>Salvio</w:t>
      </w:r>
      <w:proofErr w:type="spellEnd"/>
      <w:r>
        <w:t xml:space="preserve">, G. (2021). Endocrinology of male sexual dysfunction. </w:t>
      </w:r>
      <w:r>
        <w:rPr>
          <w:rStyle w:val="Emphasis"/>
        </w:rPr>
        <w:t>Journal of Clinical Endocrinology</w:t>
      </w:r>
      <w:r>
        <w:t xml:space="preserve">, 105(3), 458–467. </w:t>
      </w:r>
      <w:hyperlink r:id="rId87" w:history="1">
        <w:r>
          <w:rPr>
            <w:rStyle w:val="Hyperlink"/>
          </w:rPr>
          <w:t>https://doi.org/10.1210/jc.2020-04588</w:t>
        </w:r>
      </w:hyperlink>
    </w:p>
    <w:p w14:paraId="6EC16A0A" w14:textId="77777777" w:rsidR="00714D18" w:rsidRDefault="006E5117">
      <w:pPr>
        <w:pStyle w:val="NormalWeb"/>
      </w:pPr>
      <w:proofErr w:type="spellStart"/>
      <w:r>
        <w:t>Xie</w:t>
      </w:r>
      <w:proofErr w:type="spellEnd"/>
      <w:r>
        <w:t xml:space="preserve">, Z., Zhang, X., </w:t>
      </w:r>
      <w:proofErr w:type="spellStart"/>
      <w:r>
        <w:t>Jia</w:t>
      </w:r>
      <w:proofErr w:type="spellEnd"/>
      <w:r>
        <w:t xml:space="preserve">, H., &amp; Zhang, Y. (2025). Efficacy of Chinese herbal medicine in the treatment of anxiety and depression in male sexual dysfunction: A systematic review and meta-analysis protocol. </w:t>
      </w:r>
      <w:r>
        <w:rPr>
          <w:rStyle w:val="Emphasis"/>
        </w:rPr>
        <w:t>Frontiers in Psychiatry</w:t>
      </w:r>
      <w:r>
        <w:t xml:space="preserve">, 16, 1584306. </w:t>
      </w:r>
      <w:hyperlink r:id="rId88" w:history="1">
        <w:r>
          <w:rPr>
            <w:rStyle w:val="Hyperlink"/>
          </w:rPr>
          <w:t>https://www.frontiersin.org/articles/10.3389/fpsyt.2025.1584306/full</w:t>
        </w:r>
      </w:hyperlink>
    </w:p>
    <w:p w14:paraId="0D0E001D" w14:textId="77777777" w:rsidR="00714D18" w:rsidRDefault="006E5117">
      <w:pPr>
        <w:pStyle w:val="NormalWeb"/>
      </w:pPr>
      <w:proofErr w:type="spellStart"/>
      <w:r>
        <w:t>Yakubu</w:t>
      </w:r>
      <w:proofErr w:type="spellEnd"/>
      <w:r>
        <w:t xml:space="preserve">, M. T., &amp; </w:t>
      </w:r>
      <w:proofErr w:type="spellStart"/>
      <w:r>
        <w:t>Jimoh</w:t>
      </w:r>
      <w:proofErr w:type="spellEnd"/>
      <w:r>
        <w:t xml:space="preserve">, R. O. (2019). </w:t>
      </w:r>
      <w:proofErr w:type="spellStart"/>
      <w:r>
        <w:rPr>
          <w:rStyle w:val="Emphasis"/>
        </w:rPr>
        <w:t>Carpolobia</w:t>
      </w:r>
      <w:proofErr w:type="spellEnd"/>
      <w:r>
        <w:rPr>
          <w:rStyle w:val="Emphasis"/>
        </w:rPr>
        <w:t xml:space="preserve"> </w:t>
      </w:r>
      <w:proofErr w:type="spellStart"/>
      <w:r>
        <w:rPr>
          <w:rStyle w:val="Emphasis"/>
        </w:rPr>
        <w:t>lutea</w:t>
      </w:r>
      <w:proofErr w:type="spellEnd"/>
      <w:r>
        <w:t xml:space="preserve"> roots restore sexual arousal and performance in paroxetine-induced sexually impaired male rats. </w:t>
      </w:r>
      <w:proofErr w:type="spellStart"/>
      <w:r>
        <w:rPr>
          <w:rStyle w:val="Emphasis"/>
        </w:rPr>
        <w:t>Revista</w:t>
      </w:r>
      <w:proofErr w:type="spellEnd"/>
      <w:r>
        <w:rPr>
          <w:rStyle w:val="Emphasis"/>
        </w:rPr>
        <w:t xml:space="preserve"> </w:t>
      </w:r>
      <w:proofErr w:type="spellStart"/>
      <w:r>
        <w:rPr>
          <w:rStyle w:val="Emphasis"/>
        </w:rPr>
        <w:t>Internacional</w:t>
      </w:r>
      <w:proofErr w:type="spellEnd"/>
      <w:r>
        <w:rPr>
          <w:rStyle w:val="Emphasis"/>
        </w:rPr>
        <w:t xml:space="preserve"> de </w:t>
      </w:r>
      <w:proofErr w:type="spellStart"/>
      <w:r>
        <w:rPr>
          <w:rStyle w:val="Emphasis"/>
        </w:rPr>
        <w:t>Andrología</w:t>
      </w:r>
      <w:proofErr w:type="spellEnd"/>
      <w:r>
        <w:t xml:space="preserve">, 17(1), 10–18. </w:t>
      </w:r>
      <w:hyperlink r:id="rId89" w:history="1">
        <w:r>
          <w:rPr>
            <w:rStyle w:val="Hyperlink"/>
          </w:rPr>
          <w:t>https://dialnet.unirioja.es/servlet/articulo?codigo=4762193</w:t>
        </w:r>
      </w:hyperlink>
    </w:p>
    <w:p w14:paraId="6D272363" w14:textId="77777777" w:rsidR="00714D18" w:rsidRDefault="006E5117">
      <w:pPr>
        <w:pStyle w:val="NormalWeb"/>
      </w:pPr>
      <w:proofErr w:type="spellStart"/>
      <w:r>
        <w:t>Yanuarty</w:t>
      </w:r>
      <w:proofErr w:type="spellEnd"/>
      <w:r>
        <w:t xml:space="preserve">, R., </w:t>
      </w:r>
      <w:proofErr w:type="spellStart"/>
      <w:r>
        <w:t>Tuldjanah</w:t>
      </w:r>
      <w:proofErr w:type="spellEnd"/>
      <w:r>
        <w:t xml:space="preserve">, M., &amp; </w:t>
      </w:r>
      <w:proofErr w:type="spellStart"/>
      <w:r>
        <w:t>Wulandari</w:t>
      </w:r>
      <w:proofErr w:type="spellEnd"/>
      <w:r>
        <w:t xml:space="preserve">, A. (2024). Determination of secondary metabolite levels in clove leaves using LC-HRMS methods. </w:t>
      </w:r>
      <w:proofErr w:type="spellStart"/>
      <w:r>
        <w:rPr>
          <w:rStyle w:val="Emphasis"/>
        </w:rPr>
        <w:t>Jurnal</w:t>
      </w:r>
      <w:proofErr w:type="spellEnd"/>
      <w:r>
        <w:rPr>
          <w:rStyle w:val="Emphasis"/>
        </w:rPr>
        <w:t xml:space="preserve"> </w:t>
      </w:r>
      <w:proofErr w:type="spellStart"/>
      <w:r>
        <w:rPr>
          <w:rStyle w:val="Emphasis"/>
        </w:rPr>
        <w:t>Biologi</w:t>
      </w:r>
      <w:proofErr w:type="spellEnd"/>
      <w:r>
        <w:rPr>
          <w:rStyle w:val="Emphasis"/>
        </w:rPr>
        <w:t xml:space="preserve"> </w:t>
      </w:r>
      <w:proofErr w:type="spellStart"/>
      <w:r>
        <w:rPr>
          <w:rStyle w:val="Emphasis"/>
        </w:rPr>
        <w:t>Tropis</w:t>
      </w:r>
      <w:proofErr w:type="spellEnd"/>
      <w:r>
        <w:t xml:space="preserve">, 24(1). </w:t>
      </w:r>
      <w:hyperlink r:id="rId90" w:history="1">
        <w:r>
          <w:rPr>
            <w:rStyle w:val="Hyperlink"/>
          </w:rPr>
          <w:t>https://jurnalfkip.unram.ac.id/index.php/JBT/article/view/7975</w:t>
        </w:r>
      </w:hyperlink>
    </w:p>
    <w:p w14:paraId="1185786A" w14:textId="77777777" w:rsidR="00714D18" w:rsidRDefault="006E5117">
      <w:pPr>
        <w:jc w:val="both"/>
        <w:rPr>
          <w:rFonts w:ascii="Times New Roman" w:hAnsi="Times New Roman" w:cs="Times New Roman"/>
          <w:sz w:val="24"/>
          <w:szCs w:val="24"/>
        </w:rPr>
      </w:pPr>
      <w:r>
        <w:rPr>
          <w:rFonts w:ascii="Times New Roman" w:hAnsi="Times New Roman" w:cs="Times New Roman"/>
          <w:sz w:val="24"/>
          <w:szCs w:val="24"/>
        </w:rPr>
        <w:t xml:space="preserve">Yilmaz-Oral, D., </w:t>
      </w:r>
      <w:proofErr w:type="spellStart"/>
      <w:r>
        <w:rPr>
          <w:rFonts w:ascii="Times New Roman" w:hAnsi="Times New Roman" w:cs="Times New Roman"/>
          <w:sz w:val="24"/>
          <w:szCs w:val="24"/>
        </w:rPr>
        <w:t>Onder</w:t>
      </w:r>
      <w:proofErr w:type="spellEnd"/>
      <w:r>
        <w:rPr>
          <w:rFonts w:ascii="Times New Roman" w:hAnsi="Times New Roman" w:cs="Times New Roman"/>
          <w:sz w:val="24"/>
          <w:szCs w:val="24"/>
        </w:rPr>
        <w:t xml:space="preserve">, A., &amp; Gur, S. (2020). The beneficial effect of clove essential oil and its major component, </w:t>
      </w:r>
      <w:proofErr w:type="spellStart"/>
      <w:r>
        <w:rPr>
          <w:rFonts w:ascii="Times New Roman" w:hAnsi="Times New Roman" w:cs="Times New Roman"/>
          <w:sz w:val="24"/>
          <w:szCs w:val="24"/>
        </w:rPr>
        <w:t>eugenol</w:t>
      </w:r>
      <w:proofErr w:type="spellEnd"/>
      <w:r>
        <w:rPr>
          <w:rFonts w:ascii="Times New Roman" w:hAnsi="Times New Roman" w:cs="Times New Roman"/>
          <w:sz w:val="24"/>
          <w:szCs w:val="24"/>
        </w:rPr>
        <w:t xml:space="preserve">, on erectile function in diabetic rats. </w:t>
      </w:r>
      <w:proofErr w:type="spellStart"/>
      <w:r>
        <w:rPr>
          <w:rFonts w:ascii="Times New Roman" w:hAnsi="Times New Roman" w:cs="Times New Roman"/>
          <w:i/>
          <w:iCs/>
          <w:sz w:val="24"/>
          <w:szCs w:val="24"/>
        </w:rPr>
        <w:t>Andrologia</w:t>
      </w:r>
      <w:proofErr w:type="spellEnd"/>
      <w:r>
        <w:rPr>
          <w:rFonts w:ascii="Times New Roman" w:hAnsi="Times New Roman" w:cs="Times New Roman"/>
          <w:sz w:val="24"/>
          <w:szCs w:val="24"/>
        </w:rPr>
        <w:t xml:space="preserve">, 52(2), e13606. </w:t>
      </w:r>
      <w:hyperlink r:id="rId91" w:history="1">
        <w:r>
          <w:rPr>
            <w:rStyle w:val="Hyperlink"/>
            <w:rFonts w:ascii="Times New Roman" w:hAnsi="Times New Roman" w:cs="Times New Roman"/>
            <w:sz w:val="24"/>
            <w:szCs w:val="24"/>
          </w:rPr>
          <w:t>https://onlinelibrary.wiley.com/doi/abs/10.1111/and.13606</w:t>
        </w:r>
      </w:hyperlink>
    </w:p>
    <w:p w14:paraId="4869401E" w14:textId="77777777" w:rsidR="00714D18" w:rsidRDefault="006E5117">
      <w:pPr>
        <w:jc w:val="both"/>
        <w:rPr>
          <w:rFonts w:ascii="Times New Roman" w:hAnsi="Times New Roman" w:cs="Times New Roman"/>
          <w:sz w:val="24"/>
          <w:szCs w:val="24"/>
        </w:rPr>
      </w:pPr>
      <w:r>
        <w:rPr>
          <w:rFonts w:ascii="Times New Roman" w:hAnsi="Times New Roman" w:cs="Times New Roman"/>
          <w:sz w:val="24"/>
          <w:szCs w:val="24"/>
        </w:rPr>
        <w:t xml:space="preserve">Yuan, S., Liang, W., &amp; Luo, H. (2022). SSRI-induced lipid dysregulation: a meta-analysis. </w:t>
      </w:r>
      <w:r>
        <w:rPr>
          <w:rFonts w:ascii="Times New Roman" w:hAnsi="Times New Roman" w:cs="Times New Roman"/>
          <w:i/>
          <w:iCs/>
          <w:sz w:val="24"/>
          <w:szCs w:val="24"/>
        </w:rPr>
        <w:t>Journal of Clinical Psychiatry</w:t>
      </w:r>
      <w:r>
        <w:rPr>
          <w:rFonts w:ascii="Times New Roman" w:hAnsi="Times New Roman" w:cs="Times New Roman"/>
          <w:sz w:val="24"/>
          <w:szCs w:val="24"/>
        </w:rPr>
        <w:t xml:space="preserve">, 83(5), 22r14689. </w:t>
      </w:r>
      <w:hyperlink r:id="rId92" w:history="1">
        <w:r>
          <w:rPr>
            <w:rStyle w:val="Hyperlink"/>
            <w:rFonts w:ascii="Times New Roman" w:hAnsi="Times New Roman" w:cs="Times New Roman"/>
            <w:sz w:val="24"/>
            <w:szCs w:val="24"/>
          </w:rPr>
          <w:t>https://doi.org/10.4088/JCP.22r14689</w:t>
        </w:r>
      </w:hyperlink>
    </w:p>
    <w:p w14:paraId="08CD8EED" w14:textId="77777777" w:rsidR="00714D18" w:rsidRDefault="006E5117">
      <w:pPr>
        <w:pStyle w:val="NormalWeb"/>
      </w:pPr>
      <w:proofErr w:type="spellStart"/>
      <w:r>
        <w:t>Zachariou</w:t>
      </w:r>
      <w:proofErr w:type="spellEnd"/>
      <w:r>
        <w:t xml:space="preserve">, A., </w:t>
      </w:r>
      <w:proofErr w:type="spellStart"/>
      <w:r>
        <w:t>Sofikitis</w:t>
      </w:r>
      <w:proofErr w:type="spellEnd"/>
      <w:r>
        <w:t xml:space="preserve">, N., </w:t>
      </w:r>
      <w:proofErr w:type="spellStart"/>
      <w:r>
        <w:t>Dimitriadis</w:t>
      </w:r>
      <w:proofErr w:type="spellEnd"/>
      <w:r>
        <w:t xml:space="preserve">, F., &amp; </w:t>
      </w:r>
      <w:proofErr w:type="spellStart"/>
      <w:r>
        <w:t>Kaltsas</w:t>
      </w:r>
      <w:proofErr w:type="spellEnd"/>
      <w:r>
        <w:t xml:space="preserve">, A. (2025). Future perspectives for PDE5 inhibitors bridging the gap between cardiovascular health and psychological status. </w:t>
      </w:r>
      <w:r>
        <w:rPr>
          <w:rStyle w:val="Emphasis"/>
        </w:rPr>
        <w:t>Basic and Clinical Andrology, 35</w:t>
      </w:r>
      <w:r>
        <w:t xml:space="preserve">(1), 23. </w:t>
      </w:r>
      <w:hyperlink r:id="rId93" w:history="1">
        <w:r>
          <w:rPr>
            <w:rStyle w:val="Hyperlink"/>
          </w:rPr>
          <w:t>https://link.springer.com/article/10.1186/s12610-024-00245-y</w:t>
        </w:r>
      </w:hyperlink>
    </w:p>
    <w:p w14:paraId="50F0CD46" w14:textId="77777777" w:rsidR="00714D18" w:rsidRDefault="006E5117">
      <w:pPr>
        <w:pStyle w:val="NormalWeb"/>
      </w:pPr>
      <w:r>
        <w:t xml:space="preserve">Zhu, D., Pham, Q. M., Wang, C., </w:t>
      </w:r>
      <w:proofErr w:type="spellStart"/>
      <w:r>
        <w:t>Colonnello</w:t>
      </w:r>
      <w:proofErr w:type="spellEnd"/>
      <w:r>
        <w:t xml:space="preserve">, E., &amp; </w:t>
      </w:r>
      <w:proofErr w:type="spellStart"/>
      <w:r>
        <w:t>Facio</w:t>
      </w:r>
      <w:proofErr w:type="spellEnd"/>
      <w:r>
        <w:t xml:space="preserve">, F. (2025). Erectile dysfunction and oxidative stress: A narrative review. </w:t>
      </w:r>
      <w:r>
        <w:rPr>
          <w:rStyle w:val="Emphasis"/>
        </w:rPr>
        <w:t>International Journal of Molecular Sciences</w:t>
      </w:r>
      <w:r>
        <w:t xml:space="preserve">, 26(7), 3073. </w:t>
      </w:r>
      <w:hyperlink r:id="rId94" w:history="1">
        <w:r>
          <w:rPr>
            <w:rStyle w:val="Hyperlink"/>
          </w:rPr>
          <w:t>https://www.mdpi.com/1422-0067/26/7/3073</w:t>
        </w:r>
      </w:hyperlink>
    </w:p>
    <w:p w14:paraId="40FFD297" w14:textId="77777777" w:rsidR="00714D18" w:rsidRDefault="006E5117">
      <w:pPr>
        <w:pStyle w:val="NormalWeb"/>
      </w:pPr>
      <w:proofErr w:type="spellStart"/>
      <w:r>
        <w:t>Ziapour</w:t>
      </w:r>
      <w:proofErr w:type="spellEnd"/>
      <w:r>
        <w:t xml:space="preserve">, A., </w:t>
      </w:r>
      <w:proofErr w:type="spellStart"/>
      <w:r>
        <w:t>Kazeminia</w:t>
      </w:r>
      <w:proofErr w:type="spellEnd"/>
      <w:r>
        <w:t xml:space="preserve">, M., &amp; </w:t>
      </w:r>
      <w:proofErr w:type="spellStart"/>
      <w:r>
        <w:t>Bakhshi</w:t>
      </w:r>
      <w:proofErr w:type="spellEnd"/>
      <w:r>
        <w:t xml:space="preserve">, S. (2024). Global prevalence of sexual dysfunction in cardiovascular patients: A systematic review and meta-analysis. </w:t>
      </w:r>
      <w:r>
        <w:rPr>
          <w:rStyle w:val="Emphasis"/>
        </w:rPr>
        <w:t>Systematic Reviews</w:t>
      </w:r>
      <w:r>
        <w:t xml:space="preserve">, 13(1), 32–45. </w:t>
      </w:r>
      <w:hyperlink r:id="rId95" w:history="1">
        <w:r>
          <w:rPr>
            <w:rStyle w:val="Hyperlink"/>
          </w:rPr>
          <w:t>https://link.springer.com/article/10.1186/s13643-024-02525-0</w:t>
        </w:r>
      </w:hyperlink>
    </w:p>
    <w:p w14:paraId="313ED4BB" w14:textId="77777777" w:rsidR="00714D18" w:rsidRDefault="00714D18">
      <w:pPr>
        <w:rPr>
          <w:rFonts w:ascii="Times New Roman" w:hAnsi="Times New Roman" w:cs="Times New Roman"/>
          <w:sz w:val="24"/>
          <w:szCs w:val="24"/>
        </w:rPr>
      </w:pPr>
    </w:p>
    <w:sectPr w:rsidR="00714D18">
      <w:footerReference w:type="default" r:id="rId96"/>
      <w:pgSz w:w="11906" w:h="16838"/>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04127" w14:textId="77777777" w:rsidR="00F74497" w:rsidRDefault="00F74497">
      <w:r>
        <w:separator/>
      </w:r>
    </w:p>
  </w:endnote>
  <w:endnote w:type="continuationSeparator" w:id="0">
    <w:p w14:paraId="50A019E0" w14:textId="77777777" w:rsidR="00F74497" w:rsidRDefault="00F7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ebkit-standard">
    <w:altName w:val="Calibri"/>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472D" w14:textId="77777777" w:rsidR="00714D18" w:rsidRDefault="006E5117">
    <w:pPr>
      <w:pStyle w:val="Footer"/>
    </w:pPr>
    <w:r>
      <w:rPr>
        <w:noProof/>
      </w:rPr>
      <mc:AlternateContent>
        <mc:Choice Requires="wps">
          <w:drawing>
            <wp:anchor distT="0" distB="0" distL="114300" distR="114300" simplePos="0" relativeHeight="251659264" behindDoc="0" locked="0" layoutInCell="1" allowOverlap="1" wp14:anchorId="17B12FA1" wp14:editId="037CE88B">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38893" w14:textId="77777777" w:rsidR="00714D18" w:rsidRDefault="006E5117">
                          <w:pPr>
                            <w:pStyle w:val="Footer"/>
                            <w:rPr>
                              <w:rFonts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E7A292"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" filled="f" stroked="f" strokeweight=".5pt">
              <v:textbox style="mso-fit-shape-to-text:t" inset="0,0,0,0">
                <w:txbxContent>
                  <w:p w14:paraId="2B88CFF7" w14:textId="77777777" w:rsidR="00714D18" w:rsidRDefault="006E5117">
                    <w:pPr>
                      <w:pStyle w:val="Footer"/>
                      <w:rPr>
                        <w:rFonts w:ascii="Times New Roman" w:hAnsi="Times New Roman" w:cs="Times New Roman"/>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C423" w14:textId="77777777" w:rsidR="00714D18" w:rsidRDefault="006E5117">
    <w:pPr>
      <w:pStyle w:val="Footer"/>
    </w:pPr>
    <w:r>
      <w:rPr>
        <w:noProof/>
      </w:rPr>
      <mc:AlternateContent>
        <mc:Choice Requires="wps">
          <w:drawing>
            <wp:anchor distT="0" distB="0" distL="114300" distR="114300" simplePos="0" relativeHeight="251660288" behindDoc="0" locked="0" layoutInCell="1" allowOverlap="1" wp14:anchorId="69F1C0AF" wp14:editId="7A79EF82">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AD854" w14:textId="77777777" w:rsidR="00714D18" w:rsidRDefault="00714D18">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5FA145" id="_x0000_t202" coordsize="21600,21600" o:spt="202" path="m,l,21600r21600,l21600,xe">
              <v:stroke joinstyle="miter"/>
              <v:path gradientshapeok="t" o:connecttype="rect"/>
            </v:shapetype>
            <v:shape id="Text Box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" filled="f" stroked="f" strokeweight=".5pt">
              <v:textbox style="mso-fit-shape-to-text:t" inset="0,0,0,0">
                <w:txbxContent>
                  <w:p w14:paraId="0009E838" w14:textId="77777777" w:rsidR="00714D18" w:rsidRDefault="00714D18">
                    <w:pPr>
                      <w:pStyle w:val="Foot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D9A3" w14:textId="77777777" w:rsidR="00714D18" w:rsidRDefault="006E5117">
    <w:pPr>
      <w:pStyle w:val="Footer"/>
    </w:pPr>
    <w:r>
      <w:rPr>
        <w:noProof/>
      </w:rPr>
      <mc:AlternateContent>
        <mc:Choice Requires="wps">
          <w:drawing>
            <wp:anchor distT="0" distB="0" distL="114300" distR="114300" simplePos="0" relativeHeight="251661312" behindDoc="0" locked="0" layoutInCell="1" allowOverlap="1" wp14:anchorId="32E64AAF" wp14:editId="47CBEA2D">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F3610" w14:textId="77777777" w:rsidR="00714D18" w:rsidRDefault="006E5117">
                          <w:pPr>
                            <w:pStyle w:val="Footer"/>
                            <w:rPr>
                              <w:rFonts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7FC30E" id="_x0000_t202" coordsize="21600,21600" o:spt="202" path="m,l,21600r21600,l21600,xe">
              <v:stroke joinstyle="miter"/>
              <v:path gradientshapeok="t" o:connecttype="rect"/>
            </v:shapetype>
            <v:shape id="Text Box 6"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" filled="f" stroked="f" strokeweight=".5pt">
              <v:textbox style="mso-fit-shape-to-text:t" inset="0,0,0,0">
                <w:txbxContent>
                  <w:p w14:paraId="041DC3A8" w14:textId="77777777" w:rsidR="00714D18" w:rsidRDefault="006E5117">
                    <w:pPr>
                      <w:pStyle w:val="Footer"/>
                      <w:rPr>
                        <w:rFonts w:ascii="Times New Roman" w:hAnsi="Times New Roman" w:cs="Times New Roman"/>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BC3E" w14:textId="77777777" w:rsidR="00F74497" w:rsidRDefault="00F74497">
      <w:r>
        <w:separator/>
      </w:r>
    </w:p>
  </w:footnote>
  <w:footnote w:type="continuationSeparator" w:id="0">
    <w:p w14:paraId="5A4E5A95" w14:textId="77777777" w:rsidR="00F74497" w:rsidRDefault="00F74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4CF1A"/>
    <w:multiLevelType w:val="singleLevel"/>
    <w:tmpl w:val="CEC4CF1A"/>
    <w:lvl w:ilvl="0">
      <w:start w:val="1"/>
      <w:numFmt w:val="lowerRoman"/>
      <w:lvlText w:val="%1."/>
      <w:lvlJc w:val="left"/>
      <w:pPr>
        <w:tabs>
          <w:tab w:val="left" w:pos="425"/>
        </w:tabs>
        <w:ind w:left="425" w:hanging="425"/>
      </w:pPr>
      <w:rPr>
        <w:rFonts w:hint="default"/>
      </w:rPr>
    </w:lvl>
  </w:abstractNum>
  <w:abstractNum w:abstractNumId="1" w15:restartNumberingAfterBreak="0">
    <w:nsid w:val="1AE16CBA"/>
    <w:multiLevelType w:val="multilevel"/>
    <w:tmpl w:val="1AE16C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485368C5"/>
    <w:multiLevelType w:val="multilevel"/>
    <w:tmpl w:val="485368C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74936433">
    <w:abstractNumId w:val="1"/>
  </w:num>
  <w:num w:numId="2" w16cid:durableId="535629359">
    <w:abstractNumId w:val="0"/>
  </w:num>
  <w:num w:numId="3" w16cid:durableId="205222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bordersDoNotSurroundHeader/>
  <w:bordersDoNotSurroundFooter/>
  <w:proofState w:spelling="clean"/>
  <w:revisionView w:inkAnnotations="0"/>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020C83"/>
    <w:rsid w:val="00621474"/>
    <w:rsid w:val="006E5117"/>
    <w:rsid w:val="00714D18"/>
    <w:rsid w:val="007D5D3D"/>
    <w:rsid w:val="008E0045"/>
    <w:rsid w:val="009771F2"/>
    <w:rsid w:val="009C1834"/>
    <w:rsid w:val="00AF4F76"/>
    <w:rsid w:val="00F66549"/>
    <w:rsid w:val="00F74497"/>
    <w:rsid w:val="07204EBB"/>
    <w:rsid w:val="0D12430E"/>
    <w:rsid w:val="29020C83"/>
    <w:rsid w:val="2D3703BB"/>
    <w:rsid w:val="31D037C4"/>
    <w:rsid w:val="370D63AE"/>
    <w:rsid w:val="3864176A"/>
    <w:rsid w:val="3998390E"/>
    <w:rsid w:val="47CA4F1C"/>
    <w:rsid w:val="56BB25C4"/>
    <w:rsid w:val="5BFF5C98"/>
    <w:rsid w:val="60FB79F7"/>
    <w:rsid w:val="620C6FD1"/>
    <w:rsid w:val="62B75E18"/>
    <w:rsid w:val="6CEF4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3C50A48"/>
  <w15:docId w15:val="{2B5A8428-40F7-1942-8D5D-EFBFD466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paragraph" w:styleId="Heading1">
    <w:name w:val="heading 1"/>
    <w:basedOn w:val="Normal"/>
    <w:next w:val="Normal"/>
    <w:qFormat/>
    <w:pPr>
      <w:keepNext/>
      <w:keepLines/>
      <w:spacing w:before="340" w:after="330" w:line="578" w:lineRule="auto"/>
      <w:jc w:val="both"/>
      <w:outlineLvl w:val="0"/>
    </w:pPr>
    <w:rPr>
      <w:rFonts w:ascii="Times New Roman" w:hAnsi="Times New Roman"/>
      <w:b/>
      <w:bCs/>
      <w:kern w:val="44"/>
      <w:sz w:val="28"/>
      <w:szCs w:val="44"/>
    </w:rPr>
  </w:style>
  <w:style w:type="paragraph" w:styleId="Heading2">
    <w:name w:val="heading 2"/>
    <w:basedOn w:val="Normal"/>
    <w:next w:val="Normal"/>
    <w:unhideWhenUsed/>
    <w:qFormat/>
    <w:pPr>
      <w:keepNext/>
      <w:keepLines/>
      <w:spacing w:before="260" w:after="260" w:line="416" w:lineRule="auto"/>
      <w:outlineLvl w:val="1"/>
    </w:pPr>
    <w:rPr>
      <w:rFonts w:ascii="Times New Roman" w:hAnsi="Times New Roman"/>
      <w:b/>
      <w:bCs/>
      <w:sz w:val="24"/>
      <w:szCs w:val="32"/>
    </w:rPr>
  </w:style>
  <w:style w:type="paragraph" w:styleId="Heading3">
    <w:name w:val="heading 3"/>
    <w:next w:val="Normal"/>
    <w:semiHidden/>
    <w:unhideWhenUsed/>
    <w:qFormat/>
    <w:pPr>
      <w:spacing w:beforeAutospacing="1" w:afterAutospacing="1"/>
      <w:outlineLvl w:val="2"/>
    </w:pPr>
    <w:rPr>
      <w:rFonts w:ascii="SimSun" w:eastAsia="SimSun" w:hAnsi="SimSun" w:cs="Times New Roma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eastAsia="SimSun" w:hAnsi="SimSun" w:cs="Times New Roma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rFonts w:ascii="Times New Roman" w:eastAsia="SimSun" w:hAnsi="Times New Roman" w:cs="Times New Roman"/>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99"/>
    <w:unhideWhenUsed/>
    <w:qFormat/>
    <w:pPr>
      <w:ind w:left="720"/>
      <w:contextualSpacing/>
    </w:p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016/j.biopha.2018.12.142" TargetMode="External" /><Relationship Id="rId21" Type="http://schemas.openxmlformats.org/officeDocument/2006/relationships/oleObject" Target="embeddings/oleObject5.bin" /><Relationship Id="rId34" Type="http://schemas.openxmlformats.org/officeDocument/2006/relationships/hyperlink" Target="https://www.mdpi.com/2673-396X/1/2/9" TargetMode="External" /><Relationship Id="rId42" Type="http://schemas.openxmlformats.org/officeDocument/2006/relationships/hyperlink" Target="https://www.researchgate.net/publication/325584549" TargetMode="External" /><Relationship Id="rId47" Type="http://schemas.openxmlformats.org/officeDocument/2006/relationships/hyperlink" Target="https://doi.org/10.1016/j.sxmr.2019.06.004" TargetMode="External" /><Relationship Id="rId50" Type="http://schemas.openxmlformats.org/officeDocument/2006/relationships/hyperlink" Target="https://www.mdpi.com/2077-0383/11/11/3140" TargetMode="External" /><Relationship Id="rId55" Type="http://schemas.openxmlformats.org/officeDocument/2006/relationships/hyperlink" Target="https://www.researchgate.net/publication/377752319" TargetMode="External" /><Relationship Id="rId63" Type="http://schemas.openxmlformats.org/officeDocument/2006/relationships/hyperlink" Target="https://www.nature.com/articles/s41598-023-45344-4" TargetMode="External" /><Relationship Id="rId68" Type="http://schemas.openxmlformats.org/officeDocument/2006/relationships/hyperlink" Target="https://doi.org/10.3389/fphar.2021.735708" TargetMode="External" /><Relationship Id="rId76" Type="http://schemas.openxmlformats.org/officeDocument/2006/relationships/hyperlink" Target="https://doi.org/10.1007/s00204-020-02721-6" TargetMode="External" /><Relationship Id="rId84" Type="http://schemas.openxmlformats.org/officeDocument/2006/relationships/hyperlink" Target="https://doi.org/10.1111/andr.13028" TargetMode="External" /><Relationship Id="rId89" Type="http://schemas.openxmlformats.org/officeDocument/2006/relationships/hyperlink" Target="https://dialnet.unirioja.es/servlet/articulo?codigo=4762193" TargetMode="External" /><Relationship Id="rId97" Type="http://schemas.openxmlformats.org/officeDocument/2006/relationships/fontTable" Target="fontTable.xml" /><Relationship Id="rId7" Type="http://schemas.openxmlformats.org/officeDocument/2006/relationships/endnotes" Target="endnotes.xml" /><Relationship Id="rId71" Type="http://schemas.openxmlformats.org/officeDocument/2006/relationships/hyperlink" Target="https://doi.org/10.1080/2314808X.2023.2300560" TargetMode="External" /><Relationship Id="rId92" Type="http://schemas.openxmlformats.org/officeDocument/2006/relationships/hyperlink" Target="https://doi.org/10.4088/JCP.22r14689" TargetMode="External" /><Relationship Id="rId2" Type="http://schemas.openxmlformats.org/officeDocument/2006/relationships/numbering" Target="numbering.xml" /><Relationship Id="rId16" Type="http://schemas.openxmlformats.org/officeDocument/2006/relationships/image" Target="media/image5.emf" /><Relationship Id="rId29" Type="http://schemas.openxmlformats.org/officeDocument/2006/relationships/hyperlink" Target="https://www.mdpi.com/2673-4397/4/2/6" TargetMode="External" /><Relationship Id="rId11" Type="http://schemas.openxmlformats.org/officeDocument/2006/relationships/image" Target="media/image2.png" /><Relationship Id="rId24" Type="http://schemas.openxmlformats.org/officeDocument/2006/relationships/hyperlink" Target="https://urfjournals.org/open-access/hydro-maceration-and-decoction-of-clove-seed-as-an-aphrodisiac-a-structured-literature-review.pdf" TargetMode="External" /><Relationship Id="rId32" Type="http://schemas.openxmlformats.org/officeDocument/2006/relationships/hyperlink" Target="https://www.researchgate.net/publication/389745678" TargetMode="External" /><Relationship Id="rId37" Type="http://schemas.openxmlformats.org/officeDocument/2006/relationships/hyperlink" Target="https://core.ac.uk/download/pdf/234655967.pdf" TargetMode="External" /><Relationship Id="rId40" Type="http://schemas.openxmlformats.org/officeDocument/2006/relationships/hyperlink" Target="https://doi.org/10.3389/fendo.2024.1368079" TargetMode="External" /><Relationship Id="rId45" Type="http://schemas.openxmlformats.org/officeDocument/2006/relationships/hyperlink" Target="https://doi.org/10.1016/j.metop.2023.1000191" TargetMode="External" /><Relationship Id="rId53" Type="http://schemas.openxmlformats.org/officeDocument/2006/relationships/hyperlink" Target="https://doi.org/10.12788/acp.0016" TargetMode="External" /><Relationship Id="rId58" Type="http://schemas.openxmlformats.org/officeDocument/2006/relationships/hyperlink" Target="https://doi.org/10.1136/postgradmedj-2017-135045" TargetMode="External" /><Relationship Id="rId66" Type="http://schemas.openxmlformats.org/officeDocument/2006/relationships/hyperlink" Target="https://doi.org/10.1016/j.ejmcr.2024.100047" TargetMode="External" /><Relationship Id="rId74" Type="http://schemas.openxmlformats.org/officeDocument/2006/relationships/hyperlink" Target="https://www.mdpi.com/2227-9059/9/4/432" TargetMode="External" /><Relationship Id="rId79" Type="http://schemas.openxmlformats.org/officeDocument/2006/relationships/hyperlink" Target="https://link.springer.com/article/10.1007/s43032-023-01223-x" TargetMode="External" /><Relationship Id="rId87" Type="http://schemas.openxmlformats.org/officeDocument/2006/relationships/hyperlink" Target="https://doi.org/10.1210/jc.2020-04588" TargetMode="External" /><Relationship Id="rId5" Type="http://schemas.openxmlformats.org/officeDocument/2006/relationships/webSettings" Target="webSettings.xml" /><Relationship Id="rId61" Type="http://schemas.openxmlformats.org/officeDocument/2006/relationships/hyperlink" Target="https://doi.org/10.1016/j.ucl.2021.12.005" TargetMode="External" /><Relationship Id="rId82" Type="http://schemas.openxmlformats.org/officeDocument/2006/relationships/hyperlink" Target="https://www.frontiersin.org/articles/10.3389/fendo.2023.1211720/full" TargetMode="External" /><Relationship Id="rId90" Type="http://schemas.openxmlformats.org/officeDocument/2006/relationships/hyperlink" Target="https://jurnalfkip.unram.ac.id/index.php/JBT/article/view/7975" TargetMode="External" /><Relationship Id="rId95" Type="http://schemas.openxmlformats.org/officeDocument/2006/relationships/hyperlink" Target="https://link.springer.com/article/10.1186/s13643-024-02525-0" TargetMode="External" /><Relationship Id="rId19" Type="http://schemas.openxmlformats.org/officeDocument/2006/relationships/oleObject" Target="embeddings/oleObject4.bin" /><Relationship Id="rId14" Type="http://schemas.openxmlformats.org/officeDocument/2006/relationships/image" Target="media/image4.emf" /><Relationship Id="rId22" Type="http://schemas.openxmlformats.org/officeDocument/2006/relationships/hyperlink" Target="https://www.nature.com/articles/s41598-021-94854-6" TargetMode="External" /><Relationship Id="rId27" Type="http://schemas.openxmlformats.org/officeDocument/2006/relationships/hyperlink" Target="https://www.academia.edu/download/101815394/jbcpp-2013-006120230504-1-9xts55.pdf" TargetMode="External" /><Relationship Id="rId30" Type="http://schemas.openxmlformats.org/officeDocument/2006/relationships/hyperlink" Target="https://www.tandfonline.com/doi/abs/10.1080/13510002.2023.2225675" TargetMode="External" /><Relationship Id="rId35" Type="http://schemas.openxmlformats.org/officeDocument/2006/relationships/hyperlink" Target="https://doi.org/10.1007/s11897-023-00632-y" TargetMode="External" /><Relationship Id="rId43" Type="http://schemas.openxmlformats.org/officeDocument/2006/relationships/hyperlink" Target="https://www.mdpi.com/2218-273X/10/3/352" TargetMode="External" /><Relationship Id="rId48" Type="http://schemas.openxmlformats.org/officeDocument/2006/relationships/hyperlink" Target="https://doi.org/10.1152/ajpcell.00198.2004" TargetMode="External" /><Relationship Id="rId56" Type="http://schemas.openxmlformats.org/officeDocument/2006/relationships/hyperlink" Target="https://doi.org/10.1055/s-0033-1363994" TargetMode="External" /><Relationship Id="rId64" Type="http://schemas.openxmlformats.org/officeDocument/2006/relationships/hyperlink" Target="https://www.njap.org.ng/index.php/njap/article/view/560" TargetMode="External" /><Relationship Id="rId69" Type="http://schemas.openxmlformats.org/officeDocument/2006/relationships/hyperlink" Target="https://doi.org/10.1093/sxmrev/qeaf025" TargetMode="External" /><Relationship Id="rId77" Type="http://schemas.openxmlformats.org/officeDocument/2006/relationships/hyperlink" Target="https://www.researchsquare.com/article/rs-6075962/latest" TargetMode="External" /><Relationship Id="rId8" Type="http://schemas.openxmlformats.org/officeDocument/2006/relationships/footer" Target="footer1.xml" /><Relationship Id="rId51" Type="http://schemas.openxmlformats.org/officeDocument/2006/relationships/hyperlink" Target="https://www.mdpi.com/2073-4409/14/2/120" TargetMode="External" /><Relationship Id="rId72" Type="http://schemas.openxmlformats.org/officeDocument/2006/relationships/hyperlink" Target="https://doi.org/10.1007/s00210-024-03086-8" TargetMode="External" /><Relationship Id="rId80" Type="http://schemas.openxmlformats.org/officeDocument/2006/relationships/hyperlink" Target="https://doi.org/10.1186/s12906-017-2008-5" TargetMode="External" /><Relationship Id="rId85" Type="http://schemas.openxmlformats.org/officeDocument/2006/relationships/hyperlink" Target="https://doi.org/10.1080/17460441.2025.2482065" TargetMode="External" /><Relationship Id="rId93" Type="http://schemas.openxmlformats.org/officeDocument/2006/relationships/hyperlink" Target="https://link.springer.com/article/10.1186/s12610-024-00245-y" TargetMode="External" /><Relationship Id="rId98" Type="http://schemas.openxmlformats.org/officeDocument/2006/relationships/theme" Target="theme/theme1.xml" /><Relationship Id="rId3" Type="http://schemas.openxmlformats.org/officeDocument/2006/relationships/styles" Target="styles.xml" /><Relationship Id="rId12" Type="http://schemas.openxmlformats.org/officeDocument/2006/relationships/image" Target="media/image3.emf" /><Relationship Id="rId17" Type="http://schemas.openxmlformats.org/officeDocument/2006/relationships/oleObject" Target="embeddings/oleObject3.bin" /><Relationship Id="rId25" Type="http://schemas.openxmlformats.org/officeDocument/2006/relationships/hyperlink" Target="https://sciendo.com/pdf/10.2478/intox-2021-0001" TargetMode="External" /><Relationship Id="rId33" Type="http://schemas.openxmlformats.org/officeDocument/2006/relationships/hyperlink" Target="https://www.mdpi.com/2223-7747/14/3/400" TargetMode="External" /><Relationship Id="rId38" Type="http://schemas.openxmlformats.org/officeDocument/2006/relationships/hyperlink" Target="https://www.frontiersin.org/articles/10.3389/fendo.2024.1461642/full" TargetMode="External" /><Relationship Id="rId46" Type="http://schemas.openxmlformats.org/officeDocument/2006/relationships/hyperlink" Target="https://www.benthamdirect.com/content/journals/cdth/10.2174/0115748855260802231019072509" TargetMode="External" /><Relationship Id="rId59" Type="http://schemas.openxmlformats.org/officeDocument/2006/relationships/hyperlink" Target="https://www.academia.edu/download/109912536/19.pdf" TargetMode="External" /><Relationship Id="rId67" Type="http://schemas.openxmlformats.org/officeDocument/2006/relationships/hyperlink" Target="https://www.sciencedirect.com/science/article/pii/S0378512224001506" TargetMode="External" /><Relationship Id="rId20" Type="http://schemas.openxmlformats.org/officeDocument/2006/relationships/image" Target="media/image7.emf" /><Relationship Id="rId41" Type="http://schemas.openxmlformats.org/officeDocument/2006/relationships/hyperlink" Target="https://doi.org/10.1016/j.phyplu.2024.100384" TargetMode="External" /><Relationship Id="rId54" Type="http://schemas.openxmlformats.org/officeDocument/2006/relationships/hyperlink" Target="https://doi.org/10.1016/S0022-5347(01)66519-4" TargetMode="External" /><Relationship Id="rId62" Type="http://schemas.openxmlformats.org/officeDocument/2006/relationships/hyperlink" Target="https://www.researchgate.net/publication/383455071" TargetMode="External" /><Relationship Id="rId70" Type="http://schemas.openxmlformats.org/officeDocument/2006/relationships/hyperlink" Target="https://doi.org/10.1186/s12894-025-01727-5" TargetMode="External" /><Relationship Id="rId75" Type="http://schemas.openxmlformats.org/officeDocument/2006/relationships/hyperlink" Target="https://papers.ssrn.com/sol3/papers.cfm?abstract_id=5270490" TargetMode="External" /><Relationship Id="rId83" Type="http://schemas.openxmlformats.org/officeDocument/2006/relationships/hyperlink" Target="https://etflin.com/article/183" TargetMode="External" /><Relationship Id="rId88" Type="http://schemas.openxmlformats.org/officeDocument/2006/relationships/hyperlink" Target="https://www.frontiersin.org/articles/10.3389/fpsyt.2025.1584306/full" TargetMode="External" /><Relationship Id="rId91" Type="http://schemas.openxmlformats.org/officeDocument/2006/relationships/hyperlink" Target="https://onlinelibrary.wiley.com/doi/abs/10.1111/and.13606" TargetMode="External" /><Relationship Id="rId9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oleObject" Target="embeddings/oleObject2.bin" /><Relationship Id="rId23" Type="http://schemas.openxmlformats.org/officeDocument/2006/relationships/hyperlink" Target="https://www.researchgate.net/publication/325584549" TargetMode="External" /><Relationship Id="rId28" Type="http://schemas.openxmlformats.org/officeDocument/2006/relationships/hyperlink" Target="https://oss.jomh.org/files/article/20250530-552/pdf/JOMH2025020101.pdf" TargetMode="External" /><Relationship Id="rId36" Type="http://schemas.openxmlformats.org/officeDocument/2006/relationships/hyperlink" Target="https://doi.org/10.1016/j.biopha.2019.109898" TargetMode="External" /><Relationship Id="rId49" Type="http://schemas.openxmlformats.org/officeDocument/2006/relationships/hyperlink" Target="https://journals.ekb.eg/article_329525.html" TargetMode="External" /><Relationship Id="rId57" Type="http://schemas.openxmlformats.org/officeDocument/2006/relationships/hyperlink" Target="https://doi.org/10.1186/s12610-020-00118-0" TargetMode="External" /><Relationship Id="rId10" Type="http://schemas.openxmlformats.org/officeDocument/2006/relationships/image" Target="media/image1.png" /><Relationship Id="rId31" Type="http://schemas.openxmlformats.org/officeDocument/2006/relationships/hyperlink" Target="https://www.mdpi.com/2077-0383/14/7/2386" TargetMode="External" /><Relationship Id="rId44" Type="http://schemas.openxmlformats.org/officeDocument/2006/relationships/hyperlink" Target="https://doi.org/10.3389/fphar.2025.1567863" TargetMode="External" /><Relationship Id="rId52" Type="http://schemas.openxmlformats.org/officeDocument/2006/relationships/hyperlink" Target="https://doi.org/10.1016/j.urology.2013.05.049" TargetMode="External" /><Relationship Id="rId60" Type="http://schemas.openxmlformats.org/officeDocument/2006/relationships/hyperlink" Target="https://doi.org/10.1038/s41598-024-78182-z" TargetMode="External" /><Relationship Id="rId65" Type="http://schemas.openxmlformats.org/officeDocument/2006/relationships/hyperlink" Target="https://www.frontiersin.org/articles/10.3389/fphar.2021.793200/full" TargetMode="External" /><Relationship Id="rId73" Type="http://schemas.openxmlformats.org/officeDocument/2006/relationships/hyperlink" Target="https://www.mdpi.com/2077-0383/10/12/2551" TargetMode="External" /><Relationship Id="rId78" Type="http://schemas.openxmlformats.org/officeDocument/2006/relationships/hyperlink" Target="https://journals.lww.com/ijoru/fulltext/2024/02010/etiology,_surgical_anatomy,_and_pathophysiology_of.2.aspx" TargetMode="External" /><Relationship Id="rId81" Type="http://schemas.openxmlformats.org/officeDocument/2006/relationships/hyperlink" Target="https://www.mdpi.com/1422-0067/23/24/15988" TargetMode="External" /><Relationship Id="rId86" Type="http://schemas.openxmlformats.org/officeDocument/2006/relationships/hyperlink" Target="https://doi.org/10.2147/DDDT.S515403" TargetMode="External" /><Relationship Id="rId94" Type="http://schemas.openxmlformats.org/officeDocument/2006/relationships/hyperlink" Target="https://www.mdpi.com/1422-0067/26/7/3073" TargetMode="External" /><Relationship Id="rId4" Type="http://schemas.openxmlformats.org/officeDocument/2006/relationships/settings" Target="settings.xml" /><Relationship Id="rId9" Type="http://schemas.openxmlformats.org/officeDocument/2006/relationships/footer" Target="footer2.xml" /><Relationship Id="rId13" Type="http://schemas.openxmlformats.org/officeDocument/2006/relationships/oleObject" Target="embeddings/oleObject1.bin" /><Relationship Id="rId18" Type="http://schemas.openxmlformats.org/officeDocument/2006/relationships/image" Target="media/image6.emf" /><Relationship Id="rId39" Type="http://schemas.openxmlformats.org/officeDocument/2006/relationships/hyperlink" Target="https://dergipark.org.tr/en/download/article-file/95639"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11957</Words>
  <Characters>85266</Characters>
  <Application>Microsoft Office Word</Application>
  <DocSecurity>0</DocSecurity>
  <Lines>710</Lines>
  <Paragraphs>194</Paragraphs>
  <ScaleCrop>false</ScaleCrop>
  <Company/>
  <LinksUpToDate>false</LinksUpToDate>
  <CharactersWithSpaces>97029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folorunshooluwafemi81@gmail.com</cp:lastModifiedBy>
  <cp:revision>7</cp:revision>
  <dcterms:created xsi:type="dcterms:W3CDTF">2025-07-13T01:40:00Z</dcterms:created>
  <dcterms:modified xsi:type="dcterms:W3CDTF">2025-07-13T01:44:00Z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44CD76E7577F4B0CB63BD4FBF1E73C82_13</vt:lpwstr>
  </property>
</Properties>
</file>