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83BBEB">
      <w:pPr>
        <w:wordWrap w:val="0"/>
        <w:spacing w:before="0" w:after="0" w:line="240" w:lineRule="auto"/>
        <w:ind w:firstLine="0"/>
        <w:jc w:val="center"/>
        <w:rPr>
          <w:rFonts w:hint="default" w:ascii="Times New Roman" w:hAnsi="Times New Roman" w:eastAsia="SimSun" w:cs="Times New Roman"/>
          <w:b/>
          <w:bCs/>
          <w:color w:val="000000"/>
          <w:sz w:val="36"/>
          <w:szCs w:val="36"/>
        </w:rPr>
      </w:pPr>
      <w:r>
        <w:rPr>
          <w:rFonts w:hint="default" w:ascii="Times New Roman" w:hAnsi="Times New Roman" w:eastAsia="SimSun" w:cs="Times New Roman"/>
          <w:b/>
          <w:bCs/>
          <w:color w:val="000000"/>
          <w:sz w:val="36"/>
          <w:szCs w:val="36"/>
        </w:rPr>
        <w:t xml:space="preserve">COMPUTATIONAL AND EXPERIMENTAL EFFECTS OF </w:t>
      </w:r>
      <w:r>
        <w:rPr>
          <w:rFonts w:hint="default" w:ascii="Times New Roman" w:hAnsi="Times New Roman" w:eastAsia="SimSun" w:cs="Times New Roman"/>
          <w:b/>
          <w:bCs/>
          <w:i/>
          <w:iCs/>
          <w:color w:val="000000"/>
          <w:sz w:val="36"/>
          <w:szCs w:val="36"/>
        </w:rPr>
        <w:t>Syzygium aromaticum</w:t>
      </w:r>
      <w:r>
        <w:rPr>
          <w:rFonts w:hint="default" w:ascii="Times New Roman" w:hAnsi="Times New Roman" w:eastAsia="SimSun" w:cs="Times New Roman"/>
          <w:b/>
          <w:bCs/>
          <w:color w:val="000000"/>
          <w:sz w:val="36"/>
          <w:szCs w:val="36"/>
        </w:rPr>
        <w:t xml:space="preserve"> (CLOVES) ON ACETYLCHOLINE ESTERASE AND ANGIOTENSIN CONVERTING ENZYME</w:t>
      </w:r>
    </w:p>
    <w:p w14:paraId="340B0A24">
      <w:pPr>
        <w:wordWrap w:val="0"/>
        <w:spacing w:before="0" w:after="0" w:line="240" w:lineRule="auto"/>
        <w:ind w:firstLine="0"/>
        <w:jc w:val="both"/>
        <w:rPr>
          <w:rFonts w:hint="default" w:ascii="Times New Roman" w:hAnsi="Times New Roman" w:eastAsia="SimSun" w:cs="Times New Roman"/>
          <w:b/>
          <w:bCs/>
          <w:color w:val="000000"/>
          <w:sz w:val="36"/>
          <w:szCs w:val="36"/>
        </w:rPr>
      </w:pPr>
    </w:p>
    <w:p w14:paraId="78E0ECF6">
      <w:pPr>
        <w:wordWrap w:val="0"/>
        <w:spacing w:before="0" w:after="0" w:line="240" w:lineRule="auto"/>
        <w:ind w:firstLine="0"/>
        <w:jc w:val="both"/>
        <w:rPr>
          <w:rFonts w:hint="default" w:ascii="Times New Roman" w:hAnsi="Times New Roman" w:eastAsia="SimSun" w:cs="Times New Roman"/>
          <w:color w:val="000000"/>
          <w:sz w:val="28"/>
          <w:szCs w:val="28"/>
        </w:rPr>
      </w:pPr>
    </w:p>
    <w:p w14:paraId="1B4FA4CC">
      <w:pPr>
        <w:wordWrap w:val="0"/>
        <w:spacing w:before="0" w:after="0" w:line="240" w:lineRule="auto"/>
        <w:ind w:firstLine="0"/>
        <w:jc w:val="both"/>
        <w:rPr>
          <w:rFonts w:hint="default" w:ascii="Times New Roman" w:hAnsi="Times New Roman" w:eastAsia="SimSun" w:cs="Times New Roman"/>
          <w:color w:val="000000"/>
          <w:sz w:val="28"/>
          <w:szCs w:val="28"/>
        </w:rPr>
      </w:pPr>
    </w:p>
    <w:p w14:paraId="20C18630">
      <w:pPr>
        <w:wordWrap w:val="0"/>
        <w:spacing w:before="0" w:after="0" w:line="240" w:lineRule="auto"/>
        <w:ind w:firstLine="0"/>
        <w:jc w:val="both"/>
        <w:rPr>
          <w:rFonts w:hint="default" w:ascii="Times New Roman" w:hAnsi="Times New Roman" w:eastAsia="SimSun" w:cs="Times New Roman"/>
          <w:color w:val="000000"/>
          <w:sz w:val="28"/>
          <w:szCs w:val="28"/>
        </w:rPr>
      </w:pPr>
    </w:p>
    <w:p w14:paraId="1E262E7E">
      <w:pPr>
        <w:wordWrap w:val="0"/>
        <w:spacing w:before="0" w:after="0" w:line="196" w:lineRule="auto"/>
        <w:jc w:val="center"/>
        <w:rPr>
          <w:rFonts w:hint="default" w:ascii="Times New Roman" w:hAnsi="Times New Roman" w:cs="Times New Roman"/>
          <w:sz w:val="28"/>
          <w:szCs w:val="28"/>
        </w:rPr>
      </w:pPr>
      <w:r>
        <w:rPr>
          <w:rFonts w:hint="default" w:ascii="Times New Roman" w:hAnsi="Times New Roman" w:eastAsia="Calibri" w:cs="Times New Roman"/>
          <w:i/>
          <w:color w:val="000000"/>
          <w:sz w:val="28"/>
          <w:szCs w:val="28"/>
        </w:rPr>
        <w:t>BY:</w:t>
      </w:r>
    </w:p>
    <w:p w14:paraId="22EF689D">
      <w:pPr>
        <w:wordWrap w:val="0"/>
        <w:spacing w:before="0" w:after="0" w:line="240" w:lineRule="auto"/>
        <w:ind w:firstLine="0"/>
        <w:jc w:val="both"/>
        <w:rPr>
          <w:rFonts w:hint="default" w:ascii="Times New Roman" w:hAnsi="Times New Roman" w:eastAsia="SimSun" w:cs="Times New Roman"/>
          <w:color w:val="000000"/>
          <w:sz w:val="28"/>
          <w:szCs w:val="28"/>
        </w:rPr>
      </w:pPr>
    </w:p>
    <w:p w14:paraId="1DDD7B86">
      <w:pPr>
        <w:wordWrap w:val="0"/>
        <w:spacing w:before="0" w:after="0" w:line="240" w:lineRule="auto"/>
        <w:ind w:firstLine="0"/>
        <w:jc w:val="both"/>
        <w:rPr>
          <w:rFonts w:hint="default" w:ascii="Times New Roman" w:hAnsi="Times New Roman" w:eastAsia="SimSun" w:cs="Times New Roman"/>
          <w:color w:val="000000"/>
          <w:sz w:val="28"/>
          <w:szCs w:val="28"/>
        </w:rPr>
      </w:pPr>
    </w:p>
    <w:p w14:paraId="3CBDA9B2">
      <w:pPr>
        <w:wordWrap w:val="0"/>
        <w:spacing w:before="0" w:after="0" w:line="240" w:lineRule="auto"/>
        <w:ind w:firstLine="0"/>
        <w:jc w:val="both"/>
        <w:rPr>
          <w:rFonts w:hint="default" w:ascii="Times New Roman" w:hAnsi="Times New Roman" w:eastAsia="SimSun" w:cs="Times New Roman"/>
          <w:color w:val="000000"/>
          <w:sz w:val="28"/>
          <w:szCs w:val="28"/>
        </w:rPr>
      </w:pPr>
    </w:p>
    <w:p w14:paraId="49C5C453">
      <w:pPr>
        <w:wordWrap w:val="0"/>
        <w:spacing w:before="0" w:after="0" w:line="220" w:lineRule="auto"/>
        <w:jc w:val="center"/>
        <w:rPr>
          <w:rFonts w:hint="default" w:ascii="Times New Roman" w:hAnsi="Times New Roman" w:cs="Times New Roman"/>
          <w:b/>
          <w:bCs/>
          <w:sz w:val="44"/>
          <w:szCs w:val="44"/>
        </w:rPr>
      </w:pPr>
      <w:r>
        <w:rPr>
          <w:rFonts w:hint="default" w:ascii="Times New Roman" w:hAnsi="Times New Roman" w:cs="Times New Roman"/>
          <w:b/>
          <w:bCs/>
          <w:sz w:val="44"/>
          <w:szCs w:val="44"/>
        </w:rPr>
        <w:t>DARAMOLA BIDEMI TITILAYO</w:t>
      </w:r>
    </w:p>
    <w:p w14:paraId="6EF37E16">
      <w:pPr>
        <w:wordWrap w:val="0"/>
        <w:spacing w:before="0" w:after="0" w:line="240" w:lineRule="auto"/>
        <w:ind w:firstLine="0"/>
        <w:jc w:val="both"/>
        <w:rPr>
          <w:rFonts w:hint="default" w:ascii="Times New Roman" w:hAnsi="Times New Roman" w:eastAsia="SimSun" w:cs="Times New Roman"/>
          <w:color w:val="000000"/>
          <w:sz w:val="44"/>
          <w:szCs w:val="44"/>
        </w:rPr>
      </w:pPr>
    </w:p>
    <w:p w14:paraId="1E7F58CF">
      <w:pPr>
        <w:wordWrap w:val="0"/>
        <w:spacing w:before="0" w:after="0" w:line="191" w:lineRule="auto"/>
        <w:jc w:val="center"/>
        <w:rPr>
          <w:rFonts w:hint="default" w:ascii="Times New Roman" w:hAnsi="Times New Roman" w:cs="Times New Roman"/>
          <w:sz w:val="44"/>
          <w:szCs w:val="44"/>
        </w:rPr>
      </w:pPr>
      <w:r>
        <w:rPr>
          <w:rFonts w:hint="default" w:ascii="Times New Roman" w:hAnsi="Times New Roman" w:eastAsia="Calibri" w:cs="Times New Roman"/>
          <w:b/>
          <w:color w:val="000000"/>
          <w:sz w:val="44"/>
          <w:szCs w:val="44"/>
        </w:rPr>
        <w:t>HND/23/SLT/FT/0302</w:t>
      </w:r>
    </w:p>
    <w:p w14:paraId="1258FA6D">
      <w:pPr>
        <w:wordWrap w:val="0"/>
        <w:spacing w:before="0" w:after="0" w:line="240" w:lineRule="auto"/>
        <w:ind w:firstLine="0"/>
        <w:jc w:val="both"/>
        <w:rPr>
          <w:rFonts w:hint="default" w:ascii="Times New Roman" w:hAnsi="Times New Roman" w:eastAsia="SimSun" w:cs="Times New Roman"/>
          <w:color w:val="000000"/>
          <w:sz w:val="28"/>
          <w:szCs w:val="28"/>
        </w:rPr>
      </w:pPr>
    </w:p>
    <w:p w14:paraId="2E64A0C2">
      <w:pPr>
        <w:wordWrap w:val="0"/>
        <w:spacing w:before="0" w:after="0" w:line="240" w:lineRule="auto"/>
        <w:ind w:firstLine="0"/>
        <w:jc w:val="both"/>
        <w:rPr>
          <w:rFonts w:hint="default" w:ascii="Times New Roman" w:hAnsi="Times New Roman" w:eastAsia="SimSun" w:cs="Times New Roman"/>
          <w:color w:val="000000"/>
          <w:sz w:val="28"/>
          <w:szCs w:val="28"/>
        </w:rPr>
      </w:pPr>
    </w:p>
    <w:p w14:paraId="55DBFE83">
      <w:pPr>
        <w:wordWrap w:val="0"/>
        <w:spacing w:before="0" w:after="0" w:line="240" w:lineRule="auto"/>
        <w:ind w:firstLine="0"/>
        <w:jc w:val="both"/>
        <w:rPr>
          <w:rFonts w:hint="default" w:ascii="Times New Roman" w:hAnsi="Times New Roman" w:eastAsia="SimSun" w:cs="Times New Roman"/>
          <w:color w:val="000000"/>
          <w:sz w:val="28"/>
          <w:szCs w:val="28"/>
        </w:rPr>
      </w:pPr>
    </w:p>
    <w:p w14:paraId="71D080B2">
      <w:pPr>
        <w:wordWrap w:val="0"/>
        <w:spacing w:before="0" w:after="0" w:line="240" w:lineRule="auto"/>
        <w:ind w:firstLine="0"/>
        <w:jc w:val="both"/>
        <w:rPr>
          <w:rFonts w:hint="default" w:ascii="Times New Roman" w:hAnsi="Times New Roman" w:eastAsia="SimSun" w:cs="Times New Roman"/>
          <w:color w:val="000000"/>
          <w:sz w:val="28"/>
          <w:szCs w:val="28"/>
        </w:rPr>
      </w:pPr>
    </w:p>
    <w:p w14:paraId="775124FD">
      <w:pPr>
        <w:wordWrap w:val="0"/>
        <w:spacing w:before="0" w:after="0" w:line="240" w:lineRule="auto"/>
        <w:ind w:left="2940" w:leftChars="0" w:firstLine="980" w:firstLineChars="350"/>
        <w:jc w:val="both"/>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SUBMITTED</w:t>
      </w:r>
      <w:r>
        <w:rPr>
          <w:rFonts w:hint="default" w:ascii="Times New Roman" w:hAnsi="Times New Roman" w:eastAsia="Calibri" w:cs="Times New Roman"/>
          <w:i/>
          <w:color w:val="000000"/>
          <w:sz w:val="28"/>
          <w:szCs w:val="28"/>
        </w:rPr>
        <w:t xml:space="preserve"> TO</w:t>
      </w:r>
    </w:p>
    <w:p w14:paraId="5E4B2BB2">
      <w:pPr>
        <w:wordWrap w:val="0"/>
        <w:spacing w:before="0" w:after="0" w:line="240" w:lineRule="auto"/>
        <w:ind w:firstLine="560" w:firstLineChars="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THE DEPARTMENT OF SCIENCE LABORATORY TECHNOLOGY,</w:t>
      </w:r>
    </w:p>
    <w:p w14:paraId="023E7A6E">
      <w:pPr>
        <w:wordWrap w:val="0"/>
        <w:spacing w:before="0" w:after="0" w:line="216" w:lineRule="auto"/>
        <w:ind w:firstLine="3360" w:firstLineChars="1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(BIOCHEMISTRY UNIT),</w:t>
      </w:r>
    </w:p>
    <w:p w14:paraId="36DE7A4E">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INSTITUTE OF APPLIED SCIENCES (IAS)</w:t>
      </w:r>
    </w:p>
    <w:p w14:paraId="40A9FFCC">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KWARA STATE POLYTECHNIC,ILORIN.</w:t>
      </w:r>
    </w:p>
    <w:p w14:paraId="7A834303">
      <w:pPr>
        <w:wordWrap w:val="0"/>
        <w:spacing w:before="0" w:after="0" w:line="240" w:lineRule="auto"/>
        <w:ind w:firstLine="0"/>
        <w:jc w:val="both"/>
        <w:rPr>
          <w:rFonts w:hint="default" w:ascii="Times New Roman" w:hAnsi="Times New Roman" w:eastAsia="SimSun" w:cs="Times New Roman"/>
          <w:color w:val="000000"/>
          <w:sz w:val="28"/>
          <w:szCs w:val="28"/>
        </w:rPr>
      </w:pPr>
    </w:p>
    <w:p w14:paraId="44D75938">
      <w:pPr>
        <w:wordWrap w:val="0"/>
        <w:spacing w:before="0" w:after="0" w:line="240" w:lineRule="auto"/>
        <w:ind w:firstLine="0"/>
        <w:jc w:val="both"/>
        <w:rPr>
          <w:rFonts w:hint="default" w:ascii="Times New Roman" w:hAnsi="Times New Roman" w:eastAsia="SimSun" w:cs="Times New Roman"/>
          <w:color w:val="000000"/>
          <w:sz w:val="28"/>
          <w:szCs w:val="28"/>
        </w:rPr>
      </w:pPr>
    </w:p>
    <w:p w14:paraId="440FADA1">
      <w:pPr>
        <w:wordWrap w:val="0"/>
        <w:spacing w:before="0" w:after="0" w:line="191" w:lineRule="auto"/>
        <w:ind w:firstLine="736" w:firstLineChars="26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PARTIAL FULFILMENT OF THE REQUIREMENTS FOR THE</w:t>
      </w:r>
    </w:p>
    <w:p w14:paraId="441B975B">
      <w:pPr>
        <w:wordWrap w:val="0"/>
        <w:spacing w:before="13"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AWARD OF HIGHER NATIONAL DIPLOMA (HND)</w:t>
      </w:r>
    </w:p>
    <w:p w14:paraId="31664EBF">
      <w:pPr>
        <w:wordWrap w:val="0"/>
        <w:spacing w:before="32"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SCIENCE LABORATORY TECHNOLOGY (SLT)</w:t>
      </w:r>
    </w:p>
    <w:p w14:paraId="2AB2A32B">
      <w:pPr>
        <w:wordWrap w:val="0"/>
        <w:spacing w:before="0" w:after="0" w:line="240" w:lineRule="auto"/>
        <w:ind w:firstLine="0"/>
        <w:jc w:val="both"/>
        <w:rPr>
          <w:rFonts w:hint="default" w:ascii="Times New Roman" w:hAnsi="Times New Roman" w:eastAsia="SimSun" w:cs="Times New Roman"/>
          <w:color w:val="000000"/>
          <w:sz w:val="28"/>
          <w:szCs w:val="28"/>
        </w:rPr>
      </w:pPr>
    </w:p>
    <w:p w14:paraId="1E2BD6AB">
      <w:pPr>
        <w:wordWrap w:val="0"/>
        <w:spacing w:before="0" w:after="0" w:line="240" w:lineRule="auto"/>
        <w:ind w:firstLine="0"/>
        <w:jc w:val="both"/>
        <w:rPr>
          <w:rFonts w:hint="default" w:ascii="Times New Roman" w:hAnsi="Times New Roman" w:eastAsia="SimSun" w:cs="Times New Roman"/>
          <w:color w:val="000000"/>
          <w:sz w:val="28"/>
          <w:szCs w:val="28"/>
        </w:rPr>
      </w:pPr>
    </w:p>
    <w:p w14:paraId="38CA11FD">
      <w:pPr>
        <w:wordWrap w:val="0"/>
        <w:spacing w:before="0" w:after="0" w:line="240" w:lineRule="auto"/>
        <w:ind w:firstLine="0"/>
        <w:jc w:val="both"/>
        <w:rPr>
          <w:rFonts w:hint="default" w:ascii="Times New Roman" w:hAnsi="Times New Roman" w:eastAsia="SimSun" w:cs="Times New Roman"/>
          <w:color w:val="000000"/>
          <w:sz w:val="28"/>
          <w:szCs w:val="28"/>
        </w:rPr>
      </w:pPr>
    </w:p>
    <w:p w14:paraId="168E38EC">
      <w:pPr>
        <w:wordWrap w:val="0"/>
        <w:spacing w:before="0" w:after="0" w:line="191" w:lineRule="auto"/>
        <w:jc w:val="center"/>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SUPERVISED BY</w:t>
      </w:r>
    </w:p>
    <w:p w14:paraId="23CF42BA">
      <w:pPr>
        <w:wordWrap w:val="0"/>
        <w:spacing w:before="113" w:after="0" w:line="240" w:lineRule="auto"/>
        <w:jc w:val="center"/>
        <w:rPr>
          <w:rFonts w:hint="default" w:ascii="Times New Roman" w:hAnsi="Times New Roman" w:cs="Times New Roman"/>
          <w:sz w:val="28"/>
          <w:szCs w:val="28"/>
        </w:rPr>
      </w:pPr>
      <w:r>
        <w:rPr>
          <w:rFonts w:hint="default" w:ascii="Times New Roman" w:hAnsi="Times New Roman" w:eastAsia="Calibri" w:cs="Times New Roman"/>
          <w:b/>
          <w:color w:val="000000"/>
          <w:sz w:val="28"/>
          <w:szCs w:val="28"/>
        </w:rPr>
        <w:t>MR. ALLI, A. O.</w:t>
      </w:r>
    </w:p>
    <w:p w14:paraId="39B334C5">
      <w:pPr>
        <w:wordWrap w:val="0"/>
        <w:spacing w:before="0" w:after="0" w:line="240" w:lineRule="auto"/>
        <w:ind w:firstLine="0"/>
        <w:jc w:val="both"/>
        <w:rPr>
          <w:rFonts w:hint="default" w:ascii="Times New Roman" w:hAnsi="Times New Roman" w:eastAsia="SimSun" w:cs="Times New Roman"/>
          <w:color w:val="000000"/>
          <w:sz w:val="28"/>
          <w:szCs w:val="28"/>
        </w:rPr>
      </w:pPr>
    </w:p>
    <w:p w14:paraId="4FBB9E38">
      <w:pPr>
        <w:wordWrap w:val="0"/>
        <w:spacing w:before="0" w:after="0" w:line="240" w:lineRule="auto"/>
        <w:ind w:firstLine="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 xml:space="preserve"> </w:t>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p>
    <w:p w14:paraId="5452C812">
      <w:pPr>
        <w:wordWrap w:val="0"/>
        <w:spacing w:before="0" w:after="0" w:line="240" w:lineRule="auto"/>
        <w:ind w:firstLine="0"/>
        <w:jc w:val="both"/>
        <w:rPr>
          <w:rFonts w:hint="default" w:ascii="Times New Roman" w:hAnsi="Times New Roman" w:eastAsia="SimSun" w:cs="Times New Roman"/>
          <w:color w:val="000000"/>
          <w:sz w:val="28"/>
          <w:szCs w:val="28"/>
        </w:rPr>
      </w:pPr>
    </w:p>
    <w:p w14:paraId="0B95ED28">
      <w:pPr>
        <w:wordWrap w:val="0"/>
        <w:spacing w:before="0" w:after="0" w:line="240" w:lineRule="auto"/>
        <w:ind w:left="7560" w:leftChars="0" w:firstLine="420" w:firstLineChars="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July, 2025.</w:t>
      </w:r>
    </w:p>
    <w:p w14:paraId="2FE66D5B">
      <w:pPr>
        <w:wordWrap w:val="0"/>
        <w:spacing w:before="0" w:after="0" w:line="192" w:lineRule="auto"/>
        <w:jc w:val="both"/>
        <w:rPr>
          <w:rFonts w:hint="default" w:ascii="Times New Roman" w:hAnsi="Times New Roman" w:eastAsia="Calibri" w:cs="Times New Roman"/>
          <w:b/>
          <w:color w:val="000000"/>
          <w:sz w:val="28"/>
          <w:szCs w:val="28"/>
        </w:rPr>
      </w:pPr>
    </w:p>
    <w:p w14:paraId="022D6E21">
      <w:pPr>
        <w:wordWrap w:val="0"/>
        <w:spacing w:before="0" w:after="0" w:line="192" w:lineRule="auto"/>
        <w:jc w:val="both"/>
        <w:rPr>
          <w:rFonts w:hint="default" w:ascii="Times New Roman" w:hAnsi="Times New Roman" w:eastAsia="Calibri" w:cs="Times New Roman"/>
          <w:b/>
          <w:color w:val="000000"/>
          <w:sz w:val="28"/>
          <w:szCs w:val="28"/>
        </w:rPr>
      </w:pPr>
    </w:p>
    <w:p w14:paraId="3197D77F">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29A0BC2A">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4D62D4C8">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0660DCFE">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16442E8">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6A8A52E">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450C6D1">
      <w:pPr>
        <w:pStyle w:val="2"/>
        <w:bidi w:val="0"/>
        <w:ind w:left="3600" w:leftChars="0" w:firstLine="720" w:firstLineChars="0"/>
        <w:rPr>
          <w:rFonts w:hint="default" w:ascii="Times New Roman" w:hAnsi="Times New Roman" w:cs="Times New Roman"/>
          <w:szCs w:val="28"/>
        </w:rPr>
      </w:pPr>
      <w:bookmarkStart w:id="0" w:name="_Toc27044"/>
      <w:bookmarkStart w:id="1" w:name="_Toc23823"/>
      <w:r>
        <w:rPr>
          <w:rFonts w:hint="default"/>
        </w:rPr>
        <w:t>CERTIFICATION</w:t>
      </w:r>
      <w:bookmarkEnd w:id="0"/>
      <w:bookmarkEnd w:id="1"/>
    </w:p>
    <w:p w14:paraId="4F922A29">
      <w:pPr>
        <w:wordWrap w:val="0"/>
        <w:spacing w:before="0" w:after="0" w:line="240" w:lineRule="auto"/>
        <w:ind w:firstLine="0"/>
        <w:jc w:val="both"/>
        <w:rPr>
          <w:rFonts w:hint="default" w:ascii="Times New Roman" w:hAnsi="Times New Roman" w:eastAsia="SimSun" w:cs="Times New Roman"/>
          <w:color w:val="000000"/>
          <w:sz w:val="28"/>
          <w:szCs w:val="28"/>
        </w:rPr>
      </w:pPr>
    </w:p>
    <w:p w14:paraId="77433D30">
      <w:pPr>
        <w:wordWrap w:val="0"/>
        <w:spacing w:before="0" w:after="0" w:line="240" w:lineRule="auto"/>
        <w:ind w:firstLine="0"/>
        <w:jc w:val="both"/>
        <w:rPr>
          <w:rFonts w:hint="default" w:ascii="Times New Roman" w:hAnsi="Times New Roman" w:eastAsia="SimSun" w:cs="Times New Roman"/>
          <w:color w:val="000000"/>
          <w:sz w:val="28"/>
          <w:szCs w:val="28"/>
        </w:rPr>
      </w:pPr>
    </w:p>
    <w:p w14:paraId="56AB502E">
      <w:pPr>
        <w:wordWrap w:val="0"/>
        <w:spacing w:before="0" w:after="0" w:line="360" w:lineRule="auto"/>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color w:val="000000"/>
          <w:sz w:val="28"/>
          <w:szCs w:val="28"/>
        </w:rPr>
        <w:t>This is to certify that this project work presented by</w:t>
      </w:r>
      <w:r>
        <w:rPr>
          <w:rFonts w:hint="default" w:ascii="Times New Roman" w:hAnsi="Times New Roman" w:eastAsia="Calibri" w:cs="Times New Roman"/>
          <w:b/>
          <w:color w:val="000000"/>
          <w:sz w:val="28"/>
          <w:szCs w:val="28"/>
        </w:rPr>
        <w:t xml:space="preserve"> DARAMOLA BIDEMI TITILAYO</w:t>
      </w:r>
    </w:p>
    <w:p w14:paraId="6B0100C2">
      <w:pPr>
        <w:wordWrap w:val="0"/>
        <w:spacing w:before="0" w:after="0" w:line="36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 xml:space="preserve"> with Matric No: </w:t>
      </w:r>
      <w:r>
        <w:rPr>
          <w:rFonts w:hint="default" w:ascii="Times New Roman" w:hAnsi="Times New Roman" w:eastAsia="Calibri"/>
          <w:b/>
          <w:bCs/>
          <w:color w:val="000000"/>
          <w:sz w:val="28"/>
          <w:szCs w:val="28"/>
        </w:rPr>
        <w:t>HND/23/SLT/FT/0302</w:t>
      </w:r>
      <w:r>
        <w:rPr>
          <w:rFonts w:hint="default" w:ascii="Times New Roman" w:hAnsi="Times New Roman" w:eastAsia="Calibri" w:cs="Times New Roman"/>
          <w:color w:val="000000"/>
          <w:sz w:val="28"/>
          <w:szCs w:val="28"/>
        </w:rPr>
        <w:t xml:space="preserve">  has been read, approved and submitted to Department of Science Laboratory Technology (Biochemistry Unit), Institute of Applied Sciences (IAS), Kwara State Polytechnic, Ilorin.</w:t>
      </w:r>
    </w:p>
    <w:p w14:paraId="4FCED062">
      <w:pPr>
        <w:wordWrap w:val="0"/>
        <w:spacing w:before="0" w:after="0" w:line="360" w:lineRule="auto"/>
        <w:ind w:firstLine="0"/>
        <w:jc w:val="center"/>
        <w:rPr>
          <w:rFonts w:hint="default" w:ascii="Times New Roman" w:hAnsi="Times New Roman" w:eastAsia="SimSun" w:cs="Times New Roman"/>
          <w:color w:val="000000"/>
          <w:sz w:val="28"/>
          <w:szCs w:val="28"/>
        </w:rPr>
      </w:pPr>
    </w:p>
    <w:p w14:paraId="04ED6568">
      <w:pPr>
        <w:wordWrap w:val="0"/>
        <w:spacing w:before="0" w:after="0" w:line="240" w:lineRule="auto"/>
        <w:ind w:firstLine="0"/>
        <w:jc w:val="both"/>
        <w:rPr>
          <w:rFonts w:hint="default" w:ascii="Times New Roman" w:hAnsi="Times New Roman" w:eastAsia="SimSun" w:cs="Times New Roman"/>
          <w:color w:val="000000"/>
          <w:sz w:val="28"/>
          <w:szCs w:val="28"/>
        </w:rPr>
      </w:pPr>
    </w:p>
    <w:p w14:paraId="06651895">
      <w:pPr>
        <w:wordWrap w:val="0"/>
        <w:spacing w:before="0" w:after="0" w:line="240" w:lineRule="auto"/>
        <w:ind w:firstLine="0"/>
        <w:jc w:val="both"/>
        <w:rPr>
          <w:rFonts w:hint="default" w:ascii="Times New Roman" w:hAnsi="Times New Roman" w:eastAsia="SimSun" w:cs="Times New Roman"/>
          <w:color w:val="000000"/>
          <w:sz w:val="28"/>
          <w:szCs w:val="28"/>
        </w:rPr>
      </w:pPr>
    </w:p>
    <w:p w14:paraId="4F761F32">
      <w:pPr>
        <w:wordWrap w:val="0"/>
        <w:spacing w:before="0" w:after="0" w:line="240" w:lineRule="auto"/>
        <w:ind w:firstLine="0"/>
        <w:jc w:val="both"/>
        <w:rPr>
          <w:rFonts w:hint="default" w:ascii="Times New Roman" w:hAnsi="Times New Roman" w:eastAsia="SimSun" w:cs="Times New Roman"/>
          <w:color w:val="000000"/>
          <w:sz w:val="28"/>
          <w:szCs w:val="28"/>
        </w:rPr>
      </w:pPr>
    </w:p>
    <w:p w14:paraId="41569708">
      <w:pPr>
        <w:wordWrap w:val="0"/>
        <w:spacing w:before="0" w:after="0" w:line="240" w:lineRule="auto"/>
        <w:ind w:firstLine="0"/>
        <w:jc w:val="both"/>
        <w:rPr>
          <w:rFonts w:hint="default" w:ascii="Times New Roman" w:hAnsi="Times New Roman" w:eastAsia="SimSun" w:cs="Times New Roman"/>
          <w:color w:val="000000"/>
          <w:sz w:val="28"/>
          <w:szCs w:val="28"/>
        </w:rPr>
      </w:pPr>
    </w:p>
    <w:p w14:paraId="6A70EDFF">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u w:val="none"/>
        </w:rPr>
      </w:pPr>
      <w:r>
        <w:rPr>
          <w:rFonts w:hint="default" w:ascii="Times New Roman" w:hAnsi="Times New Roman" w:eastAsia="Calibri" w:cs="Times New Roman"/>
          <w:color w:val="000000"/>
          <w:sz w:val="28"/>
          <w:szCs w:val="28"/>
          <w:u w:val="none"/>
        </w:rPr>
        <w:t xml:space="preserve"> ____________________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14:paraId="1BB84C04">
      <w:pPr>
        <w:tabs>
          <w:tab w:val="left" w:pos="8500"/>
        </w:tabs>
        <w:wordWrap w:val="0"/>
        <w:spacing w:before="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ALLI, A. O.</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35DF80DA">
      <w:pPr>
        <w:wordWrap w:val="0"/>
        <w:spacing w:before="19" w:after="0" w:line="24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(SUPERVISOR)</w:t>
      </w:r>
    </w:p>
    <w:p w14:paraId="3A2B4E19">
      <w:pPr>
        <w:wordWrap w:val="0"/>
        <w:spacing w:before="0" w:after="0" w:line="240" w:lineRule="auto"/>
        <w:ind w:firstLine="0"/>
        <w:jc w:val="both"/>
        <w:rPr>
          <w:rFonts w:hint="default" w:ascii="Times New Roman" w:hAnsi="Times New Roman" w:eastAsia="SimSun" w:cs="Times New Roman"/>
          <w:color w:val="000000"/>
          <w:sz w:val="28"/>
          <w:szCs w:val="28"/>
        </w:rPr>
      </w:pPr>
    </w:p>
    <w:p w14:paraId="44C8CF4F">
      <w:pPr>
        <w:wordWrap w:val="0"/>
        <w:spacing w:before="0" w:after="0" w:line="240" w:lineRule="auto"/>
        <w:ind w:firstLine="0"/>
        <w:jc w:val="both"/>
        <w:rPr>
          <w:rFonts w:hint="default" w:ascii="Times New Roman" w:hAnsi="Times New Roman" w:eastAsia="SimSun" w:cs="Times New Roman"/>
          <w:color w:val="000000"/>
          <w:sz w:val="28"/>
          <w:szCs w:val="28"/>
        </w:rPr>
      </w:pPr>
    </w:p>
    <w:p w14:paraId="13B68C25">
      <w:pPr>
        <w:wordWrap w:val="0"/>
        <w:spacing w:before="0" w:after="0" w:line="240" w:lineRule="auto"/>
        <w:ind w:firstLine="0"/>
        <w:jc w:val="both"/>
        <w:rPr>
          <w:rFonts w:hint="default" w:ascii="Times New Roman" w:hAnsi="Times New Roman" w:eastAsia="SimSun" w:cs="Times New Roman"/>
          <w:color w:val="000000"/>
          <w:sz w:val="28"/>
          <w:szCs w:val="28"/>
        </w:rPr>
      </w:pPr>
    </w:p>
    <w:p w14:paraId="1D1F6A75">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rPr>
      </w:pPr>
      <w:r>
        <w:rPr>
          <w:rFonts w:hint="default" w:ascii="Times New Roman" w:hAnsi="Times New Roman" w:eastAsia="Calibri" w:cs="Times New Roman"/>
          <w:color w:val="000000"/>
          <w:sz w:val="28"/>
          <w:szCs w:val="28"/>
          <w:u w:val="none"/>
        </w:rPr>
        <w:t xml:space="preserve"> ____________________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w:t>
      </w:r>
    </w:p>
    <w:p w14:paraId="6E5E9183">
      <w:pPr>
        <w:tabs>
          <w:tab w:val="left" w:pos="8500"/>
        </w:tabs>
        <w:wordWrap w:val="0"/>
        <w:spacing w:before="0" w:after="0" w:line="192"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MRS. SALUADEEN, K.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79210C28">
      <w:pPr>
        <w:wordWrap w:val="0"/>
        <w:spacing w:before="203"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UNIT (BIOCHEMISTRY)</w:t>
      </w:r>
    </w:p>
    <w:p w14:paraId="50258659">
      <w:pPr>
        <w:wordWrap w:val="0"/>
        <w:spacing w:before="0" w:after="0" w:line="240" w:lineRule="auto"/>
        <w:ind w:firstLine="0"/>
        <w:jc w:val="both"/>
        <w:rPr>
          <w:rFonts w:hint="default" w:ascii="Times New Roman" w:hAnsi="Times New Roman" w:eastAsia="SimSun" w:cs="Times New Roman"/>
          <w:color w:val="000000"/>
          <w:sz w:val="28"/>
          <w:szCs w:val="28"/>
        </w:rPr>
      </w:pPr>
    </w:p>
    <w:p w14:paraId="49DA5CA9">
      <w:pPr>
        <w:wordWrap w:val="0"/>
        <w:spacing w:before="0" w:after="0" w:line="240" w:lineRule="auto"/>
        <w:ind w:firstLine="0"/>
        <w:jc w:val="both"/>
        <w:rPr>
          <w:rFonts w:hint="default" w:ascii="Times New Roman" w:hAnsi="Times New Roman" w:eastAsia="SimSun" w:cs="Times New Roman"/>
          <w:color w:val="000000"/>
          <w:sz w:val="28"/>
          <w:szCs w:val="28"/>
        </w:rPr>
      </w:pPr>
    </w:p>
    <w:p w14:paraId="4AB26730">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rPr>
      </w:pPr>
      <w:r>
        <w:rPr>
          <w:rFonts w:hint="default" w:ascii="Times New Roman" w:hAnsi="Times New Roman" w:eastAsia="Calibri" w:cs="Times New Roman"/>
          <w:color w:val="000000"/>
          <w:sz w:val="28"/>
          <w:szCs w:val="28"/>
          <w:u w:val="none"/>
        </w:rPr>
        <w:t xml:space="preserve"> ____________________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14:paraId="6ADA10C2">
      <w:pPr>
        <w:tabs>
          <w:tab w:val="left" w:pos="8500"/>
        </w:tabs>
        <w:wordWrap w:val="0"/>
        <w:spacing w:before="2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USMAN,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20617549">
      <w:pPr>
        <w:wordWrap w:val="0"/>
        <w:spacing w:before="12"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DETARTMENT(SLT)</w:t>
      </w:r>
    </w:p>
    <w:p w14:paraId="71ABC6E7">
      <w:pPr>
        <w:spacing w:line="480" w:lineRule="auto"/>
        <w:jc w:val="both"/>
        <w:rPr>
          <w:rFonts w:hint="default" w:ascii="Times New Roman" w:hAnsi="Times New Roman"/>
          <w:b/>
          <w:bCs/>
          <w:sz w:val="24"/>
          <w:szCs w:val="24"/>
          <w:lang/>
        </w:rPr>
      </w:pPr>
    </w:p>
    <w:p w14:paraId="7087E771">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u w:val="none"/>
        </w:rPr>
      </w:pPr>
      <w:r>
        <w:rPr>
          <w:rFonts w:hint="default" w:ascii="Times New Roman" w:hAnsi="Times New Roman" w:eastAsia="Calibri" w:cs="Times New Roman"/>
          <w:color w:val="000000"/>
          <w:sz w:val="28"/>
          <w:szCs w:val="28"/>
          <w:u w:val="none"/>
        </w:rPr>
        <w:t xml:space="preserve"> ____________________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14:paraId="7CF9E6B9">
      <w:pPr>
        <w:spacing w:line="480" w:lineRule="auto"/>
        <w:jc w:val="both"/>
        <w:rPr>
          <w:rFonts w:hint="default" w:ascii="Times New Roman" w:hAnsi="Times New Roman"/>
          <w:b w:val="0"/>
          <w:bCs w:val="0"/>
          <w:sz w:val="24"/>
          <w:szCs w:val="24"/>
          <w:lang/>
        </w:rPr>
      </w:pPr>
      <w:r>
        <w:rPr>
          <w:rFonts w:hint="default" w:ascii="Times New Roman" w:hAnsi="Times New Roman"/>
          <w:b w:val="0"/>
          <w:bCs w:val="0"/>
          <w:sz w:val="24"/>
          <w:szCs w:val="24"/>
          <w:lang/>
        </w:rPr>
        <w:t>SIGNATURE</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DATE</w:t>
      </w:r>
      <w:bookmarkStart w:id="172" w:name="_GoBack"/>
      <w:bookmarkEnd w:id="172"/>
    </w:p>
    <w:p w14:paraId="65FA8407">
      <w:pPr>
        <w:spacing w:line="480" w:lineRule="auto"/>
        <w:ind w:left="2160" w:firstLine="720"/>
        <w:jc w:val="both"/>
        <w:rPr>
          <w:rFonts w:ascii="Times New Roman" w:hAnsi="Times New Roman"/>
          <w:b/>
          <w:bCs/>
          <w:sz w:val="24"/>
          <w:szCs w:val="24"/>
        </w:rPr>
      </w:pPr>
    </w:p>
    <w:p w14:paraId="56A7E0FA">
      <w:pPr>
        <w:spacing w:line="480" w:lineRule="auto"/>
        <w:ind w:left="2160" w:firstLine="720"/>
        <w:jc w:val="both"/>
        <w:rPr>
          <w:rFonts w:ascii="Times New Roman" w:hAnsi="Times New Roman"/>
          <w:b/>
          <w:bCs/>
          <w:sz w:val="24"/>
          <w:szCs w:val="24"/>
        </w:rPr>
      </w:pPr>
    </w:p>
    <w:p w14:paraId="016EA7E6">
      <w:pPr>
        <w:spacing w:line="480" w:lineRule="auto"/>
        <w:ind w:left="2160" w:firstLine="720"/>
        <w:jc w:val="both"/>
        <w:rPr>
          <w:rFonts w:ascii="Times New Roman" w:hAnsi="Times New Roman"/>
          <w:b/>
          <w:bCs/>
          <w:sz w:val="24"/>
          <w:szCs w:val="24"/>
        </w:rPr>
      </w:pPr>
    </w:p>
    <w:p w14:paraId="0D2BC433">
      <w:pPr>
        <w:spacing w:line="480" w:lineRule="auto"/>
        <w:ind w:left="2160" w:firstLine="720"/>
        <w:jc w:val="both"/>
        <w:rPr>
          <w:rFonts w:ascii="Times New Roman" w:hAnsi="Times New Roman"/>
          <w:b/>
          <w:bCs/>
          <w:sz w:val="24"/>
          <w:szCs w:val="24"/>
        </w:rPr>
      </w:pPr>
    </w:p>
    <w:p w14:paraId="442A5253">
      <w:pPr>
        <w:spacing w:line="480" w:lineRule="auto"/>
        <w:jc w:val="both"/>
        <w:rPr>
          <w:rFonts w:ascii="Times New Roman" w:hAnsi="Times New Roman"/>
          <w:b/>
          <w:bCs/>
          <w:sz w:val="24"/>
          <w:szCs w:val="24"/>
        </w:rPr>
      </w:pPr>
    </w:p>
    <w:p w14:paraId="3EACE296">
      <w:pPr>
        <w:rPr>
          <w:rFonts w:ascii="Times New Roman" w:hAnsi="Times New Roman"/>
          <w:b/>
          <w:bCs/>
          <w:sz w:val="24"/>
          <w:szCs w:val="24"/>
        </w:rPr>
      </w:pPr>
      <w:r>
        <w:rPr>
          <w:rFonts w:ascii="Times New Roman" w:hAnsi="Times New Roman"/>
          <w:b/>
          <w:bCs/>
          <w:sz w:val="24"/>
          <w:szCs w:val="24"/>
        </w:rPr>
        <w:br w:type="page"/>
      </w:r>
    </w:p>
    <w:p w14:paraId="0E078EEA">
      <w:pPr>
        <w:pStyle w:val="2"/>
        <w:bidi w:val="0"/>
        <w:spacing w:line="240" w:lineRule="auto"/>
        <w:ind w:left="2880" w:leftChars="0" w:firstLine="720" w:firstLineChars="0"/>
        <w:rPr>
          <w:rFonts w:hint="default" w:ascii="Times New Roman" w:hAnsi="Times New Roman" w:cs="Times New Roman"/>
          <w:b/>
          <w:bCs/>
          <w:sz w:val="28"/>
          <w:szCs w:val="28"/>
        </w:rPr>
      </w:pPr>
      <w:bookmarkStart w:id="2" w:name="_Toc66"/>
      <w:bookmarkStart w:id="3" w:name="_Toc15958"/>
      <w:bookmarkStart w:id="4" w:name="_Toc27632"/>
      <w:bookmarkStart w:id="5" w:name="_Toc22297"/>
      <w:r>
        <w:rPr>
          <w:rFonts w:hint="default" w:ascii="Times New Roman" w:hAnsi="Times New Roman" w:cs="Times New Roman"/>
          <w:sz w:val="28"/>
          <w:szCs w:val="28"/>
        </w:rPr>
        <w:t>DEDICATION</w:t>
      </w:r>
      <w:bookmarkEnd w:id="2"/>
      <w:bookmarkEnd w:id="3"/>
      <w:bookmarkEnd w:id="4"/>
      <w:bookmarkEnd w:id="5"/>
    </w:p>
    <w:p w14:paraId="5FEA2B0D">
      <w:pPr>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 dedicate this project to Almighty God the author and the finisher of my life l,secondly to my able supervisor Mr. ALLI, A.O which is a great supporter and lecturer indeed.</w:t>
      </w:r>
    </w:p>
    <w:p w14:paraId="1E68BDC9">
      <w:pPr>
        <w:spacing w:line="360" w:lineRule="auto"/>
        <w:rPr>
          <w:rFonts w:hint="default" w:ascii="Times New Roman" w:hAnsi="Times New Roman" w:cs="Times New Roman"/>
          <w:b w:val="0"/>
          <w:bCs w:val="0"/>
          <w:sz w:val="24"/>
          <w:szCs w:val="24"/>
        </w:rPr>
      </w:pPr>
    </w:p>
    <w:p w14:paraId="7A65DF2A">
      <w:pPr>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4157CCDA">
      <w:pPr>
        <w:pStyle w:val="2"/>
        <w:bidi w:val="0"/>
        <w:spacing w:line="240" w:lineRule="auto"/>
        <w:ind w:left="1440" w:leftChars="0" w:firstLine="720" w:firstLineChars="0"/>
        <w:rPr>
          <w:rFonts w:hint="default" w:ascii="Times New Roman" w:hAnsi="Times New Roman" w:cs="Times New Roman"/>
          <w:b/>
          <w:bCs/>
          <w:sz w:val="28"/>
          <w:szCs w:val="28"/>
        </w:rPr>
      </w:pPr>
      <w:bookmarkStart w:id="6" w:name="_Toc283"/>
      <w:bookmarkStart w:id="7" w:name="_Toc9979"/>
      <w:bookmarkStart w:id="8" w:name="_Toc8873"/>
      <w:bookmarkStart w:id="9" w:name="_Toc18481"/>
      <w:r>
        <w:rPr>
          <w:rFonts w:hint="default" w:ascii="Times New Roman" w:hAnsi="Times New Roman" w:cs="Times New Roman"/>
          <w:sz w:val="28"/>
          <w:szCs w:val="28"/>
        </w:rPr>
        <w:t>ACKNOWLEDGEMENT</w:t>
      </w:r>
      <w:bookmarkEnd w:id="6"/>
      <w:bookmarkEnd w:id="7"/>
      <w:bookmarkEnd w:id="8"/>
      <w:bookmarkEnd w:id="9"/>
    </w:p>
    <w:p w14:paraId="2786917B">
      <w:pPr>
        <w:wordWrap w:val="0"/>
        <w:spacing w:before="20" w:after="0" w:line="360" w:lineRule="auto"/>
        <w:ind w:right="80"/>
        <w:jc w:val="both"/>
        <w:rPr>
          <w:rFonts w:hint="default" w:ascii="Times New Roman" w:hAnsi="Times New Roman" w:cs="Times New Roman"/>
          <w:sz w:val="24"/>
          <w:szCs w:val="24"/>
        </w:rPr>
      </w:pPr>
      <w:r>
        <w:rPr>
          <w:rFonts w:hint="default" w:ascii="Times New Roman" w:hAnsi="Times New Roman" w:eastAsia="Calibri" w:cs="Times New Roman"/>
          <w:color w:val="000000"/>
          <w:sz w:val="24"/>
          <w:szCs w:val="24"/>
        </w:rPr>
        <w:t>I wish to express my profound gratitude to God Almighty for His protection,wisdom, and guidance throughout the duration of this project and my academic journey to him alone all the praise</w:t>
      </w:r>
    </w:p>
    <w:p w14:paraId="28D79BD5">
      <w:pPr>
        <w:wordWrap w:val="0"/>
        <w:spacing w:before="200" w:after="0" w:line="360" w:lineRule="auto"/>
        <w:ind w:right="740"/>
        <w:jc w:val="both"/>
        <w:rPr>
          <w:rFonts w:hint="default" w:ascii="Times New Roman" w:hAnsi="Times New Roman" w:cs="Times New Roman"/>
          <w:sz w:val="24"/>
          <w:szCs w:val="24"/>
        </w:rPr>
      </w:pPr>
      <w:r>
        <w:rPr>
          <w:rFonts w:hint="default" w:ascii="Times New Roman" w:hAnsi="Times New Roman" w:eastAsia="Calibri" w:cs="Times New Roman"/>
          <w:color w:val="000000"/>
          <w:sz w:val="24"/>
          <w:szCs w:val="24"/>
        </w:rPr>
        <w:t>My sincere appreciation goes to my project supervisor,MR ALLI A.O whose dedication,professional insight,and constructive suggestions played a vital role in the successful completion of this work.</w:t>
      </w:r>
    </w:p>
    <w:p w14:paraId="7A1BA37E">
      <w:pPr>
        <w:wordWrap w:val="0"/>
        <w:spacing w:before="0" w:after="0" w:line="360" w:lineRule="auto"/>
        <w:ind w:firstLine="0"/>
        <w:jc w:val="both"/>
        <w:rPr>
          <w:rFonts w:hint="default" w:ascii="Times New Roman" w:hAnsi="Times New Roman" w:eastAsia="SimSun" w:cs="Times New Roman"/>
          <w:color w:val="000000"/>
          <w:sz w:val="24"/>
          <w:szCs w:val="24"/>
        </w:rPr>
      </w:pPr>
    </w:p>
    <w:p w14:paraId="2BC147DD">
      <w:pPr>
        <w:wordWrap w:val="0"/>
        <w:spacing w:before="0" w:after="0" w:line="360" w:lineRule="auto"/>
        <w:ind w:right="80"/>
        <w:jc w:val="both"/>
        <w:rPr>
          <w:rFonts w:hint="default" w:ascii="Times New Roman" w:hAnsi="Times New Roman" w:cs="Times New Roman"/>
          <w:sz w:val="24"/>
          <w:szCs w:val="24"/>
        </w:rPr>
      </w:pPr>
      <w:r>
        <w:rPr>
          <w:rFonts w:hint="default" w:ascii="Times New Roman" w:hAnsi="Times New Roman" w:eastAsia="Calibri" w:cs="Times New Roman"/>
          <w:color w:val="000000"/>
          <w:sz w:val="24"/>
          <w:szCs w:val="24"/>
        </w:rPr>
        <w:t>I grateful acknowledge the support of my HOD, Dr USMAN A. moreso,my appreciation goes to the HOU of biochemistry unit Mrs SALAUDEEN K.A</w:t>
      </w:r>
    </w:p>
    <w:p w14:paraId="796D3FCE">
      <w:pPr>
        <w:wordWrap w:val="0"/>
        <w:spacing w:before="232" w:after="0" w:line="360" w:lineRule="auto"/>
        <w:ind w:right="420"/>
        <w:jc w:val="both"/>
        <w:rPr>
          <w:rFonts w:hint="default" w:ascii="Times New Roman" w:hAnsi="Times New Roman" w:eastAsia="Calibri" w:cs="Times New Roman"/>
          <w:color w:val="000000"/>
          <w:sz w:val="24"/>
          <w:szCs w:val="24"/>
        </w:rPr>
      </w:pPr>
      <w:r>
        <w:rPr>
          <w:rFonts w:hint="default" w:ascii="Times New Roman" w:hAnsi="Times New Roman" w:eastAsia="Calibri" w:cs="Times New Roman"/>
          <w:color w:val="000000"/>
          <w:sz w:val="24"/>
          <w:szCs w:val="24"/>
        </w:rPr>
        <w:t>I am also grateful to the lecturers and staff of the Biochemistry unit for their consistent support, encouragement, and the solid academic foundation they provided.</w:t>
      </w:r>
    </w:p>
    <w:p w14:paraId="4F241F97">
      <w:pPr>
        <w:wordWrap w:val="0"/>
        <w:spacing w:before="0" w:after="0" w:line="360" w:lineRule="auto"/>
        <w:ind w:right="40"/>
        <w:jc w:val="both"/>
        <w:rPr>
          <w:rFonts w:hint="default" w:ascii="Times New Roman" w:hAnsi="Times New Roman" w:cs="Times New Roman"/>
          <w:sz w:val="24"/>
          <w:szCs w:val="24"/>
        </w:rPr>
      </w:pPr>
      <w:r>
        <w:rPr>
          <w:rFonts w:hint="default" w:ascii="Times New Roman" w:hAnsi="Times New Roman" w:eastAsia="Calibri" w:cs="Times New Roman"/>
          <w:color w:val="000000"/>
          <w:sz w:val="24"/>
          <w:szCs w:val="24"/>
        </w:rPr>
        <w:t>I really want to specially thank my parents Mr&amp;mrs DARAMOLA and my loved ones for their endless support, prayers,and understanding during the challenging moments of this project.</w:t>
      </w:r>
    </w:p>
    <w:p w14:paraId="46491695">
      <w:pPr>
        <w:wordWrap w:val="0"/>
        <w:spacing w:before="176" w:after="0" w:line="360" w:lineRule="auto"/>
        <w:ind w:right="360"/>
        <w:jc w:val="both"/>
        <w:rPr>
          <w:rFonts w:hint="default" w:ascii="Times New Roman" w:hAnsi="Times New Roman" w:cs="Times New Roman"/>
          <w:sz w:val="24"/>
          <w:szCs w:val="24"/>
        </w:rPr>
      </w:pPr>
      <w:r>
        <w:rPr>
          <w:rFonts w:hint="default" w:ascii="Times New Roman" w:hAnsi="Times New Roman" w:eastAsia="Calibri" w:cs="Times New Roman"/>
          <w:color w:val="000000"/>
          <w:sz w:val="24"/>
          <w:szCs w:val="24"/>
        </w:rPr>
        <w:t>Lastly,I acknowledge my colleagues and friends for their encouragement,collaboration, and assistance. Your support made this journey a fulfilling one.Thank you all.</w:t>
      </w:r>
    </w:p>
    <w:p w14:paraId="4D2DE401">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268E805D">
      <w:pPr>
        <w:spacing w:line="360" w:lineRule="auto"/>
        <w:jc w:val="left"/>
        <w:rPr>
          <w:rFonts w:hint="default" w:ascii="Times New Roman" w:hAnsi="Times New Roman" w:cs="Times New Roman"/>
          <w:b w:val="0"/>
          <w:bCs w:val="0"/>
          <w:sz w:val="24"/>
          <w:szCs w:val="24"/>
        </w:rPr>
        <w:sectPr>
          <w:footerReference r:id="rId3" w:type="default"/>
          <w:pgSz w:w="11900" w:h="16800"/>
          <w:pgMar w:top="960" w:right="720" w:bottom="720" w:left="720" w:header="480" w:footer="360" w:gutter="0"/>
          <w:pgNumType w:fmt="upperRoman"/>
          <w:cols w:space="720" w:num="1"/>
          <w:titlePg/>
        </w:sectPr>
      </w:pPr>
    </w:p>
    <w:p w14:paraId="70103E92">
      <w:pPr>
        <w:rPr>
          <w:rFonts w:ascii="Times New Roman" w:hAnsi="Times New Roman"/>
          <w:b/>
          <w:bCs/>
          <w:sz w:val="24"/>
          <w:szCs w:val="24"/>
        </w:rPr>
      </w:pPr>
    </w:p>
    <w:p w14:paraId="74FF8CCD">
      <w:pPr>
        <w:pStyle w:val="2"/>
        <w:bidi w:val="0"/>
        <w:spacing w:line="240" w:lineRule="auto"/>
        <w:ind w:left="1440" w:leftChars="0" w:firstLine="1431" w:firstLineChars="509"/>
        <w:rPr>
          <w:rFonts w:hint="default" w:ascii="Times New Roman" w:hAnsi="Times New Roman" w:cs="Times New Roman"/>
          <w:sz w:val="28"/>
          <w:szCs w:val="28"/>
        </w:rPr>
      </w:pPr>
      <w:bookmarkStart w:id="10" w:name="_Toc11809"/>
      <w:bookmarkStart w:id="11" w:name="_Toc24517"/>
      <w:bookmarkStart w:id="12" w:name="_Toc25914"/>
      <w:r>
        <w:rPr>
          <w:rFonts w:hint="default" w:ascii="Times New Roman" w:hAnsi="Times New Roman" w:cs="Times New Roman"/>
          <w:sz w:val="28"/>
          <w:szCs w:val="28"/>
        </w:rPr>
        <w:t>LIST OF FIGURES</w:t>
      </w:r>
      <w:bookmarkEnd w:id="10"/>
      <w:bookmarkEnd w:id="11"/>
      <w:bookmarkEnd w:id="12"/>
    </w:p>
    <w:p w14:paraId="7E1F063F">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Figures</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Title</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Page</w:t>
      </w:r>
    </w:p>
    <w:p w14:paraId="3EAB016B">
      <w:pPr>
        <w:spacing w:line="360" w:lineRule="auto"/>
        <w:rPr>
          <w:rFonts w:hint="default" w:ascii="Times New Roman" w:hAnsi="Times New Roman"/>
          <w:b w:val="0"/>
          <w:bCs w:val="0"/>
          <w:sz w:val="24"/>
          <w:szCs w:val="24"/>
        </w:rPr>
      </w:pPr>
      <w:r>
        <w:rPr>
          <w:rFonts w:hint="default" w:ascii="Times New Roman" w:hAnsi="Times New Roman" w:cs="Times New Roman"/>
          <w:b w:val="0"/>
          <w:bCs w:val="0"/>
          <w:sz w:val="24"/>
          <w:szCs w:val="24"/>
        </w:rPr>
        <w:t>Figure 2.1</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 xml:space="preserve">         </w:t>
      </w:r>
      <w:r>
        <w:rPr>
          <w:rFonts w:hint="default" w:ascii="Times New Roman" w:hAnsi="Times New Roman"/>
          <w:b w:val="0"/>
          <w:bCs w:val="0"/>
          <w:sz w:val="24"/>
          <w:szCs w:val="24"/>
        </w:rPr>
        <w:t>Pathophysiology of Erectile Dysfunction</w:t>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18</w:t>
      </w:r>
    </w:p>
    <w:p w14:paraId="2447B90B">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4.1</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 xml:space="preserve">Syzygium aromaticum </w:t>
      </w:r>
      <w:r>
        <w:rPr>
          <w:rFonts w:ascii="Times New Roman" w:hAnsi="Times New Roman" w:eastAsia="SimSun" w:cs="Times New Roman"/>
          <w:b w:val="0"/>
          <w:bCs w:val="0"/>
          <w:sz w:val="24"/>
          <w:szCs w:val="24"/>
        </w:rPr>
        <w:t>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14:paraId="03B72FAD">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4.2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14:paraId="41F091DD">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4.3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GC-MS Chromatogram of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Aqueous Extract</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29</w:t>
      </w:r>
    </w:p>
    <w:p w14:paraId="5427AF89">
      <w:pPr>
        <w:rPr>
          <w:rFonts w:hint="default" w:ascii="Times New Roman" w:hAnsi="Times New Roman" w:cs="Times New Roman"/>
          <w:b w:val="0"/>
          <w:bCs w:val="0"/>
          <w:sz w:val="24"/>
          <w:szCs w:val="24"/>
        </w:rPr>
      </w:pPr>
      <w:r>
        <w:rPr>
          <w:rFonts w:ascii="Times New Roman" w:hAnsi="Times New Roman" w:cs="Times New Roman"/>
          <w:b w:val="0"/>
          <w:bCs w:val="0"/>
          <w:sz w:val="24"/>
          <w:szCs w:val="24"/>
        </w:rPr>
        <w:t>Figure 4.4</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SP Docking of Bioactive Compounds of </w:t>
      </w:r>
      <w:r>
        <w:rPr>
          <w:rFonts w:ascii="Times New Roman" w:hAnsi="Times New Roman" w:cs="Times New Roman"/>
          <w:b w:val="0"/>
          <w:bCs w:val="0"/>
          <w:i/>
          <w:iCs/>
          <w:sz w:val="24"/>
          <w:szCs w:val="24"/>
        </w:rPr>
        <w:t>S. aromatic</w:t>
      </w:r>
      <w:r>
        <w:rPr>
          <w:rFonts w:ascii="Times New Roman" w:hAnsi="Times New Roman" w:cs="Times New Roman"/>
          <w:b w:val="0"/>
          <w:bCs w:val="0"/>
          <w:sz w:val="24"/>
          <w:szCs w:val="24"/>
        </w:rPr>
        <w:t xml:space="preserve"> 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32</w:t>
      </w:r>
    </w:p>
    <w:p w14:paraId="4D691F6A">
      <w:pPr>
        <w:ind w:left="2160" w:leftChars="0" w:firstLine="720" w:firstLineChars="0"/>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14:paraId="031FB53B">
      <w:pPr>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Figure 4.5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XP Docking of Bioactive Compounds of </w:t>
      </w:r>
      <w:r>
        <w:rPr>
          <w:rFonts w:ascii="Times New Roman" w:hAnsi="Times New Roman" w:cs="Times New Roman"/>
          <w:b w:val="0"/>
          <w:bCs w:val="0"/>
          <w:i/>
          <w:iCs/>
          <w:sz w:val="24"/>
          <w:szCs w:val="24"/>
        </w:rPr>
        <w:t xml:space="preserve">S. aromatic </w:t>
      </w:r>
      <w:r>
        <w:rPr>
          <w:rFonts w:ascii="Times New Roman" w:hAnsi="Times New Roman" w:cs="Times New Roman"/>
          <w:b w:val="0"/>
          <w:bCs w:val="0"/>
          <w:sz w:val="24"/>
          <w:szCs w:val="24"/>
        </w:rPr>
        <w:t xml:space="preserve">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33</w:t>
      </w:r>
    </w:p>
    <w:p w14:paraId="0667338A">
      <w:pPr>
        <w:ind w:left="2160" w:leftChars="0" w:firstLine="720" w:firstLineChars="0"/>
        <w:jc w:val="both"/>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14:paraId="1B1D81CC">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4.6</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 SP and XP Docking Interactions of Acetylcholinesterase with Donepezil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34</w:t>
      </w:r>
    </w:p>
    <w:p w14:paraId="0054855F">
      <w:pPr>
        <w:ind w:firstLine="1581" w:firstLineChars="659"/>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 SP Docking Interaction of AChE with Donepezil; B: XP Docking</w:t>
      </w:r>
    </w:p>
    <w:p w14:paraId="5E7C46E3">
      <w:p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Interaction of AChE with Donepezil).</w:t>
      </w:r>
    </w:p>
    <w:p w14:paraId="0934C061">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4.7</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SP and XP Docking Interactions of Acetylcholinesterase with</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35</w:t>
      </w:r>
    </w:p>
    <w:p w14:paraId="3BDF0439">
      <w:pPr>
        <w:numPr>
          <w:ilvl w:val="0"/>
          <w:numId w:val="1"/>
        </w:numPr>
        <w:ind w:left="1500" w:leftChars="0" w:firstLine="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ethyl-2H-Benzotriazole (A: SP Docking Interaction of AChE with </w:t>
      </w:r>
    </w:p>
    <w:p w14:paraId="6CA610B7">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 B: XP Docking Interaction of AChE with</w:t>
      </w:r>
    </w:p>
    <w:p w14:paraId="6491843B">
      <w:pPr>
        <w:numPr>
          <w:ilvl w:val="0"/>
          <w:numId w:val="0"/>
        </w:numPr>
        <w:ind w:left="1500" w:leftChars="0" w:firstLine="1439"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2-ethyl-2H-Benzotriazole).</w:t>
      </w:r>
    </w:p>
    <w:p w14:paraId="1513B16F">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4.8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SP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37</w:t>
      </w:r>
    </w:p>
    <w:p w14:paraId="61D26310">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14:paraId="3A4361D9">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4.9</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XP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38</w:t>
      </w:r>
    </w:p>
    <w:p w14:paraId="7A2A1737">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14:paraId="508ABFE3">
      <w:pPr>
        <w:jc w:val="both"/>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4.10 </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bCs/>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39</w:t>
      </w:r>
    </w:p>
    <w:p w14:paraId="0781A2BB">
      <w:pPr>
        <w:jc w:val="both"/>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with Captopril (A: SP Docking Interaction of ACE with Captopril; </w:t>
      </w:r>
    </w:p>
    <w:p w14:paraId="04F7F460">
      <w:pPr>
        <w:ind w:left="1440" w:leftChars="0" w:firstLine="720" w:firstLineChars="0"/>
        <w:jc w:val="both"/>
        <w:rPr>
          <w:rFonts w:ascii="Times New Roman" w:hAnsi="Times New Roman" w:eastAsia="SimSun" w:cs="Times New Roman"/>
          <w:b/>
          <w:bCs/>
          <w:sz w:val="24"/>
          <w:szCs w:val="24"/>
        </w:rPr>
      </w:pPr>
      <w:r>
        <w:rPr>
          <w:rFonts w:ascii="Times New Roman" w:hAnsi="Times New Roman" w:eastAsia="SimSun" w:cs="Times New Roman"/>
          <w:b w:val="0"/>
          <w:bCs w:val="0"/>
          <w:sz w:val="24"/>
          <w:szCs w:val="24"/>
        </w:rPr>
        <w:t>B: XP Docking Interaction of ACE with Captopril).</w:t>
      </w:r>
    </w:p>
    <w:p w14:paraId="4A286C90">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4.11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40</w:t>
      </w:r>
    </w:p>
    <w:p w14:paraId="4A5EE4F5">
      <w:pPr>
        <w:numPr>
          <w:ilvl w:val="0"/>
          <w:numId w:val="0"/>
        </w:numPr>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with 2-ethyl-2H-Benzotriazole (A: SP Docking Interaction of ACE with</w:t>
      </w:r>
    </w:p>
    <w:p w14:paraId="7819C877">
      <w:pPr>
        <w:numPr>
          <w:ilvl w:val="0"/>
          <w:numId w:val="0"/>
        </w:numPr>
        <w:ind w:left="1500" w:leftChars="0"/>
        <w:rPr>
          <w:rFonts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2- </w:t>
      </w:r>
      <w:r>
        <w:rPr>
          <w:rFonts w:ascii="Times New Roman" w:hAnsi="Times New Roman" w:eastAsia="SimSun" w:cs="Times New Roman"/>
          <w:b w:val="0"/>
          <w:bCs w:val="0"/>
          <w:sz w:val="24"/>
          <w:szCs w:val="24"/>
        </w:rPr>
        <w:t xml:space="preserve">ethyl-2H-Benzotriazole; B: XP Docking Interaction of ACE with </w:t>
      </w:r>
    </w:p>
    <w:p w14:paraId="05134573">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w:t>
      </w:r>
    </w:p>
    <w:p w14:paraId="2CB6C668">
      <w:pPr>
        <w:numPr>
          <w:ilvl w:val="0"/>
          <w:numId w:val="0"/>
        </w:numPr>
        <w:rPr>
          <w:rFonts w:ascii="Times New Roman" w:hAnsi="Times New Roman" w:eastAsia="SimSun" w:cs="Times New Roman"/>
          <w:b w:val="0"/>
          <w:bCs w:val="0"/>
          <w:sz w:val="24"/>
          <w:szCs w:val="24"/>
        </w:rPr>
      </w:pPr>
    </w:p>
    <w:p w14:paraId="64B80CDB">
      <w:pPr>
        <w:numPr>
          <w:ilvl w:val="0"/>
          <w:numId w:val="0"/>
        </w:numPr>
        <w:rPr>
          <w:rFonts w:ascii="Times New Roman" w:hAnsi="Times New Roman" w:eastAsia="SimSun" w:cs="Times New Roman"/>
          <w:b w:val="0"/>
          <w:bCs w:val="0"/>
          <w:sz w:val="24"/>
          <w:szCs w:val="24"/>
        </w:rPr>
      </w:pPr>
    </w:p>
    <w:p w14:paraId="179E9052">
      <w:pPr>
        <w:numPr>
          <w:ilvl w:val="0"/>
          <w:numId w:val="0"/>
        </w:numPr>
        <w:rPr>
          <w:rFonts w:ascii="Times New Roman" w:hAnsi="Times New Roman" w:eastAsia="SimSun" w:cs="Times New Roman"/>
          <w:b w:val="0"/>
          <w:bCs w:val="0"/>
          <w:sz w:val="24"/>
          <w:szCs w:val="24"/>
        </w:rPr>
      </w:pPr>
    </w:p>
    <w:p w14:paraId="7D29CE90">
      <w:pPr>
        <w:spacing w:line="480" w:lineRule="auto"/>
        <w:jc w:val="both"/>
        <w:rPr>
          <w:rFonts w:ascii="Times New Roman" w:hAnsi="Times New Roman"/>
          <w:sz w:val="24"/>
          <w:szCs w:val="24"/>
        </w:rPr>
      </w:pPr>
    </w:p>
    <w:p w14:paraId="1C7EB4A1">
      <w:pPr>
        <w:spacing w:line="480" w:lineRule="auto"/>
        <w:jc w:val="both"/>
        <w:rPr>
          <w:rFonts w:ascii="Times New Roman" w:hAnsi="Times New Roman"/>
          <w:sz w:val="24"/>
          <w:szCs w:val="24"/>
        </w:rPr>
      </w:pPr>
    </w:p>
    <w:p w14:paraId="2A263826">
      <w:pPr>
        <w:spacing w:line="480" w:lineRule="auto"/>
        <w:jc w:val="both"/>
        <w:rPr>
          <w:rFonts w:ascii="Times New Roman" w:hAnsi="Times New Roman"/>
          <w:sz w:val="24"/>
          <w:szCs w:val="24"/>
        </w:rPr>
      </w:pPr>
    </w:p>
    <w:p w14:paraId="449C93A1">
      <w:pPr>
        <w:spacing w:line="480" w:lineRule="auto"/>
        <w:jc w:val="both"/>
        <w:rPr>
          <w:rFonts w:ascii="Times New Roman" w:hAnsi="Times New Roman"/>
          <w:sz w:val="24"/>
          <w:szCs w:val="24"/>
        </w:rPr>
      </w:pPr>
    </w:p>
    <w:p w14:paraId="1762D8FA">
      <w:pPr>
        <w:spacing w:line="480" w:lineRule="auto"/>
        <w:jc w:val="both"/>
        <w:rPr>
          <w:rFonts w:ascii="Times New Roman" w:hAnsi="Times New Roman"/>
          <w:sz w:val="24"/>
          <w:szCs w:val="24"/>
        </w:rPr>
      </w:pPr>
    </w:p>
    <w:p w14:paraId="6F10D337">
      <w:pPr>
        <w:spacing w:line="480" w:lineRule="auto"/>
        <w:jc w:val="both"/>
        <w:rPr>
          <w:rFonts w:ascii="Times New Roman" w:hAnsi="Times New Roman"/>
          <w:sz w:val="24"/>
          <w:szCs w:val="24"/>
        </w:rPr>
      </w:pPr>
    </w:p>
    <w:p w14:paraId="5EB42CC3">
      <w:pPr>
        <w:spacing w:line="480" w:lineRule="auto"/>
        <w:jc w:val="both"/>
        <w:rPr>
          <w:rFonts w:ascii="Times New Roman" w:hAnsi="Times New Roman"/>
          <w:b/>
          <w:bCs/>
          <w:sz w:val="24"/>
          <w:szCs w:val="24"/>
        </w:rPr>
      </w:pPr>
    </w:p>
    <w:p w14:paraId="54740E3B">
      <w:pPr>
        <w:spacing w:line="480" w:lineRule="auto"/>
        <w:ind w:left="2160" w:leftChars="0" w:firstLine="720" w:firstLineChars="0"/>
        <w:jc w:val="both"/>
        <w:rPr>
          <w:rFonts w:ascii="Times New Roman" w:hAnsi="Times New Roman"/>
          <w:b/>
          <w:bCs/>
          <w:sz w:val="24"/>
          <w:szCs w:val="24"/>
        </w:rPr>
      </w:pPr>
    </w:p>
    <w:p w14:paraId="5EC1D4E2">
      <w:pPr>
        <w:spacing w:line="480" w:lineRule="auto"/>
        <w:ind w:left="2160" w:leftChars="0" w:firstLine="720" w:firstLineChars="0"/>
        <w:jc w:val="both"/>
        <w:rPr>
          <w:rFonts w:ascii="Times New Roman" w:hAnsi="Times New Roman"/>
          <w:b/>
          <w:bCs/>
          <w:sz w:val="24"/>
          <w:szCs w:val="24"/>
        </w:rPr>
      </w:pPr>
      <w:r>
        <w:rPr>
          <w:rFonts w:ascii="Times New Roman" w:hAnsi="Times New Roman"/>
          <w:b/>
          <w:bCs/>
          <w:sz w:val="24"/>
          <w:szCs w:val="24"/>
        </w:rPr>
        <w:t>L</w:t>
      </w:r>
      <w:r>
        <w:rPr>
          <w:rFonts w:hint="default" w:ascii="Times New Roman" w:hAnsi="Times New Roman"/>
          <w:b/>
          <w:bCs/>
          <w:sz w:val="24"/>
          <w:szCs w:val="24"/>
        </w:rPr>
        <w:t>I</w:t>
      </w:r>
      <w:r>
        <w:rPr>
          <w:rFonts w:ascii="Times New Roman" w:hAnsi="Times New Roman"/>
          <w:b/>
          <w:bCs/>
          <w:sz w:val="24"/>
          <w:szCs w:val="24"/>
        </w:rPr>
        <w:t>ST OF TABLES</w:t>
      </w:r>
    </w:p>
    <w:p w14:paraId="62499214">
      <w:pPr>
        <w:spacing w:line="360" w:lineRule="auto"/>
        <w:jc w:val="both"/>
        <w:rPr>
          <w:rFonts w:ascii="Times New Roman" w:hAnsi="Times New Roman"/>
          <w:b/>
          <w:bCs/>
          <w:sz w:val="24"/>
          <w:szCs w:val="24"/>
        </w:rPr>
      </w:pPr>
      <w:r>
        <w:rPr>
          <w:rFonts w:ascii="Times New Roman" w:hAnsi="Times New Roman"/>
          <w:b/>
          <w:bCs/>
          <w:sz w:val="24"/>
          <w:szCs w:val="24"/>
        </w:rPr>
        <w:t>Table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Title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hint="default" w:ascii="Times New Roman" w:hAnsi="Times New Roman"/>
          <w:b/>
          <w:bCs/>
          <w:sz w:val="24"/>
          <w:szCs w:val="24"/>
        </w:rPr>
        <w:tab/>
      </w:r>
      <w:r>
        <w:rPr>
          <w:rFonts w:hint="default" w:ascii="Times New Roman" w:hAnsi="Times New Roman"/>
          <w:b/>
          <w:bCs/>
          <w:sz w:val="24"/>
          <w:szCs w:val="24"/>
        </w:rPr>
        <w:tab/>
      </w:r>
      <w:r>
        <w:rPr>
          <w:rFonts w:ascii="Times New Roman" w:hAnsi="Times New Roman"/>
          <w:b/>
          <w:bCs/>
          <w:sz w:val="24"/>
          <w:szCs w:val="24"/>
        </w:rPr>
        <w:t>Page</w:t>
      </w:r>
    </w:p>
    <w:p w14:paraId="2593B828">
      <w:pPr>
        <w:spacing w:line="240" w:lineRule="auto"/>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4.1</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Phytochemical Screening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27</w:t>
      </w:r>
    </w:p>
    <w:p w14:paraId="059CE9B6">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Table 4.2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GC-MS Results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30</w:t>
      </w:r>
    </w:p>
    <w:p w14:paraId="5867D272">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w:t>
      </w:r>
      <w:r>
        <w:rPr>
          <w:rFonts w:hint="default" w:ascii="Times New Roman" w:hAnsi="Times New Roman" w:cs="Times New Roman"/>
          <w:b w:val="0"/>
          <w:bCs w:val="0"/>
          <w:sz w:val="24"/>
          <w:szCs w:val="24"/>
        </w:rPr>
        <w:t xml:space="preserve">.3        </w:t>
      </w:r>
      <w:r>
        <w:rPr>
          <w:rFonts w:ascii="Times New Roman" w:hAnsi="Times New Roman" w:cs="Times New Roman"/>
          <w:b w:val="0"/>
          <w:bCs w:val="0"/>
          <w:sz w:val="24"/>
          <w:szCs w:val="24"/>
        </w:rPr>
        <w:t xml:space="preserve"> ADMET Profile and Lipinski Status of the Hit Compounds and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42</w:t>
      </w:r>
    </w:p>
    <w:p w14:paraId="68277343">
      <w:pPr>
        <w:spacing w:line="240" w:lineRule="auto"/>
        <w:ind w:left="720" w:leftChars="0" w:firstLine="1101" w:firstLineChars="459"/>
        <w:rPr>
          <w:rFonts w:ascii="Times New Roman" w:hAnsi="Times New Roman" w:cs="Times New Roman"/>
          <w:b w:val="0"/>
          <w:bCs w:val="0"/>
          <w:sz w:val="24"/>
          <w:szCs w:val="24"/>
        </w:rPr>
      </w:pPr>
      <w:r>
        <w:rPr>
          <w:rFonts w:ascii="Times New Roman" w:hAnsi="Times New Roman" w:cs="Times New Roman"/>
          <w:b w:val="0"/>
          <w:bCs w:val="0"/>
          <w:sz w:val="24"/>
          <w:szCs w:val="24"/>
        </w:rPr>
        <w:t>Standard Inhibitors of AChE and ACE</w:t>
      </w:r>
    </w:p>
    <w:p w14:paraId="1945B4E2">
      <w:pPr>
        <w:rPr>
          <w:rFonts w:ascii="Times New Roman" w:hAnsi="Times New Roman" w:cs="Times New Roman"/>
          <w:b w:val="0"/>
          <w:bCs w:val="0"/>
          <w:sz w:val="24"/>
          <w:szCs w:val="24"/>
        </w:rPr>
      </w:pPr>
    </w:p>
    <w:p w14:paraId="2E802391">
      <w:pPr>
        <w:spacing w:line="480" w:lineRule="auto"/>
        <w:ind w:left="2160" w:firstLine="720"/>
        <w:jc w:val="both"/>
        <w:rPr>
          <w:rFonts w:ascii="Times New Roman" w:hAnsi="Times New Roman"/>
          <w:b/>
          <w:bCs/>
          <w:sz w:val="24"/>
          <w:szCs w:val="24"/>
        </w:rPr>
      </w:pPr>
    </w:p>
    <w:p w14:paraId="0904CE1C">
      <w:pPr>
        <w:spacing w:line="480" w:lineRule="auto"/>
        <w:ind w:left="2160" w:firstLine="720"/>
        <w:jc w:val="both"/>
        <w:rPr>
          <w:rFonts w:ascii="Times New Roman" w:hAnsi="Times New Roman"/>
          <w:b/>
          <w:bCs/>
          <w:sz w:val="24"/>
          <w:szCs w:val="24"/>
        </w:rPr>
      </w:pPr>
    </w:p>
    <w:p w14:paraId="43FA8E4C">
      <w:pPr>
        <w:spacing w:line="480" w:lineRule="auto"/>
        <w:ind w:left="2160" w:firstLine="720"/>
        <w:jc w:val="both"/>
        <w:rPr>
          <w:rFonts w:ascii="Times New Roman" w:hAnsi="Times New Roman"/>
          <w:b/>
          <w:bCs/>
          <w:sz w:val="24"/>
          <w:szCs w:val="24"/>
        </w:rPr>
      </w:pPr>
    </w:p>
    <w:p w14:paraId="58D750F5">
      <w:pPr>
        <w:spacing w:line="480" w:lineRule="auto"/>
        <w:ind w:left="2160" w:firstLine="720"/>
        <w:jc w:val="both"/>
        <w:rPr>
          <w:rFonts w:ascii="Times New Roman" w:hAnsi="Times New Roman"/>
          <w:b/>
          <w:bCs/>
          <w:sz w:val="24"/>
          <w:szCs w:val="24"/>
        </w:rPr>
      </w:pPr>
    </w:p>
    <w:p w14:paraId="3F308A31">
      <w:pPr>
        <w:spacing w:line="480" w:lineRule="auto"/>
        <w:ind w:left="2160" w:firstLine="720"/>
        <w:jc w:val="both"/>
        <w:rPr>
          <w:rFonts w:ascii="Times New Roman" w:hAnsi="Times New Roman"/>
          <w:b/>
          <w:bCs/>
          <w:sz w:val="24"/>
          <w:szCs w:val="24"/>
        </w:rPr>
      </w:pPr>
    </w:p>
    <w:p w14:paraId="5A048925">
      <w:pPr>
        <w:spacing w:line="480" w:lineRule="auto"/>
        <w:ind w:left="2160" w:firstLine="720"/>
        <w:jc w:val="both"/>
        <w:rPr>
          <w:rFonts w:ascii="Times New Roman" w:hAnsi="Times New Roman"/>
          <w:b/>
          <w:bCs/>
          <w:sz w:val="24"/>
          <w:szCs w:val="24"/>
        </w:rPr>
      </w:pPr>
    </w:p>
    <w:p w14:paraId="6BD482AB">
      <w:pPr>
        <w:spacing w:line="480" w:lineRule="auto"/>
        <w:ind w:left="2160" w:firstLine="720"/>
        <w:jc w:val="both"/>
        <w:rPr>
          <w:rFonts w:ascii="Times New Roman" w:hAnsi="Times New Roman"/>
          <w:b/>
          <w:bCs/>
          <w:sz w:val="24"/>
          <w:szCs w:val="24"/>
        </w:rPr>
      </w:pPr>
    </w:p>
    <w:p w14:paraId="3C6E19AA">
      <w:pPr>
        <w:spacing w:line="480" w:lineRule="auto"/>
        <w:ind w:left="2160" w:firstLine="720"/>
        <w:jc w:val="both"/>
        <w:rPr>
          <w:rFonts w:ascii="Times New Roman" w:hAnsi="Times New Roman"/>
          <w:b/>
          <w:bCs/>
          <w:sz w:val="24"/>
          <w:szCs w:val="24"/>
        </w:rPr>
      </w:pPr>
    </w:p>
    <w:p w14:paraId="079F45E8">
      <w:pPr>
        <w:spacing w:line="480" w:lineRule="auto"/>
        <w:ind w:left="2160" w:firstLine="720"/>
        <w:jc w:val="both"/>
        <w:rPr>
          <w:rFonts w:ascii="Times New Roman" w:hAnsi="Times New Roman"/>
          <w:b/>
          <w:bCs/>
          <w:sz w:val="24"/>
          <w:szCs w:val="24"/>
        </w:rPr>
      </w:pPr>
    </w:p>
    <w:p w14:paraId="16A28E89">
      <w:pPr>
        <w:spacing w:line="480" w:lineRule="auto"/>
        <w:ind w:left="2160" w:firstLine="720"/>
        <w:jc w:val="both"/>
        <w:rPr>
          <w:rFonts w:ascii="Times New Roman" w:hAnsi="Times New Roman"/>
          <w:b/>
          <w:bCs/>
          <w:sz w:val="24"/>
          <w:szCs w:val="24"/>
        </w:rPr>
      </w:pPr>
    </w:p>
    <w:p w14:paraId="219E35D3">
      <w:pPr>
        <w:spacing w:line="480" w:lineRule="auto"/>
        <w:ind w:left="2160" w:firstLine="720"/>
        <w:jc w:val="both"/>
        <w:rPr>
          <w:rFonts w:ascii="Times New Roman" w:hAnsi="Times New Roman"/>
          <w:b/>
          <w:bCs/>
          <w:sz w:val="24"/>
          <w:szCs w:val="24"/>
        </w:rPr>
      </w:pPr>
    </w:p>
    <w:p w14:paraId="4F36C20D">
      <w:pPr>
        <w:spacing w:line="480" w:lineRule="auto"/>
        <w:ind w:left="2160" w:firstLine="720"/>
        <w:jc w:val="both"/>
        <w:rPr>
          <w:rFonts w:ascii="Times New Roman" w:hAnsi="Times New Roman"/>
          <w:b/>
          <w:bCs/>
          <w:sz w:val="24"/>
          <w:szCs w:val="24"/>
        </w:rPr>
      </w:pPr>
    </w:p>
    <w:p w14:paraId="007E42EB">
      <w:pPr>
        <w:spacing w:line="480" w:lineRule="auto"/>
        <w:ind w:left="2160" w:firstLine="720"/>
        <w:jc w:val="both"/>
        <w:rPr>
          <w:rFonts w:ascii="Times New Roman" w:hAnsi="Times New Roman"/>
          <w:b/>
          <w:bCs/>
          <w:sz w:val="24"/>
          <w:szCs w:val="24"/>
        </w:rPr>
      </w:pPr>
    </w:p>
    <w:p w14:paraId="6F138E2C">
      <w:pPr>
        <w:spacing w:line="480" w:lineRule="auto"/>
        <w:ind w:left="2160" w:firstLine="720"/>
        <w:jc w:val="both"/>
        <w:rPr>
          <w:rFonts w:ascii="Times New Roman" w:hAnsi="Times New Roman"/>
          <w:b/>
          <w:bCs/>
          <w:sz w:val="24"/>
          <w:szCs w:val="24"/>
        </w:rPr>
      </w:pPr>
    </w:p>
    <w:p w14:paraId="70B00FA4">
      <w:pPr>
        <w:spacing w:line="480" w:lineRule="auto"/>
        <w:ind w:left="2160" w:firstLine="720"/>
        <w:jc w:val="both"/>
        <w:rPr>
          <w:rFonts w:ascii="Times New Roman" w:hAnsi="Times New Roman"/>
          <w:b/>
          <w:bCs/>
          <w:sz w:val="24"/>
          <w:szCs w:val="24"/>
        </w:rPr>
      </w:pPr>
    </w:p>
    <w:p w14:paraId="32791267">
      <w:pPr>
        <w:spacing w:line="480" w:lineRule="auto"/>
        <w:ind w:left="2160" w:firstLine="720"/>
        <w:jc w:val="both"/>
        <w:rPr>
          <w:rFonts w:ascii="Times New Roman" w:hAnsi="Times New Roman"/>
          <w:b/>
          <w:bCs/>
          <w:sz w:val="24"/>
          <w:szCs w:val="24"/>
        </w:rPr>
      </w:pPr>
    </w:p>
    <w:p w14:paraId="148A2AD2">
      <w:pPr>
        <w:spacing w:line="480" w:lineRule="auto"/>
        <w:ind w:left="2160" w:firstLine="720"/>
        <w:jc w:val="both"/>
        <w:rPr>
          <w:rFonts w:ascii="Times New Roman" w:hAnsi="Times New Roman"/>
          <w:b/>
          <w:bCs/>
          <w:sz w:val="24"/>
          <w:szCs w:val="24"/>
        </w:rPr>
      </w:pPr>
    </w:p>
    <w:p w14:paraId="02061381">
      <w:pPr>
        <w:spacing w:line="480" w:lineRule="auto"/>
        <w:ind w:left="2160" w:firstLine="720"/>
        <w:jc w:val="both"/>
        <w:rPr>
          <w:rFonts w:ascii="Times New Roman" w:hAnsi="Times New Roman"/>
          <w:b/>
          <w:bCs/>
          <w:sz w:val="24"/>
          <w:szCs w:val="24"/>
        </w:rPr>
      </w:pPr>
    </w:p>
    <w:p w14:paraId="790BB382">
      <w:pPr>
        <w:spacing w:line="480" w:lineRule="auto"/>
        <w:ind w:left="2160" w:firstLine="720"/>
        <w:jc w:val="both"/>
        <w:rPr>
          <w:rFonts w:ascii="Times New Roman" w:hAnsi="Times New Roman"/>
          <w:b/>
          <w:bCs/>
          <w:sz w:val="24"/>
          <w:szCs w:val="24"/>
        </w:rPr>
      </w:pPr>
    </w:p>
    <w:p w14:paraId="7EC832A4">
      <w:pPr>
        <w:spacing w:line="480" w:lineRule="auto"/>
        <w:ind w:left="2160" w:firstLine="720"/>
        <w:jc w:val="both"/>
        <w:rPr>
          <w:rFonts w:ascii="Times New Roman" w:hAnsi="Times New Roman"/>
          <w:b/>
          <w:bCs/>
          <w:sz w:val="24"/>
          <w:szCs w:val="24"/>
        </w:rPr>
      </w:pPr>
    </w:p>
    <w:p w14:paraId="78FA630D">
      <w:pPr>
        <w:spacing w:line="480" w:lineRule="auto"/>
        <w:jc w:val="both"/>
        <w:rPr>
          <w:rFonts w:ascii="Times New Roman" w:hAnsi="Times New Roman"/>
          <w:b/>
          <w:bCs/>
          <w:sz w:val="24"/>
          <w:szCs w:val="24"/>
        </w:rPr>
      </w:pPr>
    </w:p>
    <w:p w14:paraId="15E7A86D">
      <w:pPr>
        <w:spacing w:line="480" w:lineRule="auto"/>
        <w:ind w:left="2880"/>
        <w:rPr>
          <w:rFonts w:ascii="Times New Roman" w:hAnsi="Times New Roman"/>
          <w:b/>
          <w:bCs/>
          <w:sz w:val="24"/>
          <w:szCs w:val="24"/>
        </w:rPr>
      </w:pPr>
      <w:r>
        <w:rPr>
          <w:rFonts w:ascii="Times New Roman" w:hAnsi="Times New Roman"/>
          <w:b/>
          <w:bCs/>
          <w:sz w:val="24"/>
          <w:szCs w:val="24"/>
        </w:rPr>
        <w:t xml:space="preserve">  </w:t>
      </w:r>
    </w:p>
    <w:p w14:paraId="41D871FD">
      <w:pPr>
        <w:pStyle w:val="2"/>
        <w:bidi w:val="0"/>
      </w:pPr>
      <w:r>
        <w:t xml:space="preserve">   </w:t>
      </w:r>
      <w:r>
        <w:rPr>
          <w:rFonts w:hint="default"/>
        </w:rPr>
        <w:tab/>
      </w:r>
      <w:r>
        <w:rPr>
          <w:rFonts w:hint="default"/>
        </w:rPr>
        <w:tab/>
      </w:r>
      <w:r>
        <w:rPr>
          <w:rFonts w:hint="default"/>
        </w:rPr>
        <w:tab/>
      </w:r>
      <w:r>
        <w:rPr>
          <w:rFonts w:hint="default"/>
        </w:rPr>
        <w:tab/>
      </w:r>
      <w:r>
        <w:rPr>
          <w:rFonts w:hint="default"/>
        </w:rPr>
        <w:tab/>
      </w:r>
      <w:bookmarkStart w:id="13" w:name="_Toc9984"/>
      <w:bookmarkStart w:id="14" w:name="_Toc18488"/>
      <w:bookmarkStart w:id="15" w:name="_Toc12207"/>
      <w:r>
        <w:t>ABSTRACT</w:t>
      </w:r>
      <w:bookmarkEnd w:id="13"/>
      <w:bookmarkEnd w:id="14"/>
      <w:bookmarkEnd w:id="15"/>
    </w:p>
    <w:p w14:paraId="58C080F5">
      <w:pPr>
        <w:spacing w:line="480" w:lineRule="auto"/>
        <w:jc w:val="both"/>
        <w:rPr>
          <w:rFonts w:hint="default" w:ascii="Times New Roman" w:hAnsi="Times New Roman"/>
          <w:sz w:val="24"/>
          <w:szCs w:val="24"/>
        </w:rPr>
        <w:sectPr>
          <w:headerReference r:id="rId5" w:type="first"/>
          <w:footerReference r:id="rId7" w:type="first"/>
          <w:headerReference r:id="rId4" w:type="default"/>
          <w:footerReference r:id="rId6" w:type="default"/>
          <w:pgSz w:w="11906" w:h="16838"/>
          <w:pgMar w:top="1440" w:right="1080" w:bottom="1440" w:left="1080" w:header="720" w:footer="720" w:gutter="0"/>
          <w:pgNumType w:fmt="upperRoman"/>
          <w:cols w:space="720" w:num="1"/>
          <w:docGrid w:linePitch="360" w:charSpace="0"/>
        </w:sectPr>
      </w:pPr>
      <w:r>
        <w:rPr>
          <w:rFonts w:ascii="Times New Roman" w:hAnsi="Times New Roman"/>
          <w:sz w:val="24"/>
          <w:szCs w:val="24"/>
        </w:rPr>
        <w:t xml:space="preserve">Erectile dysfunction is commonly associated with reduced cholinergic activity and vascular impairment, involving enzymes such as acetylcholinesterase and angiotensin converting enzyme. Acetylcholinesterase reduces acetylcholine levels, limiting nitric oxide release essential for penile smooth muscle relaxation, while angiotensin converting enzyme facilitates the production of angiotensin II, a vasoconstrictor linked to endothelial dysfunction. Inhibiting these enzymes may enhance erectile function. </w:t>
      </w:r>
      <w:r>
        <w:rPr>
          <w:rFonts w:ascii="Times New Roman" w:hAnsi="Times New Roman"/>
          <w:i/>
          <w:iCs/>
          <w:sz w:val="24"/>
          <w:szCs w:val="24"/>
        </w:rPr>
        <w:t>Syzygium aromaticum</w:t>
      </w:r>
      <w:r>
        <w:rPr>
          <w:rFonts w:ascii="Times New Roman" w:hAnsi="Times New Roman"/>
          <w:sz w:val="24"/>
          <w:szCs w:val="24"/>
        </w:rPr>
        <w:t xml:space="preserve"> (clove), a spice with a history of use in traditional medicine for male reproductive health, contains bioactive compounds that may target these enzymes. This study investigated the computational and experimental effects of </w:t>
      </w:r>
      <w:r>
        <w:rPr>
          <w:rFonts w:ascii="Times New Roman" w:hAnsi="Times New Roman"/>
          <w:i/>
          <w:iCs/>
          <w:sz w:val="24"/>
          <w:szCs w:val="24"/>
        </w:rPr>
        <w:t>S. aromaticum</w:t>
      </w:r>
      <w:r>
        <w:rPr>
          <w:rFonts w:ascii="Times New Roman" w:hAnsi="Times New Roman"/>
          <w:sz w:val="24"/>
          <w:szCs w:val="24"/>
        </w:rPr>
        <w:t xml:space="preserve"> aqueous extract on acetylcholinesterase and angiotensin converting enzyme, with relevance to erectile dysfunction. The aqueous extract was obtained using hot maceration. Qualitative phytochemical screening was carried out to identify key metabolites. Enzyme inhibition assays were conducted in vitro to assess inhibitory potential. Gas chromatography–mass spectrometry was used to profile chemical constituents, while molecular docking predicted interactions between selected compounds and both enzymes. ADMET analysis evaluated pharmacokinetic and safety properties. Phytochemical analysis confirmed the presence of flavonoids, alkaloids, phenols, tannins, and glycosides. The extract demonstrated moderate inhibitory activity on both enzymes. GC-MS revealed several active compounds, among which 2-ethyl-2H-benzotriazole showed strong binding affinity in docking simulations. ADMET predictions suggested good absorption and drug-likeness. Thus, </w:t>
      </w:r>
      <w:r>
        <w:rPr>
          <w:rFonts w:ascii="Times New Roman" w:hAnsi="Times New Roman"/>
          <w:i/>
          <w:iCs/>
          <w:sz w:val="24"/>
          <w:szCs w:val="24"/>
        </w:rPr>
        <w:t>Syzygium aromaticum</w:t>
      </w:r>
      <w:r>
        <w:rPr>
          <w:rFonts w:ascii="Times New Roman" w:hAnsi="Times New Roman"/>
          <w:sz w:val="24"/>
          <w:szCs w:val="24"/>
        </w:rPr>
        <w:t xml:space="preserve"> may provide dual inhibitory potential against key enzymes involved in erectile dysfunction, and further studies are recommended for therapeutic development</w:t>
      </w:r>
      <w:r>
        <w:rPr>
          <w:rFonts w:hint="default" w:ascii="Times New Roman" w:hAnsi="Times New Roman"/>
          <w:sz w:val="24"/>
          <w:szCs w:val="24"/>
        </w:rPr>
        <w:t>.</w:t>
      </w:r>
    </w:p>
    <w:p w14:paraId="4B958FD7">
      <w:pPr>
        <w:pStyle w:val="2"/>
        <w:bidi w:val="0"/>
        <w:ind w:left="1440" w:leftChars="0" w:firstLine="720" w:firstLineChars="0"/>
        <w:rPr>
          <w:rFonts w:hint="default"/>
        </w:rPr>
      </w:pPr>
      <w:bookmarkStart w:id="16" w:name="_Toc13268"/>
      <w:bookmarkStart w:id="17" w:name="_Toc31996"/>
      <w:bookmarkStart w:id="18" w:name="_Toc9409"/>
      <w:r>
        <w:rPr>
          <w:rFonts w:hint="default"/>
        </w:rPr>
        <w:t>TABLE OF CONTENT</w:t>
      </w:r>
      <w:bookmarkEnd w:id="16"/>
      <w:bookmarkEnd w:id="17"/>
      <w:bookmarkEnd w:id="18"/>
    </w:p>
    <w:sdt>
      <w:sdtPr>
        <w:rPr>
          <w:rFonts w:ascii="SimSun" w:hAnsi="SimSun" w:eastAsia="SimSun" w:cstheme="minorBidi"/>
          <w:sz w:val="21"/>
          <w:lang w:val="en-US" w:eastAsia="zh-CN" w:bidi="ar-SA"/>
        </w:rPr>
        <w:id w:val="147480825"/>
        <w15:color w:val="DBDBDB"/>
        <w:docPartObj>
          <w:docPartGallery w:val="Table of Contents"/>
          <w:docPartUnique/>
        </w:docPartObj>
      </w:sdtPr>
      <w:sdtEndPr>
        <w:rPr>
          <w:rFonts w:ascii="Times New Roman" w:hAnsi="Times New Roman" w:eastAsia="SimSun" w:cs="Times New Roman"/>
          <w:b/>
          <w:bCs/>
          <w:kern w:val="44"/>
          <w:sz w:val="28"/>
          <w:szCs w:val="48"/>
          <w:lang w:val="en-US" w:eastAsia="zh-CN" w:bidi="ar-SA"/>
        </w:rPr>
      </w:sdtEndPr>
      <w:sdtContent>
        <w:p w14:paraId="444A53E8">
          <w:pPr>
            <w:spacing w:before="0" w:beforeLines="0" w:after="0" w:afterLines="0" w:line="240" w:lineRule="auto"/>
            <w:ind w:left="0" w:leftChars="0" w:right="0" w:rightChars="0" w:firstLine="0" w:firstLineChars="0"/>
            <w:jc w:val="center"/>
          </w:pPr>
        </w:p>
        <w:p w14:paraId="3B5ED05E">
          <w:pPr>
            <w:pStyle w:val="19"/>
            <w:tabs>
              <w:tab w:val="right" w:leader="dot" w:pos="8306"/>
            </w:tabs>
            <w:spacing w:line="240" w:lineRule="auto"/>
            <w:rPr>
              <w:b/>
              <w:sz w:val="24"/>
              <w:szCs w:val="24"/>
            </w:rPr>
          </w:pPr>
          <w:r>
            <w:rPr>
              <w:sz w:val="24"/>
              <w:szCs w:val="24"/>
            </w:rPr>
            <w:fldChar w:fldCharType="begin"/>
          </w:r>
          <w:r>
            <w:rPr>
              <w:sz w:val="24"/>
              <w:szCs w:val="24"/>
            </w:rPr>
            <w:instrText xml:space="preserve">TOC \o "1-2" \h \u </w:instrText>
          </w:r>
          <w:r>
            <w:rPr>
              <w:sz w:val="24"/>
              <w:szCs w:val="24"/>
            </w:rPr>
            <w:fldChar w:fldCharType="separate"/>
          </w:r>
          <w:r>
            <w:rPr>
              <w:b/>
              <w:sz w:val="24"/>
              <w:szCs w:val="24"/>
            </w:rPr>
            <w:fldChar w:fldCharType="begin"/>
          </w:r>
          <w:r>
            <w:rPr>
              <w:b/>
              <w:sz w:val="24"/>
              <w:szCs w:val="24"/>
            </w:rPr>
            <w:instrText xml:space="preserve"> HYPERLINK \l _Toc23823 </w:instrText>
          </w:r>
          <w:r>
            <w:rPr>
              <w:b/>
              <w:sz w:val="24"/>
              <w:szCs w:val="24"/>
            </w:rPr>
            <w:fldChar w:fldCharType="separate"/>
          </w:r>
          <w:r>
            <w:rPr>
              <w:rFonts w:hint="default"/>
              <w:b/>
              <w:sz w:val="24"/>
              <w:szCs w:val="24"/>
            </w:rPr>
            <w:t>CERTIFICATION</w:t>
          </w:r>
          <w:r>
            <w:rPr>
              <w:b/>
              <w:sz w:val="24"/>
              <w:szCs w:val="24"/>
            </w:rPr>
            <w:tab/>
          </w:r>
          <w:r>
            <w:rPr>
              <w:b/>
              <w:sz w:val="24"/>
              <w:szCs w:val="24"/>
            </w:rPr>
            <w:fldChar w:fldCharType="begin"/>
          </w:r>
          <w:r>
            <w:rPr>
              <w:b/>
              <w:sz w:val="24"/>
              <w:szCs w:val="24"/>
            </w:rPr>
            <w:instrText xml:space="preserve"> PAGEREF _Toc23823 \h </w:instrText>
          </w:r>
          <w:r>
            <w:rPr>
              <w:b/>
              <w:sz w:val="24"/>
              <w:szCs w:val="24"/>
            </w:rPr>
            <w:fldChar w:fldCharType="separate"/>
          </w:r>
          <w:r>
            <w:rPr>
              <w:b/>
              <w:sz w:val="24"/>
              <w:szCs w:val="24"/>
            </w:rPr>
            <w:t>II</w:t>
          </w:r>
          <w:r>
            <w:rPr>
              <w:b/>
              <w:sz w:val="24"/>
              <w:szCs w:val="24"/>
            </w:rPr>
            <w:fldChar w:fldCharType="end"/>
          </w:r>
          <w:r>
            <w:rPr>
              <w:b/>
              <w:sz w:val="24"/>
              <w:szCs w:val="24"/>
            </w:rPr>
            <w:fldChar w:fldCharType="end"/>
          </w:r>
        </w:p>
        <w:p w14:paraId="45AAFFD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_Toc22297 </w:instrText>
          </w:r>
          <w:r>
            <w:rPr>
              <w:b/>
              <w:sz w:val="24"/>
              <w:szCs w:val="24"/>
            </w:rPr>
            <w:fldChar w:fldCharType="separate"/>
          </w:r>
          <w:r>
            <w:rPr>
              <w:rFonts w:hint="default" w:ascii="Times New Roman" w:hAnsi="Times New Roman" w:cs="Times New Roman"/>
              <w:b/>
              <w:sz w:val="24"/>
              <w:szCs w:val="24"/>
            </w:rPr>
            <w:t>DEDICATION</w:t>
          </w:r>
          <w:r>
            <w:rPr>
              <w:b/>
              <w:sz w:val="24"/>
              <w:szCs w:val="24"/>
            </w:rPr>
            <w:tab/>
          </w:r>
          <w:r>
            <w:rPr>
              <w:b/>
              <w:sz w:val="24"/>
              <w:szCs w:val="24"/>
            </w:rPr>
            <w:fldChar w:fldCharType="begin"/>
          </w:r>
          <w:r>
            <w:rPr>
              <w:b/>
              <w:sz w:val="24"/>
              <w:szCs w:val="24"/>
            </w:rPr>
            <w:instrText xml:space="preserve"> PAGEREF _Toc22297 \h </w:instrText>
          </w:r>
          <w:r>
            <w:rPr>
              <w:b/>
              <w:sz w:val="24"/>
              <w:szCs w:val="24"/>
            </w:rPr>
            <w:fldChar w:fldCharType="separate"/>
          </w:r>
          <w:r>
            <w:rPr>
              <w:b/>
              <w:sz w:val="24"/>
              <w:szCs w:val="24"/>
            </w:rPr>
            <w:t>III</w:t>
          </w:r>
          <w:r>
            <w:rPr>
              <w:b/>
              <w:sz w:val="24"/>
              <w:szCs w:val="24"/>
            </w:rPr>
            <w:fldChar w:fldCharType="end"/>
          </w:r>
          <w:r>
            <w:rPr>
              <w:b/>
              <w:sz w:val="24"/>
              <w:szCs w:val="24"/>
            </w:rPr>
            <w:fldChar w:fldCharType="end"/>
          </w:r>
        </w:p>
        <w:p w14:paraId="5EE33F4F">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_Toc8873 </w:instrText>
          </w:r>
          <w:r>
            <w:rPr>
              <w:b/>
              <w:sz w:val="24"/>
              <w:szCs w:val="24"/>
            </w:rPr>
            <w:fldChar w:fldCharType="separate"/>
          </w:r>
          <w:r>
            <w:rPr>
              <w:rFonts w:hint="default" w:ascii="Times New Roman" w:hAnsi="Times New Roman" w:cs="Times New Roman"/>
              <w:b/>
              <w:sz w:val="24"/>
              <w:szCs w:val="24"/>
            </w:rPr>
            <w:t>ACKNOWLEDGEMENT</w:t>
          </w:r>
          <w:r>
            <w:rPr>
              <w:b/>
              <w:sz w:val="24"/>
              <w:szCs w:val="24"/>
            </w:rPr>
            <w:tab/>
          </w:r>
          <w:r>
            <w:rPr>
              <w:b/>
              <w:sz w:val="24"/>
              <w:szCs w:val="24"/>
            </w:rPr>
            <w:fldChar w:fldCharType="begin"/>
          </w:r>
          <w:r>
            <w:rPr>
              <w:b/>
              <w:sz w:val="24"/>
              <w:szCs w:val="24"/>
            </w:rPr>
            <w:instrText xml:space="preserve"> PAGEREF _Toc8873 \h </w:instrText>
          </w:r>
          <w:r>
            <w:rPr>
              <w:b/>
              <w:sz w:val="24"/>
              <w:szCs w:val="24"/>
            </w:rPr>
            <w:fldChar w:fldCharType="separate"/>
          </w:r>
          <w:r>
            <w:rPr>
              <w:b/>
              <w:sz w:val="24"/>
              <w:szCs w:val="24"/>
            </w:rPr>
            <w:t>IV</w:t>
          </w:r>
          <w:r>
            <w:rPr>
              <w:b/>
              <w:sz w:val="24"/>
              <w:szCs w:val="24"/>
            </w:rPr>
            <w:fldChar w:fldCharType="end"/>
          </w:r>
          <w:r>
            <w:rPr>
              <w:b/>
              <w:sz w:val="24"/>
              <w:szCs w:val="24"/>
            </w:rPr>
            <w:fldChar w:fldCharType="end"/>
          </w:r>
        </w:p>
        <w:p w14:paraId="7D47C7F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_Toc11809 </w:instrText>
          </w:r>
          <w:r>
            <w:rPr>
              <w:b/>
              <w:sz w:val="24"/>
              <w:szCs w:val="24"/>
            </w:rPr>
            <w:fldChar w:fldCharType="separate"/>
          </w:r>
          <w:r>
            <w:rPr>
              <w:rFonts w:hint="default" w:ascii="Times New Roman" w:hAnsi="Times New Roman" w:cs="Times New Roman"/>
              <w:b/>
              <w:sz w:val="24"/>
              <w:szCs w:val="24"/>
            </w:rPr>
            <w:t>LIST OF FIGURES</w:t>
          </w:r>
          <w:r>
            <w:rPr>
              <w:b/>
              <w:sz w:val="24"/>
              <w:szCs w:val="24"/>
            </w:rPr>
            <w:tab/>
          </w:r>
          <w:r>
            <w:rPr>
              <w:b/>
              <w:sz w:val="24"/>
              <w:szCs w:val="24"/>
            </w:rPr>
            <w:fldChar w:fldCharType="begin"/>
          </w:r>
          <w:r>
            <w:rPr>
              <w:b/>
              <w:sz w:val="24"/>
              <w:szCs w:val="24"/>
            </w:rPr>
            <w:instrText xml:space="preserve"> PAGEREF _Toc11809 \h </w:instrText>
          </w:r>
          <w:r>
            <w:rPr>
              <w:b/>
              <w:sz w:val="24"/>
              <w:szCs w:val="24"/>
            </w:rPr>
            <w:fldChar w:fldCharType="separate"/>
          </w:r>
          <w:r>
            <w:rPr>
              <w:b/>
              <w:sz w:val="24"/>
              <w:szCs w:val="24"/>
            </w:rPr>
            <w:t>V</w:t>
          </w:r>
          <w:r>
            <w:rPr>
              <w:b/>
              <w:sz w:val="24"/>
              <w:szCs w:val="24"/>
            </w:rPr>
            <w:fldChar w:fldCharType="end"/>
          </w:r>
          <w:r>
            <w:rPr>
              <w:b/>
              <w:sz w:val="24"/>
              <w:szCs w:val="24"/>
            </w:rPr>
            <w:fldChar w:fldCharType="end"/>
          </w:r>
        </w:p>
        <w:p w14:paraId="291348B5">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_Toc12207 </w:instrText>
          </w:r>
          <w:r>
            <w:rPr>
              <w:b/>
              <w:sz w:val="24"/>
              <w:szCs w:val="24"/>
            </w:rPr>
            <w:fldChar w:fldCharType="separate"/>
          </w:r>
          <w:r>
            <w:rPr>
              <w:b/>
              <w:sz w:val="24"/>
              <w:szCs w:val="24"/>
            </w:rPr>
            <w:t>ABSTRACT</w:t>
          </w:r>
          <w:r>
            <w:rPr>
              <w:b/>
              <w:sz w:val="24"/>
              <w:szCs w:val="24"/>
            </w:rPr>
            <w:tab/>
          </w:r>
          <w:r>
            <w:rPr>
              <w:b/>
              <w:sz w:val="24"/>
              <w:szCs w:val="24"/>
            </w:rPr>
            <w:fldChar w:fldCharType="begin"/>
          </w:r>
          <w:r>
            <w:rPr>
              <w:b/>
              <w:sz w:val="24"/>
              <w:szCs w:val="24"/>
            </w:rPr>
            <w:instrText xml:space="preserve"> PAGEREF _Toc12207 \h </w:instrText>
          </w:r>
          <w:r>
            <w:rPr>
              <w:b/>
              <w:sz w:val="24"/>
              <w:szCs w:val="24"/>
            </w:rPr>
            <w:fldChar w:fldCharType="separate"/>
          </w:r>
          <w:r>
            <w:rPr>
              <w:b/>
              <w:sz w:val="24"/>
              <w:szCs w:val="24"/>
            </w:rPr>
            <w:t>VII</w:t>
          </w:r>
          <w:r>
            <w:rPr>
              <w:b/>
              <w:sz w:val="24"/>
              <w:szCs w:val="24"/>
            </w:rPr>
            <w:fldChar w:fldCharType="end"/>
          </w:r>
          <w:r>
            <w:rPr>
              <w:b/>
              <w:sz w:val="24"/>
              <w:szCs w:val="24"/>
            </w:rPr>
            <w:fldChar w:fldCharType="end"/>
          </w:r>
        </w:p>
        <w:p w14:paraId="1603D6B8">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_Toc13268 </w:instrText>
          </w:r>
          <w:r>
            <w:rPr>
              <w:b/>
              <w:sz w:val="24"/>
              <w:szCs w:val="24"/>
            </w:rPr>
            <w:fldChar w:fldCharType="separate"/>
          </w:r>
          <w:r>
            <w:rPr>
              <w:rFonts w:hint="default"/>
              <w:b/>
              <w:sz w:val="24"/>
              <w:szCs w:val="24"/>
            </w:rPr>
            <w:t>TABLE OF CONTENT</w:t>
          </w:r>
          <w:r>
            <w:rPr>
              <w:b/>
              <w:sz w:val="24"/>
              <w:szCs w:val="24"/>
            </w:rPr>
            <w:tab/>
          </w:r>
          <w:r>
            <w:rPr>
              <w:b/>
              <w:sz w:val="24"/>
              <w:szCs w:val="24"/>
            </w:rPr>
            <w:fldChar w:fldCharType="begin"/>
          </w:r>
          <w:r>
            <w:rPr>
              <w:b/>
              <w:sz w:val="24"/>
              <w:szCs w:val="24"/>
            </w:rPr>
            <w:instrText xml:space="preserve"> PAGEREF _Toc13268 \h </w:instrText>
          </w:r>
          <w:r>
            <w:rPr>
              <w:b/>
              <w:sz w:val="24"/>
              <w:szCs w:val="24"/>
            </w:rPr>
            <w:fldChar w:fldCharType="separate"/>
          </w:r>
          <w:r>
            <w:rPr>
              <w:b/>
              <w:sz w:val="24"/>
              <w:szCs w:val="24"/>
            </w:rPr>
            <w:t>VIII</w:t>
          </w:r>
          <w:r>
            <w:rPr>
              <w:b/>
              <w:sz w:val="24"/>
              <w:szCs w:val="24"/>
            </w:rPr>
            <w:fldChar w:fldCharType="end"/>
          </w:r>
          <w:r>
            <w:rPr>
              <w:b/>
              <w:sz w:val="24"/>
              <w:szCs w:val="24"/>
            </w:rPr>
            <w:fldChar w:fldCharType="end"/>
          </w:r>
        </w:p>
        <w:p w14:paraId="42421EA6">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_Toc28389 </w:instrText>
          </w:r>
          <w:r>
            <w:rPr>
              <w:b/>
              <w:sz w:val="24"/>
              <w:szCs w:val="24"/>
            </w:rPr>
            <w:fldChar w:fldCharType="separate"/>
          </w:r>
          <w:r>
            <w:rPr>
              <w:b/>
              <w:sz w:val="24"/>
              <w:szCs w:val="24"/>
            </w:rPr>
            <w:t>CHAPTER ONE</w:t>
          </w:r>
          <w:r>
            <w:rPr>
              <w:b/>
              <w:sz w:val="24"/>
              <w:szCs w:val="24"/>
            </w:rPr>
            <w:tab/>
          </w:r>
          <w:r>
            <w:rPr>
              <w:b/>
              <w:sz w:val="24"/>
              <w:szCs w:val="24"/>
            </w:rPr>
            <w:fldChar w:fldCharType="begin"/>
          </w:r>
          <w:r>
            <w:rPr>
              <w:b/>
              <w:sz w:val="24"/>
              <w:szCs w:val="24"/>
            </w:rPr>
            <w:instrText xml:space="preserve"> PAGEREF _Toc28389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789C22C4">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_Toc353 </w:instrText>
          </w:r>
          <w:r>
            <w:rPr>
              <w:b/>
              <w:sz w:val="24"/>
              <w:szCs w:val="24"/>
            </w:rPr>
            <w:fldChar w:fldCharType="separate"/>
          </w:r>
          <w:r>
            <w:rPr>
              <w:b/>
              <w:sz w:val="24"/>
              <w:szCs w:val="24"/>
            </w:rPr>
            <w:t>1.0 INTRODUCTION</w:t>
          </w:r>
          <w:r>
            <w:rPr>
              <w:b/>
              <w:sz w:val="24"/>
              <w:szCs w:val="24"/>
            </w:rPr>
            <w:tab/>
          </w:r>
          <w:r>
            <w:rPr>
              <w:b/>
              <w:sz w:val="24"/>
              <w:szCs w:val="24"/>
            </w:rPr>
            <w:fldChar w:fldCharType="begin"/>
          </w:r>
          <w:r>
            <w:rPr>
              <w:b/>
              <w:sz w:val="24"/>
              <w:szCs w:val="24"/>
            </w:rPr>
            <w:instrText xml:space="preserve"> PAGEREF _Toc353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4CE4606A">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_Toc28756 </w:instrText>
          </w:r>
          <w:r>
            <w:rPr>
              <w:sz w:val="24"/>
              <w:szCs w:val="24"/>
            </w:rPr>
            <w:fldChar w:fldCharType="separate"/>
          </w:r>
          <w:r>
            <w:rPr>
              <w:sz w:val="24"/>
              <w:szCs w:val="24"/>
            </w:rPr>
            <w:t>1.2 Justification for the Study</w:t>
          </w:r>
          <w:r>
            <w:rPr>
              <w:sz w:val="24"/>
              <w:szCs w:val="24"/>
            </w:rPr>
            <w:tab/>
          </w:r>
          <w:r>
            <w:rPr>
              <w:sz w:val="24"/>
              <w:szCs w:val="24"/>
            </w:rPr>
            <w:fldChar w:fldCharType="begin"/>
          </w:r>
          <w:r>
            <w:rPr>
              <w:sz w:val="24"/>
              <w:szCs w:val="24"/>
            </w:rPr>
            <w:instrText xml:space="preserve"> PAGEREF _Toc28756 \h </w:instrText>
          </w:r>
          <w:r>
            <w:rPr>
              <w:sz w:val="24"/>
              <w:szCs w:val="24"/>
            </w:rPr>
            <w:fldChar w:fldCharType="separate"/>
          </w:r>
          <w:r>
            <w:rPr>
              <w:sz w:val="24"/>
              <w:szCs w:val="24"/>
            </w:rPr>
            <w:t>2</w:t>
          </w:r>
          <w:r>
            <w:rPr>
              <w:sz w:val="24"/>
              <w:szCs w:val="24"/>
            </w:rPr>
            <w:fldChar w:fldCharType="end"/>
          </w:r>
          <w:r>
            <w:rPr>
              <w:sz w:val="24"/>
              <w:szCs w:val="24"/>
            </w:rPr>
            <w:fldChar w:fldCharType="end"/>
          </w:r>
        </w:p>
        <w:p w14:paraId="1FC124B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_Toc7159 </w:instrText>
          </w:r>
          <w:r>
            <w:rPr>
              <w:sz w:val="24"/>
              <w:szCs w:val="24"/>
            </w:rPr>
            <w:fldChar w:fldCharType="separate"/>
          </w:r>
          <w:r>
            <w:rPr>
              <w:sz w:val="24"/>
              <w:szCs w:val="24"/>
            </w:rPr>
            <w:t>1.3 Problem Statement</w:t>
          </w:r>
          <w:r>
            <w:rPr>
              <w:sz w:val="24"/>
              <w:szCs w:val="24"/>
            </w:rPr>
            <w:tab/>
          </w:r>
          <w:r>
            <w:rPr>
              <w:sz w:val="24"/>
              <w:szCs w:val="24"/>
            </w:rPr>
            <w:fldChar w:fldCharType="begin"/>
          </w:r>
          <w:r>
            <w:rPr>
              <w:sz w:val="24"/>
              <w:szCs w:val="24"/>
            </w:rPr>
            <w:instrText xml:space="preserve"> PAGEREF _Toc7159 \h </w:instrText>
          </w:r>
          <w:r>
            <w:rPr>
              <w:sz w:val="24"/>
              <w:szCs w:val="24"/>
            </w:rPr>
            <w:fldChar w:fldCharType="separate"/>
          </w:r>
          <w:r>
            <w:rPr>
              <w:sz w:val="24"/>
              <w:szCs w:val="24"/>
            </w:rPr>
            <w:t>4</w:t>
          </w:r>
          <w:r>
            <w:rPr>
              <w:sz w:val="24"/>
              <w:szCs w:val="24"/>
            </w:rPr>
            <w:fldChar w:fldCharType="end"/>
          </w:r>
          <w:r>
            <w:rPr>
              <w:sz w:val="24"/>
              <w:szCs w:val="24"/>
            </w:rPr>
            <w:fldChar w:fldCharType="end"/>
          </w:r>
        </w:p>
        <w:p w14:paraId="52B478B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_Toc11406 </w:instrText>
          </w:r>
          <w:r>
            <w:rPr>
              <w:sz w:val="24"/>
              <w:szCs w:val="24"/>
            </w:rPr>
            <w:fldChar w:fldCharType="separate"/>
          </w:r>
          <w:r>
            <w:rPr>
              <w:sz w:val="24"/>
              <w:szCs w:val="24"/>
            </w:rPr>
            <w:t>1.4 Significance of the Study</w:t>
          </w:r>
          <w:r>
            <w:rPr>
              <w:sz w:val="24"/>
              <w:szCs w:val="24"/>
            </w:rPr>
            <w:tab/>
          </w:r>
          <w:r>
            <w:rPr>
              <w:sz w:val="24"/>
              <w:szCs w:val="24"/>
            </w:rPr>
            <w:fldChar w:fldCharType="begin"/>
          </w:r>
          <w:r>
            <w:rPr>
              <w:sz w:val="24"/>
              <w:szCs w:val="24"/>
            </w:rPr>
            <w:instrText xml:space="preserve"> PAGEREF _Toc11406 \h </w:instrText>
          </w:r>
          <w:r>
            <w:rPr>
              <w:sz w:val="24"/>
              <w:szCs w:val="24"/>
            </w:rPr>
            <w:fldChar w:fldCharType="separate"/>
          </w:r>
          <w:r>
            <w:rPr>
              <w:sz w:val="24"/>
              <w:szCs w:val="24"/>
            </w:rPr>
            <w:t>5</w:t>
          </w:r>
          <w:r>
            <w:rPr>
              <w:sz w:val="24"/>
              <w:szCs w:val="24"/>
            </w:rPr>
            <w:fldChar w:fldCharType="end"/>
          </w:r>
          <w:r>
            <w:rPr>
              <w:sz w:val="24"/>
              <w:szCs w:val="24"/>
            </w:rPr>
            <w:fldChar w:fldCharType="end"/>
          </w:r>
        </w:p>
        <w:p w14:paraId="2BB409D9">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_Toc2421 </w:instrText>
          </w:r>
          <w:r>
            <w:rPr>
              <w:sz w:val="24"/>
              <w:szCs w:val="24"/>
            </w:rPr>
            <w:fldChar w:fldCharType="separate"/>
          </w:r>
          <w:r>
            <w:rPr>
              <w:sz w:val="24"/>
              <w:szCs w:val="24"/>
            </w:rPr>
            <w:t>1.5 Study Objectives</w:t>
          </w:r>
          <w:r>
            <w:rPr>
              <w:sz w:val="24"/>
              <w:szCs w:val="24"/>
            </w:rPr>
            <w:tab/>
          </w:r>
          <w:r>
            <w:rPr>
              <w:sz w:val="24"/>
              <w:szCs w:val="24"/>
            </w:rPr>
            <w:fldChar w:fldCharType="begin"/>
          </w:r>
          <w:r>
            <w:rPr>
              <w:sz w:val="24"/>
              <w:szCs w:val="24"/>
            </w:rPr>
            <w:instrText xml:space="preserve"> PAGEREF _Toc2421 \h </w:instrText>
          </w:r>
          <w:r>
            <w:rPr>
              <w:sz w:val="24"/>
              <w:szCs w:val="24"/>
            </w:rPr>
            <w:fldChar w:fldCharType="separate"/>
          </w:r>
          <w:r>
            <w:rPr>
              <w:sz w:val="24"/>
              <w:szCs w:val="24"/>
            </w:rPr>
            <w:t>6</w:t>
          </w:r>
          <w:r>
            <w:rPr>
              <w:sz w:val="24"/>
              <w:szCs w:val="24"/>
            </w:rPr>
            <w:fldChar w:fldCharType="end"/>
          </w:r>
          <w:r>
            <w:rPr>
              <w:sz w:val="24"/>
              <w:szCs w:val="24"/>
            </w:rPr>
            <w:fldChar w:fldCharType="end"/>
          </w:r>
        </w:p>
        <w:p w14:paraId="0DCBCDD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_Toc11045 </w:instrText>
          </w:r>
          <w:r>
            <w:rPr>
              <w:b/>
              <w:sz w:val="24"/>
              <w:szCs w:val="24"/>
            </w:rPr>
            <w:fldChar w:fldCharType="separate"/>
          </w:r>
          <w:r>
            <w:rPr>
              <w:b/>
              <w:sz w:val="24"/>
              <w:szCs w:val="24"/>
            </w:rPr>
            <w:t>CHAPTER TWO</w:t>
          </w:r>
          <w:r>
            <w:rPr>
              <w:b/>
              <w:sz w:val="24"/>
              <w:szCs w:val="24"/>
            </w:rPr>
            <w:tab/>
          </w:r>
          <w:r>
            <w:rPr>
              <w:b/>
              <w:sz w:val="24"/>
              <w:szCs w:val="24"/>
            </w:rPr>
            <w:fldChar w:fldCharType="begin"/>
          </w:r>
          <w:r>
            <w:rPr>
              <w:b/>
              <w:sz w:val="24"/>
              <w:szCs w:val="24"/>
            </w:rPr>
            <w:instrText xml:space="preserve"> PAGEREF _Toc11045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14:paraId="110F9F18">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_Toc12184 </w:instrText>
          </w:r>
          <w:r>
            <w:rPr>
              <w:b/>
              <w:sz w:val="24"/>
              <w:szCs w:val="24"/>
            </w:rPr>
            <w:fldChar w:fldCharType="separate"/>
          </w:r>
          <w:r>
            <w:rPr>
              <w:b/>
              <w:sz w:val="24"/>
              <w:szCs w:val="24"/>
            </w:rPr>
            <w:t>2.0 LITERATURE REVIEW</w:t>
          </w:r>
          <w:r>
            <w:rPr>
              <w:b/>
              <w:sz w:val="24"/>
              <w:szCs w:val="24"/>
            </w:rPr>
            <w:tab/>
          </w:r>
          <w:r>
            <w:rPr>
              <w:b/>
              <w:sz w:val="24"/>
              <w:szCs w:val="24"/>
            </w:rPr>
            <w:fldChar w:fldCharType="begin"/>
          </w:r>
          <w:r>
            <w:rPr>
              <w:b/>
              <w:sz w:val="24"/>
              <w:szCs w:val="24"/>
            </w:rPr>
            <w:instrText xml:space="preserve"> PAGEREF _Toc12184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14:paraId="389CA70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_Toc28076 </w:instrText>
          </w:r>
          <w:r>
            <w:rPr>
              <w:sz w:val="24"/>
              <w:szCs w:val="24"/>
            </w:rPr>
            <w:fldChar w:fldCharType="separate"/>
          </w:r>
          <w:r>
            <w:rPr>
              <w:sz w:val="24"/>
              <w:szCs w:val="24"/>
            </w:rPr>
            <w:t>2.1 Erectile Dysfunction</w:t>
          </w:r>
          <w:r>
            <w:rPr>
              <w:sz w:val="24"/>
              <w:szCs w:val="24"/>
            </w:rPr>
            <w:tab/>
          </w:r>
          <w:r>
            <w:rPr>
              <w:sz w:val="24"/>
              <w:szCs w:val="24"/>
            </w:rPr>
            <w:fldChar w:fldCharType="begin"/>
          </w:r>
          <w:r>
            <w:rPr>
              <w:sz w:val="24"/>
              <w:szCs w:val="24"/>
            </w:rPr>
            <w:instrText xml:space="preserve"> PAGEREF _Toc28076 \h </w:instrText>
          </w:r>
          <w:r>
            <w:rPr>
              <w:sz w:val="24"/>
              <w:szCs w:val="24"/>
            </w:rPr>
            <w:fldChar w:fldCharType="separate"/>
          </w:r>
          <w:r>
            <w:rPr>
              <w:sz w:val="24"/>
              <w:szCs w:val="24"/>
            </w:rPr>
            <w:t>7</w:t>
          </w:r>
          <w:r>
            <w:rPr>
              <w:sz w:val="24"/>
              <w:szCs w:val="24"/>
            </w:rPr>
            <w:fldChar w:fldCharType="end"/>
          </w:r>
          <w:r>
            <w:rPr>
              <w:sz w:val="24"/>
              <w:szCs w:val="24"/>
            </w:rPr>
            <w:fldChar w:fldCharType="end"/>
          </w:r>
        </w:p>
        <w:p w14:paraId="5EE9B6A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_Toc31065 </w:instrText>
          </w:r>
          <w:r>
            <w:rPr>
              <w:sz w:val="24"/>
              <w:szCs w:val="24"/>
            </w:rPr>
            <w:fldChar w:fldCharType="separate"/>
          </w:r>
          <w:r>
            <w:rPr>
              <w:sz w:val="24"/>
              <w:szCs w:val="24"/>
            </w:rPr>
            <w:t>2.2 Epidemiology of Erectile Dysfunction</w:t>
          </w:r>
          <w:r>
            <w:rPr>
              <w:sz w:val="24"/>
              <w:szCs w:val="24"/>
            </w:rPr>
            <w:tab/>
          </w:r>
          <w:r>
            <w:rPr>
              <w:sz w:val="24"/>
              <w:szCs w:val="24"/>
            </w:rPr>
            <w:fldChar w:fldCharType="begin"/>
          </w:r>
          <w:r>
            <w:rPr>
              <w:sz w:val="24"/>
              <w:szCs w:val="24"/>
            </w:rPr>
            <w:instrText xml:space="preserve"> PAGEREF _Toc31065 \h </w:instrText>
          </w:r>
          <w:r>
            <w:rPr>
              <w:sz w:val="24"/>
              <w:szCs w:val="24"/>
            </w:rPr>
            <w:fldChar w:fldCharType="separate"/>
          </w:r>
          <w:r>
            <w:rPr>
              <w:sz w:val="24"/>
              <w:szCs w:val="24"/>
            </w:rPr>
            <w:t>9</w:t>
          </w:r>
          <w:r>
            <w:rPr>
              <w:sz w:val="24"/>
              <w:szCs w:val="24"/>
            </w:rPr>
            <w:fldChar w:fldCharType="end"/>
          </w:r>
          <w:r>
            <w:rPr>
              <w:sz w:val="24"/>
              <w:szCs w:val="24"/>
            </w:rPr>
            <w:fldChar w:fldCharType="end"/>
          </w:r>
        </w:p>
        <w:p w14:paraId="3D2BD3E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_Toc19458 </w:instrText>
          </w:r>
          <w:r>
            <w:rPr>
              <w:sz w:val="24"/>
              <w:szCs w:val="24"/>
            </w:rPr>
            <w:fldChar w:fldCharType="separate"/>
          </w:r>
          <w:r>
            <w:rPr>
              <w:sz w:val="24"/>
              <w:szCs w:val="24"/>
            </w:rPr>
            <w:t>2.3 Pathophysiology of Erectile Dysfunction</w:t>
          </w:r>
          <w:r>
            <w:rPr>
              <w:sz w:val="24"/>
              <w:szCs w:val="24"/>
            </w:rPr>
            <w:tab/>
          </w:r>
          <w:r>
            <w:rPr>
              <w:sz w:val="24"/>
              <w:szCs w:val="24"/>
            </w:rPr>
            <w:fldChar w:fldCharType="begin"/>
          </w:r>
          <w:r>
            <w:rPr>
              <w:sz w:val="24"/>
              <w:szCs w:val="24"/>
            </w:rPr>
            <w:instrText xml:space="preserve"> PAGEREF _Toc19458 \h </w:instrText>
          </w:r>
          <w:r>
            <w:rPr>
              <w:sz w:val="24"/>
              <w:szCs w:val="24"/>
            </w:rPr>
            <w:fldChar w:fldCharType="separate"/>
          </w:r>
          <w:r>
            <w:rPr>
              <w:sz w:val="24"/>
              <w:szCs w:val="24"/>
            </w:rPr>
            <w:t>9</w:t>
          </w:r>
          <w:r>
            <w:rPr>
              <w:sz w:val="24"/>
              <w:szCs w:val="24"/>
            </w:rPr>
            <w:fldChar w:fldCharType="end"/>
          </w:r>
          <w:r>
            <w:rPr>
              <w:sz w:val="24"/>
              <w:szCs w:val="24"/>
            </w:rPr>
            <w:fldChar w:fldCharType="end"/>
          </w:r>
        </w:p>
        <w:p w14:paraId="38C71F2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_Toc23722 </w:instrText>
          </w:r>
          <w:r>
            <w:rPr>
              <w:sz w:val="24"/>
              <w:szCs w:val="24"/>
            </w:rPr>
            <w:fldChar w:fldCharType="separate"/>
          </w:r>
          <w:r>
            <w:rPr>
              <w:sz w:val="24"/>
              <w:szCs w:val="24"/>
            </w:rPr>
            <w:t>2.3.1 Acetylcholinesterase</w:t>
          </w:r>
          <w:r>
            <w:rPr>
              <w:sz w:val="24"/>
              <w:szCs w:val="24"/>
            </w:rPr>
            <w:tab/>
          </w:r>
          <w:r>
            <w:rPr>
              <w:sz w:val="24"/>
              <w:szCs w:val="24"/>
            </w:rPr>
            <w:fldChar w:fldCharType="begin"/>
          </w:r>
          <w:r>
            <w:rPr>
              <w:sz w:val="24"/>
              <w:szCs w:val="24"/>
            </w:rPr>
            <w:instrText xml:space="preserve"> PAGEREF _Toc23722 \h </w:instrText>
          </w:r>
          <w:r>
            <w:rPr>
              <w:sz w:val="24"/>
              <w:szCs w:val="24"/>
            </w:rPr>
            <w:fldChar w:fldCharType="separate"/>
          </w:r>
          <w:r>
            <w:rPr>
              <w:sz w:val="24"/>
              <w:szCs w:val="24"/>
            </w:rPr>
            <w:t>12</w:t>
          </w:r>
          <w:r>
            <w:rPr>
              <w:sz w:val="24"/>
              <w:szCs w:val="24"/>
            </w:rPr>
            <w:fldChar w:fldCharType="end"/>
          </w:r>
          <w:r>
            <w:rPr>
              <w:sz w:val="24"/>
              <w:szCs w:val="24"/>
            </w:rPr>
            <w:fldChar w:fldCharType="end"/>
          </w:r>
        </w:p>
        <w:p w14:paraId="3F609B8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_Toc5047 </w:instrText>
          </w:r>
          <w:r>
            <w:rPr>
              <w:sz w:val="24"/>
              <w:szCs w:val="24"/>
            </w:rPr>
            <w:fldChar w:fldCharType="separate"/>
          </w:r>
          <w:r>
            <w:rPr>
              <w:sz w:val="24"/>
              <w:szCs w:val="24"/>
            </w:rPr>
            <w:t>2.3.2 Angiotensin Converting Enzyme</w:t>
          </w:r>
          <w:r>
            <w:rPr>
              <w:sz w:val="24"/>
              <w:szCs w:val="24"/>
            </w:rPr>
            <w:tab/>
          </w:r>
          <w:r>
            <w:rPr>
              <w:sz w:val="24"/>
              <w:szCs w:val="24"/>
            </w:rPr>
            <w:fldChar w:fldCharType="begin"/>
          </w:r>
          <w:r>
            <w:rPr>
              <w:sz w:val="24"/>
              <w:szCs w:val="24"/>
            </w:rPr>
            <w:instrText xml:space="preserve"> PAGEREF _Toc5047 \h </w:instrText>
          </w:r>
          <w:r>
            <w:rPr>
              <w:sz w:val="24"/>
              <w:szCs w:val="24"/>
            </w:rPr>
            <w:fldChar w:fldCharType="separate"/>
          </w:r>
          <w:r>
            <w:rPr>
              <w:sz w:val="24"/>
              <w:szCs w:val="24"/>
            </w:rPr>
            <w:t>14</w:t>
          </w:r>
          <w:r>
            <w:rPr>
              <w:sz w:val="24"/>
              <w:szCs w:val="24"/>
            </w:rPr>
            <w:fldChar w:fldCharType="end"/>
          </w:r>
          <w:r>
            <w:rPr>
              <w:sz w:val="24"/>
              <w:szCs w:val="24"/>
            </w:rPr>
            <w:fldChar w:fldCharType="end"/>
          </w:r>
        </w:p>
        <w:p w14:paraId="182AB7F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_Toc27314 </w:instrText>
          </w:r>
          <w:r>
            <w:rPr>
              <w:sz w:val="24"/>
              <w:szCs w:val="24"/>
            </w:rPr>
            <w:fldChar w:fldCharType="separate"/>
          </w:r>
          <w:r>
            <w:rPr>
              <w:sz w:val="24"/>
              <w:szCs w:val="24"/>
            </w:rPr>
            <w:t>2.4 Acetylcholinesterase and Angiotensin-Converting Enzyme Inhibition</w:t>
          </w:r>
          <w:r>
            <w:rPr>
              <w:sz w:val="24"/>
              <w:szCs w:val="24"/>
            </w:rPr>
            <w:tab/>
          </w:r>
          <w:r>
            <w:rPr>
              <w:sz w:val="24"/>
              <w:szCs w:val="24"/>
            </w:rPr>
            <w:fldChar w:fldCharType="begin"/>
          </w:r>
          <w:r>
            <w:rPr>
              <w:sz w:val="24"/>
              <w:szCs w:val="24"/>
            </w:rPr>
            <w:instrText xml:space="preserve"> PAGEREF _Toc27314 \h </w:instrText>
          </w:r>
          <w:r>
            <w:rPr>
              <w:sz w:val="24"/>
              <w:szCs w:val="24"/>
            </w:rPr>
            <w:fldChar w:fldCharType="separate"/>
          </w:r>
          <w:r>
            <w:rPr>
              <w:sz w:val="24"/>
              <w:szCs w:val="24"/>
            </w:rPr>
            <w:t>15</w:t>
          </w:r>
          <w:r>
            <w:rPr>
              <w:sz w:val="24"/>
              <w:szCs w:val="24"/>
            </w:rPr>
            <w:fldChar w:fldCharType="end"/>
          </w:r>
          <w:r>
            <w:rPr>
              <w:sz w:val="24"/>
              <w:szCs w:val="24"/>
            </w:rPr>
            <w:fldChar w:fldCharType="end"/>
          </w:r>
        </w:p>
        <w:p w14:paraId="31F3A291">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_Toc3014 </w:instrText>
          </w:r>
          <w:r>
            <w:rPr>
              <w:sz w:val="24"/>
              <w:szCs w:val="24"/>
            </w:rPr>
            <w:fldChar w:fldCharType="separate"/>
          </w:r>
          <w:r>
            <w:rPr>
              <w:sz w:val="24"/>
              <w:szCs w:val="24"/>
            </w:rPr>
            <w:t>2.4.1 Limitations of Current Acetylcholinesterase (AChE) and Angiotensin-Converting Enzyme (ACE) Inhibitors</w:t>
          </w:r>
          <w:r>
            <w:rPr>
              <w:sz w:val="24"/>
              <w:szCs w:val="24"/>
            </w:rPr>
            <w:tab/>
          </w:r>
          <w:r>
            <w:rPr>
              <w:sz w:val="24"/>
              <w:szCs w:val="24"/>
            </w:rPr>
            <w:fldChar w:fldCharType="begin"/>
          </w:r>
          <w:r>
            <w:rPr>
              <w:sz w:val="24"/>
              <w:szCs w:val="24"/>
            </w:rPr>
            <w:instrText xml:space="preserve"> PAGEREF _Toc3014 \h </w:instrText>
          </w:r>
          <w:r>
            <w:rPr>
              <w:sz w:val="24"/>
              <w:szCs w:val="24"/>
            </w:rPr>
            <w:fldChar w:fldCharType="separate"/>
          </w:r>
          <w:r>
            <w:rPr>
              <w:sz w:val="24"/>
              <w:szCs w:val="24"/>
            </w:rPr>
            <w:t>17</w:t>
          </w:r>
          <w:r>
            <w:rPr>
              <w:sz w:val="24"/>
              <w:szCs w:val="24"/>
            </w:rPr>
            <w:fldChar w:fldCharType="end"/>
          </w:r>
          <w:r>
            <w:rPr>
              <w:sz w:val="24"/>
              <w:szCs w:val="24"/>
            </w:rPr>
            <w:fldChar w:fldCharType="end"/>
          </w:r>
        </w:p>
        <w:p w14:paraId="4B0FDB4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_Toc10030 </w:instrText>
          </w:r>
          <w:r>
            <w:rPr>
              <w:sz w:val="24"/>
              <w:szCs w:val="24"/>
            </w:rPr>
            <w:fldChar w:fldCharType="separate"/>
          </w:r>
          <w:r>
            <w:rPr>
              <w:sz w:val="24"/>
              <w:szCs w:val="24"/>
            </w:rPr>
            <w:t xml:space="preserve">2.5 </w:t>
          </w:r>
          <w:r>
            <w:rPr>
              <w:i/>
              <w:iCs/>
              <w:sz w:val="24"/>
              <w:szCs w:val="24"/>
            </w:rPr>
            <w:t>Syzygium aromaticum</w:t>
          </w:r>
          <w:r>
            <w:rPr>
              <w:sz w:val="24"/>
              <w:szCs w:val="24"/>
            </w:rPr>
            <w:t xml:space="preserve"> (Clove)</w:t>
          </w:r>
          <w:r>
            <w:rPr>
              <w:sz w:val="24"/>
              <w:szCs w:val="24"/>
            </w:rPr>
            <w:tab/>
          </w:r>
          <w:r>
            <w:rPr>
              <w:sz w:val="24"/>
              <w:szCs w:val="24"/>
            </w:rPr>
            <w:fldChar w:fldCharType="begin"/>
          </w:r>
          <w:r>
            <w:rPr>
              <w:sz w:val="24"/>
              <w:szCs w:val="24"/>
            </w:rPr>
            <w:instrText xml:space="preserve"> PAGEREF _Toc10030 \h </w:instrText>
          </w:r>
          <w:r>
            <w:rPr>
              <w:sz w:val="24"/>
              <w:szCs w:val="24"/>
            </w:rPr>
            <w:fldChar w:fldCharType="separate"/>
          </w:r>
          <w:r>
            <w:rPr>
              <w:sz w:val="24"/>
              <w:szCs w:val="24"/>
            </w:rPr>
            <w:t>18</w:t>
          </w:r>
          <w:r>
            <w:rPr>
              <w:sz w:val="24"/>
              <w:szCs w:val="24"/>
            </w:rPr>
            <w:fldChar w:fldCharType="end"/>
          </w:r>
          <w:r>
            <w:rPr>
              <w:sz w:val="24"/>
              <w:szCs w:val="24"/>
            </w:rPr>
            <w:fldChar w:fldCharType="end"/>
          </w:r>
        </w:p>
        <w:p w14:paraId="367E0A6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_Toc18173 </w:instrText>
          </w:r>
          <w:r>
            <w:rPr>
              <w:sz w:val="24"/>
              <w:szCs w:val="24"/>
            </w:rPr>
            <w:fldChar w:fldCharType="separate"/>
          </w:r>
          <w:r>
            <w:rPr>
              <w:sz w:val="24"/>
              <w:szCs w:val="24"/>
            </w:rPr>
            <w:t xml:space="preserve">2.5.1 Bioactive Components of </w:t>
          </w:r>
          <w:r>
            <w:rPr>
              <w:i/>
              <w:iCs/>
              <w:sz w:val="24"/>
              <w:szCs w:val="24"/>
            </w:rPr>
            <w:t>Syzygium aromaticum</w:t>
          </w:r>
          <w:r>
            <w:rPr>
              <w:sz w:val="24"/>
              <w:szCs w:val="24"/>
            </w:rPr>
            <w:tab/>
          </w:r>
          <w:r>
            <w:rPr>
              <w:sz w:val="24"/>
              <w:szCs w:val="24"/>
            </w:rPr>
            <w:fldChar w:fldCharType="begin"/>
          </w:r>
          <w:r>
            <w:rPr>
              <w:sz w:val="24"/>
              <w:szCs w:val="24"/>
            </w:rPr>
            <w:instrText xml:space="preserve"> PAGEREF _Toc18173 \h </w:instrText>
          </w:r>
          <w:r>
            <w:rPr>
              <w:sz w:val="24"/>
              <w:szCs w:val="24"/>
            </w:rPr>
            <w:fldChar w:fldCharType="separate"/>
          </w:r>
          <w:r>
            <w:rPr>
              <w:sz w:val="24"/>
              <w:szCs w:val="24"/>
            </w:rPr>
            <w:t>20</w:t>
          </w:r>
          <w:r>
            <w:rPr>
              <w:sz w:val="24"/>
              <w:szCs w:val="24"/>
            </w:rPr>
            <w:fldChar w:fldCharType="end"/>
          </w:r>
          <w:r>
            <w:rPr>
              <w:sz w:val="24"/>
              <w:szCs w:val="24"/>
            </w:rPr>
            <w:fldChar w:fldCharType="end"/>
          </w:r>
        </w:p>
        <w:p w14:paraId="050D97B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_Toc1962 </w:instrText>
          </w:r>
          <w:r>
            <w:rPr>
              <w:sz w:val="24"/>
              <w:szCs w:val="24"/>
            </w:rPr>
            <w:fldChar w:fldCharType="separate"/>
          </w:r>
          <w:r>
            <w:rPr>
              <w:sz w:val="24"/>
              <w:szCs w:val="24"/>
            </w:rPr>
            <w:t>CHAPTER THREE</w:t>
          </w:r>
          <w:r>
            <w:rPr>
              <w:sz w:val="24"/>
              <w:szCs w:val="24"/>
            </w:rPr>
            <w:tab/>
          </w:r>
          <w:r>
            <w:rPr>
              <w:sz w:val="24"/>
              <w:szCs w:val="24"/>
            </w:rPr>
            <w:fldChar w:fldCharType="begin"/>
          </w:r>
          <w:r>
            <w:rPr>
              <w:sz w:val="24"/>
              <w:szCs w:val="24"/>
            </w:rPr>
            <w:instrText xml:space="preserve"> PAGEREF _Toc1962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2266D8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_Toc17097 </w:instrText>
          </w:r>
          <w:r>
            <w:rPr>
              <w:sz w:val="24"/>
              <w:szCs w:val="24"/>
            </w:rPr>
            <w:fldChar w:fldCharType="separate"/>
          </w:r>
          <w:r>
            <w:rPr>
              <w:sz w:val="24"/>
              <w:szCs w:val="24"/>
            </w:rPr>
            <w:t>3.0 MATERIALS AND METHODS</w:t>
          </w:r>
          <w:r>
            <w:rPr>
              <w:sz w:val="24"/>
              <w:szCs w:val="24"/>
            </w:rPr>
            <w:tab/>
          </w:r>
          <w:r>
            <w:rPr>
              <w:sz w:val="24"/>
              <w:szCs w:val="24"/>
            </w:rPr>
            <w:fldChar w:fldCharType="begin"/>
          </w:r>
          <w:r>
            <w:rPr>
              <w:sz w:val="24"/>
              <w:szCs w:val="24"/>
            </w:rPr>
            <w:instrText xml:space="preserve"> PAGEREF _Toc17097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54AB557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_Toc16808 </w:instrText>
          </w:r>
          <w:r>
            <w:rPr>
              <w:sz w:val="24"/>
              <w:szCs w:val="24"/>
            </w:rPr>
            <w:fldChar w:fldCharType="separate"/>
          </w:r>
          <w:r>
            <w:rPr>
              <w:sz w:val="24"/>
              <w:szCs w:val="24"/>
            </w:rPr>
            <w:t>3.1 Materials</w:t>
          </w:r>
          <w:r>
            <w:rPr>
              <w:sz w:val="24"/>
              <w:szCs w:val="24"/>
            </w:rPr>
            <w:tab/>
          </w:r>
          <w:r>
            <w:rPr>
              <w:sz w:val="24"/>
              <w:szCs w:val="24"/>
            </w:rPr>
            <w:fldChar w:fldCharType="begin"/>
          </w:r>
          <w:r>
            <w:rPr>
              <w:sz w:val="24"/>
              <w:szCs w:val="24"/>
            </w:rPr>
            <w:instrText xml:space="preserve"> PAGEREF _Toc16808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BE36CA9">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_Toc32067 </w:instrText>
          </w:r>
          <w:r>
            <w:rPr>
              <w:sz w:val="24"/>
              <w:szCs w:val="24"/>
            </w:rPr>
            <w:fldChar w:fldCharType="separate"/>
          </w:r>
          <w:r>
            <w:rPr>
              <w:sz w:val="24"/>
              <w:szCs w:val="24"/>
            </w:rPr>
            <w:t>3.1.1 Plant Materials</w:t>
          </w:r>
          <w:r>
            <w:rPr>
              <w:sz w:val="24"/>
              <w:szCs w:val="24"/>
            </w:rPr>
            <w:tab/>
          </w:r>
          <w:r>
            <w:rPr>
              <w:sz w:val="24"/>
              <w:szCs w:val="24"/>
            </w:rPr>
            <w:fldChar w:fldCharType="begin"/>
          </w:r>
          <w:r>
            <w:rPr>
              <w:sz w:val="24"/>
              <w:szCs w:val="24"/>
            </w:rPr>
            <w:instrText xml:space="preserve"> PAGEREF _Toc32067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08BE647C">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_Toc1786 </w:instrText>
          </w:r>
          <w:r>
            <w:rPr>
              <w:sz w:val="24"/>
              <w:szCs w:val="24"/>
            </w:rPr>
            <w:fldChar w:fldCharType="separate"/>
          </w:r>
          <w:r>
            <w:rPr>
              <w:sz w:val="24"/>
              <w:szCs w:val="24"/>
            </w:rPr>
            <w:t>3.1.2 Reagents and Kits</w:t>
          </w:r>
          <w:r>
            <w:rPr>
              <w:sz w:val="24"/>
              <w:szCs w:val="24"/>
            </w:rPr>
            <w:tab/>
          </w:r>
          <w:r>
            <w:rPr>
              <w:sz w:val="24"/>
              <w:szCs w:val="24"/>
            </w:rPr>
            <w:fldChar w:fldCharType="begin"/>
          </w:r>
          <w:r>
            <w:rPr>
              <w:sz w:val="24"/>
              <w:szCs w:val="24"/>
            </w:rPr>
            <w:instrText xml:space="preserve"> PAGEREF _Toc1786 \h </w:instrText>
          </w:r>
          <w:r>
            <w:rPr>
              <w:sz w:val="24"/>
              <w:szCs w:val="24"/>
            </w:rPr>
            <w:fldChar w:fldCharType="separate"/>
          </w:r>
          <w:r>
            <w:rPr>
              <w:sz w:val="24"/>
              <w:szCs w:val="24"/>
            </w:rPr>
            <w:t>22</w:t>
          </w:r>
          <w:r>
            <w:rPr>
              <w:sz w:val="24"/>
              <w:szCs w:val="24"/>
            </w:rPr>
            <w:fldChar w:fldCharType="end"/>
          </w:r>
          <w:r>
            <w:rPr>
              <w:sz w:val="24"/>
              <w:szCs w:val="24"/>
            </w:rPr>
            <w:fldChar w:fldCharType="end"/>
          </w:r>
        </w:p>
        <w:p w14:paraId="771F6EC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_Toc17578 </w:instrText>
          </w:r>
          <w:r>
            <w:rPr>
              <w:sz w:val="24"/>
              <w:szCs w:val="24"/>
            </w:rPr>
            <w:fldChar w:fldCharType="separate"/>
          </w:r>
          <w:r>
            <w:rPr>
              <w:sz w:val="24"/>
              <w:szCs w:val="24"/>
              <w:lang w:val="en-GB"/>
            </w:rPr>
            <w:t xml:space="preserve">3.1.3 </w:t>
          </w:r>
          <w:r>
            <w:rPr>
              <w:sz w:val="24"/>
              <w:szCs w:val="24"/>
              <w:lang w:val="en-GB" w:eastAsia="en-US"/>
            </w:rPr>
            <w:t>Software and Web Servers</w:t>
          </w:r>
          <w:r>
            <w:rPr>
              <w:sz w:val="24"/>
              <w:szCs w:val="24"/>
            </w:rPr>
            <w:tab/>
          </w:r>
          <w:r>
            <w:rPr>
              <w:sz w:val="24"/>
              <w:szCs w:val="24"/>
            </w:rPr>
            <w:fldChar w:fldCharType="begin"/>
          </w:r>
          <w:r>
            <w:rPr>
              <w:sz w:val="24"/>
              <w:szCs w:val="24"/>
            </w:rPr>
            <w:instrText xml:space="preserve"> PAGEREF _Toc17578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38E117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_Toc2512 </w:instrText>
          </w:r>
          <w:r>
            <w:rPr>
              <w:sz w:val="24"/>
              <w:szCs w:val="24"/>
            </w:rPr>
            <w:fldChar w:fldCharType="separate"/>
          </w:r>
          <w:r>
            <w:rPr>
              <w:sz w:val="24"/>
              <w:szCs w:val="24"/>
            </w:rPr>
            <w:t>3.2 Methods</w:t>
          </w:r>
          <w:r>
            <w:rPr>
              <w:sz w:val="24"/>
              <w:szCs w:val="24"/>
            </w:rPr>
            <w:tab/>
          </w:r>
          <w:r>
            <w:rPr>
              <w:sz w:val="24"/>
              <w:szCs w:val="24"/>
            </w:rPr>
            <w:fldChar w:fldCharType="begin"/>
          </w:r>
          <w:r>
            <w:rPr>
              <w:sz w:val="24"/>
              <w:szCs w:val="24"/>
            </w:rPr>
            <w:instrText xml:space="preserve"> PAGEREF _Toc2512 \h </w:instrText>
          </w:r>
          <w:r>
            <w:rPr>
              <w:sz w:val="24"/>
              <w:szCs w:val="24"/>
            </w:rPr>
            <w:fldChar w:fldCharType="separate"/>
          </w:r>
          <w:r>
            <w:rPr>
              <w:sz w:val="24"/>
              <w:szCs w:val="24"/>
            </w:rPr>
            <w:t>22</w:t>
          </w:r>
          <w:r>
            <w:rPr>
              <w:sz w:val="24"/>
              <w:szCs w:val="24"/>
            </w:rPr>
            <w:fldChar w:fldCharType="end"/>
          </w:r>
          <w:r>
            <w:rPr>
              <w:sz w:val="24"/>
              <w:szCs w:val="24"/>
            </w:rPr>
            <w:fldChar w:fldCharType="end"/>
          </w:r>
        </w:p>
        <w:p w14:paraId="29AA24E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_Toc21423 </w:instrText>
          </w:r>
          <w:r>
            <w:rPr>
              <w:sz w:val="24"/>
              <w:szCs w:val="24"/>
            </w:rPr>
            <w:fldChar w:fldCharType="separate"/>
          </w:r>
          <w:r>
            <w:rPr>
              <w:sz w:val="24"/>
              <w:szCs w:val="24"/>
            </w:rPr>
            <w:t>3.2.1 Preparation of Clove Extract</w:t>
          </w:r>
          <w:r>
            <w:rPr>
              <w:sz w:val="24"/>
              <w:szCs w:val="24"/>
            </w:rPr>
            <w:tab/>
          </w:r>
          <w:r>
            <w:rPr>
              <w:sz w:val="24"/>
              <w:szCs w:val="24"/>
            </w:rPr>
            <w:fldChar w:fldCharType="begin"/>
          </w:r>
          <w:r>
            <w:rPr>
              <w:sz w:val="24"/>
              <w:szCs w:val="24"/>
            </w:rPr>
            <w:instrText xml:space="preserve"> PAGEREF _Toc21423 \h </w:instrText>
          </w:r>
          <w:r>
            <w:rPr>
              <w:sz w:val="24"/>
              <w:szCs w:val="24"/>
            </w:rPr>
            <w:fldChar w:fldCharType="separate"/>
          </w:r>
          <w:r>
            <w:rPr>
              <w:sz w:val="24"/>
              <w:szCs w:val="24"/>
            </w:rPr>
            <w:t>22</w:t>
          </w:r>
          <w:r>
            <w:rPr>
              <w:sz w:val="24"/>
              <w:szCs w:val="24"/>
            </w:rPr>
            <w:fldChar w:fldCharType="end"/>
          </w:r>
          <w:r>
            <w:rPr>
              <w:sz w:val="24"/>
              <w:szCs w:val="24"/>
            </w:rPr>
            <w:fldChar w:fldCharType="end"/>
          </w:r>
        </w:p>
        <w:p w14:paraId="38380CD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_Toc11848 </w:instrText>
          </w:r>
          <w:r>
            <w:rPr>
              <w:sz w:val="24"/>
              <w:szCs w:val="24"/>
            </w:rPr>
            <w:fldChar w:fldCharType="separate"/>
          </w:r>
          <w:r>
            <w:rPr>
              <w:sz w:val="24"/>
              <w:szCs w:val="24"/>
            </w:rPr>
            <w:t>3.3 Qualitative Phytochemical Screening</w:t>
          </w:r>
          <w:r>
            <w:rPr>
              <w:sz w:val="24"/>
              <w:szCs w:val="24"/>
            </w:rPr>
            <w:tab/>
          </w:r>
          <w:r>
            <w:rPr>
              <w:sz w:val="24"/>
              <w:szCs w:val="24"/>
            </w:rPr>
            <w:fldChar w:fldCharType="begin"/>
          </w:r>
          <w:r>
            <w:rPr>
              <w:sz w:val="24"/>
              <w:szCs w:val="24"/>
            </w:rPr>
            <w:instrText xml:space="preserve"> PAGEREF _Toc11848 \h </w:instrText>
          </w:r>
          <w:r>
            <w:rPr>
              <w:sz w:val="24"/>
              <w:szCs w:val="24"/>
            </w:rPr>
            <w:fldChar w:fldCharType="separate"/>
          </w:r>
          <w:r>
            <w:rPr>
              <w:sz w:val="24"/>
              <w:szCs w:val="24"/>
            </w:rPr>
            <w:t>23</w:t>
          </w:r>
          <w:r>
            <w:rPr>
              <w:sz w:val="24"/>
              <w:szCs w:val="24"/>
            </w:rPr>
            <w:fldChar w:fldCharType="end"/>
          </w:r>
          <w:r>
            <w:rPr>
              <w:sz w:val="24"/>
              <w:szCs w:val="24"/>
            </w:rPr>
            <w:fldChar w:fldCharType="end"/>
          </w:r>
        </w:p>
        <w:p w14:paraId="34E3E05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_Toc10571 </w:instrText>
          </w:r>
          <w:r>
            <w:rPr>
              <w:sz w:val="24"/>
              <w:szCs w:val="24"/>
            </w:rPr>
            <w:fldChar w:fldCharType="separate"/>
          </w:r>
          <w:r>
            <w:rPr>
              <w:sz w:val="24"/>
              <w:szCs w:val="24"/>
            </w:rPr>
            <w:t>3.4 In vitro Inhibition Assays of Acetylcholinesterase (AChE) and Angiotensin Converting Enzyme (ACE)</w:t>
          </w:r>
          <w:r>
            <w:rPr>
              <w:sz w:val="24"/>
              <w:szCs w:val="24"/>
            </w:rPr>
            <w:tab/>
          </w:r>
          <w:r>
            <w:rPr>
              <w:sz w:val="24"/>
              <w:szCs w:val="24"/>
            </w:rPr>
            <w:fldChar w:fldCharType="begin"/>
          </w:r>
          <w:r>
            <w:rPr>
              <w:sz w:val="24"/>
              <w:szCs w:val="24"/>
            </w:rPr>
            <w:instrText xml:space="preserve"> PAGEREF _Toc10571 \h </w:instrText>
          </w:r>
          <w:r>
            <w:rPr>
              <w:sz w:val="24"/>
              <w:szCs w:val="24"/>
            </w:rPr>
            <w:fldChar w:fldCharType="separate"/>
          </w:r>
          <w:r>
            <w:rPr>
              <w:sz w:val="24"/>
              <w:szCs w:val="24"/>
            </w:rPr>
            <w:t>23</w:t>
          </w:r>
          <w:r>
            <w:rPr>
              <w:sz w:val="24"/>
              <w:szCs w:val="24"/>
            </w:rPr>
            <w:fldChar w:fldCharType="end"/>
          </w:r>
          <w:r>
            <w:rPr>
              <w:sz w:val="24"/>
              <w:szCs w:val="24"/>
            </w:rPr>
            <w:fldChar w:fldCharType="end"/>
          </w:r>
        </w:p>
        <w:p w14:paraId="69775DD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_Toc15755 </w:instrText>
          </w:r>
          <w:r>
            <w:rPr>
              <w:sz w:val="24"/>
              <w:szCs w:val="24"/>
            </w:rPr>
            <w:fldChar w:fldCharType="separate"/>
          </w:r>
          <w:r>
            <w:rPr>
              <w:sz w:val="24"/>
              <w:szCs w:val="24"/>
            </w:rPr>
            <w:t>3.4.1 Acetylcholinesterase Inhibition Assay</w:t>
          </w:r>
          <w:r>
            <w:rPr>
              <w:sz w:val="24"/>
              <w:szCs w:val="24"/>
            </w:rPr>
            <w:tab/>
          </w:r>
          <w:r>
            <w:rPr>
              <w:sz w:val="24"/>
              <w:szCs w:val="24"/>
            </w:rPr>
            <w:fldChar w:fldCharType="begin"/>
          </w:r>
          <w:r>
            <w:rPr>
              <w:sz w:val="24"/>
              <w:szCs w:val="24"/>
            </w:rPr>
            <w:instrText xml:space="preserve"> PAGEREF _Toc15755 \h </w:instrText>
          </w:r>
          <w:r>
            <w:rPr>
              <w:sz w:val="24"/>
              <w:szCs w:val="24"/>
            </w:rPr>
            <w:fldChar w:fldCharType="separate"/>
          </w:r>
          <w:r>
            <w:rPr>
              <w:sz w:val="24"/>
              <w:szCs w:val="24"/>
            </w:rPr>
            <w:t>23</w:t>
          </w:r>
          <w:r>
            <w:rPr>
              <w:sz w:val="24"/>
              <w:szCs w:val="24"/>
            </w:rPr>
            <w:fldChar w:fldCharType="end"/>
          </w:r>
          <w:r>
            <w:rPr>
              <w:sz w:val="24"/>
              <w:szCs w:val="24"/>
            </w:rPr>
            <w:fldChar w:fldCharType="end"/>
          </w:r>
        </w:p>
        <w:p w14:paraId="56464BA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_Toc16358 </w:instrText>
          </w:r>
          <w:r>
            <w:rPr>
              <w:sz w:val="24"/>
              <w:szCs w:val="24"/>
            </w:rPr>
            <w:fldChar w:fldCharType="separate"/>
          </w:r>
          <w:r>
            <w:rPr>
              <w:sz w:val="24"/>
              <w:szCs w:val="24"/>
            </w:rPr>
            <w:t>3.4.2 Angiotensin Converting Enzyme</w:t>
          </w:r>
          <w:r>
            <w:rPr>
              <w:sz w:val="24"/>
              <w:szCs w:val="24"/>
            </w:rPr>
            <w:tab/>
          </w:r>
          <w:r>
            <w:rPr>
              <w:sz w:val="24"/>
              <w:szCs w:val="24"/>
            </w:rPr>
            <w:fldChar w:fldCharType="begin"/>
          </w:r>
          <w:r>
            <w:rPr>
              <w:sz w:val="24"/>
              <w:szCs w:val="24"/>
            </w:rPr>
            <w:instrText xml:space="preserve"> PAGEREF _Toc16358 \h </w:instrText>
          </w:r>
          <w:r>
            <w:rPr>
              <w:sz w:val="24"/>
              <w:szCs w:val="24"/>
            </w:rPr>
            <w:fldChar w:fldCharType="separate"/>
          </w:r>
          <w:r>
            <w:rPr>
              <w:sz w:val="24"/>
              <w:szCs w:val="24"/>
            </w:rPr>
            <w:t>24</w:t>
          </w:r>
          <w:r>
            <w:rPr>
              <w:sz w:val="24"/>
              <w:szCs w:val="24"/>
            </w:rPr>
            <w:fldChar w:fldCharType="end"/>
          </w:r>
          <w:r>
            <w:rPr>
              <w:sz w:val="24"/>
              <w:szCs w:val="24"/>
            </w:rPr>
            <w:fldChar w:fldCharType="end"/>
          </w:r>
        </w:p>
        <w:p w14:paraId="338E0C3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_Toc20148 </w:instrText>
          </w:r>
          <w:r>
            <w:rPr>
              <w:sz w:val="24"/>
              <w:szCs w:val="24"/>
            </w:rPr>
            <w:fldChar w:fldCharType="separate"/>
          </w:r>
          <w:r>
            <w:rPr>
              <w:sz w:val="24"/>
              <w:szCs w:val="24"/>
              <w:lang w:val="en-GB"/>
            </w:rPr>
            <w:t xml:space="preserve">3. 5 </w:t>
          </w:r>
          <w:r>
            <w:rPr>
              <w:sz w:val="24"/>
              <w:szCs w:val="24"/>
              <w:lang w:val="en-GB" w:eastAsia="en-US"/>
            </w:rPr>
            <w:t>GC-MS Analysis of</w:t>
          </w:r>
          <w:r>
            <w:rPr>
              <w:i/>
              <w:iCs/>
              <w:sz w:val="24"/>
              <w:szCs w:val="24"/>
              <w:lang w:val="en-GB" w:eastAsia="en-US"/>
            </w:rPr>
            <w:t xml:space="preserve"> </w:t>
          </w:r>
          <w:r>
            <w:rPr>
              <w:i/>
              <w:iCs/>
              <w:sz w:val="24"/>
              <w:szCs w:val="24"/>
              <w:lang w:val="en-GB"/>
            </w:rPr>
            <w:t>S. aromaticum</w:t>
          </w:r>
          <w:r>
            <w:rPr>
              <w:sz w:val="24"/>
              <w:szCs w:val="24"/>
              <w:lang w:val="en-GB"/>
            </w:rPr>
            <w:t xml:space="preserve"> Aqueous</w:t>
          </w:r>
          <w:r>
            <w:rPr>
              <w:sz w:val="24"/>
              <w:szCs w:val="24"/>
              <w:lang w:val="en-GB" w:eastAsia="en-US"/>
            </w:rPr>
            <w:t xml:space="preserve"> Extract</w:t>
          </w:r>
          <w:r>
            <w:rPr>
              <w:sz w:val="24"/>
              <w:szCs w:val="24"/>
            </w:rPr>
            <w:tab/>
          </w:r>
          <w:r>
            <w:rPr>
              <w:sz w:val="24"/>
              <w:szCs w:val="24"/>
            </w:rPr>
            <w:fldChar w:fldCharType="begin"/>
          </w:r>
          <w:r>
            <w:rPr>
              <w:sz w:val="24"/>
              <w:szCs w:val="24"/>
            </w:rPr>
            <w:instrText xml:space="preserve"> PAGEREF _Toc20148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C7DBCB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_Toc10012 </w:instrText>
          </w:r>
          <w:r>
            <w:rPr>
              <w:sz w:val="24"/>
              <w:szCs w:val="24"/>
            </w:rPr>
            <w:fldChar w:fldCharType="separate"/>
          </w:r>
          <w:r>
            <w:rPr>
              <w:sz w:val="24"/>
              <w:szCs w:val="24"/>
              <w:lang w:eastAsia="en-US"/>
            </w:rPr>
            <w:t>3.6 Statistical Analysis</w:t>
          </w:r>
          <w:r>
            <w:rPr>
              <w:sz w:val="24"/>
              <w:szCs w:val="24"/>
            </w:rPr>
            <w:tab/>
          </w:r>
          <w:r>
            <w:rPr>
              <w:sz w:val="24"/>
              <w:szCs w:val="24"/>
            </w:rPr>
            <w:fldChar w:fldCharType="begin"/>
          </w:r>
          <w:r>
            <w:rPr>
              <w:sz w:val="24"/>
              <w:szCs w:val="24"/>
            </w:rPr>
            <w:instrText xml:space="preserve"> PAGEREF _Toc10012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0A8E7E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_Toc31769 </w:instrText>
          </w:r>
          <w:r>
            <w:rPr>
              <w:sz w:val="24"/>
              <w:szCs w:val="24"/>
            </w:rPr>
            <w:fldChar w:fldCharType="separate"/>
          </w:r>
          <w:r>
            <w:rPr>
              <w:sz w:val="24"/>
              <w:szCs w:val="24"/>
              <w:lang w:val="en-GB"/>
            </w:rPr>
            <w:t xml:space="preserve">3.7 </w:t>
          </w:r>
          <w:r>
            <w:rPr>
              <w:sz w:val="24"/>
              <w:szCs w:val="24"/>
              <w:lang w:val="en-GB" w:eastAsia="en-US"/>
            </w:rPr>
            <w:t>In Silico Study</w:t>
          </w:r>
          <w:r>
            <w:rPr>
              <w:sz w:val="24"/>
              <w:szCs w:val="24"/>
            </w:rPr>
            <w:tab/>
          </w:r>
          <w:r>
            <w:rPr>
              <w:sz w:val="24"/>
              <w:szCs w:val="24"/>
            </w:rPr>
            <w:fldChar w:fldCharType="begin"/>
          </w:r>
          <w:r>
            <w:rPr>
              <w:sz w:val="24"/>
              <w:szCs w:val="24"/>
            </w:rPr>
            <w:instrText xml:space="preserve"> PAGEREF _Toc31769 \h </w:instrText>
          </w:r>
          <w:r>
            <w:rPr>
              <w:sz w:val="24"/>
              <w:szCs w:val="24"/>
            </w:rPr>
            <w:fldChar w:fldCharType="separate"/>
          </w:r>
          <w:r>
            <w:rPr>
              <w:sz w:val="24"/>
              <w:szCs w:val="24"/>
            </w:rPr>
            <w:t>26</w:t>
          </w:r>
          <w:r>
            <w:rPr>
              <w:sz w:val="24"/>
              <w:szCs w:val="24"/>
            </w:rPr>
            <w:fldChar w:fldCharType="end"/>
          </w:r>
          <w:r>
            <w:rPr>
              <w:sz w:val="24"/>
              <w:szCs w:val="24"/>
            </w:rPr>
            <w:fldChar w:fldCharType="end"/>
          </w:r>
        </w:p>
        <w:p w14:paraId="507CFF0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_Toc23665 </w:instrText>
          </w:r>
          <w:r>
            <w:rPr>
              <w:sz w:val="24"/>
              <w:szCs w:val="24"/>
            </w:rPr>
            <w:fldChar w:fldCharType="separate"/>
          </w:r>
          <w:r>
            <w:rPr>
              <w:sz w:val="24"/>
              <w:szCs w:val="24"/>
            </w:rPr>
            <w:t xml:space="preserve">3.7.1 </w:t>
          </w:r>
          <w:r>
            <w:rPr>
              <w:sz w:val="24"/>
              <w:szCs w:val="24"/>
              <w:lang w:eastAsia="en-US"/>
            </w:rPr>
            <w:t xml:space="preserve">Molecular Docking of </w:t>
          </w:r>
          <w:r>
            <w:rPr>
              <w:sz w:val="24"/>
              <w:szCs w:val="24"/>
              <w:lang w:val="en-GB"/>
            </w:rPr>
            <w:t>S. aromaticum Bioactive</w:t>
          </w:r>
          <w:r>
            <w:rPr>
              <w:sz w:val="24"/>
              <w:szCs w:val="24"/>
              <w:lang w:eastAsia="en-US"/>
            </w:rPr>
            <w:t xml:space="preserve"> Compounds against A</w:t>
          </w:r>
          <w:r>
            <w:rPr>
              <w:sz w:val="24"/>
              <w:szCs w:val="24"/>
            </w:rPr>
            <w:t xml:space="preserve">ChE </w:t>
          </w:r>
          <w:r>
            <w:rPr>
              <w:rFonts w:ascii="Times New Roman" w:hAnsi="Times New Roman"/>
              <w:bCs/>
              <w:sz w:val="24"/>
              <w:szCs w:val="24"/>
            </w:rPr>
            <w:t>and ACE</w:t>
          </w:r>
          <w:r>
            <w:rPr>
              <w:sz w:val="24"/>
              <w:szCs w:val="24"/>
            </w:rPr>
            <w:tab/>
          </w:r>
          <w:r>
            <w:rPr>
              <w:sz w:val="24"/>
              <w:szCs w:val="24"/>
            </w:rPr>
            <w:fldChar w:fldCharType="begin"/>
          </w:r>
          <w:r>
            <w:rPr>
              <w:sz w:val="24"/>
              <w:szCs w:val="24"/>
            </w:rPr>
            <w:instrText xml:space="preserve"> PAGEREF _Toc23665 \h </w:instrText>
          </w:r>
          <w:r>
            <w:rPr>
              <w:sz w:val="24"/>
              <w:szCs w:val="24"/>
            </w:rPr>
            <w:fldChar w:fldCharType="separate"/>
          </w:r>
          <w:r>
            <w:rPr>
              <w:sz w:val="24"/>
              <w:szCs w:val="24"/>
            </w:rPr>
            <w:t>26</w:t>
          </w:r>
          <w:r>
            <w:rPr>
              <w:sz w:val="24"/>
              <w:szCs w:val="24"/>
            </w:rPr>
            <w:fldChar w:fldCharType="end"/>
          </w:r>
          <w:r>
            <w:rPr>
              <w:sz w:val="24"/>
              <w:szCs w:val="24"/>
            </w:rPr>
            <w:fldChar w:fldCharType="end"/>
          </w:r>
        </w:p>
        <w:p w14:paraId="1CE4666C">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_Toc28590 </w:instrText>
          </w:r>
          <w:r>
            <w:rPr>
              <w:sz w:val="24"/>
              <w:szCs w:val="24"/>
            </w:rPr>
            <w:fldChar w:fldCharType="separate"/>
          </w:r>
          <w:r>
            <w:rPr>
              <w:sz w:val="24"/>
              <w:szCs w:val="24"/>
            </w:rPr>
            <w:t xml:space="preserve">3.8 </w:t>
          </w:r>
          <w:r>
            <w:rPr>
              <w:sz w:val="24"/>
              <w:szCs w:val="24"/>
              <w:lang w:eastAsia="en-US"/>
            </w:rPr>
            <w:t>ADMET Screening</w:t>
          </w:r>
          <w:r>
            <w:rPr>
              <w:sz w:val="24"/>
              <w:szCs w:val="24"/>
            </w:rPr>
            <w:tab/>
          </w:r>
          <w:r>
            <w:rPr>
              <w:sz w:val="24"/>
              <w:szCs w:val="24"/>
            </w:rPr>
            <w:fldChar w:fldCharType="begin"/>
          </w:r>
          <w:r>
            <w:rPr>
              <w:sz w:val="24"/>
              <w:szCs w:val="24"/>
            </w:rPr>
            <w:instrText xml:space="preserve"> PAGEREF _Toc28590 \h </w:instrText>
          </w:r>
          <w:r>
            <w:rPr>
              <w:sz w:val="24"/>
              <w:szCs w:val="24"/>
            </w:rPr>
            <w:fldChar w:fldCharType="separate"/>
          </w:r>
          <w:r>
            <w:rPr>
              <w:sz w:val="24"/>
              <w:szCs w:val="24"/>
            </w:rPr>
            <w:t>26</w:t>
          </w:r>
          <w:r>
            <w:rPr>
              <w:sz w:val="24"/>
              <w:szCs w:val="24"/>
            </w:rPr>
            <w:fldChar w:fldCharType="end"/>
          </w:r>
          <w:r>
            <w:rPr>
              <w:sz w:val="24"/>
              <w:szCs w:val="24"/>
            </w:rPr>
            <w:fldChar w:fldCharType="end"/>
          </w:r>
        </w:p>
        <w:p w14:paraId="024DCE7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_Toc25245 </w:instrText>
          </w:r>
          <w:r>
            <w:rPr>
              <w:sz w:val="24"/>
              <w:szCs w:val="24"/>
            </w:rPr>
            <w:fldChar w:fldCharType="separate"/>
          </w:r>
          <w:r>
            <w:rPr>
              <w:sz w:val="24"/>
              <w:szCs w:val="24"/>
            </w:rPr>
            <w:t>CHAPTER FOUR</w:t>
          </w:r>
          <w:r>
            <w:rPr>
              <w:sz w:val="24"/>
              <w:szCs w:val="24"/>
            </w:rPr>
            <w:tab/>
          </w:r>
          <w:r>
            <w:rPr>
              <w:sz w:val="24"/>
              <w:szCs w:val="24"/>
            </w:rPr>
            <w:fldChar w:fldCharType="begin"/>
          </w:r>
          <w:r>
            <w:rPr>
              <w:sz w:val="24"/>
              <w:szCs w:val="24"/>
            </w:rPr>
            <w:instrText xml:space="preserve"> PAGEREF _Toc25245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5998B11E">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_Toc26512 </w:instrText>
          </w:r>
          <w:r>
            <w:rPr>
              <w:sz w:val="24"/>
              <w:szCs w:val="24"/>
            </w:rPr>
            <w:fldChar w:fldCharType="separate"/>
          </w:r>
          <w:r>
            <w:rPr>
              <w:sz w:val="24"/>
              <w:szCs w:val="24"/>
            </w:rPr>
            <w:t>4.0 RESULTS</w:t>
          </w:r>
          <w:r>
            <w:rPr>
              <w:sz w:val="24"/>
              <w:szCs w:val="24"/>
            </w:rPr>
            <w:tab/>
          </w:r>
          <w:r>
            <w:rPr>
              <w:sz w:val="24"/>
              <w:szCs w:val="24"/>
            </w:rPr>
            <w:fldChar w:fldCharType="begin"/>
          </w:r>
          <w:r>
            <w:rPr>
              <w:sz w:val="24"/>
              <w:szCs w:val="24"/>
            </w:rPr>
            <w:instrText xml:space="preserve"> PAGEREF _Toc26512 \h </w:instrText>
          </w:r>
          <w:r>
            <w:rPr>
              <w:sz w:val="24"/>
              <w:szCs w:val="24"/>
            </w:rPr>
            <w:fldChar w:fldCharType="separate"/>
          </w:r>
          <w:r>
            <w:rPr>
              <w:sz w:val="24"/>
              <w:szCs w:val="24"/>
            </w:rPr>
            <w:t>27</w:t>
          </w:r>
          <w:r>
            <w:rPr>
              <w:sz w:val="24"/>
              <w:szCs w:val="24"/>
            </w:rPr>
            <w:fldChar w:fldCharType="end"/>
          </w:r>
          <w:r>
            <w:rPr>
              <w:sz w:val="24"/>
              <w:szCs w:val="24"/>
            </w:rPr>
            <w:fldChar w:fldCharType="end"/>
          </w:r>
        </w:p>
        <w:p w14:paraId="7AC58AA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_Toc21605 </w:instrText>
          </w:r>
          <w:r>
            <w:rPr>
              <w:sz w:val="24"/>
              <w:szCs w:val="24"/>
            </w:rPr>
            <w:fldChar w:fldCharType="separate"/>
          </w:r>
          <w:r>
            <w:rPr>
              <w:sz w:val="24"/>
              <w:szCs w:val="24"/>
            </w:rPr>
            <w:t>4.1 Percentage Yield of Extract</w:t>
          </w:r>
          <w:r>
            <w:rPr>
              <w:sz w:val="24"/>
              <w:szCs w:val="24"/>
            </w:rPr>
            <w:tab/>
          </w:r>
          <w:r>
            <w:rPr>
              <w:sz w:val="24"/>
              <w:szCs w:val="24"/>
            </w:rPr>
            <w:fldChar w:fldCharType="begin"/>
          </w:r>
          <w:r>
            <w:rPr>
              <w:sz w:val="24"/>
              <w:szCs w:val="24"/>
            </w:rPr>
            <w:instrText xml:space="preserve"> PAGEREF _Toc21605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A9A50D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_Toc7178 </w:instrText>
          </w:r>
          <w:r>
            <w:rPr>
              <w:sz w:val="24"/>
              <w:szCs w:val="24"/>
            </w:rPr>
            <w:fldChar w:fldCharType="separate"/>
          </w:r>
          <w:r>
            <w:rPr>
              <w:sz w:val="24"/>
              <w:szCs w:val="24"/>
            </w:rPr>
            <w:t xml:space="preserve">4.2 Phytochemical Screening of </w:t>
          </w:r>
          <w:r>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_Toc7178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E00D81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_Toc22302 </w:instrText>
          </w:r>
          <w:r>
            <w:rPr>
              <w:sz w:val="24"/>
              <w:szCs w:val="24"/>
            </w:rPr>
            <w:fldChar w:fldCharType="separate"/>
          </w:r>
          <w:r>
            <w:rPr>
              <w:sz w:val="24"/>
              <w:szCs w:val="24"/>
            </w:rPr>
            <w:t>4.3 In vitro Acetylcholinesterase and Angiotensin Converting Enzyme Inhibition Assays</w:t>
          </w:r>
          <w:r>
            <w:rPr>
              <w:sz w:val="24"/>
              <w:szCs w:val="24"/>
            </w:rPr>
            <w:tab/>
          </w:r>
          <w:r>
            <w:rPr>
              <w:sz w:val="24"/>
              <w:szCs w:val="24"/>
            </w:rPr>
            <w:fldChar w:fldCharType="begin"/>
          </w:r>
          <w:r>
            <w:rPr>
              <w:sz w:val="24"/>
              <w:szCs w:val="24"/>
            </w:rPr>
            <w:instrText xml:space="preserve"> PAGEREF _Toc22302 \h </w:instrText>
          </w:r>
          <w:r>
            <w:rPr>
              <w:sz w:val="24"/>
              <w:szCs w:val="24"/>
            </w:rPr>
            <w:fldChar w:fldCharType="separate"/>
          </w:r>
          <w:r>
            <w:rPr>
              <w:sz w:val="24"/>
              <w:szCs w:val="24"/>
            </w:rPr>
            <w:t>28</w:t>
          </w:r>
          <w:r>
            <w:rPr>
              <w:sz w:val="24"/>
              <w:szCs w:val="24"/>
            </w:rPr>
            <w:fldChar w:fldCharType="end"/>
          </w:r>
          <w:r>
            <w:rPr>
              <w:sz w:val="24"/>
              <w:szCs w:val="24"/>
            </w:rPr>
            <w:fldChar w:fldCharType="end"/>
          </w:r>
        </w:p>
        <w:p w14:paraId="68895A2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_Toc31369 </w:instrText>
          </w:r>
          <w:r>
            <w:rPr>
              <w:sz w:val="24"/>
              <w:szCs w:val="24"/>
            </w:rPr>
            <w:fldChar w:fldCharType="separate"/>
          </w:r>
          <w:r>
            <w:rPr>
              <w:sz w:val="24"/>
              <w:szCs w:val="24"/>
            </w:rPr>
            <w:t>4.4 GC-MS Analysis of</w:t>
          </w:r>
          <w:r>
            <w:rPr>
              <w:i/>
              <w:iCs/>
              <w:sz w:val="24"/>
              <w:szCs w:val="24"/>
            </w:rPr>
            <w:t xml:space="preserve"> 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_Toc31369 \h </w:instrText>
          </w:r>
          <w:r>
            <w:rPr>
              <w:sz w:val="24"/>
              <w:szCs w:val="24"/>
            </w:rPr>
            <w:fldChar w:fldCharType="separate"/>
          </w:r>
          <w:r>
            <w:rPr>
              <w:sz w:val="24"/>
              <w:szCs w:val="24"/>
            </w:rPr>
            <w:t>29</w:t>
          </w:r>
          <w:r>
            <w:rPr>
              <w:sz w:val="24"/>
              <w:szCs w:val="24"/>
            </w:rPr>
            <w:fldChar w:fldCharType="end"/>
          </w:r>
          <w:r>
            <w:rPr>
              <w:sz w:val="24"/>
              <w:szCs w:val="24"/>
            </w:rPr>
            <w:fldChar w:fldCharType="end"/>
          </w:r>
        </w:p>
        <w:p w14:paraId="1E49ECA1">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_Toc12867 </w:instrText>
          </w:r>
          <w:r>
            <w:rPr>
              <w:sz w:val="24"/>
              <w:szCs w:val="24"/>
            </w:rPr>
            <w:fldChar w:fldCharType="separate"/>
          </w:r>
          <w:r>
            <w:rPr>
              <w:sz w:val="24"/>
              <w:szCs w:val="24"/>
            </w:rPr>
            <w:t>4.5 In silico Study</w:t>
          </w:r>
          <w:r>
            <w:rPr>
              <w:sz w:val="24"/>
              <w:szCs w:val="24"/>
            </w:rPr>
            <w:tab/>
          </w:r>
          <w:r>
            <w:rPr>
              <w:sz w:val="24"/>
              <w:szCs w:val="24"/>
            </w:rPr>
            <w:fldChar w:fldCharType="begin"/>
          </w:r>
          <w:r>
            <w:rPr>
              <w:sz w:val="24"/>
              <w:szCs w:val="24"/>
            </w:rPr>
            <w:instrText xml:space="preserve"> PAGEREF _Toc12867 \h </w:instrText>
          </w:r>
          <w:r>
            <w:rPr>
              <w:sz w:val="24"/>
              <w:szCs w:val="24"/>
            </w:rPr>
            <w:fldChar w:fldCharType="separate"/>
          </w:r>
          <w:r>
            <w:rPr>
              <w:sz w:val="24"/>
              <w:szCs w:val="24"/>
            </w:rPr>
            <w:t>31</w:t>
          </w:r>
          <w:r>
            <w:rPr>
              <w:sz w:val="24"/>
              <w:szCs w:val="24"/>
            </w:rPr>
            <w:fldChar w:fldCharType="end"/>
          </w:r>
          <w:r>
            <w:rPr>
              <w:sz w:val="24"/>
              <w:szCs w:val="24"/>
            </w:rPr>
            <w:fldChar w:fldCharType="end"/>
          </w:r>
        </w:p>
        <w:p w14:paraId="44809B0E">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_Toc1366 </w:instrText>
          </w:r>
          <w:r>
            <w:rPr>
              <w:sz w:val="24"/>
              <w:szCs w:val="24"/>
            </w:rPr>
            <w:fldChar w:fldCharType="separate"/>
          </w:r>
          <w:r>
            <w:rPr>
              <w:sz w:val="24"/>
              <w:szCs w:val="24"/>
            </w:rPr>
            <w:t>4.5.1 Molecular Docking of Acetylcholinesterase</w:t>
          </w:r>
          <w:r>
            <w:rPr>
              <w:sz w:val="24"/>
              <w:szCs w:val="24"/>
            </w:rPr>
            <w:tab/>
          </w:r>
          <w:r>
            <w:rPr>
              <w:sz w:val="24"/>
              <w:szCs w:val="24"/>
            </w:rPr>
            <w:fldChar w:fldCharType="begin"/>
          </w:r>
          <w:r>
            <w:rPr>
              <w:sz w:val="24"/>
              <w:szCs w:val="24"/>
            </w:rPr>
            <w:instrText xml:space="preserve"> PAGEREF _Toc1366 \h </w:instrText>
          </w:r>
          <w:r>
            <w:rPr>
              <w:sz w:val="24"/>
              <w:szCs w:val="24"/>
            </w:rPr>
            <w:fldChar w:fldCharType="separate"/>
          </w:r>
          <w:r>
            <w:rPr>
              <w:sz w:val="24"/>
              <w:szCs w:val="24"/>
            </w:rPr>
            <w:t>32</w:t>
          </w:r>
          <w:r>
            <w:rPr>
              <w:sz w:val="24"/>
              <w:szCs w:val="24"/>
            </w:rPr>
            <w:fldChar w:fldCharType="end"/>
          </w:r>
          <w:r>
            <w:rPr>
              <w:sz w:val="24"/>
              <w:szCs w:val="24"/>
            </w:rPr>
            <w:fldChar w:fldCharType="end"/>
          </w:r>
        </w:p>
        <w:p w14:paraId="459ED0F3">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_Toc15561 </w:instrText>
          </w:r>
          <w:r>
            <w:rPr>
              <w:sz w:val="24"/>
              <w:szCs w:val="24"/>
            </w:rPr>
            <w:fldChar w:fldCharType="separate"/>
          </w:r>
          <w:r>
            <w:rPr>
              <w:sz w:val="24"/>
              <w:szCs w:val="24"/>
            </w:rPr>
            <w:t>4.5.2 Molecular Docking of Angiotensin Converting Enzyme (ACE)</w:t>
          </w:r>
          <w:r>
            <w:rPr>
              <w:sz w:val="24"/>
              <w:szCs w:val="24"/>
            </w:rPr>
            <w:tab/>
          </w:r>
          <w:r>
            <w:rPr>
              <w:sz w:val="24"/>
              <w:szCs w:val="24"/>
            </w:rPr>
            <w:fldChar w:fldCharType="begin"/>
          </w:r>
          <w:r>
            <w:rPr>
              <w:sz w:val="24"/>
              <w:szCs w:val="24"/>
            </w:rPr>
            <w:instrText xml:space="preserve"> PAGEREF _Toc15561 \h </w:instrText>
          </w:r>
          <w:r>
            <w:rPr>
              <w:sz w:val="24"/>
              <w:szCs w:val="24"/>
            </w:rPr>
            <w:fldChar w:fldCharType="separate"/>
          </w:r>
          <w:r>
            <w:rPr>
              <w:sz w:val="24"/>
              <w:szCs w:val="24"/>
            </w:rPr>
            <w:t>37</w:t>
          </w:r>
          <w:r>
            <w:rPr>
              <w:sz w:val="24"/>
              <w:szCs w:val="24"/>
            </w:rPr>
            <w:fldChar w:fldCharType="end"/>
          </w:r>
          <w:r>
            <w:rPr>
              <w:sz w:val="24"/>
              <w:szCs w:val="24"/>
            </w:rPr>
            <w:fldChar w:fldCharType="end"/>
          </w:r>
        </w:p>
        <w:p w14:paraId="7CB3B1FA">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_Toc26137 </w:instrText>
          </w:r>
          <w:r>
            <w:rPr>
              <w:sz w:val="24"/>
              <w:szCs w:val="24"/>
            </w:rPr>
            <w:fldChar w:fldCharType="separate"/>
          </w:r>
          <w:r>
            <w:rPr>
              <w:sz w:val="24"/>
              <w:szCs w:val="24"/>
            </w:rPr>
            <w:t>4.6 ADMET Screening</w:t>
          </w:r>
          <w:r>
            <w:rPr>
              <w:sz w:val="24"/>
              <w:szCs w:val="24"/>
            </w:rPr>
            <w:tab/>
          </w:r>
          <w:r>
            <w:rPr>
              <w:sz w:val="24"/>
              <w:szCs w:val="24"/>
            </w:rPr>
            <w:fldChar w:fldCharType="begin"/>
          </w:r>
          <w:r>
            <w:rPr>
              <w:sz w:val="24"/>
              <w:szCs w:val="24"/>
            </w:rPr>
            <w:instrText xml:space="preserve"> PAGEREF _Toc26137 \h </w:instrText>
          </w:r>
          <w:r>
            <w:rPr>
              <w:sz w:val="24"/>
              <w:szCs w:val="24"/>
            </w:rPr>
            <w:fldChar w:fldCharType="separate"/>
          </w:r>
          <w:r>
            <w:rPr>
              <w:sz w:val="24"/>
              <w:szCs w:val="24"/>
            </w:rPr>
            <w:t>42</w:t>
          </w:r>
          <w:r>
            <w:rPr>
              <w:sz w:val="24"/>
              <w:szCs w:val="24"/>
            </w:rPr>
            <w:fldChar w:fldCharType="end"/>
          </w:r>
          <w:r>
            <w:rPr>
              <w:sz w:val="24"/>
              <w:szCs w:val="24"/>
            </w:rPr>
            <w:fldChar w:fldCharType="end"/>
          </w:r>
        </w:p>
        <w:p w14:paraId="0761A727">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_Toc5661 </w:instrText>
          </w:r>
          <w:r>
            <w:rPr>
              <w:b/>
              <w:sz w:val="24"/>
              <w:szCs w:val="24"/>
            </w:rPr>
            <w:fldChar w:fldCharType="separate"/>
          </w:r>
          <w:r>
            <w:rPr>
              <w:b/>
              <w:sz w:val="24"/>
              <w:szCs w:val="24"/>
            </w:rPr>
            <w:t>CHAPTER FIVE</w:t>
          </w:r>
          <w:r>
            <w:rPr>
              <w:b/>
              <w:sz w:val="24"/>
              <w:szCs w:val="24"/>
            </w:rPr>
            <w:tab/>
          </w:r>
          <w:r>
            <w:rPr>
              <w:b/>
              <w:sz w:val="24"/>
              <w:szCs w:val="24"/>
            </w:rPr>
            <w:fldChar w:fldCharType="begin"/>
          </w:r>
          <w:r>
            <w:rPr>
              <w:b/>
              <w:sz w:val="24"/>
              <w:szCs w:val="24"/>
            </w:rPr>
            <w:instrText xml:space="preserve"> PAGEREF _Toc5661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14:paraId="6695B3FA">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_Toc29035 </w:instrText>
          </w:r>
          <w:r>
            <w:rPr>
              <w:b/>
              <w:sz w:val="24"/>
              <w:szCs w:val="24"/>
            </w:rPr>
            <w:fldChar w:fldCharType="separate"/>
          </w:r>
          <w:r>
            <w:rPr>
              <w:b/>
              <w:sz w:val="24"/>
              <w:szCs w:val="24"/>
            </w:rPr>
            <w:t>5.0 DISCUSSION, CONCLUSION AND RECOMMENDATION</w:t>
          </w:r>
          <w:r>
            <w:rPr>
              <w:b/>
              <w:sz w:val="24"/>
              <w:szCs w:val="24"/>
            </w:rPr>
            <w:tab/>
          </w:r>
          <w:r>
            <w:rPr>
              <w:b/>
              <w:sz w:val="24"/>
              <w:szCs w:val="24"/>
            </w:rPr>
            <w:fldChar w:fldCharType="begin"/>
          </w:r>
          <w:r>
            <w:rPr>
              <w:b/>
              <w:sz w:val="24"/>
              <w:szCs w:val="24"/>
            </w:rPr>
            <w:instrText xml:space="preserve"> PAGEREF _Toc29035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14:paraId="0B1877D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_Toc4067 </w:instrText>
          </w:r>
          <w:r>
            <w:rPr>
              <w:sz w:val="24"/>
              <w:szCs w:val="24"/>
            </w:rPr>
            <w:fldChar w:fldCharType="separate"/>
          </w:r>
          <w:r>
            <w:rPr>
              <w:sz w:val="24"/>
              <w:szCs w:val="24"/>
            </w:rPr>
            <w:t>5.1 Discussion</w:t>
          </w:r>
          <w:r>
            <w:rPr>
              <w:sz w:val="24"/>
              <w:szCs w:val="24"/>
            </w:rPr>
            <w:tab/>
          </w:r>
          <w:r>
            <w:rPr>
              <w:sz w:val="24"/>
              <w:szCs w:val="24"/>
            </w:rPr>
            <w:fldChar w:fldCharType="begin"/>
          </w:r>
          <w:r>
            <w:rPr>
              <w:sz w:val="24"/>
              <w:szCs w:val="24"/>
            </w:rPr>
            <w:instrText xml:space="preserve"> PAGEREF _Toc4067 \h </w:instrText>
          </w:r>
          <w:r>
            <w:rPr>
              <w:sz w:val="24"/>
              <w:szCs w:val="24"/>
            </w:rPr>
            <w:fldChar w:fldCharType="separate"/>
          </w:r>
          <w:r>
            <w:rPr>
              <w:sz w:val="24"/>
              <w:szCs w:val="24"/>
            </w:rPr>
            <w:t>44</w:t>
          </w:r>
          <w:r>
            <w:rPr>
              <w:sz w:val="24"/>
              <w:szCs w:val="24"/>
            </w:rPr>
            <w:fldChar w:fldCharType="end"/>
          </w:r>
          <w:r>
            <w:rPr>
              <w:sz w:val="24"/>
              <w:szCs w:val="24"/>
            </w:rPr>
            <w:fldChar w:fldCharType="end"/>
          </w:r>
        </w:p>
        <w:p w14:paraId="5B43CC2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_Toc3075 </w:instrText>
          </w:r>
          <w:r>
            <w:rPr>
              <w:sz w:val="24"/>
              <w:szCs w:val="24"/>
            </w:rPr>
            <w:fldChar w:fldCharType="separate"/>
          </w:r>
          <w:r>
            <w:rPr>
              <w:sz w:val="24"/>
              <w:szCs w:val="24"/>
            </w:rPr>
            <w:t>5.2 Conclusion</w:t>
          </w:r>
          <w:r>
            <w:rPr>
              <w:sz w:val="24"/>
              <w:szCs w:val="24"/>
            </w:rPr>
            <w:tab/>
          </w:r>
          <w:r>
            <w:rPr>
              <w:sz w:val="24"/>
              <w:szCs w:val="24"/>
            </w:rPr>
            <w:fldChar w:fldCharType="begin"/>
          </w:r>
          <w:r>
            <w:rPr>
              <w:sz w:val="24"/>
              <w:szCs w:val="24"/>
            </w:rPr>
            <w:instrText xml:space="preserve"> PAGEREF _Toc3075 \h </w:instrText>
          </w:r>
          <w:r>
            <w:rPr>
              <w:sz w:val="24"/>
              <w:szCs w:val="24"/>
            </w:rPr>
            <w:fldChar w:fldCharType="separate"/>
          </w:r>
          <w:r>
            <w:rPr>
              <w:sz w:val="24"/>
              <w:szCs w:val="24"/>
            </w:rPr>
            <w:t>46</w:t>
          </w:r>
          <w:r>
            <w:rPr>
              <w:sz w:val="24"/>
              <w:szCs w:val="24"/>
            </w:rPr>
            <w:fldChar w:fldCharType="end"/>
          </w:r>
          <w:r>
            <w:rPr>
              <w:sz w:val="24"/>
              <w:szCs w:val="24"/>
            </w:rPr>
            <w:fldChar w:fldCharType="end"/>
          </w:r>
        </w:p>
        <w:p w14:paraId="0A845D5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_Toc5882 </w:instrText>
          </w:r>
          <w:r>
            <w:rPr>
              <w:sz w:val="24"/>
              <w:szCs w:val="24"/>
            </w:rPr>
            <w:fldChar w:fldCharType="separate"/>
          </w:r>
          <w:r>
            <w:rPr>
              <w:sz w:val="24"/>
              <w:szCs w:val="24"/>
            </w:rPr>
            <w:t>5.3 Recommendations</w:t>
          </w:r>
          <w:r>
            <w:rPr>
              <w:sz w:val="24"/>
              <w:szCs w:val="24"/>
            </w:rPr>
            <w:tab/>
          </w:r>
          <w:r>
            <w:rPr>
              <w:sz w:val="24"/>
              <w:szCs w:val="24"/>
            </w:rPr>
            <w:fldChar w:fldCharType="begin"/>
          </w:r>
          <w:r>
            <w:rPr>
              <w:sz w:val="24"/>
              <w:szCs w:val="24"/>
            </w:rPr>
            <w:instrText xml:space="preserve"> PAGEREF _Toc5882 \h </w:instrText>
          </w:r>
          <w:r>
            <w:rPr>
              <w:sz w:val="24"/>
              <w:szCs w:val="24"/>
            </w:rPr>
            <w:fldChar w:fldCharType="separate"/>
          </w:r>
          <w:r>
            <w:rPr>
              <w:sz w:val="24"/>
              <w:szCs w:val="24"/>
            </w:rPr>
            <w:t>47</w:t>
          </w:r>
          <w:r>
            <w:rPr>
              <w:sz w:val="24"/>
              <w:szCs w:val="24"/>
            </w:rPr>
            <w:fldChar w:fldCharType="end"/>
          </w:r>
          <w:r>
            <w:rPr>
              <w:sz w:val="24"/>
              <w:szCs w:val="24"/>
            </w:rPr>
            <w:fldChar w:fldCharType="end"/>
          </w:r>
        </w:p>
        <w:p w14:paraId="47639025">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_Toc9794 </w:instrText>
          </w:r>
          <w:r>
            <w:rPr>
              <w:b/>
              <w:sz w:val="24"/>
              <w:szCs w:val="24"/>
            </w:rPr>
            <w:fldChar w:fldCharType="separate"/>
          </w:r>
          <w:r>
            <w:rPr>
              <w:b/>
              <w:sz w:val="24"/>
              <w:szCs w:val="24"/>
            </w:rPr>
            <w:t>REFERENCES</w:t>
          </w:r>
          <w:r>
            <w:rPr>
              <w:b/>
              <w:sz w:val="24"/>
              <w:szCs w:val="24"/>
            </w:rPr>
            <w:tab/>
          </w:r>
          <w:r>
            <w:rPr>
              <w:b/>
              <w:sz w:val="24"/>
              <w:szCs w:val="24"/>
            </w:rPr>
            <w:fldChar w:fldCharType="begin"/>
          </w:r>
          <w:r>
            <w:rPr>
              <w:b/>
              <w:sz w:val="24"/>
              <w:szCs w:val="24"/>
            </w:rPr>
            <w:instrText xml:space="preserve"> PAGEREF _Toc9794 \h </w:instrText>
          </w:r>
          <w:r>
            <w:rPr>
              <w:b/>
              <w:sz w:val="24"/>
              <w:szCs w:val="24"/>
            </w:rPr>
            <w:fldChar w:fldCharType="separate"/>
          </w:r>
          <w:r>
            <w:rPr>
              <w:b/>
              <w:sz w:val="24"/>
              <w:szCs w:val="24"/>
            </w:rPr>
            <w:t>48</w:t>
          </w:r>
          <w:r>
            <w:rPr>
              <w:b/>
              <w:sz w:val="24"/>
              <w:szCs w:val="24"/>
            </w:rPr>
            <w:fldChar w:fldCharType="end"/>
          </w:r>
          <w:r>
            <w:rPr>
              <w:b/>
              <w:sz w:val="24"/>
              <w:szCs w:val="24"/>
            </w:rPr>
            <w:fldChar w:fldCharType="end"/>
          </w:r>
        </w:p>
        <w:p w14:paraId="0F4407A1">
          <w:pPr>
            <w:pStyle w:val="2"/>
            <w:bidi w:val="0"/>
            <w:spacing w:line="240" w:lineRule="auto"/>
            <w:ind w:left="2160" w:leftChars="0" w:firstLine="720" w:firstLineChars="0"/>
            <w:outlineLvl w:val="9"/>
            <w:rPr>
              <w:rFonts w:ascii="Times New Roman" w:hAnsi="Times New Roman" w:eastAsia="SimSun" w:cs="Times New Roman"/>
              <w:b/>
              <w:bCs/>
              <w:kern w:val="44"/>
              <w:sz w:val="28"/>
              <w:szCs w:val="48"/>
              <w:lang w:val="en-US" w:eastAsia="zh-CN" w:bidi="ar-SA"/>
            </w:rPr>
          </w:pPr>
          <w:r>
            <w:rPr>
              <w:b/>
              <w:sz w:val="24"/>
              <w:szCs w:val="24"/>
            </w:rPr>
            <w:fldChar w:fldCharType="end"/>
          </w:r>
        </w:p>
      </w:sdtContent>
    </w:sdt>
    <w:p w14:paraId="6BB884E6">
      <w:pPr>
        <w:sectPr>
          <w:pgSz w:w="11906" w:h="16838"/>
          <w:pgMar w:top="1440" w:right="1800" w:bottom="1440" w:left="1800" w:header="720" w:footer="720" w:gutter="0"/>
          <w:pgNumType w:fmt="upperRoman"/>
          <w:cols w:space="720" w:num="1"/>
          <w:docGrid w:linePitch="360" w:charSpace="0"/>
        </w:sectPr>
      </w:pPr>
    </w:p>
    <w:p w14:paraId="189360DE">
      <w:pPr>
        <w:pStyle w:val="2"/>
        <w:bidi w:val="0"/>
        <w:ind w:left="2160" w:leftChars="0" w:firstLine="720" w:firstLineChars="0"/>
      </w:pPr>
      <w:r>
        <w:t xml:space="preserve"> </w:t>
      </w:r>
      <w:bookmarkStart w:id="19" w:name="_Toc9195"/>
      <w:bookmarkStart w:id="20" w:name="_Toc14159"/>
      <w:bookmarkStart w:id="21" w:name="_Toc28389"/>
      <w:r>
        <w:t>CHAPTER ONE</w:t>
      </w:r>
      <w:bookmarkEnd w:id="19"/>
      <w:bookmarkEnd w:id="20"/>
      <w:bookmarkEnd w:id="21"/>
    </w:p>
    <w:p w14:paraId="68F7EF46">
      <w:pPr>
        <w:pStyle w:val="2"/>
        <w:bidi w:val="0"/>
      </w:pPr>
      <w:bookmarkStart w:id="22" w:name="_Toc353"/>
      <w:bookmarkStart w:id="23" w:name="_Toc26866"/>
      <w:bookmarkStart w:id="24" w:name="_Toc9415"/>
      <w:r>
        <w:t>1.0 INTRODUCTION</w:t>
      </w:r>
      <w:bookmarkEnd w:id="22"/>
      <w:bookmarkEnd w:id="23"/>
      <w:bookmarkEnd w:id="24"/>
      <w:r>
        <w:t xml:space="preserve"> </w:t>
      </w:r>
    </w:p>
    <w:p w14:paraId="0AA34D57">
      <w:pPr>
        <w:spacing w:line="480" w:lineRule="auto"/>
        <w:jc w:val="both"/>
        <w:rPr>
          <w:rFonts w:ascii="Times New Roman" w:hAnsi="Times New Roman"/>
          <w:b/>
          <w:bCs/>
          <w:sz w:val="24"/>
          <w:szCs w:val="24"/>
        </w:rPr>
      </w:pPr>
      <w:r>
        <w:rPr>
          <w:rFonts w:ascii="Times New Roman" w:hAnsi="Times New Roman" w:cs="Times New Roman"/>
          <w:b/>
          <w:bCs/>
          <w:sz w:val="24"/>
          <w:szCs w:val="24"/>
        </w:rPr>
        <w:t>1.1 Background of the Study</w:t>
      </w:r>
    </w:p>
    <w:p w14:paraId="35DAAE37">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health disorder characterized by the persistent failure to achieve or maintain an erection sufficient for satisfactory sexual performance. Its pathophysiology is multifactorial with vascular, neurological, hormonal, and psychological factors (Kendirci &amp; Hellstrom, 2018). Among these, endothelial dysfunction, impaired nitric oxide signaling, and neurogenic deficits</w:t>
      </w:r>
      <w:r>
        <w:rPr>
          <w:rFonts w:ascii="Times New Roman" w:hAnsi="Times New Roman"/>
          <w:sz w:val="24"/>
          <w:szCs w:val="24"/>
        </w:rPr>
        <w:t xml:space="preserve">, </w:t>
      </w:r>
      <w:r>
        <w:rPr>
          <w:rFonts w:ascii="Times New Roman" w:hAnsi="Times New Roman" w:cs="Times New Roman"/>
          <w:sz w:val="24"/>
          <w:szCs w:val="24"/>
        </w:rPr>
        <w:t>often coupled with the activity of enzymes such as angiotensin-converting enzyme (ACE) and acetylcholinesterase (AChE)</w:t>
      </w:r>
      <w:r>
        <w:rPr>
          <w:rFonts w:ascii="Times New Roman" w:hAnsi="Times New Roman"/>
          <w:sz w:val="24"/>
          <w:szCs w:val="24"/>
        </w:rPr>
        <w:t xml:space="preserve">, </w:t>
      </w:r>
      <w:r>
        <w:rPr>
          <w:rFonts w:ascii="Times New Roman" w:hAnsi="Times New Roman" w:cs="Times New Roman"/>
          <w:sz w:val="24"/>
          <w:szCs w:val="24"/>
        </w:rPr>
        <w:t xml:space="preserve">have been prominent contributors to ED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15A42E2">
      <w:pPr>
        <w:spacing w:line="480" w:lineRule="auto"/>
        <w:jc w:val="both"/>
        <w:rPr>
          <w:rFonts w:ascii="Times New Roman" w:hAnsi="Times New Roman"/>
          <w:sz w:val="24"/>
          <w:szCs w:val="24"/>
        </w:rPr>
      </w:pPr>
      <w:r>
        <w:rPr>
          <w:rFonts w:ascii="Times New Roman" w:hAnsi="Times New Roman" w:cs="Times New Roman"/>
          <w:sz w:val="24"/>
          <w:szCs w:val="24"/>
        </w:rPr>
        <w:t xml:space="preserve">ACE is a primary regulator of the renin-angiotensin system via the conversion of angiotensin I to angiotensin II, a potent vasoconstrictor. Enhanced ACE activity can lead to hypertension and vascular dysfunction that are closely associated with ED (Saran </w:t>
      </w:r>
      <w:r>
        <w:rPr>
          <w:rFonts w:ascii="Times New Roman" w:hAnsi="Times New Roman" w:cs="Times New Roman"/>
          <w:i/>
          <w:iCs/>
          <w:sz w:val="24"/>
          <w:szCs w:val="24"/>
        </w:rPr>
        <w:t>et al.,</w:t>
      </w:r>
      <w:r>
        <w:rPr>
          <w:rFonts w:ascii="Times New Roman" w:hAnsi="Times New Roman" w:cs="Times New Roman"/>
          <w:sz w:val="24"/>
          <w:szCs w:val="24"/>
        </w:rPr>
        <w:t xml:space="preserve"> 2019). AChE, on the other hand, degrades acetylcholine, which is a neurotransmitter involved in penile erection by enhancing parasympathetic nervous system activity and inducing the release of nitric oxide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Inhibition of these enzymes, therefore, presents a promising therapeutic intervention in ED treatment.</w:t>
      </w:r>
    </w:p>
    <w:p w14:paraId="1726B71E">
      <w:pPr>
        <w:spacing w:line="480" w:lineRule="auto"/>
        <w:jc w:val="both"/>
        <w:rPr>
          <w:rFonts w:ascii="Times New Roman" w:hAnsi="Times New Roman" w:cs="Times New Roman"/>
          <w:sz w:val="24"/>
          <w:szCs w:val="24"/>
        </w:rPr>
        <w:sectPr>
          <w:footerReference r:id="rId8" w:type="default"/>
          <w:pgSz w:w="11906" w:h="16838"/>
          <w:pgMar w:top="1440" w:right="1800" w:bottom="1440" w:left="1800" w:header="720" w:footer="720" w:gutter="0"/>
          <w:pgNumType w:fmt="decimal" w:start="1"/>
          <w:cols w:space="720" w:num="1"/>
          <w:docGrid w:linePitch="360" w:charSpace="0"/>
        </w:sectPr>
      </w:pPr>
      <w:r>
        <w:rPr>
          <w:rFonts w:ascii="Times New Roman" w:hAnsi="Times New Roman" w:cs="Times New Roman"/>
          <w:sz w:val="24"/>
          <w:szCs w:val="24"/>
        </w:rPr>
        <w:t xml:space="preserve">Natural products are gaining increasing interest as potential alternatives to conventional drugs because they are relatively less toxic and possess diverse bioactivity. Syzygium aromaticum (clove) is a medicinal spice with a rich percentage of bioactive compounds such as eugenol, flavonoids, and tannins. It has been reported to possess extensive pharmacological activities such as antioxidant, anti-inflammatory, and enzyme-inhibitory activities (Khan </w:t>
      </w:r>
      <w:r>
        <w:rPr>
          <w:rFonts w:ascii="Times New Roman" w:hAnsi="Times New Roman" w:cs="Times New Roman"/>
          <w:i/>
          <w:iCs/>
          <w:sz w:val="24"/>
          <w:szCs w:val="24"/>
        </w:rPr>
        <w:t>et al.,</w:t>
      </w:r>
      <w:r>
        <w:rPr>
          <w:rFonts w:ascii="Times New Roman" w:hAnsi="Times New Roman" w:cs="Times New Roman"/>
          <w:sz w:val="24"/>
          <w:szCs w:val="24"/>
        </w:rPr>
        <w:t xml:space="preserve"> 2019). Current findings reveal that S. </w:t>
      </w:r>
    </w:p>
    <w:p w14:paraId="1EC495D8">
      <w:pPr>
        <w:spacing w:line="480" w:lineRule="auto"/>
        <w:jc w:val="both"/>
        <w:rPr>
          <w:rFonts w:ascii="Times New Roman" w:hAnsi="Times New Roman"/>
          <w:sz w:val="24"/>
          <w:szCs w:val="24"/>
        </w:rPr>
      </w:pPr>
      <w:r>
        <w:rPr>
          <w:rFonts w:ascii="Times New Roman" w:hAnsi="Times New Roman" w:cs="Times New Roman"/>
          <w:sz w:val="24"/>
          <w:szCs w:val="24"/>
        </w:rPr>
        <w:t xml:space="preserve">aromaticum was able to inhibit both ACE and AChE, signifying its potential in the therapy of vascular and neurogenic dysfunction-related diseases, including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76B54CB8">
      <w:pPr>
        <w:spacing w:line="480" w:lineRule="auto"/>
        <w:jc w:val="both"/>
        <w:rPr>
          <w:rFonts w:ascii="Times New Roman" w:hAnsi="Times New Roman"/>
          <w:sz w:val="24"/>
          <w:szCs w:val="24"/>
        </w:rPr>
      </w:pPr>
      <w:r>
        <w:rPr>
          <w:rFonts w:ascii="Times New Roman" w:hAnsi="Times New Roman" w:cs="Times New Roman"/>
          <w:sz w:val="24"/>
          <w:szCs w:val="24"/>
        </w:rPr>
        <w:t xml:space="preserve">In the wake of advances in computational biology,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approaches such as molecular docking and ADMET predictions have become effective tools in the prediction of phytochemical-therapeutic target interactions. When combined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such techniques provide good pointers to the pharmacological potential of plant molecules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Therefore, the investigation of S. aromaticum aqueous extract's dual inhibitory activity against AChE and ACE through experimental and computational techniques may offer a novel, plant-based strategy for erectile dysfunction treatment.</w:t>
      </w:r>
    </w:p>
    <w:p w14:paraId="244D131A">
      <w:pPr>
        <w:pStyle w:val="3"/>
        <w:bidi w:val="0"/>
      </w:pPr>
      <w:bookmarkStart w:id="25" w:name="_Toc12774"/>
      <w:bookmarkStart w:id="26" w:name="_Toc28756"/>
      <w:bookmarkStart w:id="27" w:name="_Toc12566"/>
      <w:r>
        <w:t>1.2 Justification for the Study</w:t>
      </w:r>
      <w:bookmarkEnd w:id="25"/>
      <w:bookmarkEnd w:id="26"/>
      <w:bookmarkEnd w:id="27"/>
    </w:p>
    <w:p w14:paraId="3BE2816C">
      <w:pPr>
        <w:spacing w:line="480" w:lineRule="auto"/>
        <w:jc w:val="both"/>
        <w:rPr>
          <w:rFonts w:ascii="Times New Roman" w:hAnsi="Times New Roman"/>
          <w:sz w:val="24"/>
          <w:szCs w:val="24"/>
        </w:rPr>
      </w:pPr>
      <w:r>
        <w:rPr>
          <w:rFonts w:ascii="Times New Roman" w:hAnsi="Times New Roman" w:cs="Times New Roman"/>
          <w:sz w:val="24"/>
          <w:szCs w:val="24"/>
        </w:rPr>
        <w:t xml:space="preserve">To say that erectile dysfunction (ED) is a sore and very psychosocially significant disorder would be an understatement, and it is also a sentinel symptom of associated cardiovascular and neurovascular disease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Conventional pharmacologic treatments, e.g., phosphodiesterase type-5 inhibitors like sildenafil, although very effective in the majority of patients, have side effects, cardiovascular contraindications among patients, and reduced efficacy in patients with severe endothelial disease or diabetes (Kendirci &amp; Hellstrom, 2018). These limitations create the necessity for a safer, effective, and useful alternative or complementary therapy in more than one pathophysiologic process.</w:t>
      </w:r>
    </w:p>
    <w:p w14:paraId="7B8BCFD1">
      <w:pPr>
        <w:spacing w:line="480" w:lineRule="auto"/>
        <w:jc w:val="both"/>
        <w:rPr>
          <w:rFonts w:ascii="Times New Roman" w:hAnsi="Times New Roman"/>
          <w:sz w:val="24"/>
          <w:szCs w:val="24"/>
        </w:rPr>
      </w:pPr>
      <w:r>
        <w:rPr>
          <w:rFonts w:ascii="Times New Roman" w:hAnsi="Times New Roman" w:cs="Times New Roman"/>
          <w:sz w:val="24"/>
          <w:szCs w:val="24"/>
        </w:rPr>
        <w:t xml:space="preserve">The rationale behind inhibiting acetylcholinesterase (AChE) and angiotensin-converting enzyme (ACE) in ED is their varying roles in neurogenic and vascular control of penile erection. The prolonged action of acetylcholine results from the inhibition of AChE, enhancing parasympathetic stimulation and release of NO, crucial for relaxation of smooth muscles and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Concurrently, ACE inhibitors block the synthesis of angiotensin II, a potent vasoconstrictor, and thereby improve endothelial function and penile perfusion (Silva </w:t>
      </w:r>
      <w:r>
        <w:rPr>
          <w:rFonts w:ascii="Times New Roman" w:hAnsi="Times New Roman" w:cs="Times New Roman"/>
          <w:i/>
          <w:iCs/>
          <w:sz w:val="24"/>
          <w:szCs w:val="24"/>
        </w:rPr>
        <w:t>et al.,</w:t>
      </w:r>
      <w:r>
        <w:rPr>
          <w:rFonts w:ascii="Times New Roman" w:hAnsi="Times New Roman" w:cs="Times New Roman"/>
          <w:sz w:val="24"/>
          <w:szCs w:val="24"/>
        </w:rPr>
        <w:t xml:space="preserve"> 2020). This strategy of dual inhibition can therefore confer synergistic benefits in ED management in a more integrative fashion.</w:t>
      </w:r>
    </w:p>
    <w:p w14:paraId="3DB07EFC">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promising botanical lead with its rich content of phytochemicals and widely documented pharmacological activity of antioxidant, anti-inflammatory, neuroprotective, and cardioprotective action (Khan </w:t>
      </w:r>
      <w:r>
        <w:rPr>
          <w:rFonts w:ascii="Times New Roman" w:hAnsi="Times New Roman" w:cs="Times New Roman"/>
          <w:i/>
          <w:iCs/>
          <w:sz w:val="24"/>
          <w:szCs w:val="24"/>
        </w:rPr>
        <w:t>et al.,</w:t>
      </w:r>
      <w:r>
        <w:rPr>
          <w:rFonts w:ascii="Times New Roman" w:hAnsi="Times New Roman" w:cs="Times New Roman"/>
          <w:sz w:val="24"/>
          <w:szCs w:val="24"/>
        </w:rPr>
        <w:t xml:space="preserve"> 2019). Its AChE inhibitory and ACE inhibitory activities have already been discovered by earlier </w:t>
      </w:r>
      <w:r>
        <w:rPr>
          <w:rFonts w:ascii="Times New Roman" w:hAnsi="Times New Roman"/>
          <w:i/>
          <w:iCs/>
          <w:sz w:val="24"/>
          <w:szCs w:val="24"/>
        </w:rPr>
        <w:t xml:space="preserve">in vitro </w:t>
      </w:r>
      <w:r>
        <w:rPr>
          <w:rFonts w:ascii="Times New Roman" w:hAnsi="Times New Roman" w:cs="Times New Roman"/>
          <w:sz w:val="24"/>
          <w:szCs w:val="24"/>
        </w:rPr>
        <w:t xml:space="preserve">and in silico investigations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but its unique application for the treatment of ED still awaits exploration.</w:t>
      </w:r>
    </w:p>
    <w:p w14:paraId="37045F57">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that, the combination of </w:t>
      </w:r>
      <w:r>
        <w:rPr>
          <w:rFonts w:ascii="Times New Roman" w:hAnsi="Times New Roman"/>
          <w:i/>
          <w:iCs/>
          <w:sz w:val="24"/>
          <w:szCs w:val="24"/>
        </w:rPr>
        <w:t xml:space="preserve">in vitro </w:t>
      </w:r>
      <w:r>
        <w:rPr>
          <w:rFonts w:ascii="Times New Roman" w:hAnsi="Times New Roman" w:cs="Times New Roman"/>
          <w:sz w:val="24"/>
          <w:szCs w:val="24"/>
        </w:rPr>
        <w:t xml:space="preserve">biochemical assays and computational tools (e.g., molecular docking, pharmacokinetic prediction) enhances the predictive value of the study and follows the trend of drug discovery and validation in today's era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Multi-disciplinary approach not only facilitates evidence-based discovery of ethnomedicinal plants but also accelerates the discovery of new lead compounds.</w:t>
      </w:r>
    </w:p>
    <w:p w14:paraId="3DCA659F">
      <w:pPr>
        <w:spacing w:line="480" w:lineRule="auto"/>
        <w:jc w:val="both"/>
        <w:rPr>
          <w:rFonts w:ascii="Times New Roman" w:hAnsi="Times New Roman"/>
          <w:sz w:val="24"/>
          <w:szCs w:val="24"/>
        </w:rPr>
      </w:pPr>
      <w:r>
        <w:rPr>
          <w:rFonts w:ascii="Times New Roman" w:hAnsi="Times New Roman" w:cs="Times New Roman"/>
          <w:sz w:val="24"/>
          <w:szCs w:val="24"/>
        </w:rPr>
        <w:t>This study is justified by the need to identify safe, multi-target nature-based therapy alternatives for ED synthetic treatment, i.e., the neurogenic and vascular pathologies of erectile dysfunction. An investigation into the aqueous extract of Syzygium aromaticum is therefore aimed at bridging the therapy gap and may yield a new phytotherapeutic strategy towards treating erectile dysfunction.</w:t>
      </w:r>
    </w:p>
    <w:p w14:paraId="18A95683">
      <w:pPr>
        <w:spacing w:line="480" w:lineRule="auto"/>
        <w:jc w:val="both"/>
        <w:rPr>
          <w:rFonts w:ascii="Times New Roman" w:hAnsi="Times New Roman"/>
          <w:sz w:val="24"/>
          <w:szCs w:val="24"/>
        </w:rPr>
      </w:pPr>
    </w:p>
    <w:p w14:paraId="7C311292">
      <w:pPr>
        <w:spacing w:line="480" w:lineRule="auto"/>
        <w:jc w:val="both"/>
        <w:rPr>
          <w:rFonts w:ascii="Times New Roman" w:hAnsi="Times New Roman" w:cs="Times New Roman"/>
          <w:b/>
          <w:bCs/>
          <w:sz w:val="24"/>
          <w:szCs w:val="24"/>
        </w:rPr>
      </w:pPr>
    </w:p>
    <w:p w14:paraId="6C0E2492">
      <w:pPr>
        <w:spacing w:line="480" w:lineRule="auto"/>
        <w:jc w:val="both"/>
        <w:rPr>
          <w:rFonts w:ascii="Times New Roman" w:hAnsi="Times New Roman" w:cs="Times New Roman"/>
          <w:b/>
          <w:bCs/>
          <w:sz w:val="24"/>
          <w:szCs w:val="24"/>
        </w:rPr>
      </w:pPr>
    </w:p>
    <w:p w14:paraId="33689996">
      <w:pPr>
        <w:pStyle w:val="3"/>
        <w:bidi w:val="0"/>
      </w:pPr>
      <w:bookmarkStart w:id="28" w:name="_Toc7159"/>
      <w:bookmarkStart w:id="29" w:name="_Toc32359"/>
      <w:bookmarkStart w:id="30" w:name="_Toc433"/>
      <w:r>
        <w:t>1.3 Problem Statement</w:t>
      </w:r>
      <w:bookmarkEnd w:id="28"/>
      <w:bookmarkEnd w:id="29"/>
      <w:bookmarkEnd w:id="30"/>
    </w:p>
    <w:p w14:paraId="4ED8D998">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major public health concern, with an estimated prevalence of up to 50% in men aged over 40 years globally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Although the use of conventional therapy like phosphodiesterase type-5 (PDE5) inhibitors is highly prevalent, the medication cannot be effective in every subject, especially in those with comorbid conditions such as diabetes, hypertension, or neurovascular deficiency. Moreover, their side effects and interaction with nitrate therapy restrict their usage even further (Kendirci &amp; Hellstrom, 2018).</w:t>
      </w:r>
    </w:p>
    <w:p w14:paraId="70208EB5">
      <w:pPr>
        <w:spacing w:line="480" w:lineRule="auto"/>
        <w:jc w:val="both"/>
        <w:rPr>
          <w:rFonts w:ascii="Times New Roman" w:hAnsi="Times New Roman"/>
          <w:sz w:val="24"/>
          <w:szCs w:val="24"/>
        </w:rPr>
      </w:pPr>
      <w:r>
        <w:rPr>
          <w:rFonts w:ascii="Times New Roman" w:hAnsi="Times New Roman" w:cs="Times New Roman"/>
          <w:sz w:val="24"/>
          <w:szCs w:val="24"/>
        </w:rPr>
        <w:t xml:space="preserve">Emerging data incriminate ED not only with vascular impairment but also with defective neurotransmission—processes regulated by angiotensin-converting enzyme (ACE) and acetylcholinesterase (AChE), respectively (Silva </w:t>
      </w:r>
      <w:r>
        <w:rPr>
          <w:rFonts w:ascii="Times New Roman" w:hAnsi="Times New Roman" w:cs="Times New Roman"/>
          <w:i/>
          <w:iCs/>
          <w:sz w:val="24"/>
          <w:szCs w:val="24"/>
        </w:rPr>
        <w:t>et al.,</w:t>
      </w:r>
      <w:r>
        <w:rPr>
          <w:rFonts w:ascii="Times New Roman" w:hAnsi="Times New Roman" w:cs="Times New Roman"/>
          <w:sz w:val="24"/>
          <w:szCs w:val="24"/>
        </w:rPr>
        <w:t xml:space="preserve"> 2020;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ACE overexpression leads to vasoconstriction and reduced penile blood flow, while elevated AChE activity suppresses cholinergic transmission, both of which are associated with erectile dysfunction. Nevertheless, existing ED treatments significantly overlook these dual enzymatic pathways, suggesting a gap in comprehensive treatment approaches.</w:t>
      </w:r>
    </w:p>
    <w:p w14:paraId="2C0FA493">
      <w:pPr>
        <w:spacing w:line="480" w:lineRule="auto"/>
        <w:jc w:val="both"/>
        <w:rPr>
          <w:rFonts w:ascii="Times New Roman" w:hAnsi="Times New Roman"/>
          <w:sz w:val="24"/>
          <w:szCs w:val="24"/>
        </w:rPr>
      </w:pPr>
      <w:r>
        <w:rPr>
          <w:rFonts w:ascii="Times New Roman" w:hAnsi="Times New Roman" w:cs="Times New Roman"/>
          <w:sz w:val="24"/>
          <w:szCs w:val="24"/>
        </w:rPr>
        <w:t xml:space="preserve">In searching for novel, multi-target drugs, plant-derived drugs are very promising. </w:t>
      </w: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(clove), commonly used in traditional medicine, exhibits well-documented inhibitory effects on AChE and ACE and has antioxidant and anti-inflammatory constituents of therapeutic potency in acute ED treatment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However, its existing exploration as an element of ED treatment is scanty and piecemeal, particularly in aqueous extract formulations.</w:t>
      </w:r>
    </w:p>
    <w:p w14:paraId="6F2967C0">
      <w:pPr>
        <w:spacing w:line="480" w:lineRule="auto"/>
        <w:jc w:val="both"/>
        <w:rPr>
          <w:rFonts w:ascii="Times New Roman" w:hAnsi="Times New Roman"/>
          <w:sz w:val="24"/>
          <w:szCs w:val="24"/>
        </w:rPr>
      </w:pPr>
      <w:r>
        <w:rPr>
          <w:rFonts w:ascii="Times New Roman" w:hAnsi="Times New Roman" w:cs="Times New Roman"/>
          <w:sz w:val="24"/>
          <w:szCs w:val="24"/>
        </w:rPr>
        <w:t xml:space="preserve">Furthermore, despite the fact that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emerged as powerful aids to drug development, they are rarely partnered with </w:t>
      </w:r>
      <w:r>
        <w:rPr>
          <w:rFonts w:ascii="Times New Roman" w:hAnsi="Times New Roman"/>
          <w:i/>
          <w:iCs/>
          <w:sz w:val="24"/>
          <w:szCs w:val="24"/>
        </w:rPr>
        <w:t xml:space="preserve">in vitro </w:t>
      </w:r>
      <w:r>
        <w:rPr>
          <w:rFonts w:ascii="Times New Roman" w:hAnsi="Times New Roman" w:cs="Times New Roman"/>
          <w:sz w:val="24"/>
          <w:szCs w:val="24"/>
        </w:rPr>
        <w:t>validation to explore the dual enzyme-inhibitory activities of plant extracts towards ED-related pathways. This is an important gap of research need in systematic exploration of S. aromaticum as a dual-target drug.</w:t>
      </w:r>
    </w:p>
    <w:p w14:paraId="227E347A">
      <w:pPr>
        <w:pStyle w:val="3"/>
        <w:bidi w:val="0"/>
      </w:pPr>
      <w:bookmarkStart w:id="31" w:name="_Toc11406"/>
      <w:bookmarkStart w:id="32" w:name="_Toc2235"/>
      <w:bookmarkStart w:id="33" w:name="_Toc8188"/>
      <w:r>
        <w:t>1.4 Significance of the Study</w:t>
      </w:r>
      <w:bookmarkEnd w:id="31"/>
      <w:bookmarkEnd w:id="32"/>
      <w:bookmarkEnd w:id="33"/>
    </w:p>
    <w:p w14:paraId="5EAFEC62">
      <w:pPr>
        <w:spacing w:line="480" w:lineRule="auto"/>
        <w:jc w:val="both"/>
        <w:rPr>
          <w:rFonts w:ascii="Times New Roman" w:hAnsi="Times New Roman"/>
          <w:sz w:val="24"/>
          <w:szCs w:val="24"/>
        </w:rPr>
      </w:pPr>
      <w:r>
        <w:rPr>
          <w:rFonts w:ascii="Times New Roman" w:hAnsi="Times New Roman" w:cs="Times New Roman"/>
          <w:sz w:val="24"/>
          <w:szCs w:val="24"/>
        </w:rPr>
        <w:t xml:space="preserve">The study has immense potential in filling important therapeutic gaps in erectile dysfunction (ED) therapy, especially via exploration of natural compounds with multi-targeted activity. By studying </w:t>
      </w:r>
      <w:r>
        <w:rPr>
          <w:rFonts w:ascii="Times New Roman" w:hAnsi="Times New Roman" w:cs="Times New Roman"/>
          <w:i/>
          <w:iCs/>
          <w:sz w:val="24"/>
          <w:szCs w:val="24"/>
        </w:rPr>
        <w:t>Syzygium aromaticum</w:t>
      </w:r>
      <w:r>
        <w:rPr>
          <w:rFonts w:ascii="Times New Roman" w:hAnsi="Times New Roman" w:cs="Times New Roman"/>
          <w:sz w:val="24"/>
          <w:szCs w:val="24"/>
        </w:rPr>
        <w:t xml:space="preserve"> (clove) aqueous extract inhibitory activities on acetylcholinesterase (AChE) and angiotensin-converting enzyme (ACE), the study is aligned with the recent scientific trend to develop safer and more efficacious alternatives to synthetic ED drugs, which are associated with side effects and narrow therapeutic window (Kendirci &amp; Hellstrom, 2018;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E0C510F">
      <w:pPr>
        <w:spacing w:line="480" w:lineRule="auto"/>
        <w:jc w:val="both"/>
        <w:rPr>
          <w:rFonts w:ascii="Times New Roman" w:hAnsi="Times New Roman"/>
          <w:sz w:val="24"/>
          <w:szCs w:val="24"/>
        </w:rPr>
      </w:pPr>
      <w:r>
        <w:rPr>
          <w:rFonts w:ascii="Times New Roman" w:hAnsi="Times New Roman" w:cs="Times New Roman"/>
          <w:sz w:val="24"/>
          <w:szCs w:val="24"/>
        </w:rPr>
        <w:t>ED is currently known not just as a specific sexual disorder, but as a marker of systemic health that includes vascular and neurological dysfunction. AChE and ACE are crucial to the regulation of penile erection</w:t>
      </w:r>
      <w:r>
        <w:rPr>
          <w:rFonts w:ascii="Times New Roman" w:hAnsi="Times New Roman"/>
          <w:sz w:val="24"/>
          <w:szCs w:val="24"/>
        </w:rPr>
        <w:t xml:space="preserve">, </w:t>
      </w:r>
      <w:r>
        <w:rPr>
          <w:rFonts w:ascii="Times New Roman" w:hAnsi="Times New Roman" w:cs="Times New Roman"/>
          <w:sz w:val="24"/>
          <w:szCs w:val="24"/>
        </w:rPr>
        <w:t xml:space="preserve">AChE in the regulation of cholinergic neurotransmission necessary for nitric oxide-mediated vasodilation, and ACE in the regulation of vascular tone by the renin-angiotensin system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 Thus, an approach of therapy with both these enzymes offers an interdisciplinary regimen by targeting neurogenic and vascular components of ED simultaneously.</w:t>
      </w:r>
    </w:p>
    <w:p w14:paraId="598E5DAD">
      <w:pPr>
        <w:spacing w:line="480" w:lineRule="auto"/>
        <w:jc w:val="both"/>
        <w:rPr>
          <w:rFonts w:ascii="Times New Roman" w:hAnsi="Times New Roman"/>
          <w:sz w:val="24"/>
          <w:szCs w:val="24"/>
        </w:rPr>
      </w:pPr>
      <w:r>
        <w:rPr>
          <w:rFonts w:ascii="Times New Roman" w:hAnsi="Times New Roman" w:cs="Times New Roman"/>
          <w:sz w:val="24"/>
          <w:szCs w:val="24"/>
        </w:rPr>
        <w:t xml:space="preserve">The study also contributes to the scientific evidence of Syzygium aromaticum, a medicinal plant that is widely used in traditional medicine but not extensively researched in the management of ED. While earlier studies reported its antioxidant, anti-inflammatory, and enzyme-inhibiting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this work intends to investigate its bioactivity against two enzymes relevant to ED, which is a significant lacuna of phytopharmacological literature.</w:t>
      </w:r>
      <w:r>
        <w:rPr>
          <w:rFonts w:ascii="Times New Roman" w:hAnsi="Times New Roman"/>
          <w:sz w:val="24"/>
          <w:szCs w:val="24"/>
        </w:rPr>
        <w:t xml:space="preserve"> </w:t>
      </w:r>
      <w:r>
        <w:rPr>
          <w:rFonts w:ascii="Times New Roman" w:hAnsi="Times New Roman" w:cs="Times New Roman"/>
          <w:sz w:val="24"/>
          <w:szCs w:val="24"/>
        </w:rPr>
        <w:t xml:space="preserve">Also, the integration of </w:t>
      </w:r>
      <w:r>
        <w:rPr>
          <w:rFonts w:ascii="Times New Roman" w:hAnsi="Times New Roman"/>
          <w:i/>
          <w:iCs/>
          <w:sz w:val="24"/>
          <w:szCs w:val="24"/>
        </w:rPr>
        <w:t xml:space="preserve">in vitro </w:t>
      </w:r>
      <w:r>
        <w:rPr>
          <w:rFonts w:ascii="Times New Roman" w:hAnsi="Times New Roman" w:cs="Times New Roman"/>
          <w:sz w:val="24"/>
          <w:szCs w:val="24"/>
        </w:rPr>
        <w:t xml:space="preserve">assays with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and pharmacokinetic predictions lends power to the translational relevance of the findings. It provides mechanistic understanding of enzyme-ligand interactions and complements empirical data with computational validation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45AC9CA6">
      <w:pPr>
        <w:pStyle w:val="3"/>
        <w:bidi w:val="0"/>
      </w:pPr>
      <w:bookmarkStart w:id="34" w:name="_Toc15552"/>
      <w:bookmarkStart w:id="35" w:name="_Toc28262"/>
      <w:bookmarkStart w:id="36" w:name="_Toc2421"/>
      <w:r>
        <w:t>1.5 Study Objectives</w:t>
      </w:r>
      <w:bookmarkEnd w:id="34"/>
      <w:bookmarkEnd w:id="35"/>
      <w:bookmarkEnd w:id="36"/>
    </w:p>
    <w:p w14:paraId="0A026E3D">
      <w:pPr>
        <w:spacing w:line="480" w:lineRule="auto"/>
        <w:jc w:val="both"/>
        <w:rPr>
          <w:rFonts w:ascii="Times New Roman" w:hAnsi="Times New Roman"/>
          <w:sz w:val="24"/>
          <w:szCs w:val="24"/>
        </w:rPr>
      </w:pPr>
      <w:r>
        <w:rPr>
          <w:rFonts w:ascii="Times New Roman" w:hAnsi="Times New Roman" w:cs="Times New Roman"/>
          <w:sz w:val="24"/>
          <w:szCs w:val="24"/>
        </w:rPr>
        <w:t xml:space="preserve">The overall objective of the present study was to evaluate the inhibitory potential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on acetylcholinesterase (AChE) and angiotensin-converting enzyme (ACE) both </w:t>
      </w:r>
      <w:r>
        <w:rPr>
          <w:rFonts w:ascii="Times New Roman" w:hAnsi="Times New Roman"/>
          <w:i/>
          <w:iCs/>
          <w:sz w:val="24"/>
          <w:szCs w:val="24"/>
        </w:rPr>
        <w:t xml:space="preserve">in vitro </w:t>
      </w:r>
      <w:r>
        <w:rPr>
          <w:rFonts w:ascii="Times New Roman" w:hAnsi="Times New Roman" w:cs="Times New Roman"/>
          <w:sz w:val="24"/>
          <w:szCs w:val="24"/>
        </w:rPr>
        <w:t>and in silico, as a strategic move in the management of erectile dysfunction (ED).</w:t>
      </w:r>
      <w:r>
        <w:rPr>
          <w:rFonts w:ascii="Times New Roman" w:hAnsi="Times New Roman"/>
          <w:sz w:val="24"/>
          <w:szCs w:val="24"/>
        </w:rPr>
        <w:t xml:space="preserve"> The specific objectives were to:</w:t>
      </w:r>
    </w:p>
    <w:p w14:paraId="1A4BDD26">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prepare aqueous extract of </w:t>
      </w:r>
      <w:r>
        <w:rPr>
          <w:rFonts w:ascii="Times New Roman" w:hAnsi="Times New Roman"/>
          <w:i/>
          <w:iCs/>
          <w:sz w:val="24"/>
          <w:szCs w:val="24"/>
        </w:rPr>
        <w:t xml:space="preserve">Syzygium aromaticum; </w:t>
      </w:r>
    </w:p>
    <w:p w14:paraId="6B6FBD1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carryout p</w:t>
      </w:r>
      <w:r>
        <w:rPr>
          <w:rFonts w:ascii="Times New Roman" w:hAnsi="Times New Roman" w:cs="Times New Roman"/>
          <w:sz w:val="24"/>
          <w:szCs w:val="24"/>
        </w:rPr>
        <w:t xml:space="preserve">hytochemical </w:t>
      </w:r>
      <w:r>
        <w:rPr>
          <w:rFonts w:ascii="Times New Roman" w:hAnsi="Times New Roman"/>
          <w:sz w:val="24"/>
          <w:szCs w:val="24"/>
        </w:rPr>
        <w:t xml:space="preserve">screening of the </w:t>
      </w:r>
      <w:r>
        <w:rPr>
          <w:rFonts w:ascii="Times New Roman" w:hAnsi="Times New Roman" w:cs="Times New Roman"/>
          <w:sz w:val="24"/>
          <w:szCs w:val="24"/>
        </w:rPr>
        <w:t>aqueous extract using standardized phytochemical screening protocols</w:t>
      </w:r>
      <w:r>
        <w:rPr>
          <w:rFonts w:ascii="Times New Roman" w:hAnsi="Times New Roman"/>
          <w:sz w:val="24"/>
          <w:szCs w:val="24"/>
        </w:rPr>
        <w:t>;</w:t>
      </w:r>
    </w:p>
    <w:p w14:paraId="38B6F839">
      <w:pPr>
        <w:numPr>
          <w:ilvl w:val="0"/>
          <w:numId w:val="2"/>
        </w:numPr>
        <w:spacing w:after="200" w:line="480" w:lineRule="auto"/>
        <w:jc w:val="both"/>
        <w:rPr>
          <w:rFonts w:ascii="Times New Roman" w:hAnsi="Times New Roman"/>
          <w:sz w:val="24"/>
          <w:szCs w:val="24"/>
        </w:rPr>
      </w:pPr>
      <w:r>
        <w:rPr>
          <w:rFonts w:ascii="Times New Roman" w:hAnsi="Times New Roman" w:cs="Times New Roman"/>
          <w:sz w:val="24"/>
          <w:szCs w:val="24"/>
        </w:rPr>
        <w:t xml:space="preserve">determine the </w:t>
      </w:r>
      <w:r>
        <w:rPr>
          <w:rFonts w:ascii="Times New Roman" w:hAnsi="Times New Roman"/>
          <w:i/>
          <w:iCs/>
          <w:sz w:val="24"/>
          <w:szCs w:val="24"/>
        </w:rPr>
        <w:t xml:space="preserve">in vitro </w:t>
      </w:r>
      <w:r>
        <w:rPr>
          <w:rFonts w:ascii="Times New Roman" w:hAnsi="Times New Roman" w:cs="Times New Roman"/>
          <w:sz w:val="24"/>
          <w:szCs w:val="24"/>
        </w:rPr>
        <w:t xml:space="preserve">inhibitory activity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against acetylcholinesterase and angiotensin-converting enzyme</w:t>
      </w:r>
      <w:r>
        <w:rPr>
          <w:rFonts w:ascii="Times New Roman" w:hAnsi="Times New Roman"/>
          <w:sz w:val="24"/>
          <w:szCs w:val="24"/>
        </w:rPr>
        <w:t>;</w:t>
      </w:r>
    </w:p>
    <w:p w14:paraId="5E5D71C1">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carryout GC-MS analysis on the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sz w:val="24"/>
          <w:szCs w:val="24"/>
        </w:rPr>
        <w:t>;</w:t>
      </w:r>
    </w:p>
    <w:p w14:paraId="41E1EB28">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perform molecular docking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t>
      </w:r>
      <w:r>
        <w:rPr>
          <w:rFonts w:ascii="Times New Roman" w:hAnsi="Times New Roman"/>
          <w:sz w:val="24"/>
          <w:szCs w:val="24"/>
        </w:rPr>
        <w:t>bioactive compounds against</w:t>
      </w:r>
      <w:r>
        <w:rPr>
          <w:rFonts w:ascii="Times New Roman" w:hAnsi="Times New Roman" w:cs="Times New Roman"/>
          <w:sz w:val="24"/>
          <w:szCs w:val="24"/>
        </w:rPr>
        <w:t xml:space="preserve"> AChE and ACE using </w:t>
      </w:r>
      <w:r>
        <w:rPr>
          <w:rFonts w:ascii="Times New Roman" w:hAnsi="Times New Roman"/>
          <w:sz w:val="24"/>
          <w:szCs w:val="24"/>
        </w:rPr>
        <w:t>Schrodinger Maestro version 13.9;</w:t>
      </w:r>
    </w:p>
    <w:p w14:paraId="1307228B">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assess </w:t>
      </w:r>
      <w:r>
        <w:rPr>
          <w:rFonts w:ascii="Times New Roman" w:hAnsi="Times New Roman" w:cs="Times New Roman"/>
          <w:sz w:val="24"/>
          <w:szCs w:val="24"/>
        </w:rPr>
        <w:t>pharmacokinetic propert</w:t>
      </w:r>
      <w:r>
        <w:rPr>
          <w:rFonts w:ascii="Times New Roman" w:hAnsi="Times New Roman"/>
          <w:sz w:val="24"/>
          <w:szCs w:val="24"/>
        </w:rPr>
        <w:t>ies of hit compound; absorption, distribution, metabolism and excretion</w:t>
      </w:r>
      <w:r>
        <w:rPr>
          <w:rFonts w:ascii="Times New Roman" w:hAnsi="Times New Roman" w:cs="Times New Roman"/>
          <w:sz w:val="24"/>
          <w:szCs w:val="24"/>
        </w:rPr>
        <w:t xml:space="preserve"> (ADME)</w:t>
      </w:r>
      <w:r>
        <w:rPr>
          <w:rFonts w:ascii="Times New Roman" w:hAnsi="Times New Roman"/>
          <w:sz w:val="24"/>
          <w:szCs w:val="24"/>
        </w:rPr>
        <w:t>, as well as the toxicity and Lipinski of five</w:t>
      </w:r>
      <w:r>
        <w:rPr>
          <w:rFonts w:ascii="Times New Roman" w:hAnsi="Times New Roman" w:cs="Times New Roman"/>
          <w:sz w:val="24"/>
          <w:szCs w:val="24"/>
        </w:rPr>
        <w:t>.</w:t>
      </w:r>
    </w:p>
    <w:p w14:paraId="13C4ED24">
      <w:pPr>
        <w:spacing w:line="480" w:lineRule="auto"/>
        <w:ind w:left="2160" w:firstLine="720"/>
        <w:jc w:val="both"/>
        <w:rPr>
          <w:rFonts w:ascii="Times New Roman" w:hAnsi="Times New Roman"/>
          <w:sz w:val="24"/>
          <w:szCs w:val="24"/>
        </w:rPr>
      </w:pPr>
    </w:p>
    <w:p w14:paraId="55C255A6">
      <w:pPr>
        <w:spacing w:line="480" w:lineRule="auto"/>
        <w:ind w:left="2160" w:firstLine="720"/>
        <w:jc w:val="both"/>
        <w:rPr>
          <w:rFonts w:ascii="Times New Roman" w:hAnsi="Times New Roman"/>
          <w:sz w:val="24"/>
          <w:szCs w:val="24"/>
        </w:rPr>
      </w:pPr>
    </w:p>
    <w:p w14:paraId="4D818C0A">
      <w:pPr>
        <w:spacing w:line="480" w:lineRule="auto"/>
        <w:ind w:left="2160" w:firstLine="720"/>
        <w:jc w:val="both"/>
        <w:rPr>
          <w:rFonts w:ascii="Times New Roman" w:hAnsi="Times New Roman"/>
          <w:sz w:val="24"/>
          <w:szCs w:val="24"/>
        </w:rPr>
      </w:pPr>
    </w:p>
    <w:p w14:paraId="059DDD9D">
      <w:pPr>
        <w:spacing w:line="480" w:lineRule="auto"/>
        <w:ind w:left="2160" w:firstLine="720"/>
        <w:jc w:val="both"/>
        <w:rPr>
          <w:rFonts w:ascii="Times New Roman" w:hAnsi="Times New Roman"/>
          <w:sz w:val="24"/>
          <w:szCs w:val="24"/>
        </w:rPr>
      </w:pPr>
    </w:p>
    <w:p w14:paraId="04CA2BDD">
      <w:pPr>
        <w:pStyle w:val="2"/>
        <w:bidi w:val="0"/>
        <w:ind w:left="2160" w:leftChars="0" w:firstLine="720" w:firstLineChars="0"/>
      </w:pPr>
      <w:bookmarkStart w:id="37" w:name="_Toc11045"/>
      <w:bookmarkStart w:id="38" w:name="_Toc20568"/>
      <w:bookmarkStart w:id="39" w:name="_Toc27189"/>
      <w:r>
        <w:t>CHAPTER TWO</w:t>
      </w:r>
      <w:bookmarkEnd w:id="37"/>
      <w:bookmarkEnd w:id="38"/>
      <w:bookmarkEnd w:id="39"/>
    </w:p>
    <w:p w14:paraId="5B017016">
      <w:pPr>
        <w:pStyle w:val="2"/>
        <w:bidi w:val="0"/>
      </w:pPr>
      <w:bookmarkStart w:id="40" w:name="_Toc12184"/>
      <w:bookmarkStart w:id="41" w:name="_Toc22142"/>
      <w:bookmarkStart w:id="42" w:name="_Toc20188"/>
      <w:r>
        <w:t>2.0 LITERATURE REVIEW</w:t>
      </w:r>
      <w:bookmarkEnd w:id="40"/>
      <w:bookmarkEnd w:id="41"/>
      <w:bookmarkEnd w:id="42"/>
    </w:p>
    <w:p w14:paraId="6135DBAD">
      <w:pPr>
        <w:pStyle w:val="3"/>
        <w:bidi w:val="0"/>
      </w:pPr>
      <w:bookmarkStart w:id="43" w:name="_Toc25"/>
      <w:bookmarkStart w:id="44" w:name="_Toc28076"/>
      <w:bookmarkStart w:id="45" w:name="_Toc629"/>
      <w:r>
        <w:t>2.1 Erectile Dysfunction</w:t>
      </w:r>
      <w:bookmarkEnd w:id="43"/>
      <w:bookmarkEnd w:id="44"/>
      <w:bookmarkEnd w:id="45"/>
      <w:r>
        <w:t xml:space="preserve"> </w:t>
      </w:r>
    </w:p>
    <w:p w14:paraId="6A3953F6">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prevalent male sexual disorder defined by the persistent inability to attain or maintain a penile erection sufficient for satisfactory sexual performance. More than 150 million men globally are affected, and the figure is projected to increase to more than 300 million by 2025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ED is not only a quality-of-life disorder but also a potential early indicator of systemic illnesses, including hypertension, diabetes mellitus, atherosclerosis, obesity, and neurological disease (Corona </w:t>
      </w:r>
      <w:r>
        <w:rPr>
          <w:rFonts w:ascii="Times New Roman" w:hAnsi="Times New Roman" w:cs="Times New Roman"/>
          <w:i/>
          <w:iCs/>
          <w:sz w:val="24"/>
          <w:szCs w:val="24"/>
        </w:rPr>
        <w:t>et al.,</w:t>
      </w:r>
      <w:r>
        <w:rPr>
          <w:rFonts w:ascii="Times New Roman" w:hAnsi="Times New Roman" w:cs="Times New Roman"/>
          <w:sz w:val="24"/>
          <w:szCs w:val="24"/>
        </w:rPr>
        <w:t xml:space="preserve"> 2020; Gandaglia </w:t>
      </w:r>
      <w:r>
        <w:rPr>
          <w:rFonts w:ascii="Times New Roman" w:hAnsi="Times New Roman" w:cs="Times New Roman"/>
          <w:i/>
          <w:iCs/>
          <w:sz w:val="24"/>
          <w:szCs w:val="24"/>
        </w:rPr>
        <w:t>et al.,</w:t>
      </w:r>
      <w:r>
        <w:rPr>
          <w:rFonts w:ascii="Times New Roman" w:hAnsi="Times New Roman" w:cs="Times New Roman"/>
          <w:sz w:val="24"/>
          <w:szCs w:val="24"/>
        </w:rPr>
        <w:t xml:space="preserve"> 2018). The increasing prevalence of chronic illness, sedentary lifestyles, and aging populations underscores the growing clinical relevance of ED as a multifactorial process susceptible to multidisciplinary treatment (Kendirci &amp; Hellstrom, 2018).</w:t>
      </w:r>
    </w:p>
    <w:p w14:paraId="3456F596">
      <w:pPr>
        <w:spacing w:line="480" w:lineRule="auto"/>
        <w:jc w:val="both"/>
        <w:rPr>
          <w:rFonts w:ascii="Times New Roman" w:hAnsi="Times New Roman"/>
          <w:sz w:val="24"/>
          <w:szCs w:val="24"/>
        </w:rPr>
      </w:pPr>
      <w:r>
        <w:rPr>
          <w:rFonts w:ascii="Times New Roman" w:hAnsi="Times New Roman" w:cs="Times New Roman"/>
          <w:sz w:val="24"/>
          <w:szCs w:val="24"/>
        </w:rPr>
        <w:t xml:space="preserve">Physiology of penile erection relies on a multifaceted integration of neurological, vascular, hormonal, and psychological mechanisms, with the nitric oxide (NO)–cyclic guanosine monophosphate (cGMP) signaling pathway playing a fundamental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Neurogenic stimulation triggers NO release, which activates soluble guanylyl cyclase in the smooth muscle cells of corpus cavernosum to generate high levels of cGMP and cause vasodilation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Acetylcholine, the primary parasympathetic neurotransmitter, augments this activity by activating endothelial NO synthase (eNOS). Its breakdown by acetylcholinesterase (AChE), however, interferes with neurotransmission and leads to erectile failure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Vascular dysfunction is also at the core of ED, more specifically through the renin–angiotensin–aldosterone system (RAAS). Angiotensin-converting enzyme (ACE) catalyzes angiotensin I conversion to angiotensin II, a potent vasoconstrictor that elevates blood pressure and promotes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Enhanced ACE activity reduces penile blood inflow and impairs cavernous tissue relaxation, resulting in vascular-origin ED (Mazo </w:t>
      </w:r>
      <w:r>
        <w:rPr>
          <w:rFonts w:ascii="Times New Roman" w:hAnsi="Times New Roman" w:cs="Times New Roman"/>
          <w:i/>
          <w:iCs/>
          <w:sz w:val="24"/>
          <w:szCs w:val="24"/>
        </w:rPr>
        <w:t>et al.,</w:t>
      </w:r>
      <w:r>
        <w:rPr>
          <w:rFonts w:ascii="Times New Roman" w:hAnsi="Times New Roman" w:cs="Times New Roman"/>
          <w:sz w:val="24"/>
          <w:szCs w:val="24"/>
        </w:rPr>
        <w:t xml:space="preserve"> 2020). Interestingly, clinical studies have shown that ACE inhibitors not only manage systemic hypertension but also improve endothelial function and erectile function, especially in patients with underlying cardiovascular disease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7184094">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common use of phosphodiesterase type-5 inhibitors (PDE5i) such as sildenafil and tadalafil, the medications fail to work in some individuals. Approximately 30–40% of the patients, particularly diabetics, those with neuropathy, or those with severe endothelial dysfunction, either respond poorly or experience adverse effects like headache, hypotension, and visual disturbances (Kendirci &amp; Hellstrom, 2018; Salem </w:t>
      </w:r>
      <w:r>
        <w:rPr>
          <w:rFonts w:ascii="Times New Roman" w:hAnsi="Times New Roman" w:cs="Times New Roman"/>
          <w:i/>
          <w:iCs/>
          <w:sz w:val="24"/>
          <w:szCs w:val="24"/>
        </w:rPr>
        <w:t>et al.,</w:t>
      </w:r>
      <w:r>
        <w:rPr>
          <w:rFonts w:ascii="Times New Roman" w:hAnsi="Times New Roman" w:cs="Times New Roman"/>
          <w:sz w:val="24"/>
          <w:szCs w:val="24"/>
        </w:rPr>
        <w:t xml:space="preserve"> 2020). Furthermore, PDE5i do not address the upstream etiologies of ED, such as oxidative stress, inflammation, and enzymatic imbalance of AChE and ACE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Vardi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48723360">
      <w:pPr>
        <w:spacing w:line="480" w:lineRule="auto"/>
        <w:jc w:val="both"/>
        <w:rPr>
          <w:rFonts w:ascii="Times New Roman" w:hAnsi="Times New Roman"/>
          <w:sz w:val="24"/>
          <w:szCs w:val="24"/>
        </w:rPr>
      </w:pPr>
      <w:r>
        <w:rPr>
          <w:rFonts w:ascii="Times New Roman" w:hAnsi="Times New Roman" w:cs="Times New Roman"/>
          <w:sz w:val="24"/>
          <w:szCs w:val="24"/>
        </w:rPr>
        <w:t xml:space="preserve">Natural products, and medicinal plants specifically, have been promising safer and multi-mechanistic alternatives. Syzygium aromaticum (clove) is a common spice and medicinal herb with a high phytochemical content of eugenol, β-caryophyllene, and gallic acid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 In various studies, it was revealed to have dual inhibition of AChE and ACE, alongside antioxidant and anti-inflammatory properties that restore neurovascular balance in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In silico molecular docking studies reveal strong binding affinities of </w:t>
      </w:r>
      <w:r>
        <w:rPr>
          <w:rFonts w:ascii="Times New Roman" w:hAnsi="Times New Roman" w:cs="Times New Roman"/>
          <w:i/>
          <w:iCs/>
          <w:sz w:val="24"/>
          <w:szCs w:val="24"/>
        </w:rPr>
        <w:t>S. aromaticum</w:t>
      </w:r>
      <w:r>
        <w:rPr>
          <w:rFonts w:ascii="Times New Roman" w:hAnsi="Times New Roman" w:cs="Times New Roman"/>
          <w:sz w:val="24"/>
          <w:szCs w:val="24"/>
        </w:rPr>
        <w:t xml:space="preserve"> compounds to the key active sites of both enzymes, and </w:t>
      </w:r>
      <w:r>
        <w:rPr>
          <w:rFonts w:ascii="Times New Roman" w:hAnsi="Times New Roman"/>
          <w:i/>
          <w:iCs/>
          <w:sz w:val="24"/>
          <w:szCs w:val="24"/>
        </w:rPr>
        <w:t xml:space="preserve">in vitro </w:t>
      </w:r>
      <w:r>
        <w:rPr>
          <w:rFonts w:ascii="Times New Roman" w:hAnsi="Times New Roman" w:cs="Times New Roman"/>
          <w:sz w:val="24"/>
          <w:szCs w:val="24"/>
        </w:rPr>
        <w:t xml:space="preserve">studies confirm its biochemical potential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6029B9E6">
      <w:pPr>
        <w:pStyle w:val="3"/>
        <w:bidi w:val="0"/>
      </w:pPr>
      <w:bookmarkStart w:id="46" w:name="_Toc31065"/>
      <w:bookmarkStart w:id="47" w:name="_Toc17839"/>
      <w:bookmarkStart w:id="48" w:name="_Toc4756"/>
      <w:r>
        <w:t>2.2 Epidemiology of Erectile Dysfunction</w:t>
      </w:r>
      <w:bookmarkEnd w:id="46"/>
      <w:bookmarkEnd w:id="47"/>
      <w:bookmarkEnd w:id="48"/>
    </w:p>
    <w:p w14:paraId="3BCD8618">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widespread condition with a high worldwide health burden, affecting both developing and developed nations. Epidemiological data show that ED affects approximately 52% of men aged 40–70 years, with the prevalence increasing substantially with age (Yafi </w:t>
      </w:r>
      <w:r>
        <w:rPr>
          <w:rFonts w:ascii="Times New Roman" w:hAnsi="Times New Roman" w:cs="Times New Roman"/>
          <w:i/>
          <w:iCs/>
          <w:sz w:val="24"/>
          <w:szCs w:val="24"/>
        </w:rPr>
        <w:t>et al.,</w:t>
      </w:r>
      <w:r>
        <w:rPr>
          <w:rFonts w:ascii="Times New Roman" w:hAnsi="Times New Roman" w:cs="Times New Roman"/>
          <w:sz w:val="24"/>
          <w:szCs w:val="24"/>
        </w:rPr>
        <w:t xml:space="preserve"> 2018). By 2025, the worldwide prevalence of men with ED will be more than 322 million, driven by aging populations and the increasing burden of comorbidities such as diabetes, hypertension, cardiovascular disease, and obesity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569E22E1">
      <w:pPr>
        <w:spacing w:line="480" w:lineRule="auto"/>
        <w:jc w:val="both"/>
        <w:rPr>
          <w:rFonts w:ascii="Times New Roman" w:hAnsi="Times New Roman"/>
          <w:sz w:val="24"/>
          <w:szCs w:val="24"/>
        </w:rPr>
      </w:pPr>
      <w:r>
        <w:rPr>
          <w:rFonts w:ascii="Times New Roman" w:hAnsi="Times New Roman" w:cs="Times New Roman"/>
          <w:sz w:val="24"/>
          <w:szCs w:val="24"/>
        </w:rPr>
        <w:t xml:space="preserve">The strongest predictor of ED is age, but lifestyle and metabolic factors also have an important contribution. Evidence suggests that men with type 2 diabetes mellitus are two to three times more likely to have ED than non-diabetic men (Salonia </w:t>
      </w:r>
      <w:r>
        <w:rPr>
          <w:rFonts w:ascii="Times New Roman" w:hAnsi="Times New Roman" w:cs="Times New Roman"/>
          <w:i/>
          <w:iCs/>
          <w:sz w:val="24"/>
          <w:szCs w:val="24"/>
        </w:rPr>
        <w:t>et al.,</w:t>
      </w:r>
      <w:r>
        <w:rPr>
          <w:rFonts w:ascii="Times New Roman" w:hAnsi="Times New Roman" w:cs="Times New Roman"/>
          <w:sz w:val="24"/>
          <w:szCs w:val="24"/>
        </w:rPr>
        <w:t xml:space="preserve"> 2021). ED is also much more common in individuals with hypertension, metabolic syndrome, or a background of smoking and lack of physical activity (Kendirci &amp; Hellstrom, 2018). The prevalence is also higher in low- and middle-income countries, where limited access to health care and high burden of chronic disease exacerbate the condition (Arowojolu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63D82C4">
      <w:pPr>
        <w:spacing w:line="480" w:lineRule="auto"/>
        <w:jc w:val="both"/>
        <w:rPr>
          <w:rFonts w:ascii="Times New Roman" w:hAnsi="Times New Roman"/>
          <w:sz w:val="24"/>
          <w:szCs w:val="24"/>
        </w:rPr>
      </w:pPr>
      <w:r>
        <w:rPr>
          <w:rFonts w:ascii="Times New Roman" w:hAnsi="Times New Roman" w:cs="Times New Roman"/>
          <w:sz w:val="24"/>
          <w:szCs w:val="24"/>
        </w:rPr>
        <w:t xml:space="preserve">Early treatment and diagnosis of ED are not just pertinent to improve sexual health, but also to detect cardiovascular risk, as ED precedes coronary artery disease by 2–5 years (Gandaglia </w:t>
      </w:r>
      <w:r>
        <w:rPr>
          <w:rFonts w:ascii="Times New Roman" w:hAnsi="Times New Roman" w:cs="Times New Roman"/>
          <w:i/>
          <w:iCs/>
          <w:sz w:val="24"/>
          <w:szCs w:val="24"/>
        </w:rPr>
        <w:t>et al.,</w:t>
      </w:r>
      <w:r>
        <w:rPr>
          <w:rFonts w:ascii="Times New Roman" w:hAnsi="Times New Roman" w:cs="Times New Roman"/>
          <w:sz w:val="24"/>
          <w:szCs w:val="24"/>
        </w:rPr>
        <w:t xml:space="preserve"> 2018). </w:t>
      </w:r>
    </w:p>
    <w:p w14:paraId="00CE4CAF">
      <w:pPr>
        <w:pStyle w:val="3"/>
        <w:bidi w:val="0"/>
      </w:pPr>
      <w:bookmarkStart w:id="49" w:name="_Toc19458"/>
      <w:bookmarkStart w:id="50" w:name="_Toc24485"/>
      <w:bookmarkStart w:id="51" w:name="_Toc23855"/>
      <w:r>
        <w:t>2.3 Pathophysiology of Erectile Dysfunction</w:t>
      </w:r>
      <w:bookmarkEnd w:id="49"/>
      <w:bookmarkEnd w:id="50"/>
      <w:bookmarkEnd w:id="51"/>
    </w:p>
    <w:p w14:paraId="056080E3">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pathophysiology includes an intricate disruption in vascular, neural, hormonal, and psychological mechanisms required to achieve and maintain penile erection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The parasympathetic nervous system is primarily responsible for the erection process via stimulation of release of NO in the corpus cavernosum, activation of guanylate cyclase, and increase in cyclic guanosine monophosphate (cGMP) levels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It is followed by vasodilation, smooth muscle relaxation, and increased penile blood flow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Dysfunctional impairment in any of these elements in the cascade, neural, vascular, or chemical, could cause erectile failure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23D377E">
      <w:pPr>
        <w:spacing w:line="480" w:lineRule="auto"/>
        <w:jc w:val="both"/>
        <w:rPr>
          <w:rFonts w:ascii="Times New Roman" w:hAnsi="Times New Roman"/>
          <w:sz w:val="24"/>
          <w:szCs w:val="24"/>
        </w:rPr>
      </w:pPr>
      <w:r>
        <w:rPr>
          <w:rFonts w:ascii="Times New Roman" w:hAnsi="Times New Roman" w:cs="Times New Roman"/>
          <w:sz w:val="24"/>
          <w:szCs w:val="24"/>
        </w:rPr>
        <w:t xml:space="preserve">Endothelial dysfunction is the primary causative factor in ED, particularly for men with chronic conditions like diabetes, hypertension, or atherosclerosis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Gandaglia </w:t>
      </w:r>
      <w:r>
        <w:rPr>
          <w:rFonts w:ascii="Times New Roman" w:hAnsi="Times New Roman" w:cs="Times New Roman"/>
          <w:i/>
          <w:iCs/>
          <w:sz w:val="24"/>
          <w:szCs w:val="24"/>
        </w:rPr>
        <w:t>et al.,</w:t>
      </w:r>
      <w:r>
        <w:rPr>
          <w:rFonts w:ascii="Times New Roman" w:hAnsi="Times New Roman" w:cs="Times New Roman"/>
          <w:sz w:val="24"/>
          <w:szCs w:val="24"/>
        </w:rPr>
        <w:t xml:space="preserve"> 2018). Endothelial damage produces decreased production of NO (Figure 2.1), leading to less smooth muscle relaxation and poor penile perfusion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 In addition, increased oxidative stress and inflammation that are characteristic of metabolic syndrome and aging decrease NO bioavailability and increase endothelial injury (Mazo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2021). These synergistically impair vasodilatory function essential for normal erection (Vardi </w:t>
      </w:r>
      <w:r>
        <w:rPr>
          <w:rFonts w:ascii="Times New Roman" w:hAnsi="Times New Roman" w:cs="Times New Roman"/>
          <w:i/>
          <w:iCs/>
          <w:sz w:val="24"/>
          <w:szCs w:val="24"/>
        </w:rPr>
        <w:t>et al.,</w:t>
      </w:r>
      <w:r>
        <w:rPr>
          <w:rFonts w:ascii="Times New Roman" w:hAnsi="Times New Roman" w:cs="Times New Roman"/>
          <w:sz w:val="24"/>
          <w:szCs w:val="24"/>
        </w:rPr>
        <w:t xml:space="preserve"> 2021;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186B67E">
      <w:pPr>
        <w:spacing w:line="480" w:lineRule="auto"/>
        <w:jc w:val="both"/>
        <w:rPr>
          <w:rFonts w:ascii="Times New Roman" w:hAnsi="Times New Roman"/>
          <w:sz w:val="24"/>
          <w:szCs w:val="24"/>
        </w:rPr>
      </w:pPr>
      <w:r>
        <w:rPr>
          <w:rFonts w:ascii="Times New Roman" w:hAnsi="Times New Roman" w:cs="Times New Roman"/>
          <w:sz w:val="24"/>
          <w:szCs w:val="24"/>
        </w:rPr>
        <w:t xml:space="preserve">Neurogenic impairment is another vital mechanism in ED. Parasympathetic nerve injuries, frequent in men with spinal cord injury, diabetes, or post-prostatectomy, can interfere with the neural loops that are responsible for NO release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Of interest here is the enzyme acetylcholinesterase (AChE). AChE hydrolyzes acetylcholine, a neurotransmitter of central importance to endothelial NO synthase activation and the initiation of vasodilation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Excessive activation of AChE can significantly lower acetylcholine availability, impacting neurogenic signaling and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813F8F0">
      <w:pPr>
        <w:spacing w:line="480" w:lineRule="auto"/>
        <w:jc w:val="both"/>
        <w:rPr>
          <w:rFonts w:ascii="Times New Roman" w:hAnsi="Times New Roman"/>
          <w:sz w:val="24"/>
          <w:szCs w:val="24"/>
        </w:rPr>
      </w:pPr>
      <w:r>
        <w:rPr>
          <w:rFonts w:ascii="Times New Roman" w:hAnsi="Times New Roman" w:cs="Times New Roman"/>
          <w:sz w:val="24"/>
          <w:szCs w:val="24"/>
        </w:rPr>
        <w:t xml:space="preserve">Another important pathway engaged in ED is the renin–angiotensin system (RAS). Angiotensin-converting enzyme (ACE) breaks down angiotensin I to angiotensin II, a potent vasoconstrictor that promotes vascular resistance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Overactivation of ACE results in reduced penile perfusion and erectile tissue fibrosis, particularly in hypertensive and diabetic men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 ACE inhibitors have been promising to enhance such effects via endothelial function and hemodynamic equilibrium restoration in penile vasculature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w:t>
      </w:r>
    </w:p>
    <w:p w14:paraId="0141B7A7">
      <w:pPr>
        <w:spacing w:line="480" w:lineRule="auto"/>
        <w:jc w:val="both"/>
        <w:rPr>
          <w:rFonts w:ascii="Times New Roman" w:hAnsi="Times New Roman"/>
          <w:sz w:val="24"/>
          <w:szCs w:val="24"/>
        </w:rPr>
      </w:pPr>
      <w:r>
        <w:rPr>
          <w:rFonts w:ascii="Times New Roman" w:hAnsi="Times New Roman" w:cs="Times New Roman"/>
          <w:sz w:val="24"/>
          <w:szCs w:val="24"/>
        </w:rPr>
        <w:t xml:space="preserve">Hormonal dysregulation, especially androgen deficiency, also underlies ED. Reductions in testosterone levels decrease libido and suppress expression of NO synthase and PDE5 enzymes in penile tissue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 Accordingly, pathogenesis of ED is multi-factorial with neurovascular dysfunction, viz., ACE and AChE involvement, being the enzymatic targets for its holistic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12F3871">
      <w:pPr>
        <w:spacing w:line="480" w:lineRule="auto"/>
        <w:jc w:val="both"/>
        <w:rPr>
          <w:rFonts w:ascii="Times New Roman" w:hAnsi="Times New Roman"/>
          <w:b/>
          <w:bCs/>
          <w:sz w:val="24"/>
          <w:szCs w:val="24"/>
        </w:rPr>
      </w:pPr>
    </w:p>
    <w:p w14:paraId="1B95186D">
      <w:pPr>
        <w:spacing w:line="480" w:lineRule="auto"/>
        <w:jc w:val="both"/>
        <w:rPr>
          <w:rFonts w:ascii="Times New Roman" w:hAnsi="Times New Roman"/>
          <w:b/>
          <w:bCs/>
          <w:sz w:val="24"/>
          <w:szCs w:val="24"/>
        </w:rPr>
      </w:pPr>
    </w:p>
    <w:p w14:paraId="41D6D694">
      <w:pPr>
        <w:spacing w:line="480" w:lineRule="auto"/>
        <w:jc w:val="both"/>
        <w:rPr>
          <w:rFonts w:ascii="Times New Roman" w:hAnsi="Times New Roman"/>
          <w:b/>
          <w:bCs/>
          <w:sz w:val="24"/>
          <w:szCs w:val="24"/>
        </w:rPr>
      </w:pPr>
    </w:p>
    <w:p w14:paraId="69F2C275">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0" distR="0">
            <wp:extent cx="4351020" cy="5814060"/>
            <wp:effectExtent l="0" t="0" r="0" b="0"/>
            <wp:docPr id="868302174" name="Picture 7"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2174" name="Picture 7" descr="ED PATH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51020" cy="5814060"/>
                    </a:xfrm>
                    <a:prstGeom prst="rect">
                      <a:avLst/>
                    </a:prstGeom>
                    <a:noFill/>
                    <a:ln>
                      <a:noFill/>
                    </a:ln>
                  </pic:spPr>
                </pic:pic>
              </a:graphicData>
            </a:graphic>
          </wp:inline>
        </w:drawing>
      </w:r>
    </w:p>
    <w:p w14:paraId="211AE26A">
      <w:pPr>
        <w:spacing w:line="480" w:lineRule="auto"/>
        <w:jc w:val="both"/>
        <w:rPr>
          <w:rFonts w:ascii="Times New Roman" w:hAnsi="Times New Roman"/>
          <w:b w:val="0"/>
          <w:bCs w:val="0"/>
          <w:sz w:val="24"/>
          <w:szCs w:val="24"/>
        </w:rPr>
      </w:pPr>
      <w:r>
        <w:rPr>
          <w:rFonts w:ascii="Times New Roman" w:hAnsi="Times New Roman"/>
          <w:b w:val="0"/>
          <w:bCs w:val="0"/>
          <w:sz w:val="24"/>
          <w:szCs w:val="24"/>
        </w:rPr>
        <w:t xml:space="preserve">Figure 2.1: Pathophysiology of Erectile Dysfunction </w:t>
      </w:r>
    </w:p>
    <w:p w14:paraId="3F85A9BE">
      <w:pPr>
        <w:spacing w:line="480" w:lineRule="auto"/>
        <w:jc w:val="both"/>
        <w:rPr>
          <w:rFonts w:ascii="Times New Roman" w:hAnsi="Times New Roman"/>
          <w:sz w:val="24"/>
          <w:szCs w:val="24"/>
        </w:rPr>
      </w:pPr>
      <w:r>
        <w:rPr>
          <w:rFonts w:ascii="Times New Roman" w:hAnsi="Times New Roman"/>
          <w:sz w:val="24"/>
          <w:szCs w:val="24"/>
        </w:rPr>
        <w:t>Source: Roushias &amp; Ossei-Gerning (2018)</w:t>
      </w:r>
    </w:p>
    <w:p w14:paraId="05CDBF6F">
      <w:pPr>
        <w:pStyle w:val="3"/>
        <w:bidi w:val="0"/>
      </w:pPr>
      <w:bookmarkStart w:id="52" w:name="_Toc10083"/>
      <w:bookmarkStart w:id="53" w:name="_Toc11716"/>
      <w:bookmarkStart w:id="54" w:name="_Toc23722"/>
      <w:r>
        <w:t>2.3.1 Acetylcholinesterase</w:t>
      </w:r>
      <w:bookmarkEnd w:id="52"/>
      <w:bookmarkEnd w:id="53"/>
      <w:bookmarkEnd w:id="54"/>
    </w:p>
    <w:p w14:paraId="4135BDE5">
      <w:pPr>
        <w:spacing w:line="480" w:lineRule="auto"/>
        <w:jc w:val="both"/>
        <w:rPr>
          <w:rFonts w:ascii="Times New Roman" w:hAnsi="Times New Roman"/>
          <w:sz w:val="24"/>
          <w:szCs w:val="24"/>
        </w:rPr>
      </w:pPr>
      <w:r>
        <w:rPr>
          <w:rFonts w:ascii="Times New Roman" w:hAnsi="Times New Roman" w:cs="Times New Roman"/>
          <w:sz w:val="24"/>
          <w:szCs w:val="24"/>
        </w:rPr>
        <w:t xml:space="preserve">Acetylcholinesterase (AChE) is a key enzyme that catalyzes hydrolysis of the neurotransmitter acetylcholine to choline and acetate in cholinergic synapses. Acetylcholine is a significant neurotransmitter of parasympathetic nerve signaling involved in erectile function, facilitating release of nitric oxide (NO) from endothelial and non-adrenergic, non-cholinergic (NANC) neurons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NO is needed to relax smooth muscle tissue within the corpus cavernosum to allow penile blood engorgement and erection. Excess activity of AChE—through increased break-down of acetylcholine—therefore impairs cholinergic transmission and can lead to reduced NO production, and hence directly causes erectile dysfunction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w:t>
      </w:r>
    </w:p>
    <w:p w14:paraId="45C2D95A">
      <w:pPr>
        <w:spacing w:line="480" w:lineRule="auto"/>
        <w:jc w:val="both"/>
        <w:rPr>
          <w:rFonts w:ascii="Times New Roman" w:hAnsi="Times New Roman"/>
          <w:sz w:val="24"/>
          <w:szCs w:val="24"/>
        </w:rPr>
      </w:pPr>
      <w:r>
        <w:rPr>
          <w:rFonts w:ascii="Times New Roman" w:hAnsi="Times New Roman" w:cs="Times New Roman"/>
          <w:sz w:val="24"/>
          <w:szCs w:val="24"/>
        </w:rPr>
        <w:t xml:space="preserve">The therapeutic relevance of AChE in ED lies in the fact that enhancement of cholinergic activity improves the quality of an erection. This has been demonstrated in clinical and preclinical studies with AChE inhibitors that increase acetylcholine and, consequently, augment NO-mediated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AChE blockade is therefore a rational approach to increase neurogenic activation of erection, especially after diabetic neuropathy or aging-related decline of neural responsiveness (Corona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2019).</w:t>
      </w:r>
    </w:p>
    <w:p w14:paraId="5F191F65">
      <w:pPr>
        <w:spacing w:line="480" w:lineRule="auto"/>
        <w:jc w:val="both"/>
        <w:rPr>
          <w:rFonts w:ascii="Times New Roman" w:hAnsi="Times New Roman"/>
          <w:sz w:val="24"/>
          <w:szCs w:val="24"/>
        </w:rPr>
      </w:pPr>
      <w:r>
        <w:rPr>
          <w:rFonts w:ascii="Times New Roman" w:hAnsi="Times New Roman" w:cs="Times New Roman"/>
          <w:sz w:val="24"/>
          <w:szCs w:val="24"/>
        </w:rPr>
        <w:t xml:space="preserve">Plant compounds have been of interest as safe AChE inhibitors. Plant-based compounds such as eugenol, gallic acid, and flavonoids found in Syzygium aromaticum (clove) have been shown to possess potent AChE inhibition in in silico and </w:t>
      </w:r>
      <w:r>
        <w:rPr>
          <w:rFonts w:ascii="Times New Roman" w:hAnsi="Times New Roman"/>
          <w:i/>
          <w:iCs/>
          <w:sz w:val="24"/>
          <w:szCs w:val="24"/>
        </w:rPr>
        <w:t xml:space="preserve">in vitro </w:t>
      </w:r>
      <w:r>
        <w:rPr>
          <w:rFonts w:ascii="Times New Roman" w:hAnsi="Times New Roman" w:cs="Times New Roman"/>
          <w:sz w:val="24"/>
          <w:szCs w:val="24"/>
        </w:rPr>
        <w:t xml:space="preserve">systems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inhibit or emulate the enzyme active site, thus prolonging acetylcholine availability in synapses and augmenting cholinergic transmission in erectile tissue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1D64D64">
      <w:pPr>
        <w:spacing w:line="480" w:lineRule="auto"/>
        <w:jc w:val="both"/>
        <w:rPr>
          <w:rFonts w:ascii="Times New Roman" w:hAnsi="Times New Roman"/>
          <w:sz w:val="24"/>
          <w:szCs w:val="24"/>
        </w:rPr>
      </w:pPr>
      <w:r>
        <w:rPr>
          <w:rFonts w:ascii="Times New Roman" w:hAnsi="Times New Roman" w:cs="Times New Roman"/>
          <w:sz w:val="24"/>
          <w:szCs w:val="24"/>
        </w:rPr>
        <w:t xml:space="preserve">New studies have proposed the combination of AChE inhibition with other therapeutic effects, such as antioxidant and anti-inflammatory activity, to provide a multi-targeted approach for ED therapy. Given the role of AChE in the neurovascular mechanism of erection, enzyme inhibition could serve as an adjunct or complement to existing pharmacologic treatments (e.g., PDE5 inhibitors) or as a substitute in patients with contraindications to synthetic drugs (Kendirci &amp; Hellstrom, 2018;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7563DE26">
      <w:pPr>
        <w:pStyle w:val="3"/>
        <w:bidi w:val="0"/>
      </w:pPr>
      <w:bookmarkStart w:id="55" w:name="_Toc31273"/>
      <w:bookmarkStart w:id="56" w:name="_Toc23188"/>
      <w:bookmarkStart w:id="57" w:name="_Toc5047"/>
      <w:r>
        <w:t>2.3.2 Angiotensin Converting Enzyme</w:t>
      </w:r>
      <w:bookmarkEnd w:id="55"/>
      <w:bookmarkEnd w:id="56"/>
      <w:bookmarkEnd w:id="57"/>
    </w:p>
    <w:p w14:paraId="134E5C6E">
      <w:pPr>
        <w:spacing w:line="480" w:lineRule="auto"/>
        <w:jc w:val="both"/>
        <w:rPr>
          <w:rFonts w:ascii="Times New Roman" w:hAnsi="Times New Roman"/>
          <w:sz w:val="24"/>
          <w:szCs w:val="24"/>
        </w:rPr>
      </w:pPr>
      <w:r>
        <w:rPr>
          <w:rFonts w:ascii="Times New Roman" w:hAnsi="Times New Roman" w:cs="Times New Roman"/>
          <w:sz w:val="24"/>
          <w:szCs w:val="24"/>
        </w:rPr>
        <w:t xml:space="preserve">Angiotensin-converting enzyme (ACE) is an essential part of the renin–angiotensin system (RAS), a hormonal cascade that regulates vascular tone and blood pressure. ACE converts angiotensin I into angiotensin II, a potent vasoconstrictor that promotes the contraction of smooth muscle, sodium retention,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These effects contribute to the increased vascular resistance and reduced penile blood flow that are central defects in the pathophysiology of erectile dysfunction (ED)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403CAEEB">
      <w:pPr>
        <w:spacing w:line="480" w:lineRule="auto"/>
        <w:jc w:val="both"/>
        <w:rPr>
          <w:rFonts w:ascii="Times New Roman" w:hAnsi="Times New Roman"/>
          <w:sz w:val="24"/>
          <w:szCs w:val="24"/>
        </w:rPr>
      </w:pPr>
      <w:r>
        <w:rPr>
          <w:rFonts w:ascii="Times New Roman" w:hAnsi="Times New Roman" w:cs="Times New Roman"/>
          <w:sz w:val="24"/>
          <w:szCs w:val="24"/>
        </w:rPr>
        <w:t xml:space="preserve">Increased angiotensin II levels are shown to suppress endothelial nitric oxide (NO) production and stimulate pro-inflammatory cytokines and reactive oxygen species (ROS) release, leading to oxidative stress and vascular inflammation (Musicki &amp; Burnett, 2021; Vignozzi </w:t>
      </w:r>
      <w:r>
        <w:rPr>
          <w:rFonts w:ascii="Times New Roman" w:hAnsi="Times New Roman" w:cs="Times New Roman"/>
          <w:i/>
          <w:iCs/>
          <w:sz w:val="24"/>
          <w:szCs w:val="24"/>
        </w:rPr>
        <w:t>et al.,</w:t>
      </w:r>
      <w:r>
        <w:rPr>
          <w:rFonts w:ascii="Times New Roman" w:hAnsi="Times New Roman" w:cs="Times New Roman"/>
          <w:sz w:val="24"/>
          <w:szCs w:val="24"/>
        </w:rPr>
        <w:t xml:space="preserve"> 2020). These changes compromise endothelium-dependent vasodilation in the corpus cavernosum that forms the basis of erectile function. Furthermore, angiotensin II can induce fibrosis and structural remodeling of penile tissues, further exacerbating ED (Gandaglia </w:t>
      </w:r>
      <w:r>
        <w:rPr>
          <w:rFonts w:ascii="Times New Roman" w:hAnsi="Times New Roman" w:cs="Times New Roman"/>
          <w:i/>
          <w:iCs/>
          <w:sz w:val="24"/>
          <w:szCs w:val="24"/>
        </w:rPr>
        <w:t>et al.,</w:t>
      </w:r>
      <w:r>
        <w:rPr>
          <w:rFonts w:ascii="Times New Roman" w:hAnsi="Times New Roman" w:cs="Times New Roman"/>
          <w:sz w:val="24"/>
          <w:szCs w:val="24"/>
        </w:rPr>
        <w:t xml:space="preserve"> 2018; Mazo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730F47BB">
      <w:pPr>
        <w:spacing w:line="480" w:lineRule="auto"/>
        <w:jc w:val="both"/>
        <w:rPr>
          <w:rFonts w:ascii="Times New Roman" w:hAnsi="Times New Roman"/>
          <w:sz w:val="24"/>
          <w:szCs w:val="24"/>
        </w:rPr>
      </w:pPr>
      <w:r>
        <w:rPr>
          <w:rFonts w:ascii="Times New Roman" w:hAnsi="Times New Roman" w:cs="Times New Roman"/>
          <w:sz w:val="24"/>
          <w:szCs w:val="24"/>
        </w:rPr>
        <w:t xml:space="preserve">Pharmacological inhibition of ACE has demonstrated therapeutic benefit in both cardiovascular disease and erectile function. ACE inhibitors improve endothelial function, mitigate oxidative stress, and improve penile perfusion by inhibiting the formation of angiotensin II and enhancing that of bradykinin, a vasodilator degraded by ACE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 Several clinical and animal studies have reported improved erectile responses to ACE inhibitor therapy, especially in patients who also have hypertension or diabetes mellitus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C3FD363">
      <w:pPr>
        <w:spacing w:line="480" w:lineRule="auto"/>
        <w:jc w:val="both"/>
        <w:rPr>
          <w:rFonts w:ascii="Times New Roman" w:hAnsi="Times New Roman"/>
          <w:sz w:val="24"/>
          <w:szCs w:val="24"/>
        </w:rPr>
      </w:pPr>
      <w:r>
        <w:rPr>
          <w:rFonts w:ascii="Times New Roman" w:hAnsi="Times New Roman" w:cs="Times New Roman"/>
          <w:sz w:val="24"/>
          <w:szCs w:val="24"/>
        </w:rPr>
        <w:t xml:space="preserve">In recent years, plant-derived natural ACE inhibitors have been investigated for their therapeutic potential. Syzygium aromaticum (clove) has been a leading example, where bioactive compounds such as eugenol and gallic acid have demonstrated ACE inhibitory activity both </w:t>
      </w:r>
      <w:r>
        <w:rPr>
          <w:rFonts w:ascii="Times New Roman" w:hAnsi="Times New Roman"/>
          <w:i/>
          <w:iCs/>
          <w:sz w:val="24"/>
          <w:szCs w:val="24"/>
        </w:rPr>
        <w:t xml:space="preserve">in vitro </w:t>
      </w:r>
      <w:r>
        <w:rPr>
          <w:rFonts w:ascii="Times New Roman" w:hAnsi="Times New Roman" w:cs="Times New Roman"/>
          <w:sz w:val="24"/>
          <w:szCs w:val="24"/>
        </w:rPr>
        <w:t xml:space="preserve">and in silico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interact with the zinc-bearing active site of ACE, blocking its enzymatic function and thus preventing angiotensin II generation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79D3995">
      <w:pPr>
        <w:pStyle w:val="3"/>
        <w:bidi w:val="0"/>
      </w:pPr>
      <w:bookmarkStart w:id="58" w:name="_Toc27314"/>
      <w:bookmarkStart w:id="59" w:name="_Toc3340"/>
      <w:bookmarkStart w:id="60" w:name="_Toc8038"/>
      <w:r>
        <w:t>2.4 Acetylcholinesterase and Angiotensin-Converting Enzyme Inhibition</w:t>
      </w:r>
      <w:bookmarkEnd w:id="58"/>
      <w:bookmarkEnd w:id="59"/>
      <w:bookmarkEnd w:id="60"/>
      <w:r>
        <w:t xml:space="preserve"> </w:t>
      </w:r>
    </w:p>
    <w:p w14:paraId="55B6E0F2">
      <w:pPr>
        <w:spacing w:line="480" w:lineRule="auto"/>
        <w:jc w:val="both"/>
        <w:rPr>
          <w:rFonts w:ascii="Times New Roman" w:hAnsi="Times New Roman"/>
          <w:sz w:val="24"/>
          <w:szCs w:val="24"/>
        </w:rPr>
      </w:pPr>
      <w:r>
        <w:rPr>
          <w:rFonts w:ascii="Times New Roman" w:hAnsi="Times New Roman" w:cs="Times New Roman"/>
          <w:sz w:val="24"/>
          <w:szCs w:val="24"/>
        </w:rPr>
        <w:t xml:space="preserve">Co-inhibition of acetylcholinesterase (AChE) and angiotensin-converting enzyme (ACE) is scientifically established as a new therapeutic strategy for the treatment of erectile dysfunction (ED). Both enzymes are part of different but related mechanisms responsible for neurogenic and vascular causes of ED. Both enzyme inhibitions offer a synergistic pathway that facilitates improvement in erectile function by augmenting neurotransmission and endothelial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3E07941">
      <w:pPr>
        <w:spacing w:line="480" w:lineRule="auto"/>
        <w:jc w:val="both"/>
        <w:rPr>
          <w:rFonts w:ascii="Times New Roman" w:hAnsi="Times New Roman"/>
          <w:sz w:val="24"/>
          <w:szCs w:val="24"/>
        </w:rPr>
      </w:pPr>
      <w:r>
        <w:rPr>
          <w:rFonts w:ascii="Times New Roman" w:hAnsi="Times New Roman" w:cs="Times New Roman"/>
          <w:sz w:val="24"/>
          <w:szCs w:val="24"/>
        </w:rPr>
        <w:t xml:space="preserve">AChE is a significant enzyme that ends acetylcholine signaling within cholinergic synapses. Acetylcholine induces the release of nitric oxide (NO) from endothelial and nonadrenergic, noncholinergic (NANC) neurons, resulting in the relaxation of penile arteries and cavernosal smooth muscle and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 Overactivity of AChE results in premature degradation of acetylcholine and therefore limits NO production and diminishes the neurogenic aspect of erection. AChE inhibitors have been discovered to prolong the action of acetylcholine, amplify parasympathetic transmission, and increase erectile response, especially among diabetic neuropathy or neurovascular impaired patients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3598AE8C">
      <w:pPr>
        <w:spacing w:line="480" w:lineRule="auto"/>
        <w:jc w:val="both"/>
        <w:rPr>
          <w:rFonts w:ascii="Times New Roman" w:hAnsi="Times New Roman"/>
          <w:sz w:val="24"/>
          <w:szCs w:val="24"/>
        </w:rPr>
      </w:pPr>
      <w:r>
        <w:rPr>
          <w:rFonts w:ascii="Times New Roman" w:hAnsi="Times New Roman" w:cs="Times New Roman"/>
          <w:sz w:val="24"/>
          <w:szCs w:val="24"/>
        </w:rPr>
        <w:t xml:space="preserve">ACE, on the other hand, acts as a catalyst for the reaction that transforms angiotensin I into angiotensin II, a vasoconstrictive molecule generating heightened blood pressure, oxidative stress, and endothelial dysfunction—all of these detractors from penile flow (Pavin </w:t>
      </w:r>
      <w:r>
        <w:rPr>
          <w:rFonts w:ascii="Times New Roman" w:hAnsi="Times New Roman" w:cs="Times New Roman"/>
          <w:i/>
          <w:iCs/>
          <w:sz w:val="24"/>
          <w:szCs w:val="24"/>
        </w:rPr>
        <w:t>et al.,</w:t>
      </w:r>
      <w:r>
        <w:rPr>
          <w:rFonts w:ascii="Times New Roman" w:hAnsi="Times New Roman" w:cs="Times New Roman"/>
          <w:sz w:val="24"/>
          <w:szCs w:val="24"/>
        </w:rPr>
        <w:t xml:space="preserve"> 2022; Gandaglia </w:t>
      </w:r>
      <w:r>
        <w:rPr>
          <w:rFonts w:ascii="Times New Roman" w:hAnsi="Times New Roman" w:cs="Times New Roman"/>
          <w:i/>
          <w:iCs/>
          <w:sz w:val="24"/>
          <w:szCs w:val="24"/>
        </w:rPr>
        <w:t>et al.,</w:t>
      </w:r>
      <w:r>
        <w:rPr>
          <w:rFonts w:ascii="Times New Roman" w:hAnsi="Times New Roman" w:cs="Times New Roman"/>
          <w:sz w:val="24"/>
          <w:szCs w:val="24"/>
        </w:rPr>
        <w:t xml:space="preserve"> 2018). Angiotensin II also causes pro-inflammatory cytokines and contributes to fibrosis of cavernosal tissue. ACE inhibitors increase bradykinin levels, which are vasodilators, and increase bioavailability of NO, thereby optimizing penile hemodynamics while reducing vascular resistance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3D6CF4F8">
      <w:pPr>
        <w:spacing w:line="480" w:lineRule="auto"/>
        <w:jc w:val="both"/>
        <w:rPr>
          <w:rFonts w:ascii="Times New Roman" w:hAnsi="Times New Roman"/>
          <w:sz w:val="24"/>
          <w:szCs w:val="24"/>
        </w:rPr>
      </w:pPr>
      <w:r>
        <w:rPr>
          <w:rFonts w:ascii="Times New Roman" w:hAnsi="Times New Roman" w:cs="Times New Roman"/>
          <w:sz w:val="24"/>
          <w:szCs w:val="24"/>
        </w:rPr>
        <w:t xml:space="preserve">More recent studies have shown the potential of natural dual inhibitors—compounds that suppress both AChE and ACE simultaneously. These dual-acting drugs have a greater composite therapeutic effect than single-target inhibitors, particularly in such diseases as ED that contain both neurogenic and vasculogenic components (Ajibola </w:t>
      </w:r>
      <w:r>
        <w:rPr>
          <w:rFonts w:ascii="Times New Roman" w:hAnsi="Times New Roman" w:cs="Times New Roman"/>
          <w:i/>
          <w:iCs/>
          <w:sz w:val="24"/>
          <w:szCs w:val="24"/>
        </w:rPr>
        <w:t>et al.,</w:t>
      </w:r>
      <w:r>
        <w:rPr>
          <w:rFonts w:ascii="Times New Roman" w:hAnsi="Times New Roman" w:cs="Times New Roman"/>
          <w:sz w:val="24"/>
          <w:szCs w:val="24"/>
        </w:rPr>
        <w:t xml:space="preserve"> 2022). Syzygium aromaticum (clove) has been found to be a rich source of phytochemicals like eugenol and gallic acid that show strong inhibitory action against AChE and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bioactive compounds interact with both enzymes' active sites, as confirmed by molecular docking computations, and are effective </w:t>
      </w:r>
      <w:r>
        <w:rPr>
          <w:rFonts w:ascii="Times New Roman" w:hAnsi="Times New Roman"/>
          <w:i/>
          <w:iCs/>
          <w:sz w:val="24"/>
          <w:szCs w:val="24"/>
        </w:rPr>
        <w:t xml:space="preserve">in vitro </w:t>
      </w:r>
      <w:r>
        <w:rPr>
          <w:rFonts w:ascii="Times New Roman" w:hAnsi="Times New Roman" w:cs="Times New Roman"/>
          <w:sz w:val="24"/>
          <w:szCs w:val="24"/>
        </w:rPr>
        <w:t xml:space="preserve">inhibitors of the enzymes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7FEAC35">
      <w:pPr>
        <w:spacing w:line="480" w:lineRule="auto"/>
        <w:jc w:val="both"/>
        <w:rPr>
          <w:rFonts w:ascii="Times New Roman" w:hAnsi="Times New Roman"/>
          <w:sz w:val="24"/>
          <w:szCs w:val="24"/>
        </w:rPr>
      </w:pPr>
      <w:r>
        <w:rPr>
          <w:rFonts w:ascii="Times New Roman" w:hAnsi="Times New Roman" w:cs="Times New Roman"/>
          <w:i/>
          <w:iCs/>
          <w:sz w:val="24"/>
          <w:szCs w:val="24"/>
        </w:rPr>
        <w:t>In</w:t>
      </w:r>
      <w:r>
        <w:rPr>
          <w:rFonts w:ascii="Times New Roman" w:hAnsi="Times New Roman" w:cs="Times New Roman"/>
          <w:sz w:val="24"/>
          <w:szCs w:val="24"/>
        </w:rPr>
        <w:t xml:space="preserve">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docking simulations have provided detailed data on the interaction of natural compounds with AChE and ACE and confirmation of their drug value (Ajibola </w:t>
      </w:r>
      <w:r>
        <w:rPr>
          <w:rFonts w:ascii="Times New Roman" w:hAnsi="Times New Roman" w:cs="Times New Roman"/>
          <w:i/>
          <w:iCs/>
          <w:sz w:val="24"/>
          <w:szCs w:val="24"/>
        </w:rPr>
        <w:t>et al.,</w:t>
      </w:r>
      <w:r>
        <w:rPr>
          <w:rFonts w:ascii="Times New Roman" w:hAnsi="Times New Roman" w:cs="Times New Roman"/>
          <w:sz w:val="24"/>
          <w:szCs w:val="24"/>
        </w:rPr>
        <w:t xml:space="preserve"> 2022). For instance, eugenol possesses excellent docking scores and hydrogen bondings in the AChE gorge, and besides these coordinating with the zinc-bound catalytic domain of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molecular interactions not only validate the dual inhibitory activity but also support the formulation of plant-derived drugs to cure ED with minimal side effects.</w:t>
      </w:r>
    </w:p>
    <w:p w14:paraId="20212620">
      <w:pPr>
        <w:spacing w:line="480" w:lineRule="auto"/>
        <w:jc w:val="both"/>
        <w:rPr>
          <w:rFonts w:ascii="Times New Roman" w:hAnsi="Times New Roman"/>
          <w:sz w:val="24"/>
          <w:szCs w:val="24"/>
        </w:rPr>
      </w:pPr>
      <w:r>
        <w:rPr>
          <w:rFonts w:ascii="Times New Roman" w:hAnsi="Times New Roman" w:cs="Times New Roman"/>
          <w:sz w:val="24"/>
          <w:szCs w:val="24"/>
        </w:rPr>
        <w:t>Thus, blocking both AChE and ACE represents a new, dual-mechanism therapeutic approach to erectile dysfunction. It is particularly promising in nonresponsive patients to standard therapy or with comorbid diseases such as hypertension, diabetes, or neurovascular disease. Synergy of computational screening with biochemical validation of dual enzyme inhibitors—especially of natural origin like S. aromaticum—can pave the way for safer, more holistic treatment approaches in sexual medicine.</w:t>
      </w:r>
    </w:p>
    <w:p w14:paraId="32C06E4C">
      <w:pPr>
        <w:pStyle w:val="3"/>
        <w:bidi w:val="0"/>
      </w:pPr>
      <w:bookmarkStart w:id="61" w:name="_Toc501"/>
      <w:bookmarkStart w:id="62" w:name="_Toc3014"/>
      <w:bookmarkStart w:id="63" w:name="_Toc3992"/>
      <w:r>
        <w:t>2.4.1 Limitations of Current Acetylcholinesterase (AChE) and Angiotensin-Converting Enzyme (ACE) Inhibitors</w:t>
      </w:r>
      <w:bookmarkEnd w:id="61"/>
      <w:bookmarkEnd w:id="62"/>
      <w:bookmarkEnd w:id="63"/>
    </w:p>
    <w:p w14:paraId="1B5416D4">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proven therapeutic effectiveness in them, the therapeutic use of acetylcholinesterase (AChE) and angiotensin-converting enzyme (ACE) inhibitors is not uncritical—especially in erectile dysfunction (ED). Mechanically accurate as such agents might be, they are plagued by poor specificity, safety, bioavailability, together with poor multitarget action, prompting the search for improved or different therapy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3FC85DB">
      <w:pPr>
        <w:spacing w:line="480" w:lineRule="auto"/>
        <w:jc w:val="both"/>
        <w:rPr>
          <w:rFonts w:ascii="Times New Roman" w:hAnsi="Times New Roman"/>
          <w:sz w:val="24"/>
          <w:szCs w:val="24"/>
        </w:rPr>
      </w:pPr>
      <w:r>
        <w:rPr>
          <w:rFonts w:ascii="Times New Roman" w:hAnsi="Times New Roman" w:cs="Times New Roman"/>
          <w:sz w:val="24"/>
          <w:szCs w:val="24"/>
        </w:rPr>
        <w:t xml:space="preserve">A major disadvantage of synthetic AChE inhibitors (e.g., donepezil, rivastigmine) is their narrow therapeutic margin and potential for systemic cholinergic adverse effects such as bradycardia, gastrointestinal disturbance, hypersalivation, and muscle cramps (Yuan </w:t>
      </w:r>
      <w:r>
        <w:rPr>
          <w:rFonts w:ascii="Times New Roman" w:hAnsi="Times New Roman" w:cs="Times New Roman"/>
          <w:i/>
          <w:iCs/>
          <w:sz w:val="24"/>
          <w:szCs w:val="24"/>
        </w:rPr>
        <w:t>et al.,</w:t>
      </w:r>
      <w:r>
        <w:rPr>
          <w:rFonts w:ascii="Times New Roman" w:hAnsi="Times New Roman" w:cs="Times New Roman"/>
          <w:sz w:val="24"/>
          <w:szCs w:val="24"/>
        </w:rPr>
        <w:t xml:space="preserve"> 2021; Kendirci &amp; Hellstrom, 2018). These effects are secondary to the non-selective increase in acetylcholine in both the central and peripheral nervous systems, rather than specifically aimed at penile tissue. Also, the chronic application of AChE inhibitors has been documented to lead to receptor desensitization or tolerance, thus reducing their long-term efficacy in treating neurogenic ED (Musicki &amp; Burnett,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9A7D6F0">
      <w:pPr>
        <w:spacing w:line="480" w:lineRule="auto"/>
        <w:jc w:val="both"/>
        <w:rPr>
          <w:rFonts w:ascii="Times New Roman" w:hAnsi="Times New Roman"/>
          <w:sz w:val="24"/>
          <w:szCs w:val="24"/>
        </w:rPr>
      </w:pPr>
      <w:r>
        <w:rPr>
          <w:rFonts w:ascii="Times New Roman" w:hAnsi="Times New Roman" w:cs="Times New Roman"/>
          <w:sz w:val="24"/>
          <w:szCs w:val="24"/>
        </w:rPr>
        <w:t xml:space="preserve">ACE inhibitors (such as enalapril, lisinopril) have also demonstrated cardiovascular disease and endothelial dysfunction protective effects but are not as effective in the cure of ED. The greatest drawback is the induction of side effects such as persistent dry cough, hypotension, dizziness, angioedema, and in certain instances, renal impairment—especially in patients who have underlying renal insufficiency or those taking concomitant antihypertensives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Furthermore, ACE inhibitors primarily target the vascular component of ED and may not address underlying neurogenic or hormonal aspects, thus losing their efficacy in isolation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6ED6765">
      <w:pPr>
        <w:spacing w:line="480" w:lineRule="auto"/>
        <w:jc w:val="both"/>
        <w:rPr>
          <w:rFonts w:ascii="Times New Roman" w:hAnsi="Times New Roman"/>
          <w:sz w:val="24"/>
          <w:szCs w:val="24"/>
        </w:rPr>
      </w:pPr>
      <w:r>
        <w:rPr>
          <w:rFonts w:ascii="Times New Roman" w:hAnsi="Times New Roman" w:cs="Times New Roman"/>
          <w:sz w:val="24"/>
          <w:szCs w:val="24"/>
        </w:rPr>
        <w:t xml:space="preserve">Pharmacokinetic problems also affect both inhibitor classes. The majority of synthetic AChE and ACE inhibitors lack good selectivity across the blood-brain barrier, undergo rapid metabolism, or possess reduced oral bioavailability, decreasing their efficiency and necessitating dosage more frequently (Dahham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Moreover, chronic dosing may be inadvisable for all patients, particularly older patients or patients with co-morbidities, who are at greater risk of polypharmacy-related complications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CA435A0">
      <w:pPr>
        <w:spacing w:line="480" w:lineRule="auto"/>
        <w:jc w:val="both"/>
        <w:rPr>
          <w:rFonts w:ascii="Times New Roman" w:hAnsi="Times New Roman"/>
          <w:sz w:val="24"/>
          <w:szCs w:val="24"/>
        </w:rPr>
      </w:pPr>
      <w:r>
        <w:rPr>
          <w:rFonts w:ascii="Times New Roman" w:hAnsi="Times New Roman" w:cs="Times New Roman"/>
          <w:sz w:val="24"/>
          <w:szCs w:val="24"/>
        </w:rPr>
        <w:t xml:space="preserve">But another limitation is the single-target activity of such inhibitors. Erectile dysfunction is a multi-factorial condition with neural, vascular, endocrine, and psychological components. The majority of drugs in current use do not hit more than one ED pathway at once. For instance, while ACE inhibitors increase endothelial tone, they do not increase neurotransmitter function, and conversely for AChE inhibitors (Ajibola </w:t>
      </w:r>
      <w:r>
        <w:rPr>
          <w:rFonts w:ascii="Times New Roman" w:hAnsi="Times New Roman" w:cs="Times New Roman"/>
          <w:i/>
          <w:iCs/>
          <w:sz w:val="24"/>
          <w:szCs w:val="24"/>
        </w:rPr>
        <w:t>et al.,</w:t>
      </w:r>
      <w:r>
        <w:rPr>
          <w:rFonts w:ascii="Times New Roman" w:hAnsi="Times New Roman" w:cs="Times New Roman"/>
          <w:sz w:val="24"/>
          <w:szCs w:val="24"/>
        </w:rPr>
        <w:t xml:space="preserve"> 2022; Vignozzi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2AA3436">
      <w:pPr>
        <w:pStyle w:val="3"/>
        <w:bidi w:val="0"/>
      </w:pPr>
      <w:bookmarkStart w:id="64" w:name="_Toc11274"/>
      <w:bookmarkStart w:id="65" w:name="_Toc8869"/>
      <w:bookmarkStart w:id="66" w:name="_Toc10030"/>
      <w:r>
        <w:t xml:space="preserve">2.5 </w:t>
      </w:r>
      <w:r>
        <w:rPr>
          <w:i/>
          <w:iCs/>
        </w:rPr>
        <w:t>Syzygium aromaticum</w:t>
      </w:r>
      <w:r>
        <w:t xml:space="preserve"> (Clove)</w:t>
      </w:r>
      <w:bookmarkEnd w:id="64"/>
      <w:bookmarkEnd w:id="65"/>
      <w:bookmarkEnd w:id="66"/>
      <w:r>
        <w:t xml:space="preserve"> </w:t>
      </w:r>
    </w:p>
    <w:p w14:paraId="76A1C378">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or clove is an age-old spice used as a spice with thousands of years of history in the traditional medicines of Asian, African, and Middle Eastern regions. It is derived from the dried flower buds of the clove tree and is rich in essential oils and polyphenolic compounds like eugenol, gallic acid, β-caryophyllene, and flavonoids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phytochemicals have also been documented to display an array of pharmacological activities that range from antioxidant and anti-inflammatory to vasorelaxant and enzyme inhibitory activities, placing clove as a prospective drug in the treatment of erectile dysfunction (ED).</w:t>
      </w:r>
    </w:p>
    <w:p w14:paraId="36D4DA37">
      <w:pPr>
        <w:spacing w:line="480" w:lineRule="auto"/>
        <w:jc w:val="both"/>
        <w:rPr>
          <w:rFonts w:ascii="Times New Roman" w:hAnsi="Times New Roman"/>
          <w:sz w:val="24"/>
          <w:szCs w:val="24"/>
        </w:rPr>
      </w:pPr>
      <w:r>
        <w:rPr>
          <w:rFonts w:ascii="Times New Roman" w:hAnsi="Times New Roman" w:cs="Times New Roman"/>
          <w:sz w:val="24"/>
          <w:szCs w:val="24"/>
        </w:rPr>
        <w:t xml:space="preserve">Previous studies have established that S. aromaticum extracts possess significant inhibitory effects against two enzymes involved in ED pathophysiology: acetylcholinesterase (AChE) and angiotensin-converting enzyme (ACE)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AChE inhibition by constituents of clove maintains acetylcholine levels in nerve terminals, thereby enhancing parasympathetic stimulation and NO release. This eventually leads to relaxation of penile smooth muscle, which is essential for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Concurrently, ACE inhibition by constituents of clove leads to lowered synthesis of angiotensin II, vasoconstriction reduction, and endothelial function enhancement (Silva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EC44121">
      <w:pPr>
        <w:spacing w:line="480" w:lineRule="auto"/>
        <w:jc w:val="both"/>
        <w:rPr>
          <w:rFonts w:ascii="Times New Roman" w:hAnsi="Times New Roman"/>
          <w:sz w:val="24"/>
          <w:szCs w:val="24"/>
        </w:rPr>
      </w:pPr>
      <w:r>
        <w:rPr>
          <w:rFonts w:ascii="Times New Roman" w:hAnsi="Times New Roman" w:cs="Times New Roman"/>
          <w:sz w:val="24"/>
          <w:szCs w:val="24"/>
        </w:rPr>
        <w:t xml:space="preserve">Phytochemical analysis has confirmed that water and ethanol extracts of clove contain high polyphenol and terpenoid content with the potential to interact with AChE and ACE active sites (Ajibola </w:t>
      </w:r>
      <w:r>
        <w:rPr>
          <w:rFonts w:ascii="Times New Roman" w:hAnsi="Times New Roman" w:cs="Times New Roman"/>
          <w:i/>
          <w:iCs/>
          <w:sz w:val="24"/>
          <w:szCs w:val="24"/>
        </w:rPr>
        <w:t>et al.,</w:t>
      </w:r>
      <w:r>
        <w:rPr>
          <w:rFonts w:ascii="Times New Roman" w:hAnsi="Times New Roman" w:cs="Times New Roman"/>
          <w:sz w:val="24"/>
          <w:szCs w:val="24"/>
        </w:rPr>
        <w:t xml:space="preserve"> 2022).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analysis revealed that eugenol and gallic acid have high binding affinities with both enzymes, ascertained by </w:t>
      </w:r>
      <w:r>
        <w:rPr>
          <w:rFonts w:ascii="Times New Roman" w:hAnsi="Times New Roman"/>
          <w:i/>
          <w:iCs/>
          <w:sz w:val="24"/>
          <w:szCs w:val="24"/>
        </w:rPr>
        <w:t xml:space="preserve">in vitro </w:t>
      </w:r>
      <w:r>
        <w:rPr>
          <w:rFonts w:ascii="Times New Roman" w:hAnsi="Times New Roman" w:cs="Times New Roman"/>
          <w:sz w:val="24"/>
          <w:szCs w:val="24"/>
        </w:rPr>
        <w:t xml:space="preserve">enzyme assays with considerable inhibition at relatively low concentrations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Such features strengthen the hypothesis of clove as a dual-targeted therapeutic agent in ED.</w:t>
      </w:r>
    </w:p>
    <w:p w14:paraId="6A035DF6">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its enzyme inhibition, clove has antioxidant effects that may also contribute to the utility of clove in the treatment of ED. Oxidative stress is an established etiology of the endothelial and neural damage that defines ED, and the high antioxidant activity of clove provides vascular and penile tissue protection from ROS-induced injury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It also possesses lipid-lowering and anti-inflammatory activities that can impart additional benefits to comorbid diabetic, obese, or hypertensive patients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1E389171">
      <w:pPr>
        <w:pStyle w:val="3"/>
        <w:bidi w:val="0"/>
      </w:pPr>
      <w:bookmarkStart w:id="67" w:name="_Toc18173"/>
      <w:bookmarkStart w:id="68" w:name="_Toc27116"/>
      <w:bookmarkStart w:id="69" w:name="_Toc21669"/>
      <w:r>
        <w:t xml:space="preserve">2.5.1 Bioactive Components of </w:t>
      </w:r>
      <w:r>
        <w:rPr>
          <w:i/>
          <w:iCs/>
        </w:rPr>
        <w:t>Syzygium aromaticum</w:t>
      </w:r>
      <w:bookmarkEnd w:id="67"/>
      <w:bookmarkEnd w:id="68"/>
      <w:bookmarkEnd w:id="69"/>
    </w:p>
    <w:p w14:paraId="7B30652D">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pharmacologically potent due to its rich array of bio-active compounds, many of which have been associated with therapeutic activities relevant to the management of erectile dysfunction (ED). These constituents include essential oils, phenolic acids, flavonoids, and terpenoids—all contributing to clove’s antioxidant, anti-inflammatory, neuroprotective, and enzyme-inhibitory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AA67A58">
      <w:pPr>
        <w:spacing w:line="480" w:lineRule="auto"/>
        <w:jc w:val="both"/>
        <w:rPr>
          <w:rFonts w:ascii="Times New Roman" w:hAnsi="Times New Roman"/>
          <w:sz w:val="24"/>
          <w:szCs w:val="24"/>
        </w:rPr>
      </w:pPr>
      <w:r>
        <w:rPr>
          <w:rFonts w:ascii="Times New Roman" w:hAnsi="Times New Roman" w:cs="Times New Roman"/>
          <w:sz w:val="24"/>
          <w:szCs w:val="24"/>
        </w:rPr>
        <w:t xml:space="preserve">Eugenol is the principal component of clove essential oil, comprising approximately 70–85% of the oil content (Dalli </w:t>
      </w:r>
      <w:r>
        <w:rPr>
          <w:rFonts w:ascii="Times New Roman" w:hAnsi="Times New Roman" w:cs="Times New Roman"/>
          <w:i/>
          <w:iCs/>
          <w:sz w:val="24"/>
          <w:szCs w:val="24"/>
        </w:rPr>
        <w:t>et al.,</w:t>
      </w:r>
      <w:r>
        <w:rPr>
          <w:rFonts w:ascii="Times New Roman" w:hAnsi="Times New Roman" w:cs="Times New Roman"/>
          <w:sz w:val="24"/>
          <w:szCs w:val="24"/>
        </w:rPr>
        <w:t xml:space="preserve"> 2020). It exhibits a broad range of biological activities including strong antioxidant, anti-inflammatory, and enzyme-inhibitory effects. Eugenol has been shown to inhibit both acetylcholinesterase (AChE) and angiotensin-converting enzyme (ACE), making it a dual-action molecule in ED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Its structure allows for interaction with enzyme active sites via hydrogen bonding and hydrophobic interactions, as demonstrated in molecular docking studies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Gallic acid, a phenolic acid found in clove extracts, possesses strong free radical-scavenging and metal-chelating properties (Dahham </w:t>
      </w:r>
      <w:r>
        <w:rPr>
          <w:rFonts w:ascii="Times New Roman" w:hAnsi="Times New Roman" w:cs="Times New Roman"/>
          <w:i/>
          <w:iCs/>
          <w:sz w:val="24"/>
          <w:szCs w:val="24"/>
        </w:rPr>
        <w:t>et al.,</w:t>
      </w:r>
      <w:r>
        <w:rPr>
          <w:rFonts w:ascii="Times New Roman" w:hAnsi="Times New Roman" w:cs="Times New Roman"/>
          <w:sz w:val="24"/>
          <w:szCs w:val="24"/>
        </w:rPr>
        <w:t xml:space="preserve"> 2020). It has been reported to modulate NO bioavailability, reduce lipid peroxidation, and inhibit ACE activity in vitro.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further validated its binding affinity to AChE and ACE, indicating its potential role in improving neurovascular regulation during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2FB03359">
      <w:pPr>
        <w:spacing w:line="480" w:lineRule="auto"/>
        <w:jc w:val="both"/>
        <w:rPr>
          <w:rFonts w:ascii="Times New Roman" w:hAnsi="Times New Roman"/>
          <w:sz w:val="24"/>
          <w:szCs w:val="24"/>
        </w:rPr>
      </w:pPr>
      <w:r>
        <w:rPr>
          <w:rFonts w:ascii="Times New Roman" w:hAnsi="Times New Roman" w:cs="Times New Roman"/>
          <w:sz w:val="24"/>
          <w:szCs w:val="24"/>
        </w:rPr>
        <w:t xml:space="preserve">β-Caryophyllene is a sesquiterpene with anti-inflammatory and antioxidant properties. It interacts with cannabinoid receptor 2 (CB2), thereby exerting protective effects on the vascular endothelium and modulating immune responses (Khan </w:t>
      </w:r>
      <w:r>
        <w:rPr>
          <w:rFonts w:ascii="Times New Roman" w:hAnsi="Times New Roman" w:cs="Times New Roman"/>
          <w:i/>
          <w:iCs/>
          <w:sz w:val="24"/>
          <w:szCs w:val="24"/>
        </w:rPr>
        <w:t>et al.,</w:t>
      </w:r>
      <w:r>
        <w:rPr>
          <w:rFonts w:ascii="Times New Roman" w:hAnsi="Times New Roman" w:cs="Times New Roman"/>
          <w:sz w:val="24"/>
          <w:szCs w:val="24"/>
        </w:rPr>
        <w:t xml:space="preserve"> 2019). Although less potent than eugenol in enzyme inhibition, β-caryophyllene contributes to the overall therapeutic synergy of S. aromaticum through vasorelaxant and anti-inflammatory actions relevant to ED pathogenesis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r>
        <w:rPr>
          <w:rFonts w:ascii="Times New Roman" w:hAnsi="Times New Roman"/>
          <w:sz w:val="24"/>
          <w:szCs w:val="24"/>
        </w:rPr>
        <w:t xml:space="preserve"> </w:t>
      </w:r>
      <w:r>
        <w:rPr>
          <w:rFonts w:ascii="Times New Roman" w:hAnsi="Times New Roman" w:cs="Times New Roman"/>
          <w:sz w:val="24"/>
          <w:szCs w:val="24"/>
        </w:rPr>
        <w:t xml:space="preserve">Flavonoids are abundant in clove extracts and are well-documented for their antioxidant and vasoprotective effects. These compounds improve endothelial function by upregulating endothelial nitric oxide synthase (eNOS) and scavenging reactive oxygen species (ROS) (Musicki &amp; Burnett, 2021). Flavonoids from clove have also demonstrated moderate AChE and ACE inhibition in experimental models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Clove also contains hydrolyzable tannins, which exert astringent, antimicrobial, and anti-inflammatory effects. Though less studied than other constituents, tannins may indirectly support erectile function by protecting vascular tissue and enhancing microcirculation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15AEABB6">
      <w:pPr>
        <w:spacing w:line="480" w:lineRule="auto"/>
        <w:jc w:val="both"/>
        <w:rPr>
          <w:rFonts w:ascii="Times New Roman" w:hAnsi="Times New Roman"/>
          <w:sz w:val="24"/>
          <w:szCs w:val="24"/>
        </w:rPr>
      </w:pPr>
    </w:p>
    <w:p w14:paraId="68FE1871">
      <w:pPr>
        <w:spacing w:line="480" w:lineRule="auto"/>
        <w:ind w:left="1440" w:firstLine="720"/>
        <w:jc w:val="both"/>
        <w:rPr>
          <w:rFonts w:ascii="Times New Roman" w:hAnsi="Times New Roman"/>
          <w:b/>
          <w:bCs/>
          <w:sz w:val="24"/>
          <w:szCs w:val="24"/>
        </w:rPr>
      </w:pPr>
    </w:p>
    <w:p w14:paraId="0E9CA937">
      <w:pPr>
        <w:spacing w:line="480" w:lineRule="auto"/>
        <w:ind w:left="1440" w:firstLine="720"/>
        <w:jc w:val="both"/>
        <w:rPr>
          <w:rFonts w:ascii="Times New Roman" w:hAnsi="Times New Roman"/>
          <w:b/>
          <w:bCs/>
          <w:sz w:val="24"/>
          <w:szCs w:val="24"/>
        </w:rPr>
      </w:pPr>
    </w:p>
    <w:p w14:paraId="47090F62">
      <w:pPr>
        <w:spacing w:line="480" w:lineRule="auto"/>
        <w:ind w:left="1440" w:firstLine="720"/>
        <w:jc w:val="both"/>
        <w:rPr>
          <w:rFonts w:ascii="Times New Roman" w:hAnsi="Times New Roman"/>
          <w:b/>
          <w:bCs/>
          <w:sz w:val="24"/>
          <w:szCs w:val="24"/>
        </w:rPr>
      </w:pPr>
    </w:p>
    <w:p w14:paraId="2FD2A1AD">
      <w:pPr>
        <w:spacing w:line="480" w:lineRule="auto"/>
        <w:ind w:left="1440" w:firstLine="720"/>
        <w:jc w:val="both"/>
        <w:rPr>
          <w:rFonts w:ascii="Times New Roman" w:hAnsi="Times New Roman"/>
          <w:b/>
          <w:bCs/>
          <w:sz w:val="24"/>
          <w:szCs w:val="24"/>
        </w:rPr>
      </w:pPr>
    </w:p>
    <w:p w14:paraId="76FC9125">
      <w:pPr>
        <w:spacing w:line="480" w:lineRule="auto"/>
        <w:ind w:left="1440" w:firstLine="720"/>
        <w:jc w:val="both"/>
        <w:rPr>
          <w:rFonts w:ascii="Times New Roman" w:hAnsi="Times New Roman"/>
          <w:b/>
          <w:bCs/>
          <w:sz w:val="24"/>
          <w:szCs w:val="24"/>
        </w:rPr>
      </w:pPr>
    </w:p>
    <w:p w14:paraId="7964E853">
      <w:pPr>
        <w:pStyle w:val="3"/>
        <w:bidi w:val="0"/>
        <w:ind w:left="2880" w:leftChars="0" w:firstLine="720" w:firstLineChars="0"/>
      </w:pPr>
      <w:bookmarkStart w:id="70" w:name="_Toc20675"/>
      <w:bookmarkStart w:id="71" w:name="_Toc25199"/>
      <w:bookmarkStart w:id="72" w:name="_Toc1962"/>
      <w:r>
        <w:t>CHAPTER THREE</w:t>
      </w:r>
      <w:bookmarkEnd w:id="70"/>
      <w:bookmarkEnd w:id="71"/>
      <w:bookmarkEnd w:id="72"/>
    </w:p>
    <w:p w14:paraId="2F31C073">
      <w:pPr>
        <w:pStyle w:val="3"/>
        <w:bidi w:val="0"/>
      </w:pPr>
      <w:bookmarkStart w:id="73" w:name="_Toc31785"/>
      <w:bookmarkStart w:id="74" w:name="_Toc17097"/>
      <w:bookmarkStart w:id="75" w:name="_Toc24047"/>
      <w:r>
        <w:t>3.0 MATERIALS AND METHODS</w:t>
      </w:r>
      <w:bookmarkEnd w:id="73"/>
      <w:bookmarkEnd w:id="74"/>
      <w:bookmarkEnd w:id="75"/>
    </w:p>
    <w:p w14:paraId="22B0BED7">
      <w:pPr>
        <w:pStyle w:val="3"/>
        <w:bidi w:val="0"/>
      </w:pPr>
      <w:bookmarkStart w:id="76" w:name="_Toc22633"/>
      <w:bookmarkStart w:id="77" w:name="_Toc16808"/>
      <w:bookmarkStart w:id="78" w:name="_Toc2501"/>
      <w:r>
        <w:t>3.1 Materials</w:t>
      </w:r>
      <w:bookmarkEnd w:id="76"/>
      <w:bookmarkEnd w:id="77"/>
      <w:bookmarkEnd w:id="78"/>
    </w:p>
    <w:p w14:paraId="71960762">
      <w:pPr>
        <w:pStyle w:val="3"/>
        <w:bidi w:val="0"/>
        <w:rPr>
          <w:rFonts w:ascii="Times New Roman" w:hAnsi="Times New Roman" w:cs="Times New Roman"/>
          <w:b/>
          <w:bCs/>
          <w:szCs w:val="24"/>
        </w:rPr>
      </w:pPr>
      <w:bookmarkStart w:id="79" w:name="_Toc17526"/>
      <w:bookmarkStart w:id="80" w:name="_Toc32067"/>
      <w:bookmarkStart w:id="81" w:name="_Toc28098"/>
      <w:r>
        <w:t>3.1.1 Plant Materials</w:t>
      </w:r>
      <w:bookmarkEnd w:id="79"/>
      <w:bookmarkEnd w:id="80"/>
      <w:bookmarkEnd w:id="81"/>
      <w:r>
        <w:t xml:space="preserve"> </w:t>
      </w:r>
      <w:r>
        <w:rPr>
          <w:rFonts w:ascii="Times New Roman" w:hAnsi="Times New Roman" w:cs="Times New Roman"/>
          <w:b/>
          <w:bCs/>
          <w:szCs w:val="24"/>
        </w:rPr>
        <w:t xml:space="preserve"> </w:t>
      </w:r>
    </w:p>
    <w:p w14:paraId="23A62D2B">
      <w:p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was purchased from Mandate Market in Ilorin, Kwara State. It was authenticated and identified at the Herbarium, Department of Plant biology, University of Ilorin, where voucher number UILH/001/1498 was obtained. </w:t>
      </w:r>
    </w:p>
    <w:p w14:paraId="391F9A1F">
      <w:pPr>
        <w:pStyle w:val="3"/>
        <w:bidi w:val="0"/>
      </w:pPr>
      <w:bookmarkStart w:id="82" w:name="_Toc20028"/>
      <w:bookmarkStart w:id="83" w:name="_Toc7964"/>
      <w:bookmarkStart w:id="84" w:name="_Toc1786"/>
      <w:r>
        <w:t>3.1.2 Reagents and Kits</w:t>
      </w:r>
      <w:bookmarkEnd w:id="82"/>
      <w:bookmarkEnd w:id="83"/>
      <w:bookmarkEnd w:id="84"/>
      <w:r>
        <w:t xml:space="preserve">  </w:t>
      </w:r>
    </w:p>
    <w:p w14:paraId="0C686664">
      <w:pPr>
        <w:spacing w:line="480" w:lineRule="auto"/>
        <w:jc w:val="both"/>
        <w:rPr>
          <w:rFonts w:ascii="Times New Roman" w:hAnsi="Times New Roman" w:cs="Times New Roman"/>
          <w:sz w:val="24"/>
          <w:szCs w:val="24"/>
        </w:rPr>
      </w:pPr>
      <w:r>
        <w:rPr>
          <w:rFonts w:ascii="Times New Roman" w:hAnsi="Times New Roman" w:cs="Times New Roman"/>
          <w:sz w:val="24"/>
          <w:szCs w:val="24"/>
        </w:rPr>
        <w:t>Seroxat (paroxetine) was purchased from General Drug Pharmacy, Ilorin. obtained from Elab Scientifics, epinephrine, DTNB (Ellman’s Reagent) (5,5-dithio-bis-2-nitrobenzoic acid) and glucose from Sigma. Other reagents to be used were of analytical grade.</w:t>
      </w:r>
    </w:p>
    <w:p w14:paraId="1C2CB69D">
      <w:pPr>
        <w:pStyle w:val="3"/>
        <w:bidi w:val="0"/>
        <w:rPr>
          <w:lang w:val="en-GB" w:eastAsia="en-US"/>
        </w:rPr>
      </w:pPr>
      <w:bookmarkStart w:id="85" w:name="_Toc17578"/>
      <w:bookmarkStart w:id="86" w:name="_Toc26126"/>
      <w:bookmarkStart w:id="87" w:name="_Toc10184"/>
      <w:r>
        <w:rPr>
          <w:lang w:val="en-GB"/>
        </w:rPr>
        <w:t xml:space="preserve">3.1.3 </w:t>
      </w:r>
      <w:r>
        <w:rPr>
          <w:lang w:val="en-GB" w:eastAsia="en-US"/>
        </w:rPr>
        <w:t>Software and Web Servers</w:t>
      </w:r>
      <w:bookmarkEnd w:id="85"/>
      <w:bookmarkEnd w:id="86"/>
      <w:bookmarkEnd w:id="87"/>
    </w:p>
    <w:p w14:paraId="7A6665EB">
      <w:pPr>
        <w:spacing w:line="480" w:lineRule="auto"/>
        <w:jc w:val="both"/>
        <w:rPr>
          <w:rFonts w:ascii="Times New Roman" w:hAnsi="Times New Roman" w:eastAsia="Calibri"/>
          <w:sz w:val="24"/>
          <w:szCs w:val="24"/>
          <w:lang w:val="en-GB"/>
        </w:rPr>
      </w:pPr>
      <w:r>
        <w:rPr>
          <w:rFonts w:ascii="Times New Roman" w:hAnsi="Times New Roman" w:eastAsia="Calibri"/>
          <w:sz w:val="24"/>
          <w:szCs w:val="24"/>
          <w:lang w:val="en-GB" w:eastAsia="en-US"/>
        </w:rPr>
        <w:t>Schrödinger Suite v13.4 (Schrödinger, LLC, New York, NY, USA). SwissADME web server (https://www.swissadme.ch/)</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Protox II web server (https://tox.charite.de/)</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PubChem (https://pubchem.ncbi.nlm.nih.gov/)</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GraphPad Prism version 8.0.2 (GraphPad Software, San Diego, CA, USA).</w:t>
      </w:r>
    </w:p>
    <w:p w14:paraId="4560F41D">
      <w:pPr>
        <w:pStyle w:val="3"/>
        <w:bidi w:val="0"/>
      </w:pPr>
      <w:bookmarkStart w:id="88" w:name="_Toc9416"/>
      <w:bookmarkStart w:id="89" w:name="_Toc5911"/>
      <w:bookmarkStart w:id="90" w:name="_Toc2512"/>
      <w:r>
        <w:t>3.2 Methods</w:t>
      </w:r>
      <w:bookmarkEnd w:id="88"/>
      <w:bookmarkEnd w:id="89"/>
      <w:bookmarkEnd w:id="90"/>
    </w:p>
    <w:p w14:paraId="3381CD3C">
      <w:pPr>
        <w:pStyle w:val="3"/>
        <w:bidi w:val="0"/>
      </w:pPr>
      <w:bookmarkStart w:id="91" w:name="_Toc24878"/>
      <w:bookmarkStart w:id="92" w:name="_Toc21423"/>
      <w:bookmarkStart w:id="93" w:name="_Toc4781"/>
      <w:r>
        <w:t>3.2.1 Preparation of Clove Extract</w:t>
      </w:r>
      <w:bookmarkEnd w:id="91"/>
      <w:bookmarkEnd w:id="92"/>
      <w:bookmarkEnd w:id="93"/>
    </w:p>
    <w:p w14:paraId="15AB4254">
      <w:pPr>
        <w:spacing w:line="480" w:lineRule="auto"/>
        <w:jc w:val="both"/>
        <w:rPr>
          <w:rFonts w:ascii="Times New Roman" w:hAnsi="Times New Roman" w:cs="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prepared using the method described by Ahmad </w:t>
      </w:r>
      <w:r>
        <w:rPr>
          <w:rFonts w:ascii="Times New Roman" w:hAnsi="Times New Roman" w:cs="Times New Roman"/>
          <w:i/>
          <w:iCs/>
          <w:sz w:val="24"/>
          <w:szCs w:val="24"/>
        </w:rPr>
        <w:t xml:space="preserve">et al. </w:t>
      </w:r>
      <w:r>
        <w:rPr>
          <w:rFonts w:ascii="Times New Roman" w:hAnsi="Times New Roman" w:cs="Times New Roman"/>
          <w:sz w:val="24"/>
          <w:szCs w:val="24"/>
        </w:rPr>
        <w:t>(2012) with slight modifications. Briefly, approximately 150 g crude powder was mixed in 1.5 L distilled water, and the mixture was left over night with shaking. The mixture was then filtered and freeze-dried to obtain brown flakes which were pulverized into powder and stored for the research.</w:t>
      </w:r>
    </w:p>
    <w:p w14:paraId="35585D8C">
      <w:pPr>
        <w:spacing w:line="480" w:lineRule="auto"/>
        <w:rPr>
          <w:rFonts w:ascii="Times New Roman" w:hAnsi="Times New Roman" w:cs="Times New Roman"/>
          <w:b/>
          <w:bCs/>
          <w:sz w:val="24"/>
          <w:szCs w:val="24"/>
        </w:rPr>
      </w:pPr>
    </w:p>
    <w:p w14:paraId="661C4796">
      <w:pPr>
        <w:pStyle w:val="3"/>
        <w:bidi w:val="0"/>
      </w:pPr>
      <w:bookmarkStart w:id="94" w:name="_Toc26746"/>
      <w:bookmarkStart w:id="95" w:name="_Toc11848"/>
      <w:bookmarkStart w:id="96" w:name="_Toc19277"/>
      <w:r>
        <w:t>3.3 Qualitative Phytochemical Screening</w:t>
      </w:r>
      <w:bookmarkEnd w:id="94"/>
      <w:bookmarkEnd w:id="95"/>
      <w:bookmarkEnd w:id="96"/>
    </w:p>
    <w:p w14:paraId="69AB64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qualitative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performed using standard methods described by Odebiyi and Sofowora (1978), with additional protocols from Finar (1986), Kokate (1999), and Yasuma and Ichikawa (1953). Alkaloids were detected by heating the extract with 1% HCl, filtering, and adding Wagner’s reagent; a reddish-brown precipitate indicated a positive result. Tannins were identified by mixing the extract with 10% KOH, forming a dirty white precipitate. Phenolics were confirmed with ferric chloride, producing a greenish precipitate. Glycosides were tested by acid hydrolysis followed by Fehling’s solution; a brick-red precipitate indicated presence. Saponins were confirmed through persistent froth after shaking. Flavonoids gave a yellow color with 10% NaOH. Steroids showed red coloration upon addition of concentrated sulfuric acid. Phlobatannins formed a red precipitate with 1% HCl. Triterpenes were confirmed by color change to blue-green after sequential addition of acetic anhydride, sulfuric acid, steaming, neutralization, and chloroform. Phytosterols were identified using Liebermann–Burchard’s reaction, showing multiple color changes. Fixed oils were detected by oil stains on filter paper. Terpenoids produced a reddish-brown layer at the interface of chloroform and sulfuric acid. Amino acids turned purple upon reaction with ninhydrin solution.</w:t>
      </w:r>
    </w:p>
    <w:p w14:paraId="6F45FABC">
      <w:pPr>
        <w:rPr>
          <w:rFonts w:ascii="Times New Roman" w:hAnsi="Times New Roman" w:cs="Times New Roman"/>
          <w:b/>
          <w:bCs/>
          <w:sz w:val="24"/>
          <w:szCs w:val="24"/>
        </w:rPr>
      </w:pPr>
    </w:p>
    <w:p w14:paraId="6AB0F355">
      <w:pPr>
        <w:pStyle w:val="3"/>
        <w:bidi w:val="0"/>
      </w:pPr>
      <w:bookmarkStart w:id="97" w:name="_Toc22773"/>
      <w:bookmarkStart w:id="98" w:name="_Toc10571"/>
      <w:bookmarkStart w:id="99" w:name="_Toc22796"/>
      <w:r>
        <w:t>3.4 In vitro Inhibition Assays of Acetylcholinesterase (AChE) and Angiotensin Converting Enzyme (ACE)</w:t>
      </w:r>
      <w:bookmarkEnd w:id="97"/>
      <w:bookmarkEnd w:id="98"/>
      <w:bookmarkEnd w:id="99"/>
    </w:p>
    <w:p w14:paraId="2173F998">
      <w:pPr>
        <w:pStyle w:val="3"/>
        <w:bidi w:val="0"/>
      </w:pPr>
      <w:bookmarkStart w:id="100" w:name="_Toc7252"/>
      <w:bookmarkStart w:id="101" w:name="_Toc15755"/>
      <w:bookmarkStart w:id="102" w:name="_Toc37"/>
      <w:r>
        <w:t>3.4.1 Acetylcholinesterase Inhibition Assay</w:t>
      </w:r>
      <w:bookmarkEnd w:id="100"/>
      <w:bookmarkEnd w:id="101"/>
      <w:bookmarkEnd w:id="102"/>
    </w:p>
    <w:p w14:paraId="793AFD6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AChE activity was measured by using spectrophotometer based on Ellman’s method (Ellman </w:t>
      </w:r>
      <w:r>
        <w:rPr>
          <w:rFonts w:ascii="Times New Roman" w:hAnsi="Times New Roman" w:cs="Times New Roman"/>
          <w:i/>
          <w:iCs/>
          <w:sz w:val="24"/>
          <w:szCs w:val="24"/>
        </w:rPr>
        <w:t>et al</w:t>
      </w:r>
      <w:r>
        <w:rPr>
          <w:rFonts w:ascii="Times New Roman" w:hAnsi="Times New Roman" w:cs="Times New Roman"/>
          <w:sz w:val="24"/>
          <w:szCs w:val="24"/>
        </w:rPr>
        <w:t xml:space="preserve">.,1961). The enzyme hydrolyses the substrate acetylthiocholine resulting in the product thiocholine which reacts with Ellman’s reagent (DTNB) to produce 2-nitrobenzoate-5-mercaptothiocholine and 5-thio-2- nitrobenzoate which can be detected at 412 nm. In test tube 1710 µL of 50 mM Tris–HCl buffer pH 8.0 and 250 µL of plant extracts at the concentrations of 25 – 400 µg/ mL,10 µL 6.67 UmL-1 AChE and 20 µL of 10 mM of DTNB (5,5’-dithio-bis [2- nitrobenzoic acid]) in buffer were added. Positive control namely galanthamine were prepared in serial concentration as same as test extract by dissolving in 50 mM Tris–HCl buffer pH 8.0. The mixture was incubated for 15 min at 37oC.Then,10 µL of acetylthiocholine iodide (200 mM) in buffer were added to the mixture and the absorbance was measured at 412 nm every 10 sec for 3 mins, for a blank with buffer instead of enzyme solution was used. The enzyme inhibition (%) was calculated from the rate of absorbance change with time (V= Abs/Δt) the calculation as follows. </w:t>
      </w:r>
    </w:p>
    <w:p w14:paraId="671859AB">
      <w:pPr>
        <w:spacing w:line="480" w:lineRule="auto"/>
        <w:jc w:val="both"/>
        <w:rPr>
          <w:rFonts w:ascii="Times New Roman" w:hAnsi="Times New Roman" w:cs="Times New Roman"/>
          <w:sz w:val="24"/>
          <w:szCs w:val="24"/>
        </w:rPr>
      </w:pPr>
      <w:r>
        <w:rPr>
          <w:rFonts w:ascii="Times New Roman" w:hAnsi="Times New Roman" w:cs="Times New Roman"/>
          <w:sz w:val="24"/>
          <w:szCs w:val="24"/>
        </w:rPr>
        <w:t>Inhibition (%) = 100 - Change of sample absorbance × 100 Change of blank absorbance.</w:t>
      </w:r>
    </w:p>
    <w:p w14:paraId="7A62FB6F">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was done in triplicate and concentrations of the test extract that inhibit the hydrolysis of the substrate (acetylcholine) by 50% (IC</w:t>
      </w:r>
      <w:r>
        <w:rPr>
          <w:rFonts w:ascii="Times New Roman" w:hAnsi="Times New Roman" w:cs="Times New Roman"/>
          <w:sz w:val="24"/>
          <w:szCs w:val="24"/>
          <w:vertAlign w:val="subscript"/>
        </w:rPr>
        <w:t>50</w:t>
      </w:r>
      <w:r>
        <w:rPr>
          <w:rFonts w:ascii="Times New Roman" w:hAnsi="Times New Roman" w:cs="Times New Roman"/>
          <w:sz w:val="24"/>
          <w:szCs w:val="24"/>
        </w:rPr>
        <w:t>) were determined by linear regression analysis between the inhibition percentage versus the extract concentration by using the Excel program.</w:t>
      </w:r>
    </w:p>
    <w:p w14:paraId="4254B8E1">
      <w:pPr>
        <w:pStyle w:val="3"/>
        <w:bidi w:val="0"/>
      </w:pPr>
      <w:bookmarkStart w:id="103" w:name="_Toc15322"/>
      <w:bookmarkStart w:id="104" w:name="_Toc5214"/>
      <w:bookmarkStart w:id="105" w:name="_Toc16358"/>
      <w:r>
        <w:t>3.4.2 Angiotensin Converting Enzyme</w:t>
      </w:r>
      <w:bookmarkEnd w:id="103"/>
      <w:bookmarkEnd w:id="104"/>
      <w:bookmarkEnd w:id="105"/>
    </w:p>
    <w:p w14:paraId="47455B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Angiotensin-I-converting enzyme (ACE) inhibitory activity of SAAE was determined according to the described protocol of (Cushman </w:t>
      </w:r>
      <w:r>
        <w:rPr>
          <w:rFonts w:ascii="Times New Roman" w:hAnsi="Times New Roman" w:cs="Times New Roman"/>
          <w:i/>
          <w:iCs/>
          <w:sz w:val="24"/>
          <w:szCs w:val="24"/>
        </w:rPr>
        <w:t xml:space="preserve">et al., </w:t>
      </w:r>
      <w:r>
        <w:rPr>
          <w:rFonts w:ascii="Times New Roman" w:hAnsi="Times New Roman" w:cs="Times New Roman"/>
          <w:sz w:val="24"/>
          <w:szCs w:val="24"/>
        </w:rPr>
        <w:t>1971). Varying concentrations of the aqueous extract (20</w:t>
      </w:r>
      <w:r>
        <w:rPr>
          <w:rFonts w:hint="eastAsia" w:ascii="Times New Roman" w:hAnsi="Times New Roman" w:cs="Times New Roman"/>
          <w:sz w:val="24"/>
          <w:szCs w:val="24"/>
        </w:rPr>
        <w:t>–</w:t>
      </w:r>
      <w:r>
        <w:rPr>
          <w:rFonts w:ascii="Times New Roman" w:hAnsi="Times New Roman" w:cs="Times New Roman"/>
          <w:sz w:val="24"/>
          <w:szCs w:val="24"/>
        </w:rPr>
        <w:t>100 μg/ml) and standard drug captopril (standard inhibitor) and 50 μL of homogenate from penile tissues as a source of ACE enzyme (4 mU/mL) were pre-incubated at 37 °C for 15 min. Thereafter, the enzymatic process was started by adding 200 μL of 8.33 mM ACE substrate [hippuryl-l-histidyl-l-leucine (HHL)] in 125mM of Tris-HCl buffer (pH 8.3) to the solution and incubated at 37 °C for 30 min. The reaction was terminated by adding 300 μL of 1M HCl. The hippuric acid (Bz-Gly) generated by the reaction was removed with 2 mL ethyl acetate and further centrifuged to separate the ethyl acetate layer, it was later transferred to a volumetric flask and evaporated to dryness. The obtained residue was reconstituted in distilled water and its absorbance was read at 228 nm. The percentage inhibition of the standard inhibitors and the extract was the calculated using the equation below:</w:t>
      </w:r>
    </w:p>
    <w:p w14:paraId="4ACDFD02">
      <w:pPr>
        <w:spacing w:after="368"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inhibition = </w:t>
      </w:r>
      <w:r>
        <w:rPr>
          <w:rFonts w:ascii="Times New Roman" w:hAnsi="Times New Roman" w:cs="Times New Roman"/>
          <w:sz w:val="24"/>
          <w:szCs w:val="24"/>
        </w:rPr>
        <w:drawing>
          <wp:inline distT="0" distB="0" distL="0" distR="0">
            <wp:extent cx="2962275" cy="264795"/>
            <wp:effectExtent l="0" t="0" r="0" b="0"/>
            <wp:docPr id="162352" name="Picture 162352"/>
            <wp:cNvGraphicFramePr/>
            <a:graphic xmlns:a="http://schemas.openxmlformats.org/drawingml/2006/main">
              <a:graphicData uri="http://schemas.openxmlformats.org/drawingml/2006/picture">
                <pic:pic xmlns:pic="http://schemas.openxmlformats.org/drawingml/2006/picture">
                  <pic:nvPicPr>
                    <pic:cNvPr id="162352" name="Picture 162352"/>
                    <pic:cNvPicPr/>
                  </pic:nvPicPr>
                  <pic:blipFill>
                    <a:blip r:embed="rId12"/>
                    <a:stretch>
                      <a:fillRect/>
                    </a:stretch>
                  </pic:blipFill>
                  <pic:spPr>
                    <a:xfrm>
                      <a:off x="0" y="0"/>
                      <a:ext cx="2962656" cy="265176"/>
                    </a:xfrm>
                    <a:prstGeom prst="rect">
                      <a:avLst/>
                    </a:prstGeom>
                  </pic:spPr>
                </pic:pic>
              </a:graphicData>
            </a:graphic>
          </wp:inline>
        </w:drawing>
      </w:r>
      <w:r>
        <w:rPr>
          <w:rFonts w:ascii="Times New Roman" w:hAnsi="Times New Roman" w:cs="Times New Roman"/>
          <w:sz w:val="24"/>
          <w:szCs w:val="24"/>
        </w:rPr>
        <w:t xml:space="preserve"> </w:t>
      </w:r>
    </w:p>
    <w:p w14:paraId="5B701ED9">
      <w:pPr>
        <w:pStyle w:val="3"/>
        <w:bidi w:val="0"/>
      </w:pPr>
      <w:bookmarkStart w:id="106" w:name="_Toc20148"/>
      <w:bookmarkStart w:id="107" w:name="_Toc25453"/>
      <w:bookmarkStart w:id="108" w:name="_Toc4153"/>
      <w:r>
        <w:rPr>
          <w:lang w:val="en-GB"/>
        </w:rPr>
        <w:t xml:space="preserve">3. 5 </w:t>
      </w:r>
      <w:r>
        <w:rPr>
          <w:lang w:val="en-GB" w:eastAsia="en-US"/>
        </w:rPr>
        <w:t>GC-MS Analysis of</w:t>
      </w:r>
      <w:r>
        <w:rPr>
          <w:i/>
          <w:iCs/>
          <w:lang w:val="en-GB" w:eastAsia="en-US"/>
        </w:rPr>
        <w:t xml:space="preserve"> </w:t>
      </w:r>
      <w:r>
        <w:rPr>
          <w:i/>
          <w:iCs/>
          <w:lang w:val="en-GB"/>
        </w:rPr>
        <w:t>S. aromaticum</w:t>
      </w:r>
      <w:r>
        <w:rPr>
          <w:lang w:val="en-GB"/>
        </w:rPr>
        <w:t xml:space="preserve"> Aqueous</w:t>
      </w:r>
      <w:r>
        <w:rPr>
          <w:lang w:val="en-GB" w:eastAsia="en-US"/>
        </w:rPr>
        <w:t xml:space="preserve"> Extract</w:t>
      </w:r>
      <w:bookmarkEnd w:id="106"/>
      <w:bookmarkEnd w:id="107"/>
      <w:bookmarkEnd w:id="108"/>
    </w:p>
    <w:p w14:paraId="775C64F6">
      <w:pPr>
        <w:autoSpaceDE w:val="0"/>
        <w:autoSpaceDN w:val="0"/>
        <w:adjustRightInd w:val="0"/>
        <w:spacing w:after="160" w:line="480" w:lineRule="auto"/>
        <w:jc w:val="both"/>
        <w:rPr>
          <w:rFonts w:ascii="Times New Roman" w:hAnsi="Times New Roman" w:eastAsia="Calibri"/>
          <w:color w:val="000000"/>
          <w:sz w:val="24"/>
          <w:szCs w:val="24"/>
          <w:lang w:eastAsia="en-US"/>
        </w:rPr>
      </w:pPr>
      <w:r>
        <w:rPr>
          <w:rFonts w:ascii="Times New Roman" w:hAnsi="Times New Roman" w:eastAsia="Calibri"/>
          <w:color w:val="000000"/>
          <w:sz w:val="24"/>
          <w:szCs w:val="24"/>
          <w:lang w:eastAsia="en-US"/>
        </w:rPr>
        <w:t xml:space="preserve">The GC-MS of </w:t>
      </w:r>
      <w:r>
        <w:rPr>
          <w:rFonts w:ascii="Times New Roman" w:hAnsi="Times New Roman" w:eastAsia="Calibri"/>
          <w:i/>
          <w:iCs/>
          <w:sz w:val="24"/>
          <w:szCs w:val="24"/>
          <w:lang w:val="en-GB"/>
        </w:rPr>
        <w:t>S. aromaticum</w:t>
      </w:r>
      <w:r>
        <w:rPr>
          <w:rFonts w:ascii="Times New Roman" w:hAnsi="Times New Roman" w:eastAsia="Calibri"/>
          <w:b/>
          <w:bCs/>
          <w:i/>
          <w:iCs/>
          <w:sz w:val="24"/>
          <w:szCs w:val="24"/>
          <w:lang w:val="en-GB"/>
        </w:rPr>
        <w:t xml:space="preserve"> </w:t>
      </w:r>
      <w:r>
        <w:rPr>
          <w:rFonts w:ascii="Times New Roman" w:hAnsi="Times New Roman" w:eastAsia="Calibri"/>
          <w:color w:val="000000"/>
          <w:sz w:val="24"/>
          <w:szCs w:val="24"/>
          <w:lang w:val="en-GB" w:eastAsia="en-US"/>
        </w:rPr>
        <w:t>aqueous</w:t>
      </w:r>
      <w:r>
        <w:rPr>
          <w:rFonts w:ascii="Times New Roman" w:hAnsi="Times New Roman" w:eastAsia="Calibri"/>
          <w:b/>
          <w:bCs/>
          <w:i/>
          <w:iCs/>
          <w:color w:val="000000"/>
          <w:sz w:val="24"/>
          <w:szCs w:val="24"/>
          <w:lang w:val="en-GB" w:eastAsia="en-US"/>
        </w:rPr>
        <w:t xml:space="preserve"> </w:t>
      </w:r>
      <w:r>
        <w:rPr>
          <w:rFonts w:ascii="Times New Roman" w:hAnsi="Times New Roman" w:eastAsia="Calibri"/>
          <w:color w:val="000000"/>
          <w:sz w:val="24"/>
          <w:szCs w:val="24"/>
          <w:lang w:eastAsia="en-US"/>
        </w:rPr>
        <w:t xml:space="preserve">extract was carried out using the method reported by Ameen </w:t>
      </w:r>
      <w:r>
        <w:rPr>
          <w:rFonts w:ascii="Times New Roman" w:hAnsi="Times New Roman" w:eastAsia="Calibri"/>
          <w:i/>
          <w:iCs/>
          <w:color w:val="000000"/>
          <w:sz w:val="24"/>
          <w:szCs w:val="24"/>
          <w:lang w:eastAsia="en-US"/>
        </w:rPr>
        <w:t xml:space="preserve">et al. </w:t>
      </w:r>
      <w:r>
        <w:rPr>
          <w:rFonts w:ascii="Times New Roman" w:hAnsi="Times New Roman" w:eastAsia="Calibri"/>
          <w:color w:val="000000"/>
          <w:sz w:val="24"/>
          <w:szCs w:val="24"/>
          <w:lang w:eastAsia="en-US"/>
        </w:rPr>
        <w:t xml:space="preserve">(2024). This involved the use of an Agilent 6890 gas chromatograph equipped with a mass spectrometric detector (MSD) model Agilent 5973. A fused silica capillary column (HP-5MS), 5% phenyl polysiloxane as non-polar stationary phase (30 m60.25 mm6i.d) and 0.25 mm film thickness was used. Identification was based on comparison with the MS computer library (NIST Software Package, Finnigan) and on the respective retention indices. </w:t>
      </w:r>
    </w:p>
    <w:p w14:paraId="2F3D930F">
      <w:pPr>
        <w:pStyle w:val="3"/>
        <w:bidi w:val="0"/>
        <w:rPr>
          <w:lang w:eastAsia="en-US"/>
        </w:rPr>
      </w:pPr>
      <w:bookmarkStart w:id="109" w:name="_Toc12656"/>
      <w:bookmarkStart w:id="110" w:name="_Toc10012"/>
      <w:bookmarkStart w:id="111" w:name="_Toc21393"/>
      <w:r>
        <w:rPr>
          <w:lang w:eastAsia="en-US"/>
        </w:rPr>
        <w:t>3.6 Statistical Analysis</w:t>
      </w:r>
      <w:bookmarkEnd w:id="109"/>
      <w:bookmarkEnd w:id="110"/>
      <w:bookmarkEnd w:id="111"/>
    </w:p>
    <w:p w14:paraId="1F2371B5">
      <w:pPr>
        <w:autoSpaceDE w:val="0"/>
        <w:autoSpaceDN w:val="0"/>
        <w:adjustRightInd w:val="0"/>
        <w:spacing w:after="160" w:line="480" w:lineRule="auto"/>
        <w:jc w:val="both"/>
        <w:rPr>
          <w:rFonts w:eastAsiaTheme="minorHAnsi"/>
          <w:b/>
          <w:bCs/>
          <w:sz w:val="22"/>
          <w:szCs w:val="22"/>
          <w:lang w:eastAsia="en-US"/>
        </w:rPr>
      </w:pPr>
      <w:r>
        <w:rPr>
          <w:rFonts w:ascii="Times New Roman" w:hAnsi="Times New Roman" w:cs="Times New Roman"/>
          <w:sz w:val="24"/>
          <w:szCs w:val="24"/>
        </w:rPr>
        <w:t>Data obtained were expressed as mean ± standard error of mean (S.E.M.) of three replicates. Graphs were obtained using Graphpad prism version 8.0, and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extract and standard inhibitors were calculated using Microsoft Excel.</w:t>
      </w:r>
    </w:p>
    <w:p w14:paraId="353FDAC4">
      <w:pPr>
        <w:spacing w:after="160" w:line="480" w:lineRule="auto"/>
        <w:jc w:val="both"/>
        <w:rPr>
          <w:rFonts w:ascii="Times New Roman" w:hAnsi="Times New Roman" w:eastAsia="Calibri"/>
          <w:b/>
          <w:bCs/>
          <w:sz w:val="24"/>
          <w:szCs w:val="24"/>
          <w:lang w:val="en-GB"/>
        </w:rPr>
      </w:pPr>
    </w:p>
    <w:p w14:paraId="583FA789">
      <w:pPr>
        <w:spacing w:after="160" w:line="480" w:lineRule="auto"/>
        <w:jc w:val="both"/>
        <w:rPr>
          <w:rFonts w:ascii="Times New Roman" w:hAnsi="Times New Roman" w:eastAsia="Calibri"/>
          <w:b/>
          <w:bCs/>
          <w:sz w:val="24"/>
          <w:szCs w:val="24"/>
          <w:lang w:val="en-GB"/>
        </w:rPr>
      </w:pPr>
    </w:p>
    <w:p w14:paraId="4E5C7269">
      <w:pPr>
        <w:spacing w:after="160" w:line="480" w:lineRule="auto"/>
        <w:jc w:val="both"/>
        <w:rPr>
          <w:rFonts w:ascii="Times New Roman" w:hAnsi="Times New Roman" w:eastAsia="Calibri"/>
          <w:b/>
          <w:bCs/>
          <w:sz w:val="24"/>
          <w:szCs w:val="24"/>
          <w:lang w:val="en-GB"/>
        </w:rPr>
      </w:pPr>
    </w:p>
    <w:p w14:paraId="3816A2A0">
      <w:pPr>
        <w:spacing w:after="160" w:line="480" w:lineRule="auto"/>
        <w:jc w:val="both"/>
        <w:rPr>
          <w:rFonts w:ascii="Times New Roman" w:hAnsi="Times New Roman" w:eastAsia="Calibri"/>
          <w:b/>
          <w:bCs/>
          <w:sz w:val="24"/>
          <w:szCs w:val="24"/>
          <w:lang w:val="en-GB"/>
        </w:rPr>
      </w:pPr>
    </w:p>
    <w:p w14:paraId="2E9A346B">
      <w:pPr>
        <w:pStyle w:val="3"/>
        <w:bidi w:val="0"/>
      </w:pPr>
      <w:bookmarkStart w:id="112" w:name="_Toc10686"/>
      <w:bookmarkStart w:id="113" w:name="_Toc31769"/>
      <w:bookmarkStart w:id="114" w:name="_Toc3431"/>
      <w:r>
        <w:rPr>
          <w:lang w:val="en-GB"/>
        </w:rPr>
        <w:t xml:space="preserve">3.7 </w:t>
      </w:r>
      <w:r>
        <w:rPr>
          <w:lang w:val="en-GB" w:eastAsia="en-US"/>
        </w:rPr>
        <w:t>In Silico Study</w:t>
      </w:r>
      <w:bookmarkEnd w:id="112"/>
      <w:bookmarkEnd w:id="113"/>
      <w:bookmarkEnd w:id="114"/>
    </w:p>
    <w:p w14:paraId="6CD9BADE">
      <w:pPr>
        <w:pStyle w:val="3"/>
        <w:bidi w:val="0"/>
      </w:pPr>
      <w:bookmarkStart w:id="115" w:name="_Toc221"/>
      <w:bookmarkStart w:id="116" w:name="_Toc25051"/>
      <w:bookmarkStart w:id="117" w:name="_Toc23665"/>
      <w:r>
        <w:t xml:space="preserve">3.7.1 </w:t>
      </w:r>
      <w:r>
        <w:rPr>
          <w:lang w:eastAsia="en-US"/>
        </w:rPr>
        <w:t xml:space="preserve">Molecular Docking of </w:t>
      </w:r>
      <w:r>
        <w:rPr>
          <w:lang w:val="en-GB"/>
        </w:rPr>
        <w:t>S. aromaticum Bioactive</w:t>
      </w:r>
      <w:r>
        <w:rPr>
          <w:lang w:eastAsia="en-US"/>
        </w:rPr>
        <w:t xml:space="preserve"> Compounds against A</w:t>
      </w:r>
      <w:r>
        <w:t xml:space="preserve">ChE </w:t>
      </w:r>
      <w:r>
        <w:rPr>
          <w:rFonts w:ascii="Times New Roman" w:hAnsi="Times New Roman"/>
          <w:b/>
          <w:bCs/>
          <w:szCs w:val="24"/>
        </w:rPr>
        <w:t>and ACE</w:t>
      </w:r>
      <w:bookmarkEnd w:id="115"/>
      <w:bookmarkEnd w:id="116"/>
      <w:bookmarkEnd w:id="117"/>
    </w:p>
    <w:p w14:paraId="77E2DA38">
      <w:pPr>
        <w:spacing w:after="160" w:line="480" w:lineRule="auto"/>
        <w:jc w:val="both"/>
        <w:rPr>
          <w:rFonts w:ascii="Times New Roman" w:hAnsi="Times New Roman" w:cs="Times New Roman" w:eastAsiaTheme="minorHAnsi"/>
          <w:sz w:val="24"/>
          <w:szCs w:val="24"/>
          <w:lang w:eastAsia="en-US"/>
        </w:rPr>
      </w:pPr>
      <w:r>
        <w:rPr>
          <w:rFonts w:ascii="Times New Roman" w:hAnsi="Times New Roman" w:eastAsia="Calibri"/>
          <w:sz w:val="24"/>
          <w:szCs w:val="24"/>
          <w:lang w:eastAsia="en-US"/>
        </w:rPr>
        <w:t xml:space="preserve">The method reported by Ogunlana </w:t>
      </w:r>
      <w:r>
        <w:rPr>
          <w:rFonts w:ascii="Times New Roman" w:hAnsi="Times New Roman" w:eastAsia="Calibri"/>
          <w:i/>
          <w:iCs/>
          <w:sz w:val="24"/>
          <w:szCs w:val="24"/>
          <w:lang w:eastAsia="en-US"/>
        </w:rPr>
        <w:t>et al.</w:t>
      </w:r>
      <w:r>
        <w:rPr>
          <w:rFonts w:ascii="Times New Roman" w:hAnsi="Times New Roman" w:eastAsia="Calibri"/>
          <w:sz w:val="24"/>
          <w:szCs w:val="24"/>
          <w:lang w:eastAsia="en-US"/>
        </w:rPr>
        <w:t xml:space="preserve"> (2023) was used for the docking of the compounds against the target protein. The human </w:t>
      </w:r>
      <w:r>
        <w:rPr>
          <w:rFonts w:ascii="Times New Roman" w:hAnsi="Times New Roman" w:cs="Times New Roman"/>
          <w:sz w:val="24"/>
          <w:szCs w:val="24"/>
        </w:rPr>
        <w:t>acetylcholinesterase (PDB ID: 4EY7) and angiotensin converting enzyme (PDB ID: 1O86)</w:t>
      </w:r>
      <w:r>
        <w:rPr>
          <w:rFonts w:ascii="Times New Roman" w:hAnsi="Times New Roman" w:eastAsia="Calibri"/>
          <w:sz w:val="24"/>
          <w:szCs w:val="24"/>
          <w:lang w:eastAsia="en-US"/>
        </w:rPr>
        <w:t xml:space="preserve"> crystal structure</w:t>
      </w:r>
      <w:r>
        <w:rPr>
          <w:rFonts w:ascii="Times New Roman" w:hAnsi="Times New Roman" w:eastAsia="Calibri"/>
          <w:sz w:val="24"/>
          <w:szCs w:val="24"/>
        </w:rPr>
        <w:t>s</w:t>
      </w:r>
      <w:r>
        <w:rPr>
          <w:rFonts w:ascii="Times New Roman" w:hAnsi="Times New Roman" w:eastAsia="Calibri"/>
          <w:sz w:val="24"/>
          <w:szCs w:val="24"/>
          <w:lang w:eastAsia="en-US"/>
        </w:rPr>
        <w:t xml:space="preserve">, available in the biological data hub RCSB </w:t>
      </w:r>
      <w:r>
        <w:rPr>
          <w:rFonts w:ascii="Times New Roman" w:hAnsi="Times New Roman" w:eastAsia="Calibri" w:cs="Times New Roman"/>
          <w:sz w:val="24"/>
          <w:szCs w:val="24"/>
          <w:lang w:eastAsia="en-US"/>
        </w:rPr>
        <w:t>PDB (</w:t>
      </w:r>
      <w:r>
        <w:fldChar w:fldCharType="begin"/>
      </w:r>
      <w:r>
        <w:instrText xml:space="preserve"> HYPERLINK "https://www.rcsb.org/" </w:instrText>
      </w:r>
      <w:r>
        <w:fldChar w:fldCharType="separate"/>
      </w:r>
      <w:r>
        <w:rPr>
          <w:rStyle w:val="10"/>
          <w:rFonts w:ascii="Times New Roman" w:hAnsi="Times New Roman" w:eastAsia="Calibri" w:cs="Times New Roman"/>
          <w:sz w:val="24"/>
          <w:szCs w:val="24"/>
        </w:rPr>
        <w:t>https://www.rcsb.org/</w:t>
      </w:r>
      <w:r>
        <w:rPr>
          <w:rStyle w:val="10"/>
          <w:rFonts w:ascii="Times New Roman" w:hAnsi="Times New Roman" w:eastAsia="Calibri" w:cs="Times New Roman"/>
          <w:sz w:val="24"/>
          <w:szCs w:val="24"/>
        </w:rPr>
        <w:fldChar w:fldCharType="end"/>
      </w:r>
      <w:r>
        <w:rPr>
          <w:rFonts w:ascii="Times New Roman" w:hAnsi="Times New Roman" w:eastAsia="Calibri" w:cs="Times New Roman"/>
          <w:sz w:val="24"/>
          <w:szCs w:val="24"/>
          <w:lang w:eastAsia="en-US"/>
        </w:rPr>
        <w:t>),</w:t>
      </w:r>
      <w:r>
        <w:rPr>
          <w:rFonts w:ascii="Times New Roman" w:hAnsi="Times New Roman" w:eastAsia="Calibri"/>
          <w:sz w:val="24"/>
          <w:szCs w:val="24"/>
          <w:lang w:eastAsia="en-US"/>
        </w:rPr>
        <w:t xml:space="preserve"> w</w:t>
      </w:r>
      <w:r>
        <w:rPr>
          <w:rFonts w:ascii="Times New Roman" w:hAnsi="Times New Roman" w:eastAsia="Calibri"/>
          <w:sz w:val="24"/>
          <w:szCs w:val="24"/>
        </w:rPr>
        <w:t>ere</w:t>
      </w:r>
      <w:r>
        <w:rPr>
          <w:rFonts w:ascii="Times New Roman" w:hAnsi="Times New Roman" w:eastAsia="Calibri"/>
          <w:sz w:val="24"/>
          <w:szCs w:val="24"/>
          <w:lang w:eastAsia="en-US"/>
        </w:rPr>
        <w:t xml:space="preserve"> accessed in the form of a biological assembly</w:t>
      </w:r>
      <w:r>
        <w:rPr>
          <w:rFonts w:ascii="Times New Roman" w:hAnsi="Times New Roman" w:eastAsia="Calibri"/>
          <w:sz w:val="24"/>
          <w:szCs w:val="24"/>
        </w:rPr>
        <w:t xml:space="preserve">. </w:t>
      </w:r>
      <w:r>
        <w:rPr>
          <w:rFonts w:ascii="Times New Roman" w:hAnsi="Times New Roman" w:eastAsia="Calibri"/>
          <w:sz w:val="24"/>
          <w:szCs w:val="24"/>
          <w:lang w:eastAsia="en-US"/>
        </w:rPr>
        <w:t xml:space="preserve">To refine the protein structure, the Protein Preparation Wizard (Alamri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2020) from Maestro v13.4 (Schrödinger Release 2022-4: Protein Preparation Wizard; Epik, Schrödinger, LLC, New York, NY, 2022; Impact, Schrödinger, LLC, New York, NY; Prime, Schrödinger, LLC, New York, NY, 2022) was employed. The process involved assigning bond orders, addressing missing side chains, incorporating hydrogen atoms, optimizing the protein structure at a pH of 7.0 with PROPKA, minimizing the protein structure, and fine-tuning atomic positions to achieve an RMSD of 0.3 Å using the OPLS4 force field.</w:t>
      </w:r>
    </w:p>
    <w:p w14:paraId="54DA950C">
      <w:pPr>
        <w:pStyle w:val="3"/>
        <w:bidi w:val="0"/>
      </w:pPr>
      <w:bookmarkStart w:id="118" w:name="_Toc15941"/>
      <w:bookmarkStart w:id="119" w:name="_Toc28590"/>
      <w:bookmarkStart w:id="120" w:name="_Toc32214"/>
      <w:r>
        <w:t xml:space="preserve">3.8 </w:t>
      </w:r>
      <w:r>
        <w:rPr>
          <w:lang w:eastAsia="en-US"/>
        </w:rPr>
        <w:t>ADMET Screening</w:t>
      </w:r>
      <w:bookmarkEnd w:id="118"/>
      <w:bookmarkEnd w:id="119"/>
      <w:bookmarkEnd w:id="120"/>
    </w:p>
    <w:p w14:paraId="6094CD31">
      <w:pPr>
        <w:autoSpaceDE w:val="0"/>
        <w:autoSpaceDN w:val="0"/>
        <w:adjustRightInd w:val="0"/>
        <w:spacing w:line="480" w:lineRule="auto"/>
        <w:jc w:val="both"/>
        <w:rPr>
          <w:sz w:val="22"/>
          <w:szCs w:val="22"/>
        </w:rPr>
      </w:pPr>
      <w:r>
        <w:rPr>
          <w:rFonts w:ascii="Times New Roman" w:hAnsi="Times New Roman" w:eastAsia="Calibri"/>
          <w:sz w:val="24"/>
          <w:szCs w:val="24"/>
          <w:lang w:eastAsia="en-US"/>
        </w:rPr>
        <w:t xml:space="preserve">With slight modification, the method described by Rahman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(2021)</w:t>
      </w:r>
      <w:r>
        <w:rPr>
          <w:rFonts w:ascii="Times New Roman" w:hAnsi="Times New Roman" w:eastAsia="Calibri"/>
          <w:i/>
          <w:iCs/>
          <w:sz w:val="24"/>
          <w:szCs w:val="24"/>
          <w:lang w:eastAsia="en-US"/>
        </w:rPr>
        <w:t xml:space="preserve"> </w:t>
      </w:r>
      <w:r>
        <w:rPr>
          <w:rFonts w:ascii="Times New Roman" w:hAnsi="Times New Roman" w:eastAsia="Calibri"/>
          <w:sz w:val="24"/>
          <w:szCs w:val="24"/>
          <w:lang w:eastAsia="en-US"/>
        </w:rPr>
        <w:t xml:space="preserve">was used for </w:t>
      </w:r>
      <w:r>
        <w:rPr>
          <w:rFonts w:ascii="Times New Roman" w:hAnsi="Times New Roman" w:eastAsia="Calibri"/>
          <w:i/>
          <w:iCs/>
          <w:sz w:val="24"/>
          <w:szCs w:val="24"/>
          <w:lang w:eastAsia="en-US"/>
        </w:rPr>
        <w:t>in silico</w:t>
      </w:r>
      <w:r>
        <w:rPr>
          <w:rFonts w:ascii="Times New Roman" w:hAnsi="Times New Roman" w:eastAsia="Calibri"/>
          <w:sz w:val="24"/>
          <w:szCs w:val="24"/>
          <w:lang w:eastAsia="en-US"/>
        </w:rPr>
        <w:t xml:space="preserve"> prediction of ADME (Absorption; Distribution; Metabolism; Excretion) of hit ligands on SwissADME server (</w:t>
      </w:r>
      <w:r>
        <w:fldChar w:fldCharType="begin"/>
      </w:r>
      <w:r>
        <w:instrText xml:space="preserve"> HYPERLINK "https://www.swissadme.ch/" </w:instrText>
      </w:r>
      <w:r>
        <w:fldChar w:fldCharType="separate"/>
      </w:r>
      <w:r>
        <w:rPr>
          <w:rStyle w:val="10"/>
          <w:rFonts w:ascii="Times New Roman" w:hAnsi="Times New Roman" w:eastAsia="Calibri" w:cs="Times New Roman"/>
          <w:sz w:val="24"/>
          <w:szCs w:val="24"/>
          <w:lang w:eastAsia="en-US"/>
        </w:rPr>
        <w:t>https://www.swissadme.ch/</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The address was launched on google chrome and the canonical smiles of the hit compounds downloaded from PubChem </w:t>
      </w:r>
      <w:r>
        <w:rPr>
          <w:rFonts w:ascii="Times New Roman" w:hAnsi="Times New Roman" w:eastAsia="Calibri" w:cs="Times New Roman"/>
          <w:color w:val="000000"/>
          <w:sz w:val="24"/>
          <w:szCs w:val="24"/>
          <w:lang w:eastAsia="en-US"/>
        </w:rPr>
        <w:t>(</w:t>
      </w:r>
      <w:r>
        <w:fldChar w:fldCharType="begin"/>
      </w:r>
      <w:r>
        <w:instrText xml:space="preserve"> HYPERLINK "http://www.pubchem.ncbi.nlm.nih.gov/" </w:instrText>
      </w:r>
      <w:r>
        <w:fldChar w:fldCharType="separate"/>
      </w:r>
      <w:r>
        <w:rPr>
          <w:rStyle w:val="10"/>
          <w:rFonts w:ascii="Times New Roman" w:hAnsi="Times New Roman" w:eastAsia="Calibri" w:cs="Times New Roman"/>
          <w:sz w:val="24"/>
          <w:szCs w:val="24"/>
          <w:lang w:eastAsia="en-US"/>
        </w:rPr>
        <w:t>www.pubchem.ncbi.nlm.nih.gov/</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color w:val="000000"/>
          <w:sz w:val="24"/>
          <w:szCs w:val="24"/>
          <w:lang w:eastAsia="en-US"/>
        </w:rPr>
        <w:t xml:space="preserve">) </w:t>
      </w:r>
      <w:r>
        <w:rPr>
          <w:rFonts w:ascii="Times New Roman" w:hAnsi="Times New Roman" w:eastAsia="Calibri" w:cs="Times New Roman"/>
          <w:sz w:val="24"/>
          <w:szCs w:val="24"/>
          <w:lang w:eastAsia="en-US"/>
        </w:rPr>
        <w:t>were pasted on the SwissADME dialogue box to run the ADME prediction. The toxicity of ligands was predicted using protox II server (</w:t>
      </w:r>
      <w:r>
        <w:fldChar w:fldCharType="begin"/>
      </w:r>
      <w:r>
        <w:instrText xml:space="preserve"> HYPERLINK "http://www.tox.charite.de/" </w:instrText>
      </w:r>
      <w:r>
        <w:fldChar w:fldCharType="separate"/>
      </w:r>
      <w:r>
        <w:rPr>
          <w:rStyle w:val="10"/>
          <w:rFonts w:ascii="Times New Roman" w:hAnsi="Times New Roman" w:eastAsia="Calibri" w:cs="Times New Roman"/>
          <w:sz w:val="24"/>
          <w:szCs w:val="24"/>
          <w:lang w:eastAsia="en-US"/>
        </w:rPr>
        <w:t>www.tox.charite.de/</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w:t>
      </w:r>
    </w:p>
    <w:p w14:paraId="60320133">
      <w:pPr>
        <w:spacing w:line="480" w:lineRule="auto"/>
        <w:rPr>
          <w:rFonts w:ascii="Times New Roman" w:hAnsi="Times New Roman" w:cs="Times New Roman"/>
          <w:b/>
          <w:bCs/>
          <w:sz w:val="24"/>
          <w:szCs w:val="24"/>
        </w:rPr>
      </w:pPr>
    </w:p>
    <w:p w14:paraId="7EF9FBED">
      <w:pPr>
        <w:spacing w:line="480" w:lineRule="auto"/>
        <w:rPr>
          <w:rFonts w:ascii="Times New Roman" w:hAnsi="Times New Roman" w:cs="Times New Roman"/>
          <w:b/>
          <w:bCs/>
          <w:sz w:val="24"/>
          <w:szCs w:val="24"/>
        </w:rPr>
      </w:pPr>
    </w:p>
    <w:p w14:paraId="7478E57B">
      <w:pPr>
        <w:pStyle w:val="3"/>
        <w:bidi w:val="0"/>
        <w:ind w:left="2160" w:leftChars="0" w:firstLine="720" w:firstLineChars="0"/>
      </w:pPr>
      <w:bookmarkStart w:id="121" w:name="_Toc30861"/>
      <w:bookmarkStart w:id="122" w:name="_Toc25245"/>
      <w:bookmarkStart w:id="123" w:name="_Toc15542"/>
      <w:r>
        <w:t>CHAPTER FOUR</w:t>
      </w:r>
      <w:bookmarkEnd w:id="121"/>
      <w:bookmarkEnd w:id="122"/>
      <w:bookmarkEnd w:id="123"/>
    </w:p>
    <w:p w14:paraId="5D089E89">
      <w:pPr>
        <w:pStyle w:val="3"/>
        <w:bidi w:val="0"/>
      </w:pPr>
      <w:bookmarkStart w:id="124" w:name="_Toc24706"/>
      <w:bookmarkStart w:id="125" w:name="_Toc3186"/>
      <w:bookmarkStart w:id="126" w:name="_Toc26512"/>
      <w:r>
        <w:t>4.0 RESULTS</w:t>
      </w:r>
      <w:bookmarkEnd w:id="124"/>
      <w:bookmarkEnd w:id="125"/>
      <w:bookmarkEnd w:id="126"/>
    </w:p>
    <w:p w14:paraId="2EB6DB8A">
      <w:pPr>
        <w:pStyle w:val="3"/>
        <w:bidi w:val="0"/>
      </w:pPr>
      <w:bookmarkStart w:id="127" w:name="_Toc21605"/>
      <w:bookmarkStart w:id="128" w:name="_Toc31185"/>
      <w:bookmarkStart w:id="129" w:name="_Toc18741"/>
      <w:r>
        <w:t>4.1 Percentage Yield of Extract</w:t>
      </w:r>
      <w:bookmarkEnd w:id="127"/>
      <w:bookmarkEnd w:id="128"/>
      <w:bookmarkEnd w:id="129"/>
    </w:p>
    <w:p w14:paraId="38111AF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preparation of </w:t>
      </w:r>
      <w:r>
        <w:rPr>
          <w:rFonts w:ascii="Times New Roman" w:hAnsi="Times New Roman" w:cs="Times New Roman"/>
          <w:i/>
          <w:iCs/>
          <w:sz w:val="24"/>
          <w:szCs w:val="24"/>
        </w:rPr>
        <w:t xml:space="preserve">Syzygium aromaticum </w:t>
      </w:r>
      <w:r>
        <w:rPr>
          <w:rFonts w:ascii="Times New Roman" w:hAnsi="Times New Roman" w:cs="Times New Roman"/>
          <w:sz w:val="24"/>
          <w:szCs w:val="24"/>
        </w:rPr>
        <w:t>aqueous extract using 500 g of the plant sample, 78 g of extract was obtained.</w:t>
      </w:r>
    </w:p>
    <w:p w14:paraId="03437947">
      <w:pPr>
        <w:spacing w:line="480" w:lineRule="auto"/>
        <w:rPr>
          <w:rFonts w:ascii="Times New Roman" w:hAnsi="Times New Roman" w:cs="Times New Roman"/>
          <w:sz w:val="24"/>
          <w:szCs w:val="24"/>
        </w:rPr>
      </w:pPr>
      <w:r>
        <w:rPr>
          <w:rFonts w:ascii="Times New Roman" w:hAnsi="Times New Roman" w:cs="Times New Roman"/>
          <w:sz w:val="24"/>
          <w:szCs w:val="24"/>
        </w:rPr>
        <w:t xml:space="preserve">% Yield = </w:t>
      </w:r>
      <m:oMath>
        <m:f>
          <m:fPr>
            <m:ctrlPr>
              <w:rPr>
                <w:rFonts w:ascii="Cambria Math" w:hAnsi="Cambria Math" w:cs="Times New Roman"/>
                <w:iCs/>
                <w:sz w:val="28"/>
                <w:szCs w:val="28"/>
              </w:rPr>
            </m:ctrlPr>
          </m:fPr>
          <m:num>
            <m:r>
              <m:rPr>
                <m:sty m:val="p"/>
              </m:rPr>
              <w:rPr>
                <w:rFonts w:ascii="Cambria Math" w:hAnsi="Cambria Math" w:cs="Times New Roman"/>
                <w:sz w:val="28"/>
                <w:szCs w:val="28"/>
              </w:rPr>
              <m:t>Weight of Extract</m:t>
            </m:r>
            <m:ctrlPr>
              <w:rPr>
                <w:rFonts w:ascii="Cambria Math" w:hAnsi="Cambria Math" w:cs="Times New Roman"/>
                <w:iCs/>
                <w:sz w:val="28"/>
                <w:szCs w:val="28"/>
              </w:rPr>
            </m:ctrlPr>
          </m:num>
          <m:den>
            <m:r>
              <m:rPr>
                <m:sty m:val="p"/>
              </m:rPr>
              <w:rPr>
                <w:rFonts w:ascii="Cambria Math" w:hAnsi="Cambria Math" w:cs="Times New Roman"/>
                <w:sz w:val="28"/>
                <w:szCs w:val="28"/>
              </w:rPr>
              <m:t>Weight o Sample</m:t>
            </m:r>
            <m:ctrlPr>
              <w:rPr>
                <w:rFonts w:ascii="Cambria Math" w:hAnsi="Cambria Math" w:cs="Times New Roman"/>
                <w:iCs/>
                <w:sz w:val="28"/>
                <w:szCs w:val="28"/>
              </w:rPr>
            </m:ctrlPr>
          </m:den>
        </m:f>
      </m:oMath>
      <w:r>
        <w:rPr>
          <w:rFonts w:ascii="Times New Roman" w:hAnsi="Times New Roman" w:cs="Times New Roman"/>
          <w:sz w:val="24"/>
          <w:szCs w:val="24"/>
        </w:rPr>
        <w:t xml:space="preserve"> × 100</w:t>
      </w:r>
    </w:p>
    <w:p w14:paraId="4E905795">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78 g</m:t>
            </m:r>
            <m:ctrlPr>
              <w:rPr>
                <w:rFonts w:ascii="Cambria Math" w:hAnsi="Cambria Math" w:cs="Times New Roman"/>
                <w:sz w:val="28"/>
                <w:szCs w:val="28"/>
              </w:rPr>
            </m:ctrlPr>
          </m:num>
          <m:den>
            <m:r>
              <m:rPr>
                <m:sty m:val="p"/>
              </m:rPr>
              <w:rPr>
                <w:rFonts w:ascii="Cambria Math" w:hAnsi="Cambria Math" w:cs="Times New Roman"/>
                <w:sz w:val="28"/>
                <w:szCs w:val="28"/>
              </w:rPr>
              <m:t>500 g</m:t>
            </m:r>
            <m:ctrlPr>
              <w:rPr>
                <w:rFonts w:ascii="Cambria Math" w:hAnsi="Cambria Math" w:cs="Times New Roman"/>
                <w:sz w:val="28"/>
                <w:szCs w:val="28"/>
              </w:rPr>
            </m:ctrlPr>
          </m:den>
        </m:f>
      </m:oMath>
      <w:r>
        <w:rPr>
          <w:rFonts w:ascii="Times New Roman" w:hAnsi="Times New Roman" w:cs="Times New Roman"/>
          <w:sz w:val="24"/>
          <w:szCs w:val="24"/>
        </w:rPr>
        <w:t xml:space="preserve"> × 100</w:t>
      </w:r>
    </w:p>
    <w:p w14:paraId="127CD137">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14:paraId="5972EC8B">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14:paraId="28E967DD">
      <w:pPr>
        <w:pStyle w:val="3"/>
        <w:bidi w:val="0"/>
      </w:pPr>
      <w:bookmarkStart w:id="130" w:name="_Toc16005"/>
      <w:bookmarkStart w:id="131" w:name="_Toc22268"/>
      <w:bookmarkStart w:id="132" w:name="_Toc7178"/>
      <w:r>
        <w:t xml:space="preserve">4.2 Phytochemical Screening of </w:t>
      </w:r>
      <w:r>
        <w:rPr>
          <w:i/>
          <w:iCs/>
        </w:rPr>
        <w:t>Syzygium aromaticum</w:t>
      </w:r>
      <w:r>
        <w:t xml:space="preserve"> Aqueous Extract</w:t>
      </w:r>
      <w:bookmarkEnd w:id="130"/>
      <w:bookmarkEnd w:id="131"/>
      <w:bookmarkEnd w:id="132"/>
    </w:p>
    <w:p w14:paraId="3A05858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(SAAE) revealed the presence of tannins, saponins, flavonoids, glycosides, alkaloids, phenols and steroids (Table 4.1). However, terpenoids and phlobatannins in phytochemical screening were not present.</w:t>
      </w:r>
    </w:p>
    <w:p w14:paraId="00E12601">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r>
        <w:rPr>
          <w:rFonts w:ascii="Times New Roman" w:hAnsi="Times New Roman" w:cs="Times New Roman"/>
          <w:b/>
          <w:bCs/>
          <w:i/>
          <w:iCs/>
          <w:sz w:val="24"/>
          <w:szCs w:val="24"/>
        </w:rPr>
        <w:t>Syzygium aromaticum</w:t>
      </w:r>
      <w:r>
        <w:rPr>
          <w:rFonts w:ascii="Times New Roman" w:hAnsi="Times New Roman" w:cs="Times New Roman"/>
          <w:b/>
          <w:bCs/>
          <w:sz w:val="24"/>
          <w:szCs w:val="24"/>
        </w:rPr>
        <w:t xml:space="preserve"> Aqueous Extract</w:t>
      </w:r>
    </w:p>
    <w:tbl>
      <w:tblPr>
        <w:tblStyle w:val="6"/>
        <w:tblW w:w="0" w:type="auto"/>
        <w:tblInd w:w="0" w:type="dxa"/>
        <w:tblLayout w:type="fixed"/>
        <w:tblCellMar>
          <w:top w:w="0" w:type="dxa"/>
          <w:left w:w="108" w:type="dxa"/>
          <w:bottom w:w="0" w:type="dxa"/>
          <w:right w:w="108" w:type="dxa"/>
        </w:tblCellMar>
      </w:tblPr>
      <w:tblGrid>
        <w:gridCol w:w="2880"/>
        <w:gridCol w:w="2880"/>
        <w:gridCol w:w="2880"/>
      </w:tblGrid>
      <w:tr w14:paraId="626A4486">
        <w:tblPrEx>
          <w:tblCellMar>
            <w:top w:w="0" w:type="dxa"/>
            <w:left w:w="108" w:type="dxa"/>
            <w:bottom w:w="0" w:type="dxa"/>
            <w:right w:w="108" w:type="dxa"/>
          </w:tblCellMar>
        </w:tblPrEx>
        <w:tc>
          <w:tcPr>
            <w:tcW w:w="2880" w:type="dxa"/>
            <w:tcBorders>
              <w:top w:val="single" w:color="auto" w:sz="8" w:space="0"/>
            </w:tcBorders>
          </w:tcPr>
          <w:p w14:paraId="587B952E">
            <w:pPr>
              <w:pStyle w:val="11"/>
              <w:spacing w:beforeAutospacing="0" w:afterAutospacing="0" w:line="216" w:lineRule="atLeast"/>
              <w:jc w:val="center"/>
            </w:pPr>
            <w:r>
              <w:rPr>
                <w:rFonts w:eastAsia="-webkit-standard"/>
                <w:b/>
              </w:rPr>
              <w:t>S/N</w:t>
            </w:r>
          </w:p>
        </w:tc>
        <w:tc>
          <w:tcPr>
            <w:tcW w:w="2880" w:type="dxa"/>
            <w:tcBorders>
              <w:top w:val="single" w:color="auto" w:sz="8" w:space="0"/>
            </w:tcBorders>
          </w:tcPr>
          <w:p w14:paraId="1816F4FC">
            <w:pPr>
              <w:pStyle w:val="11"/>
              <w:spacing w:beforeAutospacing="0" w:afterAutospacing="0" w:line="216" w:lineRule="atLeast"/>
              <w:jc w:val="center"/>
            </w:pPr>
            <w:r>
              <w:rPr>
                <w:rFonts w:eastAsia="-webkit-standard"/>
                <w:b/>
              </w:rPr>
              <w:t>Phytochemical Class</w:t>
            </w:r>
          </w:p>
        </w:tc>
        <w:tc>
          <w:tcPr>
            <w:tcW w:w="2880" w:type="dxa"/>
            <w:tcBorders>
              <w:top w:val="single" w:color="auto" w:sz="8" w:space="0"/>
            </w:tcBorders>
          </w:tcPr>
          <w:p w14:paraId="43C11C5F">
            <w:pPr>
              <w:pStyle w:val="11"/>
              <w:spacing w:beforeAutospacing="0" w:afterAutospacing="0" w:line="216" w:lineRule="atLeast"/>
              <w:jc w:val="center"/>
            </w:pPr>
            <w:r>
              <w:rPr>
                <w:rFonts w:eastAsia="-webkit-standard"/>
                <w:b/>
              </w:rPr>
              <w:t>Results</w:t>
            </w:r>
          </w:p>
        </w:tc>
      </w:tr>
      <w:tr w14:paraId="623F15E0">
        <w:tblPrEx>
          <w:tblCellMar>
            <w:top w:w="0" w:type="dxa"/>
            <w:left w:w="108" w:type="dxa"/>
            <w:bottom w:w="0" w:type="dxa"/>
            <w:right w:w="108" w:type="dxa"/>
          </w:tblCellMar>
        </w:tblPrEx>
        <w:tc>
          <w:tcPr>
            <w:tcW w:w="2880" w:type="dxa"/>
            <w:tcBorders>
              <w:top w:val="single" w:color="auto" w:sz="8" w:space="0"/>
            </w:tcBorders>
          </w:tcPr>
          <w:p w14:paraId="21D3A49E">
            <w:pPr>
              <w:pStyle w:val="11"/>
              <w:spacing w:beforeAutospacing="0" w:afterAutospacing="0" w:line="216" w:lineRule="atLeast"/>
            </w:pPr>
            <w:r>
              <w:rPr>
                <w:rFonts w:eastAsia="-webkit-standard"/>
              </w:rPr>
              <w:t>1</w:t>
            </w:r>
          </w:p>
        </w:tc>
        <w:tc>
          <w:tcPr>
            <w:tcW w:w="2880" w:type="dxa"/>
            <w:tcBorders>
              <w:top w:val="single" w:color="auto" w:sz="8" w:space="0"/>
            </w:tcBorders>
          </w:tcPr>
          <w:p w14:paraId="4F5F165E">
            <w:pPr>
              <w:pStyle w:val="11"/>
              <w:spacing w:beforeAutospacing="0" w:afterAutospacing="0" w:line="216" w:lineRule="atLeast"/>
            </w:pPr>
            <w:r>
              <w:rPr>
                <w:rFonts w:eastAsia="-webkit-standard"/>
              </w:rPr>
              <w:t>Tannins</w:t>
            </w:r>
          </w:p>
        </w:tc>
        <w:tc>
          <w:tcPr>
            <w:tcW w:w="2880" w:type="dxa"/>
            <w:tcBorders>
              <w:top w:val="single" w:color="auto" w:sz="8" w:space="0"/>
            </w:tcBorders>
          </w:tcPr>
          <w:p w14:paraId="0DE9ED3E">
            <w:pPr>
              <w:pStyle w:val="11"/>
              <w:spacing w:beforeAutospacing="0" w:afterAutospacing="0" w:line="216" w:lineRule="atLeast"/>
              <w:jc w:val="center"/>
            </w:pPr>
            <w:r>
              <w:rPr>
                <w:rFonts w:eastAsia="-webkit-standard"/>
              </w:rPr>
              <w:t>+</w:t>
            </w:r>
          </w:p>
        </w:tc>
      </w:tr>
      <w:tr w14:paraId="34AA772A">
        <w:tblPrEx>
          <w:tblCellMar>
            <w:top w:w="0" w:type="dxa"/>
            <w:left w:w="108" w:type="dxa"/>
            <w:bottom w:w="0" w:type="dxa"/>
            <w:right w:w="108" w:type="dxa"/>
          </w:tblCellMar>
        </w:tblPrEx>
        <w:tc>
          <w:tcPr>
            <w:tcW w:w="2880" w:type="dxa"/>
          </w:tcPr>
          <w:p w14:paraId="29370E9D">
            <w:pPr>
              <w:pStyle w:val="11"/>
              <w:spacing w:beforeAutospacing="0" w:afterAutospacing="0" w:line="216" w:lineRule="atLeast"/>
            </w:pPr>
            <w:r>
              <w:rPr>
                <w:rFonts w:eastAsia="-webkit-standard"/>
              </w:rPr>
              <w:t>2</w:t>
            </w:r>
          </w:p>
        </w:tc>
        <w:tc>
          <w:tcPr>
            <w:tcW w:w="2880" w:type="dxa"/>
          </w:tcPr>
          <w:p w14:paraId="40386784">
            <w:pPr>
              <w:pStyle w:val="11"/>
              <w:spacing w:beforeAutospacing="0" w:afterAutospacing="0" w:line="216" w:lineRule="atLeast"/>
            </w:pPr>
            <w:r>
              <w:rPr>
                <w:rFonts w:eastAsia="-webkit-standard"/>
              </w:rPr>
              <w:t>Saponins</w:t>
            </w:r>
          </w:p>
        </w:tc>
        <w:tc>
          <w:tcPr>
            <w:tcW w:w="2880" w:type="dxa"/>
          </w:tcPr>
          <w:p w14:paraId="4EE7FB8F">
            <w:pPr>
              <w:pStyle w:val="11"/>
              <w:spacing w:beforeAutospacing="0" w:afterAutospacing="0" w:line="216" w:lineRule="atLeast"/>
              <w:jc w:val="center"/>
            </w:pPr>
            <w:r>
              <w:rPr>
                <w:rFonts w:eastAsia="-webkit-standard"/>
              </w:rPr>
              <w:t>+</w:t>
            </w:r>
          </w:p>
        </w:tc>
      </w:tr>
      <w:tr w14:paraId="04AEC476">
        <w:tblPrEx>
          <w:tblCellMar>
            <w:top w:w="0" w:type="dxa"/>
            <w:left w:w="108" w:type="dxa"/>
            <w:bottom w:w="0" w:type="dxa"/>
            <w:right w:w="108" w:type="dxa"/>
          </w:tblCellMar>
        </w:tblPrEx>
        <w:tc>
          <w:tcPr>
            <w:tcW w:w="2880" w:type="dxa"/>
          </w:tcPr>
          <w:p w14:paraId="0AAA5469">
            <w:pPr>
              <w:pStyle w:val="11"/>
              <w:spacing w:beforeAutospacing="0" w:afterAutospacing="0" w:line="216" w:lineRule="atLeast"/>
            </w:pPr>
            <w:r>
              <w:rPr>
                <w:rFonts w:eastAsia="-webkit-standard"/>
              </w:rPr>
              <w:t>3</w:t>
            </w:r>
          </w:p>
        </w:tc>
        <w:tc>
          <w:tcPr>
            <w:tcW w:w="2880" w:type="dxa"/>
          </w:tcPr>
          <w:p w14:paraId="437504EE">
            <w:pPr>
              <w:pStyle w:val="11"/>
              <w:spacing w:beforeAutospacing="0" w:afterAutospacing="0" w:line="216" w:lineRule="atLeast"/>
            </w:pPr>
            <w:r>
              <w:rPr>
                <w:rFonts w:eastAsia="-webkit-standard"/>
              </w:rPr>
              <w:t>Flavonoids</w:t>
            </w:r>
          </w:p>
        </w:tc>
        <w:tc>
          <w:tcPr>
            <w:tcW w:w="2880" w:type="dxa"/>
          </w:tcPr>
          <w:p w14:paraId="7B4AEE8E">
            <w:pPr>
              <w:pStyle w:val="11"/>
              <w:spacing w:beforeAutospacing="0" w:afterAutospacing="0" w:line="216" w:lineRule="atLeast"/>
              <w:jc w:val="center"/>
            </w:pPr>
            <w:r>
              <w:rPr>
                <w:rFonts w:eastAsia="-webkit-standard"/>
              </w:rPr>
              <w:t>+</w:t>
            </w:r>
          </w:p>
        </w:tc>
      </w:tr>
      <w:tr w14:paraId="1D846674">
        <w:tblPrEx>
          <w:tblCellMar>
            <w:top w:w="0" w:type="dxa"/>
            <w:left w:w="108" w:type="dxa"/>
            <w:bottom w:w="0" w:type="dxa"/>
            <w:right w:w="108" w:type="dxa"/>
          </w:tblCellMar>
        </w:tblPrEx>
        <w:tc>
          <w:tcPr>
            <w:tcW w:w="2880" w:type="dxa"/>
          </w:tcPr>
          <w:p w14:paraId="3FB3948C">
            <w:pPr>
              <w:pStyle w:val="11"/>
              <w:spacing w:beforeAutospacing="0" w:afterAutospacing="0" w:line="216" w:lineRule="atLeast"/>
            </w:pPr>
            <w:r>
              <w:rPr>
                <w:rFonts w:eastAsia="-webkit-standard"/>
              </w:rPr>
              <w:t>4</w:t>
            </w:r>
          </w:p>
        </w:tc>
        <w:tc>
          <w:tcPr>
            <w:tcW w:w="2880" w:type="dxa"/>
          </w:tcPr>
          <w:p w14:paraId="675682BE">
            <w:pPr>
              <w:pStyle w:val="11"/>
              <w:spacing w:beforeAutospacing="0" w:afterAutospacing="0" w:line="216" w:lineRule="atLeast"/>
            </w:pPr>
            <w:r>
              <w:rPr>
                <w:rFonts w:eastAsia="-webkit-standard"/>
              </w:rPr>
              <w:t>Terpenoids</w:t>
            </w:r>
          </w:p>
        </w:tc>
        <w:tc>
          <w:tcPr>
            <w:tcW w:w="2880" w:type="dxa"/>
          </w:tcPr>
          <w:p w14:paraId="7CE2A297">
            <w:pPr>
              <w:pStyle w:val="11"/>
              <w:spacing w:beforeAutospacing="0" w:afterAutospacing="0" w:line="216" w:lineRule="atLeast"/>
              <w:jc w:val="center"/>
            </w:pPr>
            <w:r>
              <w:rPr>
                <w:rFonts w:eastAsia="-webkit-standard"/>
              </w:rPr>
              <w:t>-</w:t>
            </w:r>
          </w:p>
        </w:tc>
      </w:tr>
      <w:tr w14:paraId="399E3449">
        <w:tblPrEx>
          <w:tblCellMar>
            <w:top w:w="0" w:type="dxa"/>
            <w:left w:w="108" w:type="dxa"/>
            <w:bottom w:w="0" w:type="dxa"/>
            <w:right w:w="108" w:type="dxa"/>
          </w:tblCellMar>
        </w:tblPrEx>
        <w:tc>
          <w:tcPr>
            <w:tcW w:w="2880" w:type="dxa"/>
          </w:tcPr>
          <w:p w14:paraId="7B5B43AF">
            <w:pPr>
              <w:pStyle w:val="11"/>
              <w:spacing w:beforeAutospacing="0" w:afterAutospacing="0" w:line="216" w:lineRule="atLeast"/>
            </w:pPr>
            <w:r>
              <w:rPr>
                <w:rFonts w:eastAsia="-webkit-standard"/>
              </w:rPr>
              <w:t>5</w:t>
            </w:r>
          </w:p>
        </w:tc>
        <w:tc>
          <w:tcPr>
            <w:tcW w:w="2880" w:type="dxa"/>
          </w:tcPr>
          <w:p w14:paraId="77407EB7">
            <w:pPr>
              <w:pStyle w:val="11"/>
              <w:spacing w:beforeAutospacing="0" w:afterAutospacing="0" w:line="216" w:lineRule="atLeast"/>
            </w:pPr>
            <w:r>
              <w:rPr>
                <w:rFonts w:eastAsia="-webkit-standard"/>
              </w:rPr>
              <w:t>Glycosides</w:t>
            </w:r>
          </w:p>
        </w:tc>
        <w:tc>
          <w:tcPr>
            <w:tcW w:w="2880" w:type="dxa"/>
          </w:tcPr>
          <w:p w14:paraId="004A3349">
            <w:pPr>
              <w:pStyle w:val="11"/>
              <w:spacing w:beforeAutospacing="0" w:afterAutospacing="0" w:line="216" w:lineRule="atLeast"/>
              <w:jc w:val="center"/>
            </w:pPr>
            <w:r>
              <w:rPr>
                <w:rFonts w:eastAsia="-webkit-standard"/>
              </w:rPr>
              <w:t>+</w:t>
            </w:r>
          </w:p>
        </w:tc>
      </w:tr>
      <w:tr w14:paraId="7FD9BEA4">
        <w:tblPrEx>
          <w:tblCellMar>
            <w:top w:w="0" w:type="dxa"/>
            <w:left w:w="108" w:type="dxa"/>
            <w:bottom w:w="0" w:type="dxa"/>
            <w:right w:w="108" w:type="dxa"/>
          </w:tblCellMar>
        </w:tblPrEx>
        <w:tc>
          <w:tcPr>
            <w:tcW w:w="2880" w:type="dxa"/>
          </w:tcPr>
          <w:p w14:paraId="0548BA47">
            <w:pPr>
              <w:pStyle w:val="11"/>
              <w:spacing w:beforeAutospacing="0" w:afterAutospacing="0" w:line="216" w:lineRule="atLeast"/>
            </w:pPr>
            <w:r>
              <w:rPr>
                <w:rFonts w:eastAsia="-webkit-standard"/>
              </w:rPr>
              <w:t>6</w:t>
            </w:r>
          </w:p>
        </w:tc>
        <w:tc>
          <w:tcPr>
            <w:tcW w:w="2880" w:type="dxa"/>
          </w:tcPr>
          <w:p w14:paraId="521EEAEB">
            <w:pPr>
              <w:pStyle w:val="11"/>
              <w:spacing w:beforeAutospacing="0" w:afterAutospacing="0" w:line="216" w:lineRule="atLeast"/>
            </w:pPr>
            <w:r>
              <w:rPr>
                <w:rFonts w:eastAsia="-webkit-standard"/>
              </w:rPr>
              <w:t>Phlobatannins</w:t>
            </w:r>
          </w:p>
        </w:tc>
        <w:tc>
          <w:tcPr>
            <w:tcW w:w="2880" w:type="dxa"/>
          </w:tcPr>
          <w:p w14:paraId="07270AE6">
            <w:pPr>
              <w:pStyle w:val="11"/>
              <w:spacing w:beforeAutospacing="0" w:afterAutospacing="0" w:line="216" w:lineRule="atLeast"/>
              <w:jc w:val="center"/>
            </w:pPr>
            <w:r>
              <w:rPr>
                <w:rFonts w:eastAsia="-webkit-standard"/>
              </w:rPr>
              <w:t>-</w:t>
            </w:r>
          </w:p>
        </w:tc>
      </w:tr>
      <w:tr w14:paraId="6B8E3750">
        <w:tblPrEx>
          <w:tblCellMar>
            <w:top w:w="0" w:type="dxa"/>
            <w:left w:w="108" w:type="dxa"/>
            <w:bottom w:w="0" w:type="dxa"/>
            <w:right w:w="108" w:type="dxa"/>
          </w:tblCellMar>
        </w:tblPrEx>
        <w:tc>
          <w:tcPr>
            <w:tcW w:w="2880" w:type="dxa"/>
          </w:tcPr>
          <w:p w14:paraId="5F739668">
            <w:pPr>
              <w:pStyle w:val="11"/>
              <w:spacing w:beforeAutospacing="0" w:afterAutospacing="0" w:line="216" w:lineRule="atLeast"/>
            </w:pPr>
            <w:r>
              <w:rPr>
                <w:rFonts w:eastAsia="-webkit-standard"/>
              </w:rPr>
              <w:t>7</w:t>
            </w:r>
          </w:p>
        </w:tc>
        <w:tc>
          <w:tcPr>
            <w:tcW w:w="2880" w:type="dxa"/>
          </w:tcPr>
          <w:p w14:paraId="705E054C">
            <w:pPr>
              <w:pStyle w:val="11"/>
              <w:spacing w:beforeAutospacing="0" w:afterAutospacing="0" w:line="216" w:lineRule="atLeast"/>
            </w:pPr>
            <w:r>
              <w:rPr>
                <w:rFonts w:eastAsia="-webkit-standard"/>
              </w:rPr>
              <w:t>Alkaloids</w:t>
            </w:r>
          </w:p>
        </w:tc>
        <w:tc>
          <w:tcPr>
            <w:tcW w:w="2880" w:type="dxa"/>
          </w:tcPr>
          <w:p w14:paraId="61FE1591">
            <w:pPr>
              <w:pStyle w:val="11"/>
              <w:spacing w:beforeAutospacing="0" w:afterAutospacing="0" w:line="216" w:lineRule="atLeast"/>
              <w:jc w:val="center"/>
            </w:pPr>
            <w:r>
              <w:rPr>
                <w:rFonts w:eastAsia="-webkit-standard"/>
              </w:rPr>
              <w:t>+</w:t>
            </w:r>
          </w:p>
        </w:tc>
      </w:tr>
      <w:tr w14:paraId="75172019">
        <w:tblPrEx>
          <w:tblCellMar>
            <w:top w:w="0" w:type="dxa"/>
            <w:left w:w="108" w:type="dxa"/>
            <w:bottom w:w="0" w:type="dxa"/>
            <w:right w:w="108" w:type="dxa"/>
          </w:tblCellMar>
        </w:tblPrEx>
        <w:tc>
          <w:tcPr>
            <w:tcW w:w="2880" w:type="dxa"/>
          </w:tcPr>
          <w:p w14:paraId="49ECD785">
            <w:pPr>
              <w:pStyle w:val="11"/>
              <w:spacing w:beforeAutospacing="0" w:afterAutospacing="0" w:line="216" w:lineRule="atLeast"/>
            </w:pPr>
            <w:r>
              <w:rPr>
                <w:rFonts w:eastAsia="-webkit-standard"/>
              </w:rPr>
              <w:t>8</w:t>
            </w:r>
          </w:p>
        </w:tc>
        <w:tc>
          <w:tcPr>
            <w:tcW w:w="2880" w:type="dxa"/>
          </w:tcPr>
          <w:p w14:paraId="1E14F30B">
            <w:pPr>
              <w:pStyle w:val="11"/>
              <w:spacing w:beforeAutospacing="0" w:afterAutospacing="0" w:line="216" w:lineRule="atLeast"/>
            </w:pPr>
            <w:r>
              <w:rPr>
                <w:rFonts w:eastAsia="-webkit-standard"/>
              </w:rPr>
              <w:t>Phenols</w:t>
            </w:r>
          </w:p>
        </w:tc>
        <w:tc>
          <w:tcPr>
            <w:tcW w:w="2880" w:type="dxa"/>
          </w:tcPr>
          <w:p w14:paraId="24BCABCA">
            <w:pPr>
              <w:pStyle w:val="11"/>
              <w:spacing w:beforeAutospacing="0" w:afterAutospacing="0" w:line="216" w:lineRule="atLeast"/>
              <w:jc w:val="center"/>
            </w:pPr>
            <w:r>
              <w:rPr>
                <w:rFonts w:eastAsia="-webkit-standard"/>
              </w:rPr>
              <w:t>+</w:t>
            </w:r>
          </w:p>
        </w:tc>
      </w:tr>
      <w:tr w14:paraId="6564D7E5">
        <w:tblPrEx>
          <w:tblCellMar>
            <w:top w:w="0" w:type="dxa"/>
            <w:left w:w="108" w:type="dxa"/>
            <w:bottom w:w="0" w:type="dxa"/>
            <w:right w:w="108" w:type="dxa"/>
          </w:tblCellMar>
        </w:tblPrEx>
        <w:tc>
          <w:tcPr>
            <w:tcW w:w="2880" w:type="dxa"/>
            <w:tcBorders>
              <w:bottom w:val="single" w:color="auto" w:sz="8" w:space="0"/>
            </w:tcBorders>
          </w:tcPr>
          <w:p w14:paraId="1337565F">
            <w:pPr>
              <w:pStyle w:val="11"/>
              <w:spacing w:beforeAutospacing="0" w:afterAutospacing="0" w:line="216" w:lineRule="atLeast"/>
            </w:pPr>
            <w:r>
              <w:rPr>
                <w:rFonts w:eastAsia="-webkit-standard"/>
              </w:rPr>
              <w:t>9</w:t>
            </w:r>
          </w:p>
        </w:tc>
        <w:tc>
          <w:tcPr>
            <w:tcW w:w="2880" w:type="dxa"/>
            <w:tcBorders>
              <w:bottom w:val="single" w:color="auto" w:sz="8" w:space="0"/>
            </w:tcBorders>
          </w:tcPr>
          <w:p w14:paraId="4CF93495">
            <w:pPr>
              <w:pStyle w:val="11"/>
              <w:spacing w:beforeAutospacing="0" w:afterAutospacing="0" w:line="216" w:lineRule="atLeast"/>
            </w:pPr>
            <w:r>
              <w:rPr>
                <w:rFonts w:eastAsia="-webkit-standard"/>
              </w:rPr>
              <w:t>Steroids</w:t>
            </w:r>
          </w:p>
        </w:tc>
        <w:tc>
          <w:tcPr>
            <w:tcW w:w="2880" w:type="dxa"/>
            <w:tcBorders>
              <w:bottom w:val="single" w:color="auto" w:sz="8" w:space="0"/>
            </w:tcBorders>
          </w:tcPr>
          <w:p w14:paraId="0F630934">
            <w:pPr>
              <w:pStyle w:val="11"/>
              <w:spacing w:beforeAutospacing="0" w:afterAutospacing="0" w:line="216" w:lineRule="atLeast"/>
              <w:jc w:val="center"/>
            </w:pPr>
            <w:r>
              <w:rPr>
                <w:rFonts w:eastAsia="-webkit-standard"/>
              </w:rPr>
              <w:t>+</w:t>
            </w:r>
          </w:p>
        </w:tc>
      </w:tr>
    </w:tbl>
    <w:p w14:paraId="68BB5B62">
      <w:pPr>
        <w:pStyle w:val="11"/>
        <w:spacing w:beforeAutospacing="0" w:afterAutospacing="0" w:line="324" w:lineRule="atLeast"/>
        <w:rPr>
          <w:rFonts w:eastAsia="-webkit-standard"/>
          <w:color w:val="000000"/>
        </w:rPr>
      </w:pPr>
      <w:r>
        <w:rPr>
          <w:rFonts w:eastAsia="-webkit-standard"/>
          <w:color w:val="000000"/>
        </w:rPr>
        <w:t> </w:t>
      </w:r>
    </w:p>
    <w:p w14:paraId="76ADADB8">
      <w:pPr>
        <w:rPr>
          <w:rFonts w:ascii="Times New Roman" w:hAnsi="Times New Roman" w:cs="Times New Roman"/>
          <w:b/>
          <w:bCs/>
          <w:sz w:val="24"/>
          <w:szCs w:val="24"/>
        </w:rPr>
      </w:pPr>
      <w:r>
        <w:rPr>
          <w:rFonts w:ascii="Times New Roman" w:hAnsi="Times New Roman" w:cs="Times New Roman"/>
          <w:b/>
          <w:bCs/>
          <w:sz w:val="24"/>
          <w:szCs w:val="24"/>
        </w:rPr>
        <w:t>Keys:</w:t>
      </w:r>
    </w:p>
    <w:p w14:paraId="7FEE53FE">
      <w:pPr>
        <w:rPr>
          <w:rFonts w:ascii="Times New Roman" w:hAnsi="Times New Roman" w:cs="Times New Roman"/>
          <w:sz w:val="24"/>
          <w:szCs w:val="24"/>
        </w:rPr>
      </w:pPr>
      <w:r>
        <w:rPr>
          <w:rFonts w:ascii="Times New Roman" w:hAnsi="Times New Roman" w:cs="Times New Roman"/>
          <w:sz w:val="24"/>
          <w:szCs w:val="24"/>
        </w:rPr>
        <w:t>+ = Present</w:t>
      </w:r>
    </w:p>
    <w:p w14:paraId="751923B1">
      <w:pPr>
        <w:rPr>
          <w:rFonts w:ascii="Times New Roman" w:hAnsi="Times New Roman" w:cs="Times New Roman"/>
          <w:sz w:val="24"/>
          <w:szCs w:val="24"/>
        </w:rPr>
      </w:pPr>
      <w:r>
        <w:rPr>
          <w:rFonts w:ascii="Times New Roman" w:hAnsi="Times New Roman" w:cs="Times New Roman"/>
          <w:sz w:val="24"/>
          <w:szCs w:val="24"/>
        </w:rPr>
        <w:t>- = Absent</w:t>
      </w:r>
    </w:p>
    <w:p w14:paraId="74A3C926">
      <w:pPr>
        <w:rPr>
          <w:rFonts w:ascii="Times New Roman" w:hAnsi="Times New Roman" w:eastAsia="SimSun" w:cs="Times New Roman"/>
          <w:b/>
          <w:bCs/>
          <w:sz w:val="24"/>
          <w:szCs w:val="24"/>
        </w:rPr>
      </w:pPr>
    </w:p>
    <w:p w14:paraId="70A47183">
      <w:pPr>
        <w:rPr>
          <w:rFonts w:ascii="Times New Roman" w:hAnsi="Times New Roman" w:eastAsia="SimSun" w:cs="Times New Roman"/>
          <w:b/>
          <w:bCs/>
          <w:sz w:val="24"/>
          <w:szCs w:val="24"/>
        </w:rPr>
      </w:pPr>
    </w:p>
    <w:p w14:paraId="74DD1A6B">
      <w:pPr>
        <w:rPr>
          <w:rFonts w:ascii="Times New Roman" w:hAnsi="Times New Roman" w:eastAsia="SimSun" w:cs="Times New Roman"/>
          <w:b/>
          <w:bCs/>
          <w:sz w:val="24"/>
          <w:szCs w:val="24"/>
        </w:rPr>
      </w:pPr>
    </w:p>
    <w:p w14:paraId="2802568C">
      <w:pPr>
        <w:rPr>
          <w:rFonts w:ascii="Times New Roman" w:hAnsi="Times New Roman" w:eastAsia="SimSun" w:cs="Times New Roman"/>
          <w:b/>
          <w:bCs/>
          <w:sz w:val="24"/>
          <w:szCs w:val="24"/>
        </w:rPr>
      </w:pPr>
    </w:p>
    <w:p w14:paraId="69F31262">
      <w:pPr>
        <w:pStyle w:val="3"/>
        <w:bidi w:val="0"/>
        <w:rPr>
          <w:rFonts w:ascii="Times New Roman" w:hAnsi="Times New Roman" w:eastAsia="SimSun" w:cs="Times New Roman"/>
          <w:b/>
          <w:bCs/>
          <w:szCs w:val="24"/>
        </w:rPr>
      </w:pPr>
      <w:bookmarkStart w:id="133" w:name="_Toc11859"/>
      <w:bookmarkStart w:id="134" w:name="_Toc22302"/>
      <w:bookmarkStart w:id="135" w:name="_Toc3398"/>
      <w:r>
        <w:t>4.3 In vitro Acetylcholinesterase and Angiotensin Converting Enzyme Inhibition Assays</w:t>
      </w:r>
      <w:bookmarkEnd w:id="133"/>
      <w:bookmarkEnd w:id="134"/>
      <w:bookmarkEnd w:id="135"/>
      <w:r>
        <w:t xml:space="preserve"> </w:t>
      </w:r>
    </w:p>
    <w:p w14:paraId="65BE38C7">
      <w:pPr>
        <w:spacing w:line="480" w:lineRule="auto"/>
        <w:rPr>
          <w:rFonts w:ascii="Times New Roman" w:hAnsi="Times New Roman" w:eastAsia="SimSun" w:cs="Times New Roman"/>
          <w:sz w:val="24"/>
          <w:szCs w:val="24"/>
        </w:rPr>
      </w:pPr>
      <w:bookmarkStart w:id="136" w:name="OLE_LINK1"/>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acetylcholine esterase,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67.29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17.10 µg/mL (Figure 4.1).</w:t>
      </w:r>
    </w:p>
    <w:bookmarkEnd w:id="136"/>
    <w:p w14:paraId="59690610">
      <w:pPr>
        <w:spacing w:line="480" w:lineRule="auto"/>
        <w:rPr>
          <w:rFonts w:ascii="Times New Roman" w:hAnsi="Times New Roman" w:eastAsia="SimSun" w:cs="Times New Roman"/>
          <w:sz w:val="24"/>
          <w:szCs w:val="24"/>
        </w:rPr>
      </w:pPr>
      <w:r>
        <w:object>
          <v:shape id="_x0000_i1025" o:spt="75" type="#_x0000_t75" style="height:164pt;width:415pt;" o:ole="t" filled="f" o:preferrelative="t" stroked="f" coordsize="21600,21600">
            <v:path/>
            <v:fill on="f" focussize="0,0"/>
            <v:stroke on="f" joinstyle="miter"/>
            <v:imagedata r:id="rId14" o:title=""/>
            <o:lock v:ext="edit" aspectratio="t"/>
            <w10:wrap type="none"/>
            <w10:anchorlock/>
          </v:shape>
          <o:OLEObject Type="Embed" ProgID="Prism8.Document" ShapeID="_x0000_i1025" DrawAspect="Content" ObjectID="_1468075725" r:id="rId13">
            <o:LockedField>false</o:LockedField>
          </o:OLEObject>
        </w:object>
      </w:r>
    </w:p>
    <w:p w14:paraId="15F917A2">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4.1: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14:paraId="29DF941D">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angiotensin converting enzyme,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89.86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26.07 µg/mL (Figure 4.2).</w:t>
      </w:r>
    </w:p>
    <w:p w14:paraId="0010A0E2">
      <w:pPr>
        <w:spacing w:line="480" w:lineRule="auto"/>
        <w:rPr>
          <w:rFonts w:ascii="Times New Roman" w:hAnsi="Times New Roman" w:eastAsia="SimSun" w:cs="Times New Roman"/>
          <w:sz w:val="24"/>
          <w:szCs w:val="24"/>
        </w:rPr>
      </w:pPr>
      <w:r>
        <w:object>
          <v:shape id="_x0000_i1026" o:spt="75" type="#_x0000_t75" style="height:177pt;width:415pt;" o:ole="t" filled="f" o:preferrelative="t" stroked="f" coordsize="21600,21600">
            <v:path/>
            <v:fill on="f" focussize="0,0"/>
            <v:stroke on="f" joinstyle="miter"/>
            <v:imagedata r:id="rId16" o:title=""/>
            <o:lock v:ext="edit" aspectratio="t"/>
            <w10:wrap type="none"/>
            <w10:anchorlock/>
          </v:shape>
          <o:OLEObject Type="Embed" ProgID="Prism8.Document" ShapeID="_x0000_i1026" DrawAspect="Content" ObjectID="_1468075726" r:id="rId15">
            <o:LockedField>false</o:LockedField>
          </o:OLEObject>
        </w:object>
      </w:r>
    </w:p>
    <w:p w14:paraId="169BC9E9">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4.2: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14:paraId="764439C3">
      <w:pPr>
        <w:spacing w:line="480" w:lineRule="auto"/>
        <w:rPr>
          <w:rFonts w:ascii="Times New Roman" w:hAnsi="Times New Roman" w:eastAsia="SimSun" w:cs="Times New Roman"/>
          <w:b/>
          <w:bCs/>
          <w:sz w:val="24"/>
          <w:szCs w:val="24"/>
        </w:rPr>
      </w:pPr>
    </w:p>
    <w:p w14:paraId="7E8C6D39">
      <w:pPr>
        <w:spacing w:line="480" w:lineRule="auto"/>
        <w:rPr>
          <w:rFonts w:ascii="Times New Roman" w:hAnsi="Times New Roman" w:eastAsia="SimSun" w:cs="Times New Roman"/>
          <w:b/>
          <w:bCs/>
          <w:sz w:val="24"/>
          <w:szCs w:val="24"/>
        </w:rPr>
      </w:pPr>
    </w:p>
    <w:p w14:paraId="10D319D0">
      <w:pPr>
        <w:pStyle w:val="3"/>
        <w:bidi w:val="0"/>
      </w:pPr>
      <w:bookmarkStart w:id="137" w:name="_Toc32693"/>
      <w:bookmarkStart w:id="138" w:name="_Toc7715"/>
      <w:bookmarkStart w:id="139" w:name="_Toc31369"/>
      <w:r>
        <w:t>4.4 GC-MS Analysis of</w:t>
      </w:r>
      <w:r>
        <w:rPr>
          <w:i/>
          <w:iCs/>
        </w:rPr>
        <w:t xml:space="preserve"> Syzygium aromaticum</w:t>
      </w:r>
      <w:r>
        <w:t xml:space="preserve"> Aqueous Extract</w:t>
      </w:r>
      <w:bookmarkEnd w:id="137"/>
      <w:bookmarkEnd w:id="138"/>
      <w:bookmarkEnd w:id="139"/>
    </w:p>
    <w:p w14:paraId="37662DEA">
      <w:pPr>
        <w:spacing w:line="480" w:lineRule="auto"/>
        <w:jc w:val="both"/>
        <w:rPr>
          <w:rFonts w:ascii="Times New Roman" w:hAnsi="Times New Roman" w:eastAsia="SimSun" w:cs="Times New Roman"/>
          <w:b/>
          <w:bCs/>
          <w:sz w:val="24"/>
          <w:szCs w:val="24"/>
        </w:rPr>
      </w:pPr>
      <w:r>
        <w:rPr>
          <w:rFonts w:ascii="Times New Roman" w:hAnsi="Times New Roman" w:cs="Times New Roman"/>
          <w:bCs/>
          <w:color w:val="000000" w:themeColor="text1"/>
          <w:sz w:val="24"/>
          <w:szCs w:val="24"/>
          <w14:textFill>
            <w14:solidFill>
              <w14:schemeClr w14:val="tx1"/>
            </w14:solidFill>
          </w14:textFill>
        </w:rPr>
        <w:t xml:space="preserve">The </w:t>
      </w:r>
      <w:r>
        <w:rPr>
          <w:rFonts w:ascii="Times New Roman" w:hAnsi="Times New Roman" w:eastAsia="SimSun" w:cs="Times New Roman"/>
          <w:i/>
          <w:iCs/>
          <w:sz w:val="24"/>
          <w:szCs w:val="24"/>
        </w:rPr>
        <w:t xml:space="preserve">Syzygium aromaticum </w:t>
      </w:r>
      <w:r>
        <w:rPr>
          <w:rFonts w:ascii="Times New Roman" w:hAnsi="Times New Roman" w:eastAsia="SimSun" w:cs="Times New Roman"/>
          <w:sz w:val="24"/>
          <w:szCs w:val="24"/>
        </w:rPr>
        <w:t>aqueous extract</w:t>
      </w:r>
      <w:r>
        <w:rPr>
          <w:rFonts w:ascii="Times New Roman" w:hAnsi="Times New Roman" w:cs="Times New Roman"/>
          <w:bCs/>
          <w:color w:val="000000" w:themeColor="text1"/>
          <w:sz w:val="24"/>
          <w:szCs w:val="24"/>
          <w14:textFill>
            <w14:solidFill>
              <w14:schemeClr w14:val="tx1"/>
            </w14:solidFill>
          </w14:textFill>
        </w:rPr>
        <w:t>, upon identifying its bioactive compounds by GC-MS, showed thirteen (13) peaks (Figure 4.3) having twenty-seven (27) compounds (Table 4.2).</w:t>
      </w:r>
    </w:p>
    <w:p w14:paraId="4890E3FB">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drawing>
          <wp:inline distT="0" distB="0" distL="0" distR="0">
            <wp:extent cx="5274310" cy="3026410"/>
            <wp:effectExtent l="0" t="0" r="2540" b="2540"/>
            <wp:docPr id="61846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7917"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3026410"/>
                    </a:xfrm>
                    <a:prstGeom prst="rect">
                      <a:avLst/>
                    </a:prstGeom>
                  </pic:spPr>
                </pic:pic>
              </a:graphicData>
            </a:graphic>
          </wp:inline>
        </w:drawing>
      </w:r>
    </w:p>
    <w:p w14:paraId="661EC378">
      <w:pPr>
        <w:spacing w:line="480" w:lineRule="auto"/>
        <w:rPr>
          <w:rFonts w:ascii="Times New Roman" w:hAnsi="Times New Roman" w:eastAsia="SimSun" w:cs="Times New Roman"/>
          <w:sz w:val="24"/>
          <w:szCs w:val="24"/>
        </w:rPr>
      </w:pPr>
    </w:p>
    <w:p w14:paraId="1517A8D9">
      <w:pPr>
        <w:spacing w:line="480" w:lineRule="auto"/>
        <w:rPr>
          <w:rFonts w:ascii="Times New Roman" w:hAnsi="Times New Roman" w:eastAsia="SimSun" w:cs="Times New Roman"/>
          <w:b/>
          <w:bCs/>
          <w:sz w:val="24"/>
          <w:szCs w:val="24"/>
        </w:rPr>
      </w:pPr>
      <w:r>
        <w:rPr>
          <w:rFonts w:ascii="Times New Roman" w:hAnsi="Times New Roman" w:cs="Times New Roman"/>
          <w:b/>
          <w:bCs/>
          <w:color w:val="000000" w:themeColor="text1"/>
          <w:sz w:val="24"/>
          <w:szCs w:val="24"/>
          <w14:textFill>
            <w14:solidFill>
              <w14:schemeClr w14:val="tx1"/>
            </w14:solidFill>
          </w14:textFill>
        </w:rPr>
        <w:t xml:space="preserve">Figure 4.3: GC-MS Chromatogram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p w14:paraId="4A535C43">
      <w:pPr>
        <w:spacing w:line="480" w:lineRule="auto"/>
        <w:rPr>
          <w:rFonts w:ascii="Times New Roman" w:hAnsi="Times New Roman" w:eastAsia="SimSun" w:cs="Times New Roman"/>
          <w:b/>
          <w:bCs/>
          <w:sz w:val="24"/>
          <w:szCs w:val="24"/>
        </w:rPr>
      </w:pPr>
    </w:p>
    <w:p w14:paraId="618D928A">
      <w:pPr>
        <w:spacing w:line="480" w:lineRule="auto"/>
        <w:rPr>
          <w:rFonts w:ascii="Times New Roman" w:hAnsi="Times New Roman" w:eastAsia="SimSun" w:cs="Times New Roman"/>
          <w:b/>
          <w:bCs/>
          <w:sz w:val="24"/>
          <w:szCs w:val="24"/>
        </w:rPr>
      </w:pPr>
    </w:p>
    <w:p w14:paraId="7BDA496F">
      <w:pPr>
        <w:spacing w:line="480" w:lineRule="auto"/>
        <w:rPr>
          <w:rFonts w:ascii="Times New Roman" w:hAnsi="Times New Roman" w:eastAsia="SimSun" w:cs="Times New Roman"/>
          <w:b/>
          <w:bCs/>
          <w:sz w:val="24"/>
          <w:szCs w:val="24"/>
        </w:rPr>
      </w:pPr>
    </w:p>
    <w:p w14:paraId="7B80F8D2">
      <w:pPr>
        <w:spacing w:line="480" w:lineRule="auto"/>
        <w:rPr>
          <w:rFonts w:ascii="Times New Roman" w:hAnsi="Times New Roman" w:eastAsia="SimSun" w:cs="Times New Roman"/>
          <w:b/>
          <w:bCs/>
          <w:sz w:val="24"/>
          <w:szCs w:val="24"/>
        </w:rPr>
      </w:pPr>
    </w:p>
    <w:p w14:paraId="4BD3BF1F">
      <w:pPr>
        <w:spacing w:line="480" w:lineRule="auto"/>
        <w:rPr>
          <w:rFonts w:ascii="Times New Roman" w:hAnsi="Times New Roman" w:eastAsia="SimSun" w:cs="Times New Roman"/>
          <w:b/>
          <w:bCs/>
          <w:sz w:val="24"/>
          <w:szCs w:val="24"/>
        </w:rPr>
      </w:pPr>
    </w:p>
    <w:p w14:paraId="6A838ED8">
      <w:pPr>
        <w:spacing w:line="480" w:lineRule="auto"/>
        <w:rPr>
          <w:rFonts w:ascii="Times New Roman" w:hAnsi="Times New Roman" w:eastAsia="SimSun" w:cs="Times New Roman"/>
          <w:b/>
          <w:bCs/>
          <w:sz w:val="24"/>
          <w:szCs w:val="24"/>
        </w:rPr>
      </w:pPr>
    </w:p>
    <w:p w14:paraId="66F5FBD7">
      <w:pPr>
        <w:spacing w:line="480" w:lineRule="auto"/>
        <w:rPr>
          <w:rFonts w:ascii="Times New Roman" w:hAnsi="Times New Roman" w:eastAsia="SimSun" w:cs="Times New Roman"/>
          <w:b/>
          <w:bCs/>
          <w:sz w:val="24"/>
          <w:szCs w:val="24"/>
        </w:rPr>
      </w:pPr>
    </w:p>
    <w:p w14:paraId="634AA148">
      <w:pPr>
        <w:spacing w:line="480" w:lineRule="auto"/>
        <w:rPr>
          <w:rFonts w:ascii="Times New Roman" w:hAnsi="Times New Roman" w:eastAsia="SimSun" w:cs="Times New Roman"/>
          <w:b/>
          <w:bCs/>
          <w:sz w:val="24"/>
          <w:szCs w:val="24"/>
        </w:rPr>
      </w:pPr>
    </w:p>
    <w:p w14:paraId="14FE04BD">
      <w:pPr>
        <w:spacing w:line="480" w:lineRule="auto"/>
        <w:rPr>
          <w:rFonts w:ascii="Times New Roman" w:hAnsi="Times New Roman" w:eastAsia="SimSun" w:cs="Times New Roman"/>
          <w:b/>
          <w:bCs/>
          <w:sz w:val="24"/>
          <w:szCs w:val="24"/>
        </w:rPr>
      </w:pPr>
    </w:p>
    <w:p w14:paraId="3209398B">
      <w:pPr>
        <w:spacing w:line="480" w:lineRule="auto"/>
        <w:rPr>
          <w:rFonts w:ascii="Times New Roman" w:hAnsi="Times New Roman" w:eastAsia="SimSun" w:cs="Times New Roman"/>
          <w:b/>
          <w:bCs/>
          <w:sz w:val="24"/>
          <w:szCs w:val="24"/>
        </w:rPr>
      </w:pPr>
    </w:p>
    <w:p w14:paraId="2D84A91C">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Table 4.2: GC-MS Results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tbl>
      <w:tblPr>
        <w:tblStyle w:val="6"/>
        <w:tblpPr w:leftFromText="180" w:rightFromText="180" w:vertAnchor="page" w:horzAnchor="margin" w:tblpXSpec="center" w:tblpY="2161"/>
        <w:tblW w:w="10515" w:type="dxa"/>
        <w:tblInd w:w="0" w:type="dxa"/>
        <w:tblLayout w:type="fixed"/>
        <w:tblCellMar>
          <w:top w:w="0" w:type="dxa"/>
          <w:left w:w="108" w:type="dxa"/>
          <w:bottom w:w="0" w:type="dxa"/>
          <w:right w:w="108" w:type="dxa"/>
        </w:tblCellMar>
      </w:tblPr>
      <w:tblGrid>
        <w:gridCol w:w="656"/>
        <w:gridCol w:w="774"/>
        <w:gridCol w:w="907"/>
        <w:gridCol w:w="857"/>
        <w:gridCol w:w="4317"/>
        <w:gridCol w:w="1319"/>
        <w:gridCol w:w="1685"/>
      </w:tblGrid>
      <w:tr w14:paraId="3F82E667">
        <w:tc>
          <w:tcPr>
            <w:tcW w:w="656" w:type="dxa"/>
            <w:tcBorders>
              <w:top w:val="single" w:color="auto" w:sz="8" w:space="0"/>
              <w:bottom w:val="single" w:color="auto" w:sz="8" w:space="0"/>
            </w:tcBorders>
          </w:tcPr>
          <w:p w14:paraId="16F08488">
            <w:pPr>
              <w:rPr>
                <w:rFonts w:ascii="Times New Roman" w:hAnsi="Times New Roman" w:cs="Times New Roman"/>
                <w:b/>
                <w:bCs/>
                <w:sz w:val="22"/>
                <w:szCs w:val="22"/>
              </w:rPr>
            </w:pPr>
            <w:r>
              <w:rPr>
                <w:rFonts w:ascii="Times New Roman" w:hAnsi="Times New Roman" w:cs="Times New Roman"/>
                <w:b/>
                <w:bCs/>
                <w:sz w:val="22"/>
                <w:szCs w:val="22"/>
              </w:rPr>
              <w:t>S/N</w:t>
            </w:r>
          </w:p>
        </w:tc>
        <w:tc>
          <w:tcPr>
            <w:tcW w:w="774" w:type="dxa"/>
            <w:tcBorders>
              <w:top w:val="single" w:color="auto" w:sz="8" w:space="0"/>
              <w:bottom w:val="single" w:color="auto" w:sz="8" w:space="0"/>
            </w:tcBorders>
          </w:tcPr>
          <w:p w14:paraId="24190BF5">
            <w:pPr>
              <w:rPr>
                <w:rFonts w:ascii="Times New Roman" w:hAnsi="Times New Roman" w:cs="Times New Roman"/>
                <w:b/>
                <w:bCs/>
                <w:sz w:val="24"/>
                <w:szCs w:val="24"/>
              </w:rPr>
            </w:pPr>
            <w:r>
              <w:rPr>
                <w:rFonts w:ascii="Times New Roman" w:hAnsi="Times New Roman" w:cs="Times New Roman"/>
                <w:b/>
                <w:bCs/>
                <w:sz w:val="24"/>
                <w:szCs w:val="24"/>
              </w:rPr>
              <w:t>Peak</w:t>
            </w:r>
          </w:p>
        </w:tc>
        <w:tc>
          <w:tcPr>
            <w:tcW w:w="907" w:type="dxa"/>
            <w:tcBorders>
              <w:top w:val="single" w:color="auto" w:sz="8" w:space="0"/>
              <w:bottom w:val="single" w:color="auto" w:sz="8" w:space="0"/>
            </w:tcBorders>
          </w:tcPr>
          <w:p w14:paraId="6FEC7278">
            <w:pPr>
              <w:rPr>
                <w:rFonts w:ascii="Times New Roman" w:hAnsi="Times New Roman" w:cs="Times New Roman"/>
                <w:b/>
                <w:bCs/>
                <w:sz w:val="24"/>
                <w:szCs w:val="24"/>
              </w:rPr>
            </w:pPr>
            <w:r>
              <w:rPr>
                <w:rFonts w:ascii="Times New Roman" w:hAnsi="Times New Roman" w:cs="Times New Roman"/>
                <w:b/>
                <w:bCs/>
                <w:sz w:val="24"/>
                <w:szCs w:val="24"/>
              </w:rPr>
              <w:t>RT</w:t>
            </w:r>
          </w:p>
        </w:tc>
        <w:tc>
          <w:tcPr>
            <w:tcW w:w="857" w:type="dxa"/>
            <w:tcBorders>
              <w:top w:val="single" w:color="auto" w:sz="8" w:space="0"/>
              <w:bottom w:val="single" w:color="auto" w:sz="8" w:space="0"/>
            </w:tcBorders>
          </w:tcPr>
          <w:p w14:paraId="5CF055D6">
            <w:pPr>
              <w:rPr>
                <w:rFonts w:ascii="Times New Roman" w:hAnsi="Times New Roman" w:cs="Times New Roman"/>
                <w:b/>
                <w:bCs/>
                <w:sz w:val="24"/>
                <w:szCs w:val="24"/>
              </w:rPr>
            </w:pPr>
            <w:r>
              <w:rPr>
                <w:rFonts w:ascii="Times New Roman" w:hAnsi="Times New Roman" w:cs="Times New Roman"/>
                <w:b/>
                <w:bCs/>
                <w:sz w:val="24"/>
                <w:szCs w:val="24"/>
              </w:rPr>
              <w:t>Area (%)</w:t>
            </w:r>
          </w:p>
        </w:tc>
        <w:tc>
          <w:tcPr>
            <w:tcW w:w="4317" w:type="dxa"/>
            <w:tcBorders>
              <w:top w:val="single" w:color="auto" w:sz="8" w:space="0"/>
              <w:bottom w:val="single" w:color="auto" w:sz="8" w:space="0"/>
            </w:tcBorders>
          </w:tcPr>
          <w:p w14:paraId="0B19D07B">
            <w:pPr>
              <w:rPr>
                <w:rFonts w:ascii="Times New Roman" w:hAnsi="Times New Roman" w:cs="Times New Roman"/>
                <w:b/>
                <w:bCs/>
                <w:sz w:val="24"/>
                <w:szCs w:val="24"/>
              </w:rPr>
            </w:pPr>
            <w:r>
              <w:rPr>
                <w:rFonts w:ascii="Times New Roman" w:hAnsi="Times New Roman" w:cs="Times New Roman"/>
                <w:b/>
                <w:bCs/>
                <w:sz w:val="24"/>
                <w:szCs w:val="24"/>
              </w:rPr>
              <w:t>Compound Name</w:t>
            </w:r>
          </w:p>
        </w:tc>
        <w:tc>
          <w:tcPr>
            <w:tcW w:w="1319" w:type="dxa"/>
            <w:tcBorders>
              <w:top w:val="single" w:color="auto" w:sz="8" w:space="0"/>
              <w:bottom w:val="single" w:color="auto" w:sz="8" w:space="0"/>
            </w:tcBorders>
          </w:tcPr>
          <w:p w14:paraId="785FBB13">
            <w:pPr>
              <w:rPr>
                <w:rFonts w:ascii="Times New Roman" w:hAnsi="Times New Roman" w:cs="Times New Roman"/>
                <w:b/>
                <w:bCs/>
                <w:sz w:val="24"/>
                <w:szCs w:val="24"/>
              </w:rPr>
            </w:pPr>
            <w:r>
              <w:rPr>
                <w:rFonts w:ascii="Times New Roman" w:hAnsi="Times New Roman" w:cs="Times New Roman"/>
                <w:b/>
                <w:bCs/>
                <w:sz w:val="24"/>
                <w:szCs w:val="24"/>
              </w:rPr>
              <w:t xml:space="preserve">Molecular </w:t>
            </w:r>
          </w:p>
          <w:p w14:paraId="0B98B12E">
            <w:pPr>
              <w:rPr>
                <w:rFonts w:ascii="Times New Roman" w:hAnsi="Times New Roman" w:cs="Times New Roman"/>
                <w:b/>
                <w:bCs/>
                <w:sz w:val="24"/>
                <w:szCs w:val="24"/>
              </w:rPr>
            </w:pPr>
            <w:r>
              <w:rPr>
                <w:rFonts w:ascii="Times New Roman" w:hAnsi="Times New Roman" w:cs="Times New Roman"/>
                <w:b/>
                <w:bCs/>
                <w:sz w:val="24"/>
                <w:szCs w:val="24"/>
              </w:rPr>
              <w:t>Weight</w:t>
            </w:r>
          </w:p>
        </w:tc>
        <w:tc>
          <w:tcPr>
            <w:tcW w:w="1685" w:type="dxa"/>
            <w:tcBorders>
              <w:top w:val="single" w:color="auto" w:sz="8" w:space="0"/>
              <w:bottom w:val="single" w:color="auto" w:sz="8" w:space="0"/>
            </w:tcBorders>
          </w:tcPr>
          <w:p w14:paraId="7BD1ED20">
            <w:pPr>
              <w:rPr>
                <w:rFonts w:ascii="Times New Roman" w:hAnsi="Times New Roman" w:cs="Times New Roman"/>
                <w:b/>
                <w:bCs/>
                <w:sz w:val="24"/>
                <w:szCs w:val="24"/>
              </w:rPr>
            </w:pPr>
            <w:r>
              <w:rPr>
                <w:rFonts w:ascii="Times New Roman" w:hAnsi="Times New Roman" w:cs="Times New Roman"/>
                <w:b/>
                <w:bCs/>
                <w:sz w:val="24"/>
                <w:szCs w:val="24"/>
              </w:rPr>
              <w:t>Molecular Formula</w:t>
            </w:r>
          </w:p>
        </w:tc>
      </w:tr>
      <w:tr w14:paraId="09C26783">
        <w:tblPrEx>
          <w:tblCellMar>
            <w:top w:w="0" w:type="dxa"/>
            <w:left w:w="108" w:type="dxa"/>
            <w:bottom w:w="0" w:type="dxa"/>
            <w:right w:w="108" w:type="dxa"/>
          </w:tblCellMar>
        </w:tblPrEx>
        <w:trPr>
          <w:trHeight w:val="216" w:hRule="atLeast"/>
        </w:trPr>
        <w:tc>
          <w:tcPr>
            <w:tcW w:w="656" w:type="dxa"/>
            <w:tcBorders>
              <w:top w:val="single" w:color="auto" w:sz="8" w:space="0"/>
            </w:tcBorders>
          </w:tcPr>
          <w:p w14:paraId="1BCDC7F9">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color="auto" w:sz="8" w:space="0"/>
            </w:tcBorders>
          </w:tcPr>
          <w:p w14:paraId="407D6B08">
            <w:pP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color="auto" w:sz="8" w:space="0"/>
            </w:tcBorders>
          </w:tcPr>
          <w:p w14:paraId="267FE800">
            <w:pPr>
              <w:rPr>
                <w:rFonts w:ascii="Times New Roman" w:hAnsi="Times New Roman" w:cs="Times New Roman"/>
                <w:sz w:val="24"/>
                <w:szCs w:val="24"/>
              </w:rPr>
            </w:pPr>
            <w:r>
              <w:rPr>
                <w:rFonts w:ascii="Times New Roman" w:hAnsi="Times New Roman"/>
                <w:sz w:val="24"/>
                <w:szCs w:val="24"/>
              </w:rPr>
              <w:t>3.591</w:t>
            </w:r>
          </w:p>
        </w:tc>
        <w:tc>
          <w:tcPr>
            <w:tcW w:w="857" w:type="dxa"/>
            <w:tcBorders>
              <w:top w:val="single" w:color="auto" w:sz="8" w:space="0"/>
            </w:tcBorders>
          </w:tcPr>
          <w:p w14:paraId="13F41687">
            <w:pPr>
              <w:rPr>
                <w:rFonts w:ascii="Times New Roman" w:hAnsi="Times New Roman" w:cs="Times New Roman"/>
                <w:sz w:val="24"/>
                <w:szCs w:val="24"/>
              </w:rPr>
            </w:pPr>
            <w:r>
              <w:rPr>
                <w:rFonts w:ascii="Times New Roman" w:hAnsi="Times New Roman" w:cs="Times New Roman"/>
                <w:sz w:val="24"/>
                <w:szCs w:val="24"/>
              </w:rPr>
              <w:t>2.67</w:t>
            </w:r>
          </w:p>
        </w:tc>
        <w:tc>
          <w:tcPr>
            <w:tcW w:w="4317" w:type="dxa"/>
            <w:tcBorders>
              <w:top w:val="single" w:color="auto" w:sz="8" w:space="0"/>
            </w:tcBorders>
          </w:tcPr>
          <w:p w14:paraId="1610FA4F">
            <w:pPr>
              <w:rPr>
                <w:rFonts w:ascii="Times New Roman" w:hAnsi="Times New Roman" w:cs="Times New Roman"/>
                <w:sz w:val="24"/>
                <w:szCs w:val="24"/>
              </w:rPr>
            </w:pPr>
            <w:r>
              <w:rPr>
                <w:rFonts w:ascii="Times New Roman" w:hAnsi="Times New Roman"/>
                <w:sz w:val="24"/>
                <w:szCs w:val="24"/>
              </w:rPr>
              <w:t>Benzene, 1-ethyl-2-methyl-</w:t>
            </w:r>
          </w:p>
        </w:tc>
        <w:tc>
          <w:tcPr>
            <w:tcW w:w="1319" w:type="dxa"/>
            <w:tcBorders>
              <w:top w:val="single" w:color="auto" w:sz="8" w:space="0"/>
            </w:tcBorders>
          </w:tcPr>
          <w:p w14:paraId="245F6432">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Borders>
              <w:top w:val="single" w:color="auto" w:sz="8" w:space="0"/>
            </w:tcBorders>
          </w:tcPr>
          <w:p w14:paraId="7A938E2E">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7522A1B">
        <w:tblPrEx>
          <w:tblCellMar>
            <w:top w:w="0" w:type="dxa"/>
            <w:left w:w="108" w:type="dxa"/>
            <w:bottom w:w="0" w:type="dxa"/>
            <w:right w:w="108" w:type="dxa"/>
          </w:tblCellMar>
        </w:tblPrEx>
        <w:tc>
          <w:tcPr>
            <w:tcW w:w="656" w:type="dxa"/>
          </w:tcPr>
          <w:p w14:paraId="0209B62E">
            <w:pPr>
              <w:rPr>
                <w:rFonts w:ascii="Times New Roman" w:hAnsi="Times New Roman" w:cs="Times New Roman"/>
                <w:sz w:val="24"/>
                <w:szCs w:val="24"/>
              </w:rPr>
            </w:pPr>
            <w:r>
              <w:rPr>
                <w:rFonts w:ascii="Times New Roman" w:hAnsi="Times New Roman" w:cs="Times New Roman"/>
                <w:sz w:val="24"/>
                <w:szCs w:val="24"/>
              </w:rPr>
              <w:t>2</w:t>
            </w:r>
          </w:p>
        </w:tc>
        <w:tc>
          <w:tcPr>
            <w:tcW w:w="774" w:type="dxa"/>
          </w:tcPr>
          <w:p w14:paraId="499EAEEB">
            <w:pPr>
              <w:rPr>
                <w:rFonts w:ascii="Times New Roman" w:hAnsi="Times New Roman" w:cs="Times New Roman"/>
                <w:sz w:val="24"/>
                <w:szCs w:val="24"/>
              </w:rPr>
            </w:pPr>
            <w:r>
              <w:rPr>
                <w:rFonts w:ascii="Times New Roman" w:hAnsi="Times New Roman" w:cs="Times New Roman"/>
                <w:sz w:val="24"/>
                <w:szCs w:val="24"/>
              </w:rPr>
              <w:t>1</w:t>
            </w:r>
          </w:p>
        </w:tc>
        <w:tc>
          <w:tcPr>
            <w:tcW w:w="907" w:type="dxa"/>
          </w:tcPr>
          <w:p w14:paraId="67A94DA7">
            <w:pPr>
              <w:rPr>
                <w:rFonts w:ascii="Times New Roman" w:hAnsi="Times New Roman" w:cs="Times New Roman"/>
                <w:sz w:val="24"/>
                <w:szCs w:val="24"/>
              </w:rPr>
            </w:pPr>
            <w:r>
              <w:rPr>
                <w:rFonts w:ascii="Times New Roman" w:hAnsi="Times New Roman"/>
                <w:sz w:val="24"/>
                <w:szCs w:val="24"/>
              </w:rPr>
              <w:t>3.591</w:t>
            </w:r>
          </w:p>
        </w:tc>
        <w:tc>
          <w:tcPr>
            <w:tcW w:w="857" w:type="dxa"/>
          </w:tcPr>
          <w:p w14:paraId="6515002B">
            <w:pPr>
              <w:rPr>
                <w:rFonts w:ascii="Times New Roman" w:hAnsi="Times New Roman" w:cs="Times New Roman"/>
                <w:sz w:val="24"/>
                <w:szCs w:val="24"/>
              </w:rPr>
            </w:pPr>
            <w:r>
              <w:rPr>
                <w:rFonts w:ascii="Times New Roman" w:hAnsi="Times New Roman" w:cs="Times New Roman"/>
                <w:sz w:val="24"/>
                <w:szCs w:val="24"/>
              </w:rPr>
              <w:t>2.67</w:t>
            </w:r>
          </w:p>
        </w:tc>
        <w:tc>
          <w:tcPr>
            <w:tcW w:w="4317" w:type="dxa"/>
          </w:tcPr>
          <w:p w14:paraId="71B45F2A">
            <w:pPr>
              <w:rPr>
                <w:rFonts w:ascii="Times New Roman" w:hAnsi="Times New Roman" w:cs="Times New Roman"/>
                <w:sz w:val="24"/>
                <w:szCs w:val="24"/>
              </w:rPr>
            </w:pPr>
            <w:r>
              <w:rPr>
                <w:rFonts w:ascii="Times New Roman" w:hAnsi="Times New Roman" w:eastAsia="SimSun" w:cs="Times New Roman"/>
                <w:sz w:val="24"/>
                <w:szCs w:val="24"/>
              </w:rPr>
              <w:t>Benzene, 1-ethyl-4-methyl-</w:t>
            </w:r>
          </w:p>
        </w:tc>
        <w:tc>
          <w:tcPr>
            <w:tcW w:w="1319" w:type="dxa"/>
          </w:tcPr>
          <w:p w14:paraId="2FB3BD87">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1D7AB3D8">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2A5F1A49">
        <w:tblPrEx>
          <w:tblCellMar>
            <w:top w:w="0" w:type="dxa"/>
            <w:left w:w="108" w:type="dxa"/>
            <w:bottom w:w="0" w:type="dxa"/>
            <w:right w:w="108" w:type="dxa"/>
          </w:tblCellMar>
        </w:tblPrEx>
        <w:tc>
          <w:tcPr>
            <w:tcW w:w="656" w:type="dxa"/>
          </w:tcPr>
          <w:p w14:paraId="76260FF8">
            <w:pPr>
              <w:rPr>
                <w:rFonts w:ascii="Times New Roman" w:hAnsi="Times New Roman" w:cs="Times New Roman"/>
                <w:sz w:val="24"/>
                <w:szCs w:val="24"/>
              </w:rPr>
            </w:pPr>
            <w:r>
              <w:rPr>
                <w:rFonts w:ascii="Times New Roman" w:hAnsi="Times New Roman" w:cs="Times New Roman"/>
                <w:sz w:val="24"/>
                <w:szCs w:val="24"/>
              </w:rPr>
              <w:t>3</w:t>
            </w:r>
          </w:p>
        </w:tc>
        <w:tc>
          <w:tcPr>
            <w:tcW w:w="774" w:type="dxa"/>
          </w:tcPr>
          <w:p w14:paraId="2D3F85D8">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78FE86E8">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14:paraId="578A7182">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7531728C">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14:paraId="05045B66">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13331952">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FB6AD90">
        <w:tblPrEx>
          <w:tblCellMar>
            <w:top w:w="0" w:type="dxa"/>
            <w:left w:w="108" w:type="dxa"/>
            <w:bottom w:w="0" w:type="dxa"/>
            <w:right w:w="108" w:type="dxa"/>
          </w:tblCellMar>
        </w:tblPrEx>
        <w:trPr>
          <w:trHeight w:val="285" w:hRule="atLeast"/>
        </w:trPr>
        <w:tc>
          <w:tcPr>
            <w:tcW w:w="656" w:type="dxa"/>
          </w:tcPr>
          <w:p w14:paraId="1D801E8A">
            <w:pPr>
              <w:rPr>
                <w:rFonts w:ascii="Times New Roman" w:hAnsi="Times New Roman" w:cs="Times New Roman"/>
                <w:sz w:val="24"/>
                <w:szCs w:val="24"/>
              </w:rPr>
            </w:pPr>
            <w:r>
              <w:rPr>
                <w:rFonts w:ascii="Times New Roman" w:hAnsi="Times New Roman" w:cs="Times New Roman"/>
                <w:sz w:val="24"/>
                <w:szCs w:val="24"/>
              </w:rPr>
              <w:t>4</w:t>
            </w:r>
          </w:p>
        </w:tc>
        <w:tc>
          <w:tcPr>
            <w:tcW w:w="774" w:type="dxa"/>
          </w:tcPr>
          <w:p w14:paraId="57205A90">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0F3F3CA1">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14:paraId="080598B3">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59BFC4F2">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14:paraId="2CF3616A">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0FECEFC2">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49002894">
        <w:tblPrEx>
          <w:tblCellMar>
            <w:top w:w="0" w:type="dxa"/>
            <w:left w:w="108" w:type="dxa"/>
            <w:bottom w:w="0" w:type="dxa"/>
            <w:right w:w="108" w:type="dxa"/>
          </w:tblCellMar>
        </w:tblPrEx>
        <w:tc>
          <w:tcPr>
            <w:tcW w:w="656" w:type="dxa"/>
          </w:tcPr>
          <w:p w14:paraId="6E2D16BF">
            <w:pPr>
              <w:rPr>
                <w:rFonts w:ascii="Times New Roman" w:hAnsi="Times New Roman" w:cs="Times New Roman"/>
                <w:sz w:val="24"/>
                <w:szCs w:val="24"/>
              </w:rPr>
            </w:pPr>
            <w:r>
              <w:rPr>
                <w:rFonts w:ascii="Times New Roman" w:hAnsi="Times New Roman" w:cs="Times New Roman"/>
                <w:sz w:val="24"/>
                <w:szCs w:val="24"/>
              </w:rPr>
              <w:t>5</w:t>
            </w:r>
          </w:p>
        </w:tc>
        <w:tc>
          <w:tcPr>
            <w:tcW w:w="774" w:type="dxa"/>
          </w:tcPr>
          <w:p w14:paraId="52CE8862">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58530020">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14:paraId="0338B461">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14:paraId="316C9E2B">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14:paraId="2EFCA28E">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2CF4DE48">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28459E7C">
        <w:tblPrEx>
          <w:tblCellMar>
            <w:top w:w="0" w:type="dxa"/>
            <w:left w:w="108" w:type="dxa"/>
            <w:bottom w:w="0" w:type="dxa"/>
            <w:right w:w="108" w:type="dxa"/>
          </w:tblCellMar>
        </w:tblPrEx>
        <w:tc>
          <w:tcPr>
            <w:tcW w:w="656" w:type="dxa"/>
          </w:tcPr>
          <w:p w14:paraId="262186FD">
            <w:pPr>
              <w:rPr>
                <w:rFonts w:ascii="Times New Roman" w:hAnsi="Times New Roman" w:cs="Times New Roman"/>
                <w:sz w:val="24"/>
                <w:szCs w:val="24"/>
              </w:rPr>
            </w:pPr>
            <w:r>
              <w:rPr>
                <w:rFonts w:ascii="Times New Roman" w:hAnsi="Times New Roman" w:cs="Times New Roman"/>
                <w:sz w:val="24"/>
                <w:szCs w:val="24"/>
              </w:rPr>
              <w:t>6</w:t>
            </w:r>
          </w:p>
        </w:tc>
        <w:tc>
          <w:tcPr>
            <w:tcW w:w="774" w:type="dxa"/>
          </w:tcPr>
          <w:p w14:paraId="6F446DDA">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2F372B26">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14:paraId="727F1A75">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14:paraId="1126E98D">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14:paraId="1CDA8132">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059B0CC5">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CB07CD6">
        <w:tblPrEx>
          <w:tblCellMar>
            <w:top w:w="0" w:type="dxa"/>
            <w:left w:w="108" w:type="dxa"/>
            <w:bottom w:w="0" w:type="dxa"/>
            <w:right w:w="108" w:type="dxa"/>
          </w:tblCellMar>
        </w:tblPrEx>
        <w:tc>
          <w:tcPr>
            <w:tcW w:w="656" w:type="dxa"/>
          </w:tcPr>
          <w:p w14:paraId="11DDC860">
            <w:pPr>
              <w:rPr>
                <w:rFonts w:ascii="Times New Roman" w:hAnsi="Times New Roman" w:cs="Times New Roman"/>
                <w:sz w:val="24"/>
                <w:szCs w:val="24"/>
              </w:rPr>
            </w:pPr>
            <w:r>
              <w:rPr>
                <w:rFonts w:ascii="Times New Roman" w:hAnsi="Times New Roman" w:cs="Times New Roman"/>
                <w:sz w:val="24"/>
                <w:szCs w:val="24"/>
              </w:rPr>
              <w:t>7</w:t>
            </w:r>
          </w:p>
        </w:tc>
        <w:tc>
          <w:tcPr>
            <w:tcW w:w="774" w:type="dxa"/>
          </w:tcPr>
          <w:p w14:paraId="045CCFBD">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779A365C">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72246A2B">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7A09F279">
            <w:pPr>
              <w:rPr>
                <w:rFonts w:ascii="Times New Roman" w:hAnsi="Times New Roman" w:cs="Times New Roman"/>
                <w:sz w:val="24"/>
                <w:szCs w:val="24"/>
              </w:rPr>
            </w:pPr>
            <w:r>
              <w:rPr>
                <w:rFonts w:ascii="Times New Roman" w:hAnsi="Times New Roman" w:eastAsia="SimSun" w:cs="Times New Roman"/>
                <w:sz w:val="24"/>
                <w:szCs w:val="24"/>
              </w:rPr>
              <w:t>Carbonic acid, octadecyl vinyl ester</w:t>
            </w:r>
          </w:p>
        </w:tc>
        <w:tc>
          <w:tcPr>
            <w:tcW w:w="1319" w:type="dxa"/>
          </w:tcPr>
          <w:p w14:paraId="6AA7F9BA">
            <w:pPr>
              <w:rPr>
                <w:rFonts w:ascii="Times New Roman" w:hAnsi="Times New Roman" w:cs="Times New Roman"/>
                <w:sz w:val="24"/>
                <w:szCs w:val="24"/>
              </w:rPr>
            </w:pPr>
            <w:r>
              <w:rPr>
                <w:rFonts w:ascii="Times New Roman" w:hAnsi="Times New Roman"/>
                <w:sz w:val="24"/>
                <w:szCs w:val="24"/>
              </w:rPr>
              <w:t>340.54</w:t>
            </w:r>
          </w:p>
        </w:tc>
        <w:tc>
          <w:tcPr>
            <w:tcW w:w="1685" w:type="dxa"/>
          </w:tcPr>
          <w:p w14:paraId="49243275">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21</w:t>
            </w:r>
            <w:r>
              <w:rPr>
                <w:rFonts w:ascii="Times New Roman" w:hAnsi="Times New Roman"/>
                <w:sz w:val="24"/>
                <w:szCs w:val="24"/>
              </w:rPr>
              <w:t>H</w:t>
            </w:r>
            <w:r>
              <w:rPr>
                <w:rFonts w:ascii="Times New Roman" w:hAnsi="Times New Roman"/>
                <w:sz w:val="24"/>
                <w:szCs w:val="24"/>
                <w:vertAlign w:val="subscript"/>
              </w:rPr>
              <w:t>40</w:t>
            </w:r>
            <w:r>
              <w:rPr>
                <w:rFonts w:ascii="Times New Roman" w:hAnsi="Times New Roman"/>
                <w:sz w:val="24"/>
                <w:szCs w:val="24"/>
              </w:rPr>
              <w:t>O</w:t>
            </w:r>
            <w:r>
              <w:rPr>
                <w:rFonts w:ascii="Times New Roman" w:hAnsi="Times New Roman"/>
                <w:sz w:val="24"/>
                <w:szCs w:val="24"/>
                <w:vertAlign w:val="subscript"/>
              </w:rPr>
              <w:t>3</w:t>
            </w:r>
          </w:p>
        </w:tc>
      </w:tr>
      <w:tr w14:paraId="1EFD375C">
        <w:tblPrEx>
          <w:tblCellMar>
            <w:top w:w="0" w:type="dxa"/>
            <w:left w:w="108" w:type="dxa"/>
            <w:bottom w:w="0" w:type="dxa"/>
            <w:right w:w="108" w:type="dxa"/>
          </w:tblCellMar>
        </w:tblPrEx>
        <w:tc>
          <w:tcPr>
            <w:tcW w:w="656" w:type="dxa"/>
          </w:tcPr>
          <w:p w14:paraId="69B1D869">
            <w:pPr>
              <w:rPr>
                <w:rFonts w:ascii="Times New Roman" w:hAnsi="Times New Roman" w:cs="Times New Roman"/>
                <w:sz w:val="24"/>
                <w:szCs w:val="24"/>
              </w:rPr>
            </w:pPr>
            <w:r>
              <w:rPr>
                <w:rFonts w:ascii="Times New Roman" w:hAnsi="Times New Roman" w:cs="Times New Roman"/>
                <w:sz w:val="24"/>
                <w:szCs w:val="24"/>
              </w:rPr>
              <w:t>8</w:t>
            </w:r>
          </w:p>
        </w:tc>
        <w:tc>
          <w:tcPr>
            <w:tcW w:w="774" w:type="dxa"/>
          </w:tcPr>
          <w:p w14:paraId="66C81699">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2517DF59">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1FE02529">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74FE68D6">
            <w:pPr>
              <w:rPr>
                <w:rFonts w:ascii="Times New Roman" w:hAnsi="Times New Roman" w:cs="Times New Roman"/>
                <w:sz w:val="24"/>
                <w:szCs w:val="24"/>
              </w:rPr>
            </w:pPr>
            <w:r>
              <w:rPr>
                <w:rFonts w:ascii="Times New Roman" w:hAnsi="Times New Roman" w:eastAsia="SimSun" w:cs="Times New Roman"/>
                <w:sz w:val="24"/>
                <w:szCs w:val="24"/>
              </w:rPr>
              <w:t>Methoxyacetic acid, 2-tridecyl ester</w:t>
            </w:r>
          </w:p>
        </w:tc>
        <w:tc>
          <w:tcPr>
            <w:tcW w:w="1319" w:type="dxa"/>
          </w:tcPr>
          <w:p w14:paraId="5F08DCDD">
            <w:pPr>
              <w:rPr>
                <w:rFonts w:ascii="Times New Roman" w:hAnsi="Times New Roman" w:cs="Times New Roman"/>
                <w:sz w:val="24"/>
                <w:szCs w:val="24"/>
              </w:rPr>
            </w:pPr>
            <w:r>
              <w:rPr>
                <w:rFonts w:ascii="Times New Roman" w:hAnsi="Times New Roman" w:eastAsia="SimSun" w:cs="Times New Roman"/>
                <w:sz w:val="24"/>
                <w:szCs w:val="24"/>
                <w:lang w:bidi="ar"/>
              </w:rPr>
              <w:t>272.43</w:t>
            </w:r>
          </w:p>
        </w:tc>
        <w:tc>
          <w:tcPr>
            <w:tcW w:w="1685" w:type="dxa"/>
          </w:tcPr>
          <w:p w14:paraId="720E05B0">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3</w:t>
            </w:r>
          </w:p>
        </w:tc>
      </w:tr>
      <w:tr w14:paraId="0B4B6CF3">
        <w:tblPrEx>
          <w:tblCellMar>
            <w:top w:w="0" w:type="dxa"/>
            <w:left w:w="108" w:type="dxa"/>
            <w:bottom w:w="0" w:type="dxa"/>
            <w:right w:w="108" w:type="dxa"/>
          </w:tblCellMar>
        </w:tblPrEx>
        <w:tc>
          <w:tcPr>
            <w:tcW w:w="656" w:type="dxa"/>
          </w:tcPr>
          <w:p w14:paraId="7341992A">
            <w:pPr>
              <w:rPr>
                <w:rFonts w:ascii="Times New Roman" w:hAnsi="Times New Roman" w:cs="Times New Roman"/>
                <w:sz w:val="24"/>
                <w:szCs w:val="24"/>
              </w:rPr>
            </w:pPr>
            <w:r>
              <w:rPr>
                <w:rFonts w:ascii="Times New Roman" w:hAnsi="Times New Roman" w:cs="Times New Roman"/>
                <w:sz w:val="24"/>
                <w:szCs w:val="24"/>
              </w:rPr>
              <w:t>9</w:t>
            </w:r>
          </w:p>
        </w:tc>
        <w:tc>
          <w:tcPr>
            <w:tcW w:w="774" w:type="dxa"/>
          </w:tcPr>
          <w:p w14:paraId="369DCACF">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5E7A2610">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0F131CDE">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6B471716">
            <w:pPr>
              <w:rPr>
                <w:rFonts w:ascii="Times New Roman" w:hAnsi="Times New Roman" w:cs="Times New Roman"/>
                <w:sz w:val="24"/>
                <w:szCs w:val="24"/>
              </w:rPr>
            </w:pPr>
            <w:r>
              <w:rPr>
                <w:rFonts w:ascii="Times New Roman" w:hAnsi="Times New Roman" w:eastAsia="SimSun" w:cs="Times New Roman"/>
                <w:sz w:val="24"/>
                <w:szCs w:val="24"/>
              </w:rPr>
              <w:t>Carbonic acid, tetradecyl vinyl ester</w:t>
            </w:r>
          </w:p>
        </w:tc>
        <w:tc>
          <w:tcPr>
            <w:tcW w:w="1319" w:type="dxa"/>
          </w:tcPr>
          <w:p w14:paraId="214D87CD">
            <w:pPr>
              <w:rPr>
                <w:rFonts w:ascii="Times New Roman" w:hAnsi="Times New Roman" w:cs="Times New Roman"/>
                <w:sz w:val="24"/>
                <w:szCs w:val="24"/>
              </w:rPr>
            </w:pPr>
            <w:r>
              <w:rPr>
                <w:rFonts w:ascii="Times New Roman" w:hAnsi="Times New Roman"/>
                <w:sz w:val="24"/>
                <w:szCs w:val="24"/>
              </w:rPr>
              <w:t>284.43</w:t>
            </w:r>
          </w:p>
        </w:tc>
        <w:tc>
          <w:tcPr>
            <w:tcW w:w="1685" w:type="dxa"/>
          </w:tcPr>
          <w:p w14:paraId="365F9106">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17</w:t>
            </w:r>
            <w:r>
              <w:rPr>
                <w:rFonts w:ascii="Times New Roman" w:hAnsi="Times New Roman"/>
                <w:sz w:val="24"/>
                <w:szCs w:val="24"/>
              </w:rPr>
              <w:t>H</w:t>
            </w:r>
            <w:r>
              <w:rPr>
                <w:rFonts w:ascii="Times New Roman" w:hAnsi="Times New Roman"/>
                <w:sz w:val="24"/>
                <w:szCs w:val="24"/>
                <w:vertAlign w:val="subscript"/>
              </w:rPr>
              <w:t>32</w:t>
            </w:r>
            <w:r>
              <w:rPr>
                <w:rFonts w:ascii="Times New Roman" w:hAnsi="Times New Roman"/>
                <w:sz w:val="24"/>
                <w:szCs w:val="24"/>
              </w:rPr>
              <w:t>O</w:t>
            </w:r>
            <w:r>
              <w:rPr>
                <w:rFonts w:ascii="Times New Roman" w:hAnsi="Times New Roman"/>
                <w:sz w:val="24"/>
                <w:szCs w:val="24"/>
                <w:vertAlign w:val="subscript"/>
              </w:rPr>
              <w:t>3</w:t>
            </w:r>
          </w:p>
        </w:tc>
      </w:tr>
      <w:tr w14:paraId="15D6A6C6">
        <w:tblPrEx>
          <w:tblCellMar>
            <w:top w:w="0" w:type="dxa"/>
            <w:left w:w="108" w:type="dxa"/>
            <w:bottom w:w="0" w:type="dxa"/>
            <w:right w:w="108" w:type="dxa"/>
          </w:tblCellMar>
        </w:tblPrEx>
        <w:tc>
          <w:tcPr>
            <w:tcW w:w="656" w:type="dxa"/>
          </w:tcPr>
          <w:p w14:paraId="679F4A9E">
            <w:pPr>
              <w:rPr>
                <w:rFonts w:ascii="Times New Roman" w:hAnsi="Times New Roman" w:cs="Times New Roman"/>
                <w:sz w:val="24"/>
                <w:szCs w:val="24"/>
              </w:rPr>
            </w:pPr>
            <w:r>
              <w:rPr>
                <w:rFonts w:ascii="Times New Roman" w:hAnsi="Times New Roman" w:cs="Times New Roman"/>
                <w:sz w:val="24"/>
                <w:szCs w:val="24"/>
              </w:rPr>
              <w:t>10</w:t>
            </w:r>
          </w:p>
        </w:tc>
        <w:tc>
          <w:tcPr>
            <w:tcW w:w="774" w:type="dxa"/>
          </w:tcPr>
          <w:p w14:paraId="64FE6CE8">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0FA4F480">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46447B69">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4C3F4BBA">
            <w:pPr>
              <w:rPr>
                <w:rFonts w:ascii="Times New Roman" w:hAnsi="Times New Roman" w:cs="Times New Roman"/>
                <w:sz w:val="24"/>
                <w:szCs w:val="24"/>
              </w:rPr>
            </w:pPr>
            <w:r>
              <w:rPr>
                <w:rFonts w:ascii="Times New Roman" w:hAnsi="Times New Roman" w:eastAsia="SimSun" w:cs="Times New Roman"/>
                <w:sz w:val="24"/>
                <w:szCs w:val="24"/>
              </w:rPr>
              <w:t>2H-Benzotriazole, 2-ethyl-</w:t>
            </w:r>
          </w:p>
        </w:tc>
        <w:tc>
          <w:tcPr>
            <w:tcW w:w="1319" w:type="dxa"/>
          </w:tcPr>
          <w:p w14:paraId="3348FD95">
            <w:pPr>
              <w:rPr>
                <w:rFonts w:ascii="Times New Roman" w:hAnsi="Times New Roman" w:cs="Times New Roman"/>
                <w:sz w:val="24"/>
                <w:szCs w:val="24"/>
              </w:rPr>
            </w:pPr>
            <w:r>
              <w:rPr>
                <w:rFonts w:ascii="Times New Roman" w:hAnsi="Times New Roman"/>
                <w:sz w:val="24"/>
                <w:szCs w:val="24"/>
              </w:rPr>
              <w:t>147.18</w:t>
            </w:r>
          </w:p>
        </w:tc>
        <w:tc>
          <w:tcPr>
            <w:tcW w:w="1685" w:type="dxa"/>
          </w:tcPr>
          <w:p w14:paraId="1234FCE5">
            <w:pPr>
              <w:rPr>
                <w:rFonts w:ascii="Times New Roman" w:hAnsi="Times New Roman" w:cs="Times New Roman"/>
                <w:sz w:val="24"/>
                <w:szCs w:val="24"/>
              </w:rPr>
            </w:pPr>
            <w:r>
              <w:rPr>
                <w:rFonts w:ascii="Times New Roman" w:hAnsi="Times New Roman" w:eastAsia="Arial" w:cs="Times New Roman"/>
                <w:color w:val="001D35"/>
                <w:sz w:val="24"/>
                <w:szCs w:val="24"/>
                <w:shd w:val="clear" w:color="auto" w:fill="FFFFFF"/>
              </w:rPr>
              <w:t>C</w:t>
            </w:r>
            <w:r>
              <w:rPr>
                <w:rFonts w:ascii="Times New Roman" w:hAnsi="Times New Roman" w:eastAsia="Arial" w:cs="Times New Roman"/>
                <w:color w:val="001D35"/>
                <w:sz w:val="24"/>
                <w:szCs w:val="24"/>
                <w:shd w:val="clear" w:color="auto" w:fill="FFFFFF"/>
                <w:vertAlign w:val="subscript"/>
              </w:rPr>
              <w:t>8</w:t>
            </w:r>
            <w:r>
              <w:rPr>
                <w:rFonts w:ascii="Times New Roman" w:hAnsi="Times New Roman" w:eastAsia="Arial" w:cs="Times New Roman"/>
                <w:color w:val="001D35"/>
                <w:sz w:val="24"/>
                <w:szCs w:val="24"/>
                <w:shd w:val="clear" w:color="auto" w:fill="FFFFFF"/>
              </w:rPr>
              <w:t>H</w:t>
            </w:r>
            <w:r>
              <w:rPr>
                <w:rFonts w:ascii="Times New Roman" w:hAnsi="Times New Roman" w:eastAsia="Arial" w:cs="Times New Roman"/>
                <w:color w:val="001D35"/>
                <w:sz w:val="24"/>
                <w:szCs w:val="24"/>
                <w:shd w:val="clear" w:color="auto" w:fill="FFFFFF"/>
                <w:vertAlign w:val="subscript"/>
              </w:rPr>
              <w:t>9</w:t>
            </w:r>
            <w:r>
              <w:rPr>
                <w:rFonts w:ascii="Times New Roman" w:hAnsi="Times New Roman" w:eastAsia="Arial" w:cs="Times New Roman"/>
                <w:color w:val="001D35"/>
                <w:sz w:val="24"/>
                <w:szCs w:val="24"/>
                <w:shd w:val="clear" w:color="auto" w:fill="FFFFFF"/>
              </w:rPr>
              <w:t>N</w:t>
            </w:r>
            <w:r>
              <w:rPr>
                <w:rFonts w:ascii="Times New Roman" w:hAnsi="Times New Roman" w:eastAsia="Arial" w:cs="Times New Roman"/>
                <w:color w:val="001D35"/>
                <w:sz w:val="24"/>
                <w:szCs w:val="24"/>
                <w:shd w:val="clear" w:color="auto" w:fill="FFFFFF"/>
                <w:vertAlign w:val="subscript"/>
              </w:rPr>
              <w:t>3</w:t>
            </w:r>
          </w:p>
        </w:tc>
      </w:tr>
      <w:tr w14:paraId="4E2476BB">
        <w:tblPrEx>
          <w:tblCellMar>
            <w:top w:w="0" w:type="dxa"/>
            <w:left w:w="108" w:type="dxa"/>
            <w:bottom w:w="0" w:type="dxa"/>
            <w:right w:w="108" w:type="dxa"/>
          </w:tblCellMar>
        </w:tblPrEx>
        <w:tc>
          <w:tcPr>
            <w:tcW w:w="656" w:type="dxa"/>
          </w:tcPr>
          <w:p w14:paraId="66C8BBA4">
            <w:pPr>
              <w:rPr>
                <w:rFonts w:ascii="Times New Roman" w:hAnsi="Times New Roman" w:cs="Times New Roman"/>
                <w:sz w:val="24"/>
                <w:szCs w:val="24"/>
              </w:rPr>
            </w:pPr>
            <w:r>
              <w:rPr>
                <w:rFonts w:ascii="Times New Roman" w:hAnsi="Times New Roman" w:cs="Times New Roman"/>
                <w:sz w:val="24"/>
                <w:szCs w:val="24"/>
              </w:rPr>
              <w:t>11</w:t>
            </w:r>
          </w:p>
        </w:tc>
        <w:tc>
          <w:tcPr>
            <w:tcW w:w="774" w:type="dxa"/>
          </w:tcPr>
          <w:p w14:paraId="3DD367E2">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724512C1">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5EED6528">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544E90DD">
            <w:pPr>
              <w:rPr>
                <w:rFonts w:ascii="Times New Roman" w:hAnsi="Times New Roman" w:cs="Times New Roman"/>
                <w:sz w:val="24"/>
                <w:szCs w:val="24"/>
              </w:rPr>
            </w:pPr>
            <w:r>
              <w:rPr>
                <w:rFonts w:ascii="Times New Roman" w:hAnsi="Times New Roman" w:eastAsia="SimSun" w:cs="Times New Roman"/>
                <w:sz w:val="24"/>
                <w:szCs w:val="24"/>
              </w:rPr>
              <w:t>Silane, dimethyl(2-decyloxy)ethoxy</w:t>
            </w:r>
          </w:p>
        </w:tc>
        <w:tc>
          <w:tcPr>
            <w:tcW w:w="1319" w:type="dxa"/>
          </w:tcPr>
          <w:p w14:paraId="65184640">
            <w:pPr>
              <w:rPr>
                <w:rFonts w:ascii="Times New Roman" w:hAnsi="Times New Roman" w:cs="Times New Roman"/>
                <w:sz w:val="24"/>
                <w:szCs w:val="24"/>
              </w:rPr>
            </w:pPr>
            <w:r>
              <w:rPr>
                <w:rFonts w:ascii="Times New Roman" w:hAnsi="Times New Roman" w:eastAsia="SimSun" w:cs="Times New Roman"/>
                <w:sz w:val="24"/>
                <w:szCs w:val="24"/>
                <w:lang w:bidi="ar"/>
              </w:rPr>
              <w:t>259.49</w:t>
            </w:r>
          </w:p>
        </w:tc>
        <w:tc>
          <w:tcPr>
            <w:tcW w:w="1685" w:type="dxa"/>
          </w:tcPr>
          <w:p w14:paraId="6F4BE887">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31</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Si</w:t>
            </w:r>
          </w:p>
        </w:tc>
      </w:tr>
      <w:tr w14:paraId="3F114E8D">
        <w:tblPrEx>
          <w:tblCellMar>
            <w:top w:w="0" w:type="dxa"/>
            <w:left w:w="108" w:type="dxa"/>
            <w:bottom w:w="0" w:type="dxa"/>
            <w:right w:w="108" w:type="dxa"/>
          </w:tblCellMar>
        </w:tblPrEx>
        <w:tc>
          <w:tcPr>
            <w:tcW w:w="656" w:type="dxa"/>
          </w:tcPr>
          <w:p w14:paraId="67EBCF27">
            <w:pPr>
              <w:rPr>
                <w:rFonts w:ascii="Times New Roman" w:hAnsi="Times New Roman" w:cs="Times New Roman"/>
                <w:sz w:val="24"/>
                <w:szCs w:val="24"/>
              </w:rPr>
            </w:pPr>
            <w:r>
              <w:rPr>
                <w:rFonts w:ascii="Times New Roman" w:hAnsi="Times New Roman" w:cs="Times New Roman"/>
                <w:sz w:val="24"/>
                <w:szCs w:val="24"/>
              </w:rPr>
              <w:t>12</w:t>
            </w:r>
          </w:p>
        </w:tc>
        <w:tc>
          <w:tcPr>
            <w:tcW w:w="774" w:type="dxa"/>
          </w:tcPr>
          <w:p w14:paraId="5C770899">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5D91B1F8">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39654F83">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7EA814F3">
            <w:pPr>
              <w:rPr>
                <w:rFonts w:ascii="Times New Roman" w:hAnsi="Times New Roman" w:cs="Times New Roman"/>
                <w:sz w:val="24"/>
                <w:szCs w:val="24"/>
              </w:rPr>
            </w:pPr>
            <w:r>
              <w:rPr>
                <w:rFonts w:ascii="Times New Roman" w:hAnsi="Times New Roman" w:eastAsia="SimSun" w:cs="Times New Roman"/>
                <w:sz w:val="24"/>
                <w:szCs w:val="24"/>
              </w:rPr>
              <w:t>N-Methylrhodanine</w:t>
            </w:r>
          </w:p>
        </w:tc>
        <w:tc>
          <w:tcPr>
            <w:tcW w:w="1319" w:type="dxa"/>
          </w:tcPr>
          <w:p w14:paraId="1138AF9B">
            <w:pPr>
              <w:rPr>
                <w:rFonts w:ascii="Times New Roman" w:hAnsi="Times New Roman" w:cs="Times New Roman"/>
              </w:rPr>
            </w:pPr>
            <w:r>
              <w:rPr>
                <w:rFonts w:ascii="Times New Roman" w:hAnsi="Times New Roman" w:eastAsia="SimSun" w:cs="Times New Roman"/>
                <w:sz w:val="24"/>
                <w:szCs w:val="24"/>
                <w:lang w:bidi="ar"/>
              </w:rPr>
              <w:t>131.16</w:t>
            </w:r>
          </w:p>
        </w:tc>
        <w:tc>
          <w:tcPr>
            <w:tcW w:w="1685" w:type="dxa"/>
          </w:tcPr>
          <w:p w14:paraId="46B59491">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5</w:t>
            </w:r>
            <w:r>
              <w:rPr>
                <w:rFonts w:ascii="Times New Roman" w:hAnsi="Times New Roman" w:eastAsia="SimSun" w:cs="Times New Roman"/>
                <w:sz w:val="24"/>
                <w:szCs w:val="24"/>
                <w:lang w:bidi="ar"/>
              </w:rPr>
              <w:t>NO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w:t>
            </w:r>
          </w:p>
        </w:tc>
      </w:tr>
      <w:tr w14:paraId="5AE443B2">
        <w:tblPrEx>
          <w:tblCellMar>
            <w:top w:w="0" w:type="dxa"/>
            <w:left w:w="108" w:type="dxa"/>
            <w:bottom w:w="0" w:type="dxa"/>
            <w:right w:w="108" w:type="dxa"/>
          </w:tblCellMar>
        </w:tblPrEx>
        <w:trPr>
          <w:trHeight w:val="152" w:hRule="atLeast"/>
        </w:trPr>
        <w:tc>
          <w:tcPr>
            <w:tcW w:w="656" w:type="dxa"/>
          </w:tcPr>
          <w:p w14:paraId="15FF42D4">
            <w:pPr>
              <w:rPr>
                <w:rFonts w:ascii="Times New Roman" w:hAnsi="Times New Roman" w:cs="Times New Roman"/>
                <w:sz w:val="24"/>
                <w:szCs w:val="24"/>
              </w:rPr>
            </w:pPr>
            <w:r>
              <w:rPr>
                <w:rFonts w:ascii="Times New Roman" w:hAnsi="Times New Roman" w:cs="Times New Roman"/>
                <w:sz w:val="24"/>
                <w:szCs w:val="24"/>
              </w:rPr>
              <w:t>13</w:t>
            </w:r>
          </w:p>
        </w:tc>
        <w:tc>
          <w:tcPr>
            <w:tcW w:w="774" w:type="dxa"/>
          </w:tcPr>
          <w:p w14:paraId="7CB37D0E">
            <w:pPr>
              <w:rPr>
                <w:rFonts w:ascii="Times New Roman" w:hAnsi="Times New Roman" w:cs="Times New Roman"/>
                <w:sz w:val="24"/>
                <w:szCs w:val="24"/>
              </w:rPr>
            </w:pPr>
            <w:r>
              <w:rPr>
                <w:rFonts w:ascii="Times New Roman" w:hAnsi="Times New Roman" w:cs="Times New Roman"/>
                <w:sz w:val="24"/>
                <w:szCs w:val="24"/>
              </w:rPr>
              <w:t>6</w:t>
            </w:r>
          </w:p>
        </w:tc>
        <w:tc>
          <w:tcPr>
            <w:tcW w:w="907" w:type="dxa"/>
          </w:tcPr>
          <w:p w14:paraId="0CD16B37">
            <w:pPr>
              <w:rPr>
                <w:rFonts w:ascii="Times New Roman" w:hAnsi="Times New Roman" w:cs="Times New Roman"/>
                <w:sz w:val="24"/>
                <w:szCs w:val="24"/>
              </w:rPr>
            </w:pPr>
            <w:r>
              <w:rPr>
                <w:rFonts w:ascii="Times New Roman" w:hAnsi="Times New Roman" w:eastAsia="SimSun" w:cs="Times New Roman"/>
                <w:sz w:val="24"/>
                <w:szCs w:val="24"/>
              </w:rPr>
              <w:t>5.662</w:t>
            </w:r>
          </w:p>
        </w:tc>
        <w:tc>
          <w:tcPr>
            <w:tcW w:w="857" w:type="dxa"/>
          </w:tcPr>
          <w:p w14:paraId="590ACA76">
            <w:pPr>
              <w:rPr>
                <w:rFonts w:ascii="Times New Roman" w:hAnsi="Times New Roman" w:cs="Times New Roman"/>
                <w:sz w:val="24"/>
                <w:szCs w:val="24"/>
              </w:rPr>
            </w:pPr>
            <w:r>
              <w:rPr>
                <w:rFonts w:ascii="Times New Roman" w:hAnsi="Times New Roman" w:eastAsia="SimSun" w:cs="Times New Roman"/>
                <w:sz w:val="24"/>
                <w:szCs w:val="24"/>
              </w:rPr>
              <w:t>27.75</w:t>
            </w:r>
          </w:p>
        </w:tc>
        <w:tc>
          <w:tcPr>
            <w:tcW w:w="4317" w:type="dxa"/>
          </w:tcPr>
          <w:p w14:paraId="0E05F486">
            <w:pPr>
              <w:rPr>
                <w:rFonts w:ascii="Times New Roman" w:hAnsi="Times New Roman" w:eastAsia="SimSun" w:cs="Times New Roman"/>
                <w:sz w:val="24"/>
                <w:szCs w:val="24"/>
              </w:rPr>
            </w:pPr>
            <w:r>
              <w:rPr>
                <w:rFonts w:ascii="Times New Roman" w:hAnsi="Times New Roman" w:eastAsia="SimSun" w:cs="Times New Roman"/>
                <w:sz w:val="24"/>
                <w:szCs w:val="24"/>
              </w:rPr>
              <w:t>Phenylethyl Alcohol</w:t>
            </w:r>
          </w:p>
        </w:tc>
        <w:tc>
          <w:tcPr>
            <w:tcW w:w="1319" w:type="dxa"/>
          </w:tcPr>
          <w:p w14:paraId="1582827D">
            <w:pPr>
              <w:rPr>
                <w:rFonts w:ascii="Times New Roman" w:hAnsi="Times New Roman" w:cs="Times New Roman"/>
              </w:rPr>
            </w:pPr>
            <w:r>
              <w:rPr>
                <w:rFonts w:ascii="Times New Roman" w:hAnsi="Times New Roman" w:eastAsia="SimSun" w:cs="Times New Roman"/>
                <w:sz w:val="24"/>
                <w:szCs w:val="24"/>
                <w:lang w:bidi="ar"/>
              </w:rPr>
              <w:t>122.17</w:t>
            </w:r>
          </w:p>
        </w:tc>
        <w:tc>
          <w:tcPr>
            <w:tcW w:w="1685" w:type="dxa"/>
          </w:tcPr>
          <w:p w14:paraId="4AD4A5AA">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8</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O</w:t>
            </w:r>
          </w:p>
        </w:tc>
      </w:tr>
      <w:tr w14:paraId="7F6A8FA2">
        <w:tblPrEx>
          <w:tblCellMar>
            <w:top w:w="0" w:type="dxa"/>
            <w:left w:w="108" w:type="dxa"/>
            <w:bottom w:w="0" w:type="dxa"/>
            <w:right w:w="108" w:type="dxa"/>
          </w:tblCellMar>
        </w:tblPrEx>
        <w:tc>
          <w:tcPr>
            <w:tcW w:w="656" w:type="dxa"/>
          </w:tcPr>
          <w:p w14:paraId="0205F4CF">
            <w:pPr>
              <w:rPr>
                <w:rFonts w:ascii="Times New Roman" w:hAnsi="Times New Roman" w:cs="Times New Roman"/>
                <w:sz w:val="24"/>
                <w:szCs w:val="24"/>
              </w:rPr>
            </w:pPr>
            <w:r>
              <w:rPr>
                <w:rFonts w:ascii="Times New Roman" w:hAnsi="Times New Roman" w:cs="Times New Roman"/>
                <w:sz w:val="24"/>
                <w:szCs w:val="24"/>
              </w:rPr>
              <w:t>14</w:t>
            </w:r>
          </w:p>
        </w:tc>
        <w:tc>
          <w:tcPr>
            <w:tcW w:w="774" w:type="dxa"/>
          </w:tcPr>
          <w:p w14:paraId="398D6751">
            <w:pPr>
              <w:rPr>
                <w:rFonts w:ascii="Times New Roman" w:hAnsi="Times New Roman" w:cs="Times New Roman"/>
                <w:sz w:val="24"/>
                <w:szCs w:val="24"/>
              </w:rPr>
            </w:pPr>
            <w:r>
              <w:rPr>
                <w:rFonts w:ascii="Times New Roman" w:hAnsi="Times New Roman" w:cs="Times New Roman"/>
                <w:sz w:val="24"/>
                <w:szCs w:val="24"/>
              </w:rPr>
              <w:t>7</w:t>
            </w:r>
          </w:p>
        </w:tc>
        <w:tc>
          <w:tcPr>
            <w:tcW w:w="907" w:type="dxa"/>
          </w:tcPr>
          <w:p w14:paraId="00C15829">
            <w:pPr>
              <w:rPr>
                <w:rFonts w:ascii="Times New Roman" w:hAnsi="Times New Roman" w:cs="Times New Roman"/>
                <w:sz w:val="24"/>
                <w:szCs w:val="24"/>
              </w:rPr>
            </w:pPr>
            <w:r>
              <w:rPr>
                <w:rFonts w:ascii="Times New Roman" w:hAnsi="Times New Roman" w:eastAsia="SimSun" w:cs="Times New Roman"/>
                <w:sz w:val="24"/>
                <w:szCs w:val="24"/>
              </w:rPr>
              <w:t>6.698</w:t>
            </w:r>
          </w:p>
        </w:tc>
        <w:tc>
          <w:tcPr>
            <w:tcW w:w="857" w:type="dxa"/>
          </w:tcPr>
          <w:p w14:paraId="145FDD30">
            <w:pPr>
              <w:rPr>
                <w:rFonts w:ascii="Times New Roman" w:hAnsi="Times New Roman" w:cs="Times New Roman"/>
                <w:sz w:val="24"/>
                <w:szCs w:val="24"/>
              </w:rPr>
            </w:pPr>
            <w:r>
              <w:rPr>
                <w:rFonts w:ascii="Times New Roman" w:hAnsi="Times New Roman" w:eastAsia="SimSun" w:cs="Times New Roman"/>
                <w:sz w:val="24"/>
                <w:szCs w:val="24"/>
              </w:rPr>
              <w:t>2.48</w:t>
            </w:r>
          </w:p>
        </w:tc>
        <w:tc>
          <w:tcPr>
            <w:tcW w:w="4317" w:type="dxa"/>
          </w:tcPr>
          <w:p w14:paraId="3CB52812">
            <w:pPr>
              <w:rPr>
                <w:rFonts w:ascii="Times New Roman" w:hAnsi="Times New Roman" w:eastAsia="SimSun" w:cs="Times New Roman"/>
                <w:sz w:val="24"/>
                <w:szCs w:val="24"/>
              </w:rPr>
            </w:pPr>
            <w:r>
              <w:rPr>
                <w:rFonts w:ascii="Times New Roman" w:hAnsi="Times New Roman" w:eastAsia="SimSun" w:cs="Times New Roman"/>
                <w:sz w:val="24"/>
                <w:szCs w:val="24"/>
              </w:rPr>
              <w:t>Octanoic acid, ethyl ester</w:t>
            </w:r>
          </w:p>
        </w:tc>
        <w:tc>
          <w:tcPr>
            <w:tcW w:w="1319" w:type="dxa"/>
          </w:tcPr>
          <w:p w14:paraId="0CCF1146">
            <w:pPr>
              <w:rPr>
                <w:rFonts w:ascii="Times New Roman" w:hAnsi="Times New Roman" w:cs="Times New Roman"/>
              </w:rPr>
            </w:pPr>
            <w:r>
              <w:rPr>
                <w:rFonts w:ascii="Times New Roman" w:hAnsi="Times New Roman" w:eastAsia="SimSun" w:cs="Times New Roman"/>
                <w:sz w:val="24"/>
                <w:szCs w:val="24"/>
                <w:lang w:bidi="ar"/>
              </w:rPr>
              <w:t>172.27</w:t>
            </w:r>
          </w:p>
        </w:tc>
        <w:tc>
          <w:tcPr>
            <w:tcW w:w="1685" w:type="dxa"/>
          </w:tcPr>
          <w:p w14:paraId="7ED6543C">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3B32A2E9">
        <w:tblPrEx>
          <w:tblCellMar>
            <w:top w:w="0" w:type="dxa"/>
            <w:left w:w="108" w:type="dxa"/>
            <w:bottom w:w="0" w:type="dxa"/>
            <w:right w:w="108" w:type="dxa"/>
          </w:tblCellMar>
        </w:tblPrEx>
        <w:tc>
          <w:tcPr>
            <w:tcW w:w="656" w:type="dxa"/>
          </w:tcPr>
          <w:p w14:paraId="36153436">
            <w:pPr>
              <w:rPr>
                <w:rFonts w:ascii="Times New Roman" w:hAnsi="Times New Roman" w:cs="Times New Roman"/>
                <w:sz w:val="24"/>
                <w:szCs w:val="24"/>
              </w:rPr>
            </w:pPr>
            <w:r>
              <w:rPr>
                <w:rFonts w:ascii="Times New Roman" w:hAnsi="Times New Roman" w:cs="Times New Roman"/>
                <w:sz w:val="24"/>
                <w:szCs w:val="24"/>
              </w:rPr>
              <w:t>15</w:t>
            </w:r>
          </w:p>
        </w:tc>
        <w:tc>
          <w:tcPr>
            <w:tcW w:w="774" w:type="dxa"/>
          </w:tcPr>
          <w:p w14:paraId="6680C6EB">
            <w:pPr>
              <w:rPr>
                <w:rFonts w:ascii="Times New Roman" w:hAnsi="Times New Roman" w:cs="Times New Roman"/>
                <w:sz w:val="24"/>
                <w:szCs w:val="24"/>
              </w:rPr>
            </w:pPr>
            <w:r>
              <w:rPr>
                <w:rFonts w:ascii="Times New Roman" w:hAnsi="Times New Roman" w:cs="Times New Roman"/>
                <w:sz w:val="24"/>
                <w:szCs w:val="24"/>
              </w:rPr>
              <w:t>8</w:t>
            </w:r>
          </w:p>
        </w:tc>
        <w:tc>
          <w:tcPr>
            <w:tcW w:w="907" w:type="dxa"/>
          </w:tcPr>
          <w:p w14:paraId="755C1443">
            <w:pPr>
              <w:rPr>
                <w:rFonts w:ascii="Times New Roman" w:hAnsi="Times New Roman" w:cs="Times New Roman"/>
                <w:sz w:val="24"/>
                <w:szCs w:val="24"/>
              </w:rPr>
            </w:pPr>
            <w:r>
              <w:rPr>
                <w:rFonts w:ascii="Times New Roman" w:hAnsi="Times New Roman" w:eastAsia="SimSun" w:cs="Times New Roman"/>
                <w:sz w:val="24"/>
                <w:szCs w:val="24"/>
              </w:rPr>
              <w:t>9.124</w:t>
            </w:r>
          </w:p>
        </w:tc>
        <w:tc>
          <w:tcPr>
            <w:tcW w:w="857" w:type="dxa"/>
          </w:tcPr>
          <w:p w14:paraId="688247F2">
            <w:pPr>
              <w:rPr>
                <w:rFonts w:ascii="Times New Roman" w:hAnsi="Times New Roman" w:cs="Times New Roman"/>
                <w:sz w:val="24"/>
                <w:szCs w:val="24"/>
              </w:rPr>
            </w:pPr>
            <w:r>
              <w:rPr>
                <w:rFonts w:ascii="Times New Roman" w:hAnsi="Times New Roman" w:eastAsia="SimSun" w:cs="Times New Roman"/>
                <w:sz w:val="24"/>
                <w:szCs w:val="24"/>
              </w:rPr>
              <w:t>2.78</w:t>
            </w:r>
          </w:p>
        </w:tc>
        <w:tc>
          <w:tcPr>
            <w:tcW w:w="4317" w:type="dxa"/>
          </w:tcPr>
          <w:p w14:paraId="690F079F">
            <w:pPr>
              <w:rPr>
                <w:rFonts w:ascii="Times New Roman" w:hAnsi="Times New Roman" w:eastAsia="SimSun" w:cs="Times New Roman"/>
                <w:sz w:val="24"/>
                <w:szCs w:val="24"/>
              </w:rPr>
            </w:pPr>
            <w:r>
              <w:rPr>
                <w:rFonts w:ascii="Times New Roman" w:hAnsi="Times New Roman" w:eastAsia="SimSun" w:cs="Times New Roman"/>
                <w:sz w:val="24"/>
                <w:szCs w:val="24"/>
              </w:rPr>
              <w:t>Decanoic acid, ethyl ester</w:t>
            </w:r>
          </w:p>
        </w:tc>
        <w:tc>
          <w:tcPr>
            <w:tcW w:w="1319" w:type="dxa"/>
          </w:tcPr>
          <w:p w14:paraId="00A45082">
            <w:pPr>
              <w:rPr>
                <w:rFonts w:ascii="Times New Roman" w:hAnsi="Times New Roman" w:cs="Times New Roman"/>
              </w:rPr>
            </w:pPr>
            <w:r>
              <w:rPr>
                <w:rFonts w:ascii="Times New Roman" w:hAnsi="Times New Roman" w:eastAsia="SimSun" w:cs="Times New Roman"/>
                <w:sz w:val="24"/>
                <w:szCs w:val="24"/>
                <w:lang w:bidi="ar"/>
              </w:rPr>
              <w:t>200.32</w:t>
            </w:r>
          </w:p>
        </w:tc>
        <w:tc>
          <w:tcPr>
            <w:tcW w:w="1685" w:type="dxa"/>
          </w:tcPr>
          <w:p w14:paraId="3AB1345D">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12</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24</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6882F231">
        <w:tblPrEx>
          <w:tblCellMar>
            <w:top w:w="0" w:type="dxa"/>
            <w:left w:w="108" w:type="dxa"/>
            <w:bottom w:w="0" w:type="dxa"/>
            <w:right w:w="108" w:type="dxa"/>
          </w:tblCellMar>
        </w:tblPrEx>
        <w:tc>
          <w:tcPr>
            <w:tcW w:w="656" w:type="dxa"/>
          </w:tcPr>
          <w:p w14:paraId="20A0A2C2">
            <w:pPr>
              <w:rPr>
                <w:rFonts w:ascii="Times New Roman" w:hAnsi="Times New Roman" w:cs="Times New Roman"/>
                <w:sz w:val="24"/>
                <w:szCs w:val="24"/>
              </w:rPr>
            </w:pPr>
            <w:r>
              <w:rPr>
                <w:rFonts w:ascii="Times New Roman" w:hAnsi="Times New Roman" w:cs="Times New Roman"/>
                <w:sz w:val="24"/>
                <w:szCs w:val="24"/>
              </w:rPr>
              <w:t>16</w:t>
            </w:r>
          </w:p>
        </w:tc>
        <w:tc>
          <w:tcPr>
            <w:tcW w:w="774" w:type="dxa"/>
          </w:tcPr>
          <w:p w14:paraId="4D90A559">
            <w:pPr>
              <w:rPr>
                <w:rFonts w:ascii="Times New Roman" w:hAnsi="Times New Roman" w:cs="Times New Roman"/>
                <w:sz w:val="24"/>
                <w:szCs w:val="24"/>
              </w:rPr>
            </w:pPr>
            <w:r>
              <w:rPr>
                <w:rFonts w:ascii="Times New Roman" w:hAnsi="Times New Roman" w:cs="Times New Roman"/>
                <w:sz w:val="24"/>
                <w:szCs w:val="24"/>
              </w:rPr>
              <w:t>9</w:t>
            </w:r>
          </w:p>
        </w:tc>
        <w:tc>
          <w:tcPr>
            <w:tcW w:w="907" w:type="dxa"/>
          </w:tcPr>
          <w:p w14:paraId="41241C00">
            <w:pPr>
              <w:rPr>
                <w:rFonts w:ascii="Times New Roman" w:hAnsi="Times New Roman" w:cs="Times New Roman"/>
                <w:sz w:val="24"/>
                <w:szCs w:val="24"/>
              </w:rPr>
            </w:pPr>
            <w:r>
              <w:rPr>
                <w:rFonts w:ascii="Times New Roman" w:hAnsi="Times New Roman" w:eastAsia="SimSun" w:cs="Times New Roman"/>
                <w:sz w:val="24"/>
                <w:szCs w:val="24"/>
              </w:rPr>
              <w:t>10.514</w:t>
            </w:r>
          </w:p>
        </w:tc>
        <w:tc>
          <w:tcPr>
            <w:tcW w:w="857" w:type="dxa"/>
          </w:tcPr>
          <w:p w14:paraId="21530F95">
            <w:pPr>
              <w:rPr>
                <w:rFonts w:ascii="Times New Roman" w:hAnsi="Times New Roman" w:cs="Times New Roman"/>
                <w:sz w:val="24"/>
                <w:szCs w:val="24"/>
              </w:rPr>
            </w:pPr>
            <w:r>
              <w:rPr>
                <w:rFonts w:ascii="Times New Roman" w:hAnsi="Times New Roman" w:eastAsia="SimSun" w:cs="Times New Roman"/>
                <w:sz w:val="24"/>
                <w:szCs w:val="24"/>
              </w:rPr>
              <w:t>1.57</w:t>
            </w:r>
          </w:p>
        </w:tc>
        <w:tc>
          <w:tcPr>
            <w:tcW w:w="4317" w:type="dxa"/>
          </w:tcPr>
          <w:p w14:paraId="0A8989F8">
            <w:pPr>
              <w:rPr>
                <w:rFonts w:ascii="Times New Roman" w:hAnsi="Times New Roman" w:eastAsia="SimSun" w:cs="Times New Roman"/>
                <w:sz w:val="24"/>
                <w:szCs w:val="24"/>
              </w:rPr>
            </w:pPr>
            <w:r>
              <w:rPr>
                <w:rFonts w:ascii="Times New Roman" w:hAnsi="Times New Roman" w:eastAsia="SimSun" w:cs="Times New Roman"/>
                <w:sz w:val="24"/>
                <w:szCs w:val="24"/>
              </w:rPr>
              <w:t>2,4-Di-tert-butylphenol</w:t>
            </w:r>
          </w:p>
        </w:tc>
        <w:tc>
          <w:tcPr>
            <w:tcW w:w="1319" w:type="dxa"/>
          </w:tcPr>
          <w:p w14:paraId="597EA378">
            <w:pPr>
              <w:rPr>
                <w:rFonts w:ascii="Times New Roman" w:hAnsi="Times New Roman" w:cs="Times New Roman"/>
              </w:rPr>
            </w:pPr>
            <w:r>
              <w:rPr>
                <w:rFonts w:ascii="Times New Roman" w:hAnsi="Times New Roman" w:eastAsia="SimSun" w:cs="Times New Roman"/>
                <w:sz w:val="24"/>
                <w:szCs w:val="24"/>
                <w:lang w:bidi="ar"/>
              </w:rPr>
              <w:t>206.33</w:t>
            </w:r>
          </w:p>
        </w:tc>
        <w:tc>
          <w:tcPr>
            <w:tcW w:w="1685" w:type="dxa"/>
          </w:tcPr>
          <w:p w14:paraId="6A520B28">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p>
        </w:tc>
      </w:tr>
      <w:tr w14:paraId="73E4C0D0">
        <w:tblPrEx>
          <w:tblCellMar>
            <w:top w:w="0" w:type="dxa"/>
            <w:left w:w="108" w:type="dxa"/>
            <w:bottom w:w="0" w:type="dxa"/>
            <w:right w:w="108" w:type="dxa"/>
          </w:tblCellMar>
        </w:tblPrEx>
        <w:tc>
          <w:tcPr>
            <w:tcW w:w="656" w:type="dxa"/>
          </w:tcPr>
          <w:p w14:paraId="02923AE4">
            <w:pPr>
              <w:rPr>
                <w:rFonts w:ascii="Times New Roman" w:hAnsi="Times New Roman" w:cs="Times New Roman"/>
                <w:sz w:val="24"/>
                <w:szCs w:val="24"/>
              </w:rPr>
            </w:pPr>
            <w:r>
              <w:rPr>
                <w:rFonts w:ascii="Times New Roman" w:hAnsi="Times New Roman" w:cs="Times New Roman"/>
                <w:sz w:val="24"/>
                <w:szCs w:val="24"/>
              </w:rPr>
              <w:t>17</w:t>
            </w:r>
          </w:p>
        </w:tc>
        <w:tc>
          <w:tcPr>
            <w:tcW w:w="774" w:type="dxa"/>
          </w:tcPr>
          <w:p w14:paraId="3EE9DE52">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D02D10D">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601AA15C">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78AD24C1">
            <w:pPr>
              <w:rPr>
                <w:rFonts w:ascii="Times New Roman" w:hAnsi="Times New Roman" w:eastAsia="SimSun" w:cs="Times New Roman"/>
                <w:sz w:val="24"/>
                <w:szCs w:val="24"/>
              </w:rPr>
            </w:pPr>
            <w:r>
              <w:rPr>
                <w:rFonts w:ascii="Times New Roman" w:hAnsi="Times New Roman" w:eastAsia="SimSun" w:cs="Times New Roman"/>
                <w:sz w:val="24"/>
                <w:szCs w:val="24"/>
              </w:rPr>
              <w:t>Palmitoleic acid</w:t>
            </w:r>
          </w:p>
        </w:tc>
        <w:tc>
          <w:tcPr>
            <w:tcW w:w="1319" w:type="dxa"/>
          </w:tcPr>
          <w:p w14:paraId="2567F441">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20122A12">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1F31AE2E">
        <w:tblPrEx>
          <w:tblCellMar>
            <w:top w:w="0" w:type="dxa"/>
            <w:left w:w="108" w:type="dxa"/>
            <w:bottom w:w="0" w:type="dxa"/>
            <w:right w:w="108" w:type="dxa"/>
          </w:tblCellMar>
        </w:tblPrEx>
        <w:tc>
          <w:tcPr>
            <w:tcW w:w="656" w:type="dxa"/>
          </w:tcPr>
          <w:p w14:paraId="29C5E852">
            <w:pPr>
              <w:rPr>
                <w:rFonts w:ascii="Times New Roman" w:hAnsi="Times New Roman" w:cs="Times New Roman"/>
                <w:sz w:val="24"/>
                <w:szCs w:val="24"/>
              </w:rPr>
            </w:pPr>
            <w:r>
              <w:rPr>
                <w:rFonts w:ascii="Times New Roman" w:hAnsi="Times New Roman" w:cs="Times New Roman"/>
                <w:sz w:val="24"/>
                <w:szCs w:val="24"/>
              </w:rPr>
              <w:t>18</w:t>
            </w:r>
          </w:p>
        </w:tc>
        <w:tc>
          <w:tcPr>
            <w:tcW w:w="774" w:type="dxa"/>
          </w:tcPr>
          <w:p w14:paraId="286E55E7">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BE236AB">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2057F6FE">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69AB42F1">
            <w:pPr>
              <w:rPr>
                <w:rFonts w:ascii="Times New Roman" w:hAnsi="Times New Roman" w:eastAsia="SimSun" w:cs="Times New Roman"/>
                <w:sz w:val="24"/>
                <w:szCs w:val="24"/>
              </w:rPr>
            </w:pPr>
            <w:r>
              <w:rPr>
                <w:rFonts w:ascii="Times New Roman" w:hAnsi="Times New Roman" w:eastAsia="SimSun" w:cs="Times New Roman"/>
                <w:sz w:val="24"/>
                <w:szCs w:val="24"/>
              </w:rPr>
              <w:t>14-Pentadecenoic acid</w:t>
            </w:r>
          </w:p>
        </w:tc>
        <w:tc>
          <w:tcPr>
            <w:tcW w:w="1319" w:type="dxa"/>
          </w:tcPr>
          <w:p w14:paraId="6A33FB21">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14:paraId="67360A2F">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71894B98">
        <w:tblPrEx>
          <w:tblCellMar>
            <w:top w:w="0" w:type="dxa"/>
            <w:left w:w="108" w:type="dxa"/>
            <w:bottom w:w="0" w:type="dxa"/>
            <w:right w:w="108" w:type="dxa"/>
          </w:tblCellMar>
        </w:tblPrEx>
        <w:tc>
          <w:tcPr>
            <w:tcW w:w="656" w:type="dxa"/>
          </w:tcPr>
          <w:p w14:paraId="4FF3CCEA">
            <w:pPr>
              <w:rPr>
                <w:rFonts w:ascii="Times New Roman" w:hAnsi="Times New Roman" w:cs="Times New Roman"/>
                <w:sz w:val="24"/>
                <w:szCs w:val="24"/>
              </w:rPr>
            </w:pPr>
            <w:r>
              <w:rPr>
                <w:rFonts w:ascii="Times New Roman" w:hAnsi="Times New Roman" w:cs="Times New Roman"/>
                <w:sz w:val="24"/>
                <w:szCs w:val="24"/>
              </w:rPr>
              <w:t>19</w:t>
            </w:r>
          </w:p>
        </w:tc>
        <w:tc>
          <w:tcPr>
            <w:tcW w:w="774" w:type="dxa"/>
          </w:tcPr>
          <w:p w14:paraId="5708FB4F">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0E9DD86C">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58846F17">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6BA6A69C">
            <w:pPr>
              <w:rPr>
                <w:rFonts w:ascii="Times New Roman" w:hAnsi="Times New Roman" w:eastAsia="SimSun" w:cs="Times New Roman"/>
                <w:sz w:val="24"/>
                <w:szCs w:val="24"/>
              </w:rPr>
            </w:pPr>
            <w:r>
              <w:rPr>
                <w:rFonts w:ascii="Times New Roman" w:hAnsi="Times New Roman" w:eastAsia="SimSun" w:cs="Times New Roman"/>
                <w:sz w:val="24"/>
                <w:szCs w:val="24"/>
              </w:rPr>
              <w:t>6-Octen-1-ol, 3,7-dimethyl-</w:t>
            </w:r>
          </w:p>
        </w:tc>
        <w:tc>
          <w:tcPr>
            <w:tcW w:w="1319" w:type="dxa"/>
          </w:tcPr>
          <w:p w14:paraId="7352A608">
            <w:pPr>
              <w:rPr>
                <w:rFonts w:ascii="Times New Roman" w:hAnsi="Times New Roman" w:cs="Times New Roman"/>
              </w:rPr>
            </w:pPr>
            <w:r>
              <w:rPr>
                <w:rFonts w:ascii="Times New Roman" w:hAnsi="Times New Roman" w:eastAsia="SimSun" w:cs="Times New Roman"/>
                <w:sz w:val="24"/>
                <w:szCs w:val="24"/>
                <w:lang w:bidi="ar"/>
              </w:rPr>
              <w:t>140.23</w:t>
            </w:r>
          </w:p>
        </w:tc>
        <w:tc>
          <w:tcPr>
            <w:tcW w:w="1685" w:type="dxa"/>
          </w:tcPr>
          <w:p w14:paraId="44B86862">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O</w:t>
            </w:r>
          </w:p>
        </w:tc>
      </w:tr>
      <w:tr w14:paraId="45195043">
        <w:tblPrEx>
          <w:tblCellMar>
            <w:top w:w="0" w:type="dxa"/>
            <w:left w:w="108" w:type="dxa"/>
            <w:bottom w:w="0" w:type="dxa"/>
            <w:right w:w="108" w:type="dxa"/>
          </w:tblCellMar>
        </w:tblPrEx>
        <w:tc>
          <w:tcPr>
            <w:tcW w:w="656" w:type="dxa"/>
          </w:tcPr>
          <w:p w14:paraId="3B25F7D0">
            <w:pPr>
              <w:rPr>
                <w:rFonts w:ascii="Times New Roman" w:hAnsi="Times New Roman" w:cs="Times New Roman"/>
                <w:sz w:val="24"/>
                <w:szCs w:val="24"/>
              </w:rPr>
            </w:pPr>
            <w:r>
              <w:rPr>
                <w:rFonts w:ascii="Times New Roman" w:hAnsi="Times New Roman" w:cs="Times New Roman"/>
                <w:sz w:val="24"/>
                <w:szCs w:val="24"/>
              </w:rPr>
              <w:t>20</w:t>
            </w:r>
          </w:p>
        </w:tc>
        <w:tc>
          <w:tcPr>
            <w:tcW w:w="774" w:type="dxa"/>
          </w:tcPr>
          <w:p w14:paraId="3AA0A820">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405EAAFE">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0AD2A42C">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4DF0F3EA">
            <w:pPr>
              <w:rPr>
                <w:rFonts w:ascii="Times New Roman" w:hAnsi="Times New Roman" w:eastAsia="SimSun" w:cs="Times New Roman"/>
                <w:sz w:val="24"/>
                <w:szCs w:val="24"/>
              </w:rPr>
            </w:pPr>
            <w:r>
              <w:rPr>
                <w:rFonts w:ascii="Times New Roman" w:hAnsi="Times New Roman" w:eastAsia="SimSun" w:cs="Times New Roman"/>
                <w:sz w:val="24"/>
                <w:szCs w:val="24"/>
              </w:rPr>
              <w:t>Dibutyl phthalate</w:t>
            </w:r>
          </w:p>
        </w:tc>
        <w:tc>
          <w:tcPr>
            <w:tcW w:w="1319" w:type="dxa"/>
          </w:tcPr>
          <w:p w14:paraId="2FCA403C">
            <w:pPr>
              <w:rPr>
                <w:rFonts w:ascii="Times New Roman" w:hAnsi="Times New Roman" w:cs="Times New Roman"/>
              </w:rPr>
            </w:pPr>
            <w:r>
              <w:rPr>
                <w:rFonts w:ascii="Times New Roman" w:hAnsi="Times New Roman" w:eastAsia="SimSun" w:cs="Times New Roman"/>
                <w:sz w:val="24"/>
                <w:szCs w:val="24"/>
                <w:lang w:bidi="ar"/>
              </w:rPr>
              <w:t>250.29</w:t>
            </w:r>
          </w:p>
        </w:tc>
        <w:tc>
          <w:tcPr>
            <w:tcW w:w="1685" w:type="dxa"/>
          </w:tcPr>
          <w:p w14:paraId="7D0F0AAB">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53EDFD50">
        <w:tblPrEx>
          <w:tblCellMar>
            <w:top w:w="0" w:type="dxa"/>
            <w:left w:w="108" w:type="dxa"/>
            <w:bottom w:w="0" w:type="dxa"/>
            <w:right w:w="108" w:type="dxa"/>
          </w:tblCellMar>
        </w:tblPrEx>
        <w:tc>
          <w:tcPr>
            <w:tcW w:w="656" w:type="dxa"/>
          </w:tcPr>
          <w:p w14:paraId="7728E3D7">
            <w:pPr>
              <w:rPr>
                <w:rFonts w:ascii="Times New Roman" w:hAnsi="Times New Roman" w:cs="Times New Roman"/>
                <w:sz w:val="24"/>
                <w:szCs w:val="24"/>
              </w:rPr>
            </w:pPr>
            <w:r>
              <w:rPr>
                <w:rFonts w:ascii="Times New Roman" w:hAnsi="Times New Roman" w:cs="Times New Roman"/>
                <w:sz w:val="24"/>
                <w:szCs w:val="24"/>
              </w:rPr>
              <w:t>21</w:t>
            </w:r>
          </w:p>
        </w:tc>
        <w:tc>
          <w:tcPr>
            <w:tcW w:w="774" w:type="dxa"/>
          </w:tcPr>
          <w:p w14:paraId="76B9B693">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4D9E0ED3">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43ABA45F">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2ACDA3AF">
            <w:pPr>
              <w:rPr>
                <w:rFonts w:ascii="Times New Roman" w:hAnsi="Times New Roman" w:eastAsia="SimSun" w:cs="Times New Roman"/>
                <w:sz w:val="24"/>
                <w:szCs w:val="24"/>
              </w:rPr>
            </w:pPr>
            <w:r>
              <w:rPr>
                <w:rFonts w:ascii="Times New Roman" w:hAnsi="Times New Roman" w:eastAsia="SimSun" w:cs="Times New Roman"/>
                <w:sz w:val="24"/>
                <w:szCs w:val="24"/>
              </w:rPr>
              <w:t>Di-sec-butyl phthalate</w:t>
            </w:r>
          </w:p>
        </w:tc>
        <w:tc>
          <w:tcPr>
            <w:tcW w:w="1319" w:type="dxa"/>
          </w:tcPr>
          <w:p w14:paraId="2E0D3BE1">
            <w:pPr>
              <w:rPr>
                <w:rFonts w:ascii="Times New Roman" w:hAnsi="Times New Roman" w:cs="Times New Roman"/>
              </w:rPr>
            </w:pPr>
            <w:r>
              <w:rPr>
                <w:rFonts w:ascii="Times New Roman" w:hAnsi="Times New Roman" w:eastAsia="SimSun" w:cs="Times New Roman"/>
                <w:sz w:val="24"/>
                <w:szCs w:val="24"/>
                <w:lang w:bidi="ar"/>
              </w:rPr>
              <w:t>278.35</w:t>
            </w:r>
          </w:p>
        </w:tc>
        <w:tc>
          <w:tcPr>
            <w:tcW w:w="1685" w:type="dxa"/>
          </w:tcPr>
          <w:p w14:paraId="4CBEEF45">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6CC9F544">
        <w:tblPrEx>
          <w:tblCellMar>
            <w:top w:w="0" w:type="dxa"/>
            <w:left w:w="108" w:type="dxa"/>
            <w:bottom w:w="0" w:type="dxa"/>
            <w:right w:w="108" w:type="dxa"/>
          </w:tblCellMar>
        </w:tblPrEx>
        <w:tc>
          <w:tcPr>
            <w:tcW w:w="656" w:type="dxa"/>
          </w:tcPr>
          <w:p w14:paraId="6C1BB855">
            <w:pPr>
              <w:rPr>
                <w:rFonts w:ascii="Times New Roman" w:hAnsi="Times New Roman" w:cs="Times New Roman"/>
                <w:sz w:val="24"/>
                <w:szCs w:val="24"/>
              </w:rPr>
            </w:pPr>
            <w:r>
              <w:rPr>
                <w:rFonts w:ascii="Times New Roman" w:hAnsi="Times New Roman" w:cs="Times New Roman"/>
                <w:sz w:val="24"/>
                <w:szCs w:val="24"/>
              </w:rPr>
              <w:t>22</w:t>
            </w:r>
          </w:p>
        </w:tc>
        <w:tc>
          <w:tcPr>
            <w:tcW w:w="774" w:type="dxa"/>
          </w:tcPr>
          <w:p w14:paraId="7E7B7FA6">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62DCFD5C">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52F0AE94">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76663CC7">
            <w:pPr>
              <w:rPr>
                <w:rFonts w:ascii="Times New Roman" w:hAnsi="Times New Roman" w:eastAsia="SimSun" w:cs="Times New Roman"/>
                <w:sz w:val="24"/>
                <w:szCs w:val="24"/>
              </w:rPr>
            </w:pPr>
            <w:r>
              <w:rPr>
                <w:rFonts w:ascii="Times New Roman" w:hAnsi="Times New Roman" w:eastAsia="SimSun" w:cs="Times New Roman"/>
                <w:sz w:val="24"/>
                <w:szCs w:val="24"/>
              </w:rPr>
              <w:t>Phthalic acid, butyl isohexyl ester</w:t>
            </w:r>
          </w:p>
        </w:tc>
        <w:tc>
          <w:tcPr>
            <w:tcW w:w="1319" w:type="dxa"/>
          </w:tcPr>
          <w:p w14:paraId="4B369667">
            <w:pPr>
              <w:rPr>
                <w:rFonts w:ascii="Times New Roman" w:hAnsi="Times New Roman" w:cs="Times New Roman"/>
              </w:rPr>
            </w:pPr>
            <w:r>
              <w:rPr>
                <w:rFonts w:ascii="Times New Roman" w:hAnsi="Times New Roman" w:eastAsia="SimSun" w:cs="Times New Roman"/>
                <w:sz w:val="24"/>
                <w:szCs w:val="24"/>
                <w:lang w:bidi="ar"/>
              </w:rPr>
              <w:t>320.43</w:t>
            </w:r>
          </w:p>
        </w:tc>
        <w:tc>
          <w:tcPr>
            <w:tcW w:w="1685" w:type="dxa"/>
          </w:tcPr>
          <w:p w14:paraId="0834CDDB">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082BD9E6">
        <w:tblPrEx>
          <w:tblCellMar>
            <w:top w:w="0" w:type="dxa"/>
            <w:left w:w="108" w:type="dxa"/>
            <w:bottom w:w="0" w:type="dxa"/>
            <w:right w:w="108" w:type="dxa"/>
          </w:tblCellMar>
        </w:tblPrEx>
        <w:tc>
          <w:tcPr>
            <w:tcW w:w="656" w:type="dxa"/>
          </w:tcPr>
          <w:p w14:paraId="1AD32013">
            <w:pPr>
              <w:rPr>
                <w:rFonts w:ascii="Times New Roman" w:hAnsi="Times New Roman" w:cs="Times New Roman"/>
                <w:sz w:val="24"/>
                <w:szCs w:val="24"/>
              </w:rPr>
            </w:pPr>
            <w:r>
              <w:rPr>
                <w:rFonts w:ascii="Times New Roman" w:hAnsi="Times New Roman" w:cs="Times New Roman"/>
                <w:sz w:val="24"/>
                <w:szCs w:val="24"/>
              </w:rPr>
              <w:t>23</w:t>
            </w:r>
          </w:p>
        </w:tc>
        <w:tc>
          <w:tcPr>
            <w:tcW w:w="774" w:type="dxa"/>
          </w:tcPr>
          <w:p w14:paraId="308241CF">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102371ED">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3AD64EC4">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A987B7C">
            <w:pPr>
              <w:rPr>
                <w:rFonts w:ascii="Times New Roman" w:hAnsi="Times New Roman" w:eastAsia="SimSun" w:cs="Times New Roman"/>
                <w:sz w:val="24"/>
                <w:szCs w:val="24"/>
              </w:rPr>
            </w:pPr>
            <w:r>
              <w:rPr>
                <w:rFonts w:ascii="Times New Roman" w:hAnsi="Times New Roman" w:eastAsia="SimSun" w:cs="Times New Roman"/>
                <w:sz w:val="24"/>
                <w:szCs w:val="24"/>
              </w:rPr>
              <w:t>Oleic Acid</w:t>
            </w:r>
          </w:p>
        </w:tc>
        <w:tc>
          <w:tcPr>
            <w:tcW w:w="1319" w:type="dxa"/>
          </w:tcPr>
          <w:p w14:paraId="56C62C6C">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Pr>
          <w:p w14:paraId="0BA3060D">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30AC269">
        <w:tblPrEx>
          <w:tblCellMar>
            <w:top w:w="0" w:type="dxa"/>
            <w:left w:w="108" w:type="dxa"/>
            <w:bottom w:w="0" w:type="dxa"/>
            <w:right w:w="108" w:type="dxa"/>
          </w:tblCellMar>
        </w:tblPrEx>
        <w:tc>
          <w:tcPr>
            <w:tcW w:w="656" w:type="dxa"/>
          </w:tcPr>
          <w:p w14:paraId="1552F060">
            <w:pPr>
              <w:rPr>
                <w:rFonts w:ascii="Times New Roman" w:hAnsi="Times New Roman" w:cs="Times New Roman"/>
                <w:sz w:val="24"/>
                <w:szCs w:val="24"/>
              </w:rPr>
            </w:pPr>
            <w:r>
              <w:rPr>
                <w:rFonts w:ascii="Times New Roman" w:hAnsi="Times New Roman" w:cs="Times New Roman"/>
                <w:sz w:val="24"/>
                <w:szCs w:val="24"/>
              </w:rPr>
              <w:t>24</w:t>
            </w:r>
          </w:p>
        </w:tc>
        <w:tc>
          <w:tcPr>
            <w:tcW w:w="774" w:type="dxa"/>
          </w:tcPr>
          <w:p w14:paraId="29DC3F9C">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1810803">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4E1D0161">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9CAB91C">
            <w:pPr>
              <w:rPr>
                <w:rFonts w:ascii="Times New Roman" w:hAnsi="Times New Roman" w:eastAsia="SimSun" w:cs="Times New Roman"/>
                <w:sz w:val="24"/>
                <w:szCs w:val="24"/>
              </w:rPr>
            </w:pPr>
            <w:r>
              <w:rPr>
                <w:rFonts w:ascii="Times New Roman" w:hAnsi="Times New Roman" w:eastAsia="SimSun" w:cs="Times New Roman"/>
                <w:sz w:val="24"/>
                <w:szCs w:val="24"/>
              </w:rPr>
              <w:t>cis-Vaccenic acid</w:t>
            </w:r>
          </w:p>
        </w:tc>
        <w:tc>
          <w:tcPr>
            <w:tcW w:w="1319" w:type="dxa"/>
          </w:tcPr>
          <w:p w14:paraId="012C486F">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14:paraId="1AE374F6">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73C8AD4">
        <w:tblPrEx>
          <w:tblCellMar>
            <w:top w:w="0" w:type="dxa"/>
            <w:left w:w="108" w:type="dxa"/>
            <w:bottom w:w="0" w:type="dxa"/>
            <w:right w:w="108" w:type="dxa"/>
          </w:tblCellMar>
        </w:tblPrEx>
        <w:tc>
          <w:tcPr>
            <w:tcW w:w="656" w:type="dxa"/>
          </w:tcPr>
          <w:p w14:paraId="6ED0E83B">
            <w:pPr>
              <w:rPr>
                <w:rFonts w:ascii="Times New Roman" w:hAnsi="Times New Roman" w:cs="Times New Roman"/>
                <w:sz w:val="24"/>
                <w:szCs w:val="24"/>
              </w:rPr>
            </w:pPr>
            <w:r>
              <w:rPr>
                <w:rFonts w:ascii="Times New Roman" w:hAnsi="Times New Roman" w:cs="Times New Roman"/>
                <w:sz w:val="24"/>
                <w:szCs w:val="24"/>
              </w:rPr>
              <w:t>25</w:t>
            </w:r>
          </w:p>
        </w:tc>
        <w:tc>
          <w:tcPr>
            <w:tcW w:w="774" w:type="dxa"/>
          </w:tcPr>
          <w:p w14:paraId="5F6A1CD3">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4E0B6C7">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3BD0A7E4">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EC5A720">
            <w:pPr>
              <w:rPr>
                <w:rFonts w:ascii="Times New Roman" w:hAnsi="Times New Roman" w:eastAsia="SimSun" w:cs="Times New Roman"/>
                <w:sz w:val="24"/>
                <w:szCs w:val="24"/>
              </w:rPr>
            </w:pPr>
            <w:r>
              <w:rPr>
                <w:rFonts w:ascii="Times New Roman" w:hAnsi="Times New Roman" w:eastAsia="SimSun" w:cs="Times New Roman"/>
                <w:sz w:val="24"/>
                <w:szCs w:val="24"/>
              </w:rPr>
              <w:t>cis-13-Octadecenoic acid</w:t>
            </w:r>
          </w:p>
        </w:tc>
        <w:tc>
          <w:tcPr>
            <w:tcW w:w="1319" w:type="dxa"/>
          </w:tcPr>
          <w:p w14:paraId="0FA9538A">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6DF69199">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3576DBD2">
        <w:tblPrEx>
          <w:tblCellMar>
            <w:top w:w="0" w:type="dxa"/>
            <w:left w:w="108" w:type="dxa"/>
            <w:bottom w:w="0" w:type="dxa"/>
            <w:right w:w="108" w:type="dxa"/>
          </w:tblCellMar>
        </w:tblPrEx>
        <w:tc>
          <w:tcPr>
            <w:tcW w:w="656" w:type="dxa"/>
          </w:tcPr>
          <w:p w14:paraId="58A69E63">
            <w:pPr>
              <w:rPr>
                <w:rFonts w:ascii="Times New Roman" w:hAnsi="Times New Roman" w:cs="Times New Roman"/>
                <w:sz w:val="24"/>
                <w:szCs w:val="24"/>
              </w:rPr>
            </w:pPr>
            <w:r>
              <w:rPr>
                <w:rFonts w:ascii="Times New Roman" w:hAnsi="Times New Roman" w:cs="Times New Roman"/>
                <w:sz w:val="24"/>
                <w:szCs w:val="24"/>
              </w:rPr>
              <w:t>26</w:t>
            </w:r>
          </w:p>
        </w:tc>
        <w:tc>
          <w:tcPr>
            <w:tcW w:w="774" w:type="dxa"/>
          </w:tcPr>
          <w:p w14:paraId="0B171EB9">
            <w:pPr>
              <w:rPr>
                <w:rFonts w:ascii="Times New Roman" w:hAnsi="Times New Roman" w:cs="Times New Roman"/>
                <w:sz w:val="24"/>
                <w:szCs w:val="24"/>
              </w:rPr>
            </w:pPr>
            <w:r>
              <w:rPr>
                <w:rFonts w:ascii="Times New Roman" w:hAnsi="Times New Roman" w:cs="Times New Roman"/>
                <w:sz w:val="24"/>
                <w:szCs w:val="24"/>
              </w:rPr>
              <w:t>13</w:t>
            </w:r>
          </w:p>
        </w:tc>
        <w:tc>
          <w:tcPr>
            <w:tcW w:w="907" w:type="dxa"/>
          </w:tcPr>
          <w:p w14:paraId="1102621F">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Pr>
          <w:p w14:paraId="237AFA9B">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Pr>
          <w:p w14:paraId="3FECE0C1">
            <w:pPr>
              <w:rPr>
                <w:rFonts w:ascii="Times New Roman" w:hAnsi="Times New Roman" w:eastAsia="SimSun" w:cs="Times New Roman"/>
                <w:sz w:val="24"/>
                <w:szCs w:val="24"/>
              </w:rPr>
            </w:pPr>
            <w:r>
              <w:rPr>
                <w:rFonts w:ascii="Times New Roman" w:hAnsi="Times New Roman" w:eastAsia="SimSun" w:cs="Times New Roman"/>
                <w:sz w:val="24"/>
                <w:szCs w:val="24"/>
              </w:rPr>
              <w:t>trans-13-Octadecenoic acid</w:t>
            </w:r>
          </w:p>
        </w:tc>
        <w:tc>
          <w:tcPr>
            <w:tcW w:w="1319" w:type="dxa"/>
          </w:tcPr>
          <w:p w14:paraId="7D771AC9">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5D4B8695">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7E28FCD">
        <w:tblPrEx>
          <w:tblCellMar>
            <w:top w:w="0" w:type="dxa"/>
            <w:left w:w="108" w:type="dxa"/>
            <w:bottom w:w="0" w:type="dxa"/>
            <w:right w:w="108" w:type="dxa"/>
          </w:tblCellMar>
        </w:tblPrEx>
        <w:trPr>
          <w:trHeight w:val="373" w:hRule="atLeast"/>
        </w:trPr>
        <w:tc>
          <w:tcPr>
            <w:tcW w:w="656" w:type="dxa"/>
            <w:tcBorders>
              <w:bottom w:val="single" w:color="auto" w:sz="8" w:space="0"/>
            </w:tcBorders>
          </w:tcPr>
          <w:p w14:paraId="2BDBCB07">
            <w:pPr>
              <w:rPr>
                <w:rFonts w:ascii="Times New Roman" w:hAnsi="Times New Roman" w:cs="Times New Roman"/>
                <w:sz w:val="24"/>
                <w:szCs w:val="24"/>
              </w:rPr>
            </w:pPr>
            <w:r>
              <w:rPr>
                <w:rFonts w:ascii="Times New Roman" w:hAnsi="Times New Roman" w:cs="Times New Roman"/>
                <w:sz w:val="24"/>
                <w:szCs w:val="24"/>
              </w:rPr>
              <w:t>27</w:t>
            </w:r>
          </w:p>
        </w:tc>
        <w:tc>
          <w:tcPr>
            <w:tcW w:w="774" w:type="dxa"/>
            <w:tcBorders>
              <w:bottom w:val="single" w:color="auto" w:sz="8" w:space="0"/>
            </w:tcBorders>
          </w:tcPr>
          <w:p w14:paraId="2A0886D0">
            <w:pPr>
              <w:rPr>
                <w:rFonts w:ascii="Times New Roman" w:hAnsi="Times New Roman" w:cs="Times New Roman"/>
                <w:sz w:val="24"/>
                <w:szCs w:val="24"/>
              </w:rPr>
            </w:pPr>
            <w:r>
              <w:rPr>
                <w:rFonts w:ascii="Times New Roman" w:hAnsi="Times New Roman" w:cs="Times New Roman"/>
                <w:sz w:val="24"/>
                <w:szCs w:val="24"/>
              </w:rPr>
              <w:t>13</w:t>
            </w:r>
          </w:p>
        </w:tc>
        <w:tc>
          <w:tcPr>
            <w:tcW w:w="907" w:type="dxa"/>
            <w:tcBorders>
              <w:bottom w:val="single" w:color="auto" w:sz="8" w:space="0"/>
            </w:tcBorders>
          </w:tcPr>
          <w:p w14:paraId="2428A70A">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Borders>
              <w:bottom w:val="single" w:color="auto" w:sz="8" w:space="0"/>
            </w:tcBorders>
          </w:tcPr>
          <w:p w14:paraId="469CFD6E">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Borders>
              <w:bottom w:val="single" w:color="auto" w:sz="8" w:space="0"/>
            </w:tcBorders>
          </w:tcPr>
          <w:p w14:paraId="0FB333CA">
            <w:pPr>
              <w:rPr>
                <w:rFonts w:ascii="Times New Roman" w:hAnsi="Times New Roman" w:eastAsia="SimSun" w:cs="Times New Roman"/>
                <w:sz w:val="24"/>
                <w:szCs w:val="24"/>
              </w:rPr>
            </w:pPr>
            <w:r>
              <w:rPr>
                <w:rFonts w:ascii="Times New Roman" w:hAnsi="Times New Roman" w:eastAsia="SimSun" w:cs="Times New Roman"/>
                <w:sz w:val="24"/>
                <w:szCs w:val="24"/>
              </w:rPr>
              <w:t>9-Octadecenoic acid, (E)-</w:t>
            </w:r>
          </w:p>
        </w:tc>
        <w:tc>
          <w:tcPr>
            <w:tcW w:w="1319" w:type="dxa"/>
            <w:tcBorders>
              <w:bottom w:val="single" w:color="auto" w:sz="8" w:space="0"/>
            </w:tcBorders>
          </w:tcPr>
          <w:p w14:paraId="68D68327">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Borders>
              <w:bottom w:val="single" w:color="auto" w:sz="8" w:space="0"/>
            </w:tcBorders>
          </w:tcPr>
          <w:p w14:paraId="087266E8">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bl>
    <w:p w14:paraId="3293FFE9">
      <w:pPr>
        <w:spacing w:line="480" w:lineRule="auto"/>
        <w:rPr>
          <w:rFonts w:ascii="Times New Roman" w:hAnsi="Times New Roman" w:eastAsia="SimSun" w:cs="Times New Roman"/>
          <w:b/>
          <w:bCs/>
          <w:sz w:val="24"/>
          <w:szCs w:val="24"/>
        </w:rPr>
      </w:pPr>
    </w:p>
    <w:p w14:paraId="50471C21">
      <w:pPr>
        <w:spacing w:line="480" w:lineRule="auto"/>
        <w:rPr>
          <w:rFonts w:ascii="Times New Roman" w:hAnsi="Times New Roman" w:eastAsia="SimSun" w:cs="Times New Roman"/>
          <w:b/>
          <w:bCs/>
          <w:sz w:val="24"/>
          <w:szCs w:val="24"/>
        </w:rPr>
      </w:pPr>
    </w:p>
    <w:p w14:paraId="15854B87">
      <w:pPr>
        <w:spacing w:line="480" w:lineRule="auto"/>
        <w:rPr>
          <w:rFonts w:ascii="Times New Roman" w:hAnsi="Times New Roman" w:eastAsia="SimSun" w:cs="Times New Roman"/>
          <w:b/>
          <w:bCs/>
          <w:sz w:val="24"/>
          <w:szCs w:val="24"/>
        </w:rPr>
      </w:pPr>
    </w:p>
    <w:p w14:paraId="20464CE4">
      <w:pPr>
        <w:spacing w:line="480" w:lineRule="auto"/>
        <w:rPr>
          <w:rFonts w:ascii="Times New Roman" w:hAnsi="Times New Roman" w:eastAsia="SimSun" w:cs="Times New Roman"/>
          <w:b/>
          <w:bCs/>
          <w:sz w:val="24"/>
          <w:szCs w:val="24"/>
        </w:rPr>
      </w:pPr>
    </w:p>
    <w:p w14:paraId="636EDC57">
      <w:pPr>
        <w:spacing w:line="480" w:lineRule="auto"/>
        <w:rPr>
          <w:rFonts w:ascii="Times New Roman" w:hAnsi="Times New Roman" w:eastAsia="SimSun" w:cs="Times New Roman"/>
          <w:b/>
          <w:bCs/>
          <w:sz w:val="24"/>
          <w:szCs w:val="24"/>
        </w:rPr>
      </w:pPr>
    </w:p>
    <w:p w14:paraId="5B93E43A">
      <w:pPr>
        <w:spacing w:line="480" w:lineRule="auto"/>
        <w:rPr>
          <w:rFonts w:ascii="Times New Roman" w:hAnsi="Times New Roman" w:eastAsia="SimSun" w:cs="Times New Roman"/>
          <w:b/>
          <w:bCs/>
          <w:sz w:val="24"/>
          <w:szCs w:val="24"/>
        </w:rPr>
      </w:pPr>
    </w:p>
    <w:p w14:paraId="5BBC4B18">
      <w:pPr>
        <w:spacing w:line="480" w:lineRule="auto"/>
        <w:rPr>
          <w:rFonts w:ascii="Times New Roman" w:hAnsi="Times New Roman" w:eastAsia="SimSun" w:cs="Times New Roman"/>
          <w:b/>
          <w:bCs/>
          <w:sz w:val="24"/>
          <w:szCs w:val="24"/>
        </w:rPr>
      </w:pPr>
    </w:p>
    <w:p w14:paraId="60ECE4BB">
      <w:pPr>
        <w:spacing w:line="480" w:lineRule="auto"/>
        <w:rPr>
          <w:rFonts w:ascii="Times New Roman" w:hAnsi="Times New Roman" w:eastAsia="SimSun" w:cs="Times New Roman"/>
          <w:b/>
          <w:bCs/>
          <w:sz w:val="24"/>
          <w:szCs w:val="24"/>
        </w:rPr>
      </w:pPr>
    </w:p>
    <w:p w14:paraId="26F187C4">
      <w:pPr>
        <w:spacing w:line="480" w:lineRule="auto"/>
        <w:rPr>
          <w:rFonts w:ascii="Times New Roman" w:hAnsi="Times New Roman" w:eastAsia="SimSun" w:cs="Times New Roman"/>
          <w:b/>
          <w:bCs/>
          <w:sz w:val="24"/>
          <w:szCs w:val="24"/>
        </w:rPr>
      </w:pPr>
    </w:p>
    <w:p w14:paraId="094B54D7">
      <w:pPr>
        <w:pStyle w:val="3"/>
        <w:bidi w:val="0"/>
      </w:pPr>
      <w:bookmarkStart w:id="140" w:name="_Toc22922"/>
      <w:bookmarkStart w:id="141" w:name="_Toc12867"/>
      <w:bookmarkStart w:id="142" w:name="_Toc6306"/>
      <w:r>
        <w:t>4.5 In silico Study</w:t>
      </w:r>
      <w:bookmarkEnd w:id="140"/>
      <w:bookmarkEnd w:id="141"/>
      <w:bookmarkEnd w:id="142"/>
    </w:p>
    <w:p w14:paraId="31602AB2">
      <w:pPr>
        <w:pStyle w:val="3"/>
        <w:bidi w:val="0"/>
      </w:pPr>
      <w:bookmarkStart w:id="143" w:name="_Toc1366"/>
      <w:bookmarkStart w:id="144" w:name="_Toc29845"/>
      <w:bookmarkStart w:id="145" w:name="_Toc9612"/>
      <w:r>
        <w:t>4.5.1 Molecular Docking of Acetylcholinesterase</w:t>
      </w:r>
      <w:bookmarkEnd w:id="143"/>
      <w:bookmarkEnd w:id="144"/>
      <w:bookmarkEnd w:id="145"/>
    </w:p>
    <w:p w14:paraId="36955F4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docking analysis, utilizing both SP (Standard Precision) and XP (Extra Precision) methods, reveals the predicted binding affinities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bioactive compounds against acetylcholinesterase (Figure 4.4). Of all the compounds, 2-ethyl-2H-Benzotriazole consistently showed the most favorable predicted binding, achieving the lowest (most negative) scores in both SP (-13.681 kcal/mol) and XP (-18.461 kcal/mol) docking (Figure 4.5). Donepezil, a well-established acetylcholinesterase inhibitor, also exhibited strong predicted interactions with scores of -13.297 kcal/mol (SP) and -18.063 kcal/mol (XP). N-Methylrhodanine displayed moderate predicted binding, with SP and XP scores of -7.413 kcal/mol and -5.735 kcal/mol, respectively. Conversely, 1-ethyl-2-methylbenzene and Octadecyl vinyl ester carbonic acid showed weaker predicted binding affinities across both docking methods, with SP scores of -5.962 kcal/mol and -5.823 kcal/mol, and XP scores of -5.461 kcal/mol and -5.124 kcal/mol, respectively.</w:t>
      </w:r>
    </w:p>
    <w:p w14:paraId="6ED79646">
      <w:pPr>
        <w:jc w:val="both"/>
        <w:rPr>
          <w:rFonts w:ascii="Times New Roman" w:hAnsi="Times New Roman" w:cs="Times New Roman"/>
          <w:sz w:val="24"/>
          <w:szCs w:val="24"/>
        </w:rPr>
      </w:pPr>
      <w:r>
        <w:rPr>
          <w:rFonts w:ascii="Times New Roman" w:hAnsi="Times New Roman" w:cs="Times New Roman"/>
          <w:sz w:val="24"/>
          <w:szCs w:val="24"/>
        </w:rPr>
        <w:object>
          <v:shape id="_x0000_i1027" o:spt="75" type="#_x0000_t75" style="height:355.2pt;width:394.8pt;" o:ole="t" filled="f" o:preferrelative="t" stroked="f" coordsize="21600,21600">
            <v:path/>
            <v:fill on="f" focussize="0,0"/>
            <v:stroke on="f" joinstyle="miter"/>
            <v:imagedata r:id="rId19" o:title=""/>
            <o:lock v:ext="edit" aspectratio="t"/>
            <w10:wrap type="none"/>
            <w10:anchorlock/>
          </v:shape>
          <o:OLEObject Type="Embed" ProgID="Prism8.Document" ShapeID="_x0000_i1027" DrawAspect="Content" ObjectID="_1468075727" r:id="rId18">
            <o:LockedField>false</o:LockedField>
          </o:OLEObject>
        </w:object>
      </w:r>
    </w:p>
    <w:p w14:paraId="6B6B4C3A">
      <w:pPr>
        <w:jc w:val="both"/>
        <w:rPr>
          <w:rFonts w:ascii="Times New Roman" w:hAnsi="Times New Roman" w:cs="Times New Roman"/>
          <w:sz w:val="24"/>
          <w:szCs w:val="24"/>
        </w:rPr>
      </w:pPr>
    </w:p>
    <w:p w14:paraId="68F31248">
      <w:pPr>
        <w:jc w:val="both"/>
        <w:rPr>
          <w:rFonts w:ascii="Times New Roman" w:hAnsi="Times New Roman" w:cs="Times New Roman"/>
          <w:b/>
          <w:bCs/>
          <w:sz w:val="24"/>
          <w:szCs w:val="24"/>
        </w:rPr>
      </w:pPr>
      <w:bookmarkStart w:id="146" w:name="OLE_LINK7"/>
      <w:r>
        <w:rPr>
          <w:rFonts w:ascii="Times New Roman" w:hAnsi="Times New Roman" w:cs="Times New Roman"/>
          <w:b/>
          <w:bCs/>
          <w:sz w:val="24"/>
          <w:szCs w:val="24"/>
        </w:rPr>
        <w:t xml:space="preserve">Figure 4.4: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6"/>
    <w:p w14:paraId="724EA60B">
      <w:pPr>
        <w:jc w:val="both"/>
        <w:rPr>
          <w:rFonts w:ascii="Times New Roman" w:hAnsi="Times New Roman" w:eastAsia="SimSun" w:cs="Times New Roman"/>
          <w:sz w:val="24"/>
          <w:szCs w:val="24"/>
        </w:rPr>
      </w:pPr>
      <w:r>
        <w:rPr>
          <w:rFonts w:ascii="Times New Roman" w:hAnsi="Times New Roman" w:cs="Times New Roman"/>
          <w:sz w:val="24"/>
          <w:szCs w:val="24"/>
        </w:rPr>
        <w:object>
          <v:shape id="_x0000_i1028" o:spt="75" type="#_x0000_t75" style="height:341.4pt;width:368.4pt;" o:ole="t" filled="f" o:preferrelative="t" stroked="f" coordsize="21600,21600">
            <v:path/>
            <v:fill on="f" focussize="0,0"/>
            <v:stroke on="f" joinstyle="miter"/>
            <v:imagedata r:id="rId21" o:title=""/>
            <o:lock v:ext="edit" aspectratio="t"/>
            <w10:wrap type="none"/>
            <w10:anchorlock/>
          </v:shape>
          <o:OLEObject Type="Embed" ProgID="Prism8.Document" ShapeID="_x0000_i1028" DrawAspect="Content" ObjectID="_1468075728" r:id="rId20">
            <o:LockedField>false</o:LockedField>
          </o:OLEObject>
        </w:object>
      </w:r>
    </w:p>
    <w:p w14:paraId="5B75EF43">
      <w:pPr>
        <w:jc w:val="both"/>
        <w:rPr>
          <w:rFonts w:ascii="Times New Roman" w:hAnsi="Times New Roman" w:eastAsia="SimSun" w:cs="Times New Roman"/>
          <w:sz w:val="24"/>
          <w:szCs w:val="24"/>
        </w:rPr>
      </w:pPr>
    </w:p>
    <w:p w14:paraId="6289785F">
      <w:pPr>
        <w:jc w:val="both"/>
        <w:rPr>
          <w:rFonts w:ascii="Times New Roman" w:hAnsi="Times New Roman" w:cs="Times New Roman"/>
          <w:b/>
          <w:bCs/>
          <w:sz w:val="24"/>
          <w:szCs w:val="24"/>
        </w:rPr>
      </w:pPr>
      <w:bookmarkStart w:id="147" w:name="OLE_LINK8"/>
      <w:r>
        <w:rPr>
          <w:rFonts w:ascii="Times New Roman" w:hAnsi="Times New Roman" w:cs="Times New Roman"/>
          <w:b/>
          <w:bCs/>
          <w:sz w:val="24"/>
          <w:szCs w:val="24"/>
        </w:rPr>
        <w:t xml:space="preserve">Figure 4.5: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7"/>
    <w:p w14:paraId="6B1D6A72">
      <w:pPr>
        <w:jc w:val="both"/>
        <w:rPr>
          <w:rFonts w:ascii="Times New Roman" w:hAnsi="Times New Roman" w:eastAsia="SimSun" w:cs="Times New Roman"/>
          <w:b/>
          <w:bCs/>
          <w:sz w:val="24"/>
          <w:szCs w:val="24"/>
        </w:rPr>
      </w:pPr>
    </w:p>
    <w:p w14:paraId="5C12292D">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Docking analyses of Donepezil and 2-ethyl-2H-Benzotriazole with acetylcholinesterase, and Captopril and 2-ethyl-2H-Benzotriazole with Angiotensin Converting Enzyme (ACE), consistently reveal distinct binding mechanisms across both SP and XP precision methods (Figure 4.6 and Figure 4.7).</w:t>
      </w:r>
    </w:p>
    <w:p w14:paraId="3FC286ED">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For acetylcholinesterase, Donepezil shows a robust binding profile characterized by hydrogen bonds (TYR 124), crucial pi-cation (TRP 86) and pi-pi stacking (PHE 338, TRP 286) interactions, extensive hydrophobic contacts with numerous residues (e.g., PHE 295, TRP 86, TYR 124), and charged interactions (ASP 74, ARG 296). The XP method largely corroborates these, suggesting a more refined and stable binding. 2-ethyl-2H-Benzotriazole primarily interacts through strong hydrophobic contacts (e.g., PHE 295, TRP 286, TYR 124) and a key charged (positive) interaction with ARG 296. XP analysis for this compound further highlights a pi-pi stacking interaction with PHE 297, reinforcing the significance of hydrophobic and electrostatic forces.</w:t>
      </w:r>
    </w:p>
    <w:p w14:paraId="24BF1B4D">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5006340</wp:posOffset>
                </wp:positionH>
                <wp:positionV relativeFrom="paragraph">
                  <wp:posOffset>3238500</wp:posOffset>
                </wp:positionV>
                <wp:extent cx="502920" cy="312420"/>
                <wp:effectExtent l="0" t="0" r="11430" b="11430"/>
                <wp:wrapNone/>
                <wp:docPr id="13263025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4.2pt;margin-top:255pt;height:24.6pt;width:39.6pt;z-index:251659264;v-text-anchor:middle;mso-width-relative:page;mso-height-relative:page;" fillcolor="#5B9BD5 [3204]" filled="t" stroked="t" coordsize="21600,21600" arcsize="0.166666666666667" o:gfxdata="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2L1qNtoAAAALAQAADwAAAAAAAAABACAAAAAiAAAAZHJzL2Rvd25yZXYueG1sUEsBAhQAFAAAAAgA&#10;h07iQKsD72GVAgAAQQUAAA4AAAAAAAAAAQAgAAAAKQEAAGRycy9lMm9Eb2MueG1sUEsFBgAAAAAG&#10;AAYAWQEAADAGAAAAAA==&#10;">
                <v:fill on="t" focussize="0,0"/>
                <v:stroke weight="1pt" color="#223F59 [3204]" miterlimit="8" joinstyle="miter"/>
                <v:imagedata o:title=""/>
                <o:lock v:ext="edit" aspectratio="f"/>
                <v:textbo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4396740" cy="3507105"/>
            <wp:effectExtent l="0" t="0" r="3810" b="0"/>
            <wp:docPr id="2096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867"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15949" cy="3522836"/>
                    </a:xfrm>
                    <a:prstGeom prst="rect">
                      <a:avLst/>
                    </a:prstGeom>
                  </pic:spPr>
                </pic:pic>
              </a:graphicData>
            </a:graphic>
          </wp:inline>
        </w:drawing>
      </w:r>
    </w:p>
    <w:p w14:paraId="52870D59">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4983480</wp:posOffset>
                </wp:positionH>
                <wp:positionV relativeFrom="paragraph">
                  <wp:posOffset>3021330</wp:posOffset>
                </wp:positionV>
                <wp:extent cx="502920" cy="312420"/>
                <wp:effectExtent l="0" t="0" r="11430" b="11430"/>
                <wp:wrapNone/>
                <wp:docPr id="2562730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2.4pt;margin-top:237.9pt;height:24.6pt;width:39.6pt;z-index:251661312;v-text-anchor:middle;mso-width-relative:page;mso-height-relative:page;" fillcolor="#5B9BD5 [3204]" filled="t" stroked="t" coordsize="21600,21600" arcsize="0.166666666666667" o:gfxdata="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6FgbtoAAAALAQAADwAAAAAAAAABACAAAAAiAAAAZHJzL2Rvd25yZXYueG1sUEsBAhQAFAAAAAgA&#10;h07iQKluvwyVAgAAQAUAAA4AAAAAAAAAAQAgAAAAKQEAAGRycy9lMm9Eb2MueG1sUEsFBgAAAAAG&#10;AAYAWQEAADAGAAAAAA==&#10;">
                <v:fill on="t" focussize="0,0"/>
                <v:stroke weight="1pt" color="#223F59 [3204]" miterlimit="8" joinstyle="miter"/>
                <v:imagedata o:title=""/>
                <o:lock v:ext="edit" aspectratio="f"/>
                <v:textbo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503420" cy="3571240"/>
            <wp:effectExtent l="0" t="0" r="0" b="0"/>
            <wp:docPr id="112807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0495"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505675" cy="3573274"/>
                    </a:xfrm>
                    <a:prstGeom prst="rect">
                      <a:avLst/>
                    </a:prstGeom>
                  </pic:spPr>
                </pic:pic>
              </a:graphicData>
            </a:graphic>
          </wp:inline>
        </w:drawing>
      </w:r>
    </w:p>
    <w:p w14:paraId="2217E7E6">
      <w:pPr>
        <w:jc w:val="both"/>
        <w:rPr>
          <w:rFonts w:ascii="Times New Roman" w:hAnsi="Times New Roman" w:eastAsia="SimSun" w:cs="Times New Roman"/>
          <w:sz w:val="24"/>
          <w:szCs w:val="24"/>
        </w:rPr>
      </w:pPr>
    </w:p>
    <w:p w14:paraId="0A2830DC">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4.6: SP and XP Docking Interactions of Acetylcholinesterase with Donepezil (A: SP Docking Interaction of AChE with Donepezil; B: XP Docking Interaction of AChE with Donepezil).</w:t>
      </w:r>
    </w:p>
    <w:p w14:paraId="42E71448">
      <w:pPr>
        <w:jc w:val="both"/>
        <w:rPr>
          <w:rFonts w:ascii="Times New Roman" w:hAnsi="Times New Roman" w:eastAsia="SimSun" w:cs="Times New Roman"/>
          <w:b/>
          <w:bCs/>
          <w:sz w:val="24"/>
          <w:szCs w:val="24"/>
        </w:rPr>
      </w:pPr>
    </w:p>
    <w:p w14:paraId="3601D603">
      <w:pPr>
        <w:jc w:val="both"/>
        <w:rPr>
          <w:rFonts w:ascii="Times New Roman" w:hAnsi="Times New Roman" w:eastAsia="SimSun" w:cs="Times New Roman"/>
          <w:b/>
          <w:bCs/>
          <w:sz w:val="24"/>
          <w:szCs w:val="24"/>
        </w:rPr>
      </w:pPr>
    </w:p>
    <w:p w14:paraId="7F7C1258">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5143500</wp:posOffset>
                </wp:positionH>
                <wp:positionV relativeFrom="paragraph">
                  <wp:posOffset>3230880</wp:posOffset>
                </wp:positionV>
                <wp:extent cx="502920" cy="312420"/>
                <wp:effectExtent l="0" t="0" r="11430" b="11430"/>
                <wp:wrapNone/>
                <wp:docPr id="2116876276"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5pt;margin-top:254.4pt;height:24.6pt;width:39.6pt;z-index:251668480;v-text-anchor:middle;mso-width-relative:page;mso-height-relative:page;" fillcolor="#5B9BD5 [3204]" filled="t" stroked="t" coordsize="21600,21600" arcsize="0.166666666666667" o:gfxdata="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v&#10;dhbj2AAAAAsBAAAPAAAAAAAAAAEAIAAAACIAAABkcnMvZG93bnJldi54bWxQSwECFAAUAAAACACH&#10;TuJALKXj75YCAABBBQAADgAAAAAAAAABACAAAAAnAQAAZHJzL2Uyb0RvYy54bWxQSwUGAAAAAAYA&#10;BgBZAQAALwYAAAAA&#10;">
                <v:fill on="t" focussize="0,0"/>
                <v:stroke weight="1pt" color="#223F59 [3204]" miterlimit="8" joinstyle="miter"/>
                <v:imagedata o:title=""/>
                <o:lock v:ext="edit" aspectratio="f"/>
                <v:textbo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5105400" cy="4057650"/>
            <wp:effectExtent l="0" t="0" r="0" b="0"/>
            <wp:docPr id="2146637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7343"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05662" cy="4057859"/>
                    </a:xfrm>
                    <a:prstGeom prst="rect">
                      <a:avLst/>
                    </a:prstGeom>
                  </pic:spPr>
                </pic:pic>
              </a:graphicData>
            </a:graphic>
          </wp:inline>
        </w:drawing>
      </w:r>
    </w:p>
    <w:p w14:paraId="55D8B154">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5105400</wp:posOffset>
                </wp:positionH>
                <wp:positionV relativeFrom="paragraph">
                  <wp:posOffset>3204210</wp:posOffset>
                </wp:positionV>
                <wp:extent cx="502920" cy="312420"/>
                <wp:effectExtent l="0" t="0" r="11430" b="11430"/>
                <wp:wrapNone/>
                <wp:docPr id="12504247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2pt;margin-top:252.3pt;height:24.6pt;width:39.6pt;z-index:251666432;v-text-anchor:middle;mso-width-relative:page;mso-height-relative:page;" fillcolor="#5B9BD5 [3204]" filled="t" stroked="t" coordsize="21600,21600" arcsize="0.166666666666667" o:gfxdata="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S&#10;lId32gAAAAsBAAAPAAAAAAAAAAEAIAAAACIAAABkcnMvZG93bnJldi54bWxQSwECFAAUAAAACACH&#10;TuJAJMnSCZQCAABBBQAADgAAAAAAAAABACAAAAApAQAAZHJzL2Uyb0RvYy54bWxQSwUGAAAAAAYA&#10;BgBZAQAALwYAAAAA&#10;">
                <v:fill on="t" focussize="0,0"/>
                <v:stroke weight="1pt" color="#223F59 [3204]" miterlimit="8" joinstyle="miter"/>
                <v:imagedata o:title=""/>
                <o:lock v:ext="edit" aspectratio="f"/>
                <v:textbo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800600" cy="3890010"/>
            <wp:effectExtent l="0" t="0" r="0" b="0"/>
            <wp:docPr id="978137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7339"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812811" cy="3900236"/>
                    </a:xfrm>
                    <a:prstGeom prst="rect">
                      <a:avLst/>
                    </a:prstGeom>
                  </pic:spPr>
                </pic:pic>
              </a:graphicData>
            </a:graphic>
          </wp:inline>
        </w:drawing>
      </w:r>
    </w:p>
    <w:p w14:paraId="7517CAFD">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4.7: SP and XP Docking Interactions of Acetylcholinesterase with 2-ethyl-2H-Benzotriazole (A: SP Docking Interaction of AChE with 2-ethyl-2H-Benzotriazole; B: XP Docking Interaction of AChE with 2-ethyl-2H-Benzotriazole).</w:t>
      </w:r>
    </w:p>
    <w:p w14:paraId="0F06A56D">
      <w:pPr>
        <w:jc w:val="both"/>
        <w:rPr>
          <w:rFonts w:ascii="Times New Roman" w:hAnsi="Times New Roman" w:eastAsia="SimSun" w:cs="Times New Roman"/>
          <w:b/>
          <w:bCs/>
          <w:sz w:val="24"/>
          <w:szCs w:val="24"/>
        </w:rPr>
      </w:pPr>
    </w:p>
    <w:p w14:paraId="0D3F0F3F">
      <w:pPr>
        <w:pStyle w:val="3"/>
        <w:bidi w:val="0"/>
      </w:pPr>
      <w:bookmarkStart w:id="148" w:name="_Toc10929"/>
      <w:bookmarkStart w:id="149" w:name="_Toc18008"/>
      <w:bookmarkStart w:id="150" w:name="_Toc15561"/>
      <w:r>
        <w:t>4.5.2 Molecular Docking of Angiotensin Converting Enzyme (ACE)</w:t>
      </w:r>
      <w:bookmarkEnd w:id="148"/>
      <w:bookmarkEnd w:id="149"/>
      <w:bookmarkEnd w:id="150"/>
    </w:p>
    <w:p w14:paraId="72CF7056">
      <w:pPr>
        <w:jc w:val="both"/>
        <w:rPr>
          <w:rFonts w:ascii="Times New Roman" w:hAnsi="Times New Roman" w:eastAsia="SimSun" w:cs="Times New Roman"/>
          <w:sz w:val="24"/>
          <w:szCs w:val="24"/>
        </w:rPr>
      </w:pPr>
    </w:p>
    <w:p w14:paraId="3F5B33D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docking analysis for Angiotensin Converting Enzyme (ACE) using both SP (Standard Precision) and XP (Extra Precision) methods reveals the predicted binding affinities of the tested compounds. 2-ethyl-2H-Benzotriazole demonstrated the most favorable predicted binding, achieving the lowest (most negative) scores in both SP (-7.301 kcal/mol) (Figure 4.8) and XP (-51.499 kcal/mol) docking (Figure 4.9). Captopril, a known ACE inhibitor, also exhibited strong predicted interactions with scores of -7.222 kcal/mol (SP) and -50.874 kcal/mol (XP). N-Methylrhodanine showed moderate predicted binding affinity, with SP and XP scores of -5.146 kcal/mol and -31.452 kcal/mol, respectively. In contrast, 1-ethyl-2-methylbenzene and Octadecyl vinyl ester carbonic acid displayed weaker predicted interactions with ACE across both docking methods. Their SP scores were -5.100 kcal/mol and -1.998 kcal/mol, and their XP scores were -21.427 kcal/mol and -11.987 kcal/mol, respectively.</w:t>
      </w:r>
    </w:p>
    <w:p w14:paraId="1B8C51E5">
      <w:pPr>
        <w:jc w:val="both"/>
        <w:rPr>
          <w:rFonts w:ascii="Times New Roman" w:hAnsi="Times New Roman" w:cs="Times New Roman"/>
          <w:sz w:val="24"/>
          <w:szCs w:val="24"/>
        </w:rPr>
      </w:pPr>
      <w:r>
        <w:rPr>
          <w:rFonts w:ascii="Times New Roman" w:hAnsi="Times New Roman" w:cs="Times New Roman"/>
          <w:sz w:val="24"/>
          <w:szCs w:val="24"/>
        </w:rPr>
        <w:object>
          <v:shape id="_x0000_i1029" o:spt="75" type="#_x0000_t75" style="height:341.4pt;width:371.4pt;" o:ole="t" filled="f" o:preferrelative="t" stroked="f" coordsize="21600,21600">
            <v:path/>
            <v:fill on="f" focussize="0,0"/>
            <v:stroke on="f" joinstyle="miter"/>
            <v:imagedata r:id="rId27" o:title=""/>
            <o:lock v:ext="edit" aspectratio="t"/>
            <w10:wrap type="none"/>
            <w10:anchorlock/>
          </v:shape>
          <o:OLEObject Type="Embed" ProgID="Prism8.Document" ShapeID="_x0000_i1029" DrawAspect="Content" ObjectID="_1468075729" r:id="rId26">
            <o:LockedField>false</o:LockedField>
          </o:OLEObject>
        </w:object>
      </w:r>
    </w:p>
    <w:p w14:paraId="72F0ABE7">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4.8: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0D125385">
      <w:pPr>
        <w:jc w:val="both"/>
        <w:rPr>
          <w:rFonts w:ascii="Times New Roman" w:hAnsi="Times New Roman" w:cs="Times New Roman"/>
          <w:sz w:val="24"/>
          <w:szCs w:val="24"/>
        </w:rPr>
      </w:pPr>
      <w:r>
        <w:rPr>
          <w:rFonts w:ascii="Times New Roman" w:hAnsi="Times New Roman" w:cs="Times New Roman"/>
          <w:sz w:val="24"/>
          <w:szCs w:val="24"/>
        </w:rPr>
        <w:object>
          <v:shape id="_x0000_i1030" o:spt="75" type="#_x0000_t75" style="height:341.4pt;width:375.6pt;" o:ole="t" filled="f" o:preferrelative="t" stroked="f" coordsize="21600,21600">
            <v:path/>
            <v:fill on="f" focussize="0,0"/>
            <v:stroke on="f" joinstyle="miter"/>
            <v:imagedata r:id="rId29" o:title=""/>
            <o:lock v:ext="edit" aspectratio="t"/>
            <w10:wrap type="none"/>
            <w10:anchorlock/>
          </v:shape>
          <o:OLEObject Type="Embed" ProgID="Prism8.Document" ShapeID="_x0000_i1030" DrawAspect="Content" ObjectID="_1468075730" r:id="rId28">
            <o:LockedField>false</o:LockedField>
          </o:OLEObject>
        </w:object>
      </w:r>
    </w:p>
    <w:p w14:paraId="77E1B3D1">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4.9: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3E1EF8AF">
      <w:pPr>
        <w:jc w:val="both"/>
        <w:rPr>
          <w:rFonts w:ascii="Times New Roman" w:hAnsi="Times New Roman" w:eastAsia="SimSun" w:cs="Times New Roman"/>
          <w:sz w:val="24"/>
          <w:szCs w:val="24"/>
        </w:rPr>
      </w:pPr>
    </w:p>
    <w:p w14:paraId="1E8ED934">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Against Angiotensin Converting Enzyme (ACE), Captopril exhibits critical metal coordination with the Zinc ion (ZN 701), a characteristic feature (Figure 4.10). It also forms a hydrogen bond and salt bridge with LYS 511, along with various hydrophobic contacts (e.g., PHE 527, VAL 380) and a charged (negative) interaction with GLU 384. The XP analysis confirms the metal coordination and hydrophobic interactions, and notably identifies a new halogen bond with HIS 383, suggesting a more precise binding mode. 2-ethyl-2H-Benzotriazole primarily engages in hydrophobic interactions (e.g., PHE 527, TYR 523, VAL 379), charged interactions (ASP 415, GLU 384), and a hydrogen bond with HIS 383 in SP. XP analysis for this compound further details these interactions, including additional charged interactions with ASP 453 and LYS 454, and a hydrogen bond with VAL 380, providing a comprehensive view of its predicted binding to ACE (Figure 4.11). </w:t>
      </w:r>
    </w:p>
    <w:p w14:paraId="4CB3389E">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4907280</wp:posOffset>
                </wp:positionH>
                <wp:positionV relativeFrom="paragraph">
                  <wp:posOffset>2971800</wp:posOffset>
                </wp:positionV>
                <wp:extent cx="502920" cy="312420"/>
                <wp:effectExtent l="0" t="0" r="11430" b="11430"/>
                <wp:wrapNone/>
                <wp:docPr id="2023966661"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86.4pt;margin-top:234pt;height:24.6pt;width:39.6pt;z-index:251670528;v-text-anchor:middle;mso-width-relative:page;mso-height-relative:page;" fillcolor="#5B9BD5 [3204]" filled="t" stroked="t" coordsize="21600,21600" arcsize="0.166666666666667" o:gfxdata="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q&#10;IT6n2gAAAAsBAAAPAAAAAAAAAAEAIAAAACIAAABkcnMvZG93bnJldi54bWxQSwECFAAUAAAACACH&#10;TuJAMdkm8ZQCAABBBQAADgAAAAAAAAABACAAAAApAQAAZHJzL2Uyb0RvYy54bWxQSwUGAAAAAAYA&#10;BgBZAQAALwYAAAAA&#10;">
                <v:fill on="t" focussize="0,0"/>
                <v:stroke weight="1pt" color="#223F59 [3204]" miterlimit="8" joinstyle="miter"/>
                <v:imagedata o:title=""/>
                <o:lock v:ext="edit" aspectratio="f"/>
                <v:textbo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5051425" cy="3962400"/>
            <wp:effectExtent l="0" t="0" r="7620" b="0"/>
            <wp:docPr id="288167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7430" name="Picture 6"/>
                    <pic:cNvPicPr>
                      <a:picLocks noChangeAspect="1"/>
                    </pic:cNvPicPr>
                  </pic:nvPicPr>
                  <pic:blipFill>
                    <a:blip r:embed="rId30">
                      <a:extLst>
                        <a:ext uri="{28A0092B-C50C-407E-A947-70E740481C1C}">
                          <a14:useLocalDpi xmlns:a14="http://schemas.microsoft.com/office/drawing/2010/main" val="0"/>
                        </a:ext>
                      </a:extLst>
                    </a:blip>
                    <a:srcRect l="2330" t="2575" r="1118" b="1718"/>
                    <a:stretch>
                      <a:fillRect/>
                    </a:stretch>
                  </pic:blipFill>
                  <pic:spPr>
                    <a:xfrm>
                      <a:off x="0" y="0"/>
                      <a:ext cx="5052059" cy="3962400"/>
                    </a:xfrm>
                    <a:prstGeom prst="rect">
                      <a:avLst/>
                    </a:prstGeom>
                    <a:ln>
                      <a:noFill/>
                    </a:ln>
                  </pic:spPr>
                </pic:pic>
              </a:graphicData>
            </a:graphic>
          </wp:inline>
        </w:drawing>
      </w:r>
    </w:p>
    <w:p w14:paraId="4EF5456B">
      <w:pPr>
        <w:jc w:val="both"/>
        <w:rPr>
          <w:rFonts w:ascii="Times New Roman" w:hAnsi="Times New Roman" w:eastAsia="SimSun" w:cs="Times New Roman"/>
          <w:b/>
          <w:bCs/>
          <w:sz w:val="24"/>
          <w:szCs w:val="24"/>
        </w:rPr>
      </w:pPr>
    </w:p>
    <w:p w14:paraId="4D73EABE">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4823460</wp:posOffset>
                </wp:positionH>
                <wp:positionV relativeFrom="paragraph">
                  <wp:posOffset>2933065</wp:posOffset>
                </wp:positionV>
                <wp:extent cx="502920" cy="312420"/>
                <wp:effectExtent l="0" t="0" r="11430" b="11430"/>
                <wp:wrapNone/>
                <wp:docPr id="18264711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79.8pt;margin-top:230.95pt;height:24.6pt;width:39.6pt;z-index:251664384;v-text-anchor:middle;mso-width-relative:page;mso-height-relative:page;" fillcolor="#5B9BD5 [3204]" filled="t" stroked="t" coordsize="21600,21600" arcsize="0.166666666666667" o:gfxdata="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fU5ipNoAAAALAQAADwAAAAAAAAABACAAAAAiAAAAZHJzL2Rvd25yZXYueG1sUEsBAhQAFAAAAAgA&#10;h07iQBpJQBSVAgAAQQUAAA4AAAAAAAAAAQAgAAAAKQEAAGRycy9lMm9Eb2MueG1sUEsFBgAAAAAG&#10;AAYAWQEAADAGAAAAAA==&#10;">
                <v:fill on="t" focussize="0,0"/>
                <v:stroke weight="1pt" color="#223F59 [3204]" miterlimit="8" joinstyle="miter"/>
                <v:imagedata o:title=""/>
                <o:lock v:ext="edit" aspectratio="f"/>
                <v:textbo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b/>
          <w:bCs/>
          <w:sz w:val="24"/>
          <w:szCs w:val="24"/>
        </w:rPr>
        <w:drawing>
          <wp:inline distT="0" distB="0" distL="0" distR="0">
            <wp:extent cx="4251960" cy="3297555"/>
            <wp:effectExtent l="0" t="0" r="0" b="0"/>
            <wp:docPr id="64534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491" name="Picture 7"/>
                    <pic:cNvPicPr>
                      <a:picLocks noChangeAspect="1"/>
                    </pic:cNvPicPr>
                  </pic:nvPicPr>
                  <pic:blipFill>
                    <a:blip r:embed="rId31">
                      <a:extLst>
                        <a:ext uri="{28A0092B-C50C-407E-A947-70E740481C1C}">
                          <a14:useLocalDpi xmlns:a14="http://schemas.microsoft.com/office/drawing/2010/main" val="0"/>
                        </a:ext>
                      </a:extLst>
                    </a:blip>
                    <a:srcRect l="1020" t="5569" r="2281" b="1916"/>
                    <a:stretch>
                      <a:fillRect/>
                    </a:stretch>
                  </pic:blipFill>
                  <pic:spPr>
                    <a:xfrm>
                      <a:off x="0" y="0"/>
                      <a:ext cx="4262956" cy="3306361"/>
                    </a:xfrm>
                    <a:prstGeom prst="rect">
                      <a:avLst/>
                    </a:prstGeom>
                    <a:ln>
                      <a:noFill/>
                    </a:ln>
                  </pic:spPr>
                </pic:pic>
              </a:graphicData>
            </a:graphic>
          </wp:inline>
        </w:drawing>
      </w:r>
    </w:p>
    <w:p w14:paraId="065E564A">
      <w:pPr>
        <w:jc w:val="both"/>
        <w:rPr>
          <w:rFonts w:ascii="Times New Roman" w:hAnsi="Times New Roman" w:eastAsia="SimSun" w:cs="Times New Roman"/>
          <w:b/>
          <w:bCs/>
          <w:sz w:val="24"/>
          <w:szCs w:val="24"/>
        </w:rPr>
      </w:pPr>
    </w:p>
    <w:p w14:paraId="35419CF4">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4.10: SP and XP Docking Interactions of Angiotensin Converting Enzyme with Captopril (A: SP Docking Interaction of ACE with Captopril; B: XP Docking Interaction of ACE with Captopril).</w:t>
      </w:r>
    </w:p>
    <w:p w14:paraId="4AEE5BB9">
      <w:pPr>
        <w:jc w:val="both"/>
        <w:rPr>
          <w:rFonts w:ascii="Times New Roman" w:hAnsi="Times New Roman" w:eastAsia="SimSun" w:cs="Times New Roman"/>
          <w:b/>
          <w:bCs/>
          <w:sz w:val="24"/>
          <w:szCs w:val="24"/>
        </w:rPr>
      </w:pPr>
    </w:p>
    <w:p w14:paraId="46CA1EEE">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drawing>
          <wp:inline distT="0" distB="0" distL="0" distR="0">
            <wp:extent cx="4878705" cy="3902710"/>
            <wp:effectExtent l="0" t="0" r="17145" b="2540"/>
            <wp:docPr id="1852392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2392" name="Picture 8"/>
                    <pic:cNvPicPr>
                      <a:picLocks noChangeAspect="1"/>
                    </pic:cNvPicPr>
                  </pic:nvPicPr>
                  <pic:blipFill>
                    <a:blip r:embed="rId32">
                      <a:extLst>
                        <a:ext uri="{28A0092B-C50C-407E-A947-70E740481C1C}">
                          <a14:useLocalDpi xmlns:a14="http://schemas.microsoft.com/office/drawing/2010/main" val="0"/>
                        </a:ext>
                      </a:extLst>
                    </a:blip>
                    <a:srcRect l="2185" t="4872" r="1845"/>
                    <a:stretch>
                      <a:fillRect/>
                    </a:stretch>
                  </pic:blipFill>
                  <pic:spPr>
                    <a:xfrm>
                      <a:off x="0" y="0"/>
                      <a:ext cx="4878705" cy="3902710"/>
                    </a:xfrm>
                    <a:prstGeom prst="rect">
                      <a:avLst/>
                    </a:prstGeom>
                    <a:ln>
                      <a:noFill/>
                    </a:ln>
                  </pic:spPr>
                </pic:pic>
              </a:graphicData>
            </a:graphic>
          </wp:inline>
        </w:drawing>
      </w:r>
      <w:r>
        <w:rPr>
          <w:rFonts w:ascii="Times New Roman" w:hAnsi="Times New Roman" w:eastAsia="SimSu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5242560</wp:posOffset>
                </wp:positionH>
                <wp:positionV relativeFrom="paragraph">
                  <wp:posOffset>6857365</wp:posOffset>
                </wp:positionV>
                <wp:extent cx="502920" cy="312420"/>
                <wp:effectExtent l="0" t="0" r="11430" b="11430"/>
                <wp:wrapNone/>
                <wp:docPr id="1297110917"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2.8pt;margin-top:539.95pt;height:24.6pt;width:39.6pt;z-index:251662336;v-text-anchor:middle;mso-width-relative:page;mso-height-relative:page;" fillcolor="#5B9BD5 [3204]" filled="t" stroked="t" coordsize="21600,21600" arcsize="0.166666666666667" o:gfxdata="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m&#10;GY/l2gAAAA0BAAAPAAAAAAAAAAEAIAAAACIAAABkcnMvZG93bnJldi54bWxQSwECFAAUAAAACACH&#10;TuJAqoJQZpQCAABBBQAADgAAAAAAAAABACAAAAApAQAAZHJzL2Uyb0RvYy54bWxQSwUGAAAAAAYA&#10;BgBZAQAALwYAAAAA&#10;">
                <v:fill on="t" focussize="0,0"/>
                <v:stroke weight="1pt" color="#223F59 [3204]" miterlimit="8" joinstyle="miter"/>
                <v:imagedata o:title=""/>
                <o:lock v:ext="edit" aspectratio="f"/>
                <v:textbo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5250180</wp:posOffset>
                </wp:positionH>
                <wp:positionV relativeFrom="paragraph">
                  <wp:posOffset>3260725</wp:posOffset>
                </wp:positionV>
                <wp:extent cx="502920" cy="312420"/>
                <wp:effectExtent l="0" t="0" r="11430" b="11430"/>
                <wp:wrapNone/>
                <wp:docPr id="1188774492"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3.4pt;margin-top:256.75pt;height:24.6pt;width:39.6pt;z-index:251660288;v-text-anchor:middle;mso-width-relative:page;mso-height-relative:page;" fillcolor="#5B9BD5 [3204]" filled="t" stroked="t" coordsize="21600,21600" arcsize="0.166666666666667" o:gfxdata="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69p9yNoAAAALAQAADwAAAAAAAAABACAAAAAiAAAAZHJzL2Rvd25yZXYueG1sUEsBAhQAFAAAAAgA&#10;h07iQBZNSfGVAgAAQQUAAA4AAAAAAAAAAQAgAAAAKQEAAGRycy9lMm9Eb2MueG1sUEsFBgAAAAAG&#10;AAYAWQEAADAGAAAAAA==&#10;">
                <v:fill on="t" focussize="0,0"/>
                <v:stroke weight="1pt" color="#223F59 [3204]" miterlimit="8" joinstyle="miter"/>
                <v:imagedata o:title=""/>
                <o:lock v:ext="edit" aspectratio="f"/>
                <v:textbo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3869690" cy="3136900"/>
            <wp:effectExtent l="0" t="0" r="16510" b="6350"/>
            <wp:docPr id="106037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4335" name="Picture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869690" cy="3136900"/>
                    </a:xfrm>
                    <a:prstGeom prst="rect">
                      <a:avLst/>
                    </a:prstGeom>
                  </pic:spPr>
                </pic:pic>
              </a:graphicData>
            </a:graphic>
          </wp:inline>
        </w:drawing>
      </w:r>
    </w:p>
    <w:p w14:paraId="13C369B6">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4.11: SP and XP Docking Interactions of Angiotensin Converting Enzyme with 2-ethyl-2H-Benzotriazole (A: SP Docking Interaction of ACE with 2-ethyl-2H-Benzotriazole; B: XP Docking Interaction of ACE with 2-ethyl-2H-Benzotriazole).</w:t>
      </w:r>
    </w:p>
    <w:p w14:paraId="7C634FD1">
      <w:pPr>
        <w:spacing w:line="480" w:lineRule="auto"/>
        <w:rPr>
          <w:rFonts w:ascii="Times New Roman" w:hAnsi="Times New Roman" w:eastAsia="SimSun" w:cs="Times New Roman"/>
          <w:b/>
          <w:bCs/>
          <w:sz w:val="24"/>
          <w:szCs w:val="24"/>
        </w:rPr>
      </w:pPr>
    </w:p>
    <w:p w14:paraId="7CABDD40">
      <w:pPr>
        <w:spacing w:line="480" w:lineRule="auto"/>
        <w:rPr>
          <w:rFonts w:ascii="Times New Roman" w:hAnsi="Times New Roman" w:eastAsia="SimSun" w:cs="Times New Roman"/>
          <w:b/>
          <w:bCs/>
          <w:sz w:val="24"/>
          <w:szCs w:val="24"/>
        </w:rPr>
      </w:pPr>
    </w:p>
    <w:p w14:paraId="3F1B5CB6">
      <w:pPr>
        <w:spacing w:line="480" w:lineRule="auto"/>
        <w:rPr>
          <w:rFonts w:ascii="Times New Roman" w:hAnsi="Times New Roman" w:eastAsia="SimSun" w:cs="Times New Roman"/>
          <w:b/>
          <w:bCs/>
          <w:sz w:val="24"/>
          <w:szCs w:val="24"/>
        </w:rPr>
      </w:pPr>
    </w:p>
    <w:p w14:paraId="0F90914D">
      <w:pPr>
        <w:pStyle w:val="3"/>
        <w:bidi w:val="0"/>
      </w:pPr>
      <w:bookmarkStart w:id="151" w:name="_Toc16049"/>
      <w:bookmarkStart w:id="152" w:name="_Toc26137"/>
      <w:bookmarkStart w:id="153" w:name="_Toc2155"/>
      <w:r>
        <w:t>4.6 ADMET Screening</w:t>
      </w:r>
      <w:bookmarkEnd w:id="151"/>
      <w:bookmarkEnd w:id="152"/>
      <w:bookmarkEnd w:id="153"/>
    </w:p>
    <w:p w14:paraId="1B8B7D7E">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Captopril, donepezil, 2 ethyl 2H Benzotriazole, and N Methylrhodanine demonstrate high gastrointestinal absorption, whereas 2 methyl Benzene 1 ethyl and Carbonic acid octadecyl vinyl ester show low absorption (Table 4.3). Donepezil, 2 ethyl 2H Benzotriazole, and 2 methyl Benzene 1 ethyl are capable of crossing the blood brain barrier, while Captopril, N Methylrhodanine, and Carbonic acid octadecyl vinyl ester are not permeant. Among the group, only Donepezil is a P glycoprotein substrate, suggesting it may be subject to efflux transport and potentially lower brain bioavailability.</w:t>
      </w:r>
    </w:p>
    <w:p w14:paraId="515A1DB8">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In terms of cytochrome P450 inhibition, 2 ethyl 2H Benzotriazole and Carbonic acid octadecyl vinyl ester inhibit CYP1A2. Additionally, Carbonic acid octadecyl vinyl ester inhibits CYP2C9, while Donepezil shows inhibitory activity against CYP2D6 and CYP3A4. Only Donepezil interacts with the renal organic cation transporter OCT2.</w:t>
      </w:r>
    </w:p>
    <w:p w14:paraId="0932F89C">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Toxicity predictions show that captopril is the only compound with nephrotoxicity. Neurotoxicity is predicted for Donepezil, 2 ethyl 2H Benzotriazole, N Methylrhodanine, and 2 methyl Benzene 1 ethyl, while captopril and carbonic acid octadecyl vinyl ester is considered inactive in this regard. Carcinogenicity is identified in Captopril, N Methylrhodanine, 2 methyl Benzene 1 ethyl, and Carbonic acid octadecyl vinyl ester, raising potential long term safety concerns.</w:t>
      </w:r>
    </w:p>
    <w:p w14:paraId="03782735">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Regarding drug-likeness, all compounds except 2 methyl Benzene 1 ethyl and Carbonic acid octadecyl vinyl ester comply fully with Lipinski’s rule of five. The exceptions violate the MLOGP parameter, indicating excessive lipophilicity which may affect absorption and bioavailability.</w:t>
      </w:r>
    </w:p>
    <w:p w14:paraId="2153ECF8">
      <w:pPr>
        <w:spacing w:line="480" w:lineRule="auto"/>
        <w:jc w:val="both"/>
        <w:rPr>
          <w:rFonts w:ascii="Times New Roman" w:hAnsi="Times New Roman" w:eastAsia="SimSun" w:cs="Times New Roman"/>
          <w:sz w:val="24"/>
          <w:szCs w:val="24"/>
        </w:rPr>
      </w:pPr>
    </w:p>
    <w:p w14:paraId="239A7E16">
      <w:pPr>
        <w:spacing w:line="480" w:lineRule="auto"/>
        <w:jc w:val="both"/>
        <w:rPr>
          <w:rFonts w:ascii="Times New Roman" w:hAnsi="Times New Roman" w:eastAsia="SimSun" w:cs="Times New Roman"/>
          <w:sz w:val="24"/>
          <w:szCs w:val="24"/>
        </w:rPr>
        <w:sectPr>
          <w:footerReference r:id="rId9" w:type="default"/>
          <w:pgSz w:w="11906" w:h="16838"/>
          <w:pgMar w:top="1440" w:right="1800" w:bottom="1440" w:left="1800" w:header="720" w:footer="720" w:gutter="0"/>
          <w:pgNumType w:fmt="decimal"/>
          <w:cols w:space="720" w:num="1"/>
          <w:docGrid w:linePitch="360" w:charSpace="0"/>
        </w:sectPr>
      </w:pPr>
    </w:p>
    <w:p w14:paraId="785B7134">
      <w:pPr>
        <w:spacing w:before="240" w:line="480" w:lineRule="auto"/>
        <w:rPr>
          <w:rFonts w:ascii="Times New Roman" w:hAnsi="Times New Roman" w:cs="Times New Roman"/>
          <w:b/>
          <w:sz w:val="24"/>
          <w:szCs w:val="24"/>
        </w:rPr>
      </w:pPr>
      <w:r>
        <w:rPr>
          <w:rFonts w:ascii="Times New Roman" w:hAnsi="Times New Roman" w:cs="Times New Roman"/>
          <w:b/>
          <w:sz w:val="24"/>
          <w:szCs w:val="24"/>
        </w:rPr>
        <w:t>Table 4.3: ADMET Profile and Lipinski Status of the Hit Compounds and Standard Inhibitors of AChE and ACE</w:t>
      </w:r>
    </w:p>
    <w:tbl>
      <w:tblPr>
        <w:tblStyle w:val="6"/>
        <w:tblW w:w="14031" w:type="dxa"/>
        <w:tblInd w:w="0" w:type="dxa"/>
        <w:tblLayout w:type="autofit"/>
        <w:tblCellMar>
          <w:top w:w="0" w:type="dxa"/>
          <w:left w:w="108" w:type="dxa"/>
          <w:bottom w:w="0" w:type="dxa"/>
          <w:right w:w="108" w:type="dxa"/>
        </w:tblCellMar>
      </w:tblPr>
      <w:tblGrid>
        <w:gridCol w:w="1843"/>
        <w:gridCol w:w="1358"/>
        <w:gridCol w:w="1830"/>
        <w:gridCol w:w="2341"/>
        <w:gridCol w:w="2324"/>
        <w:gridCol w:w="2049"/>
        <w:gridCol w:w="2286"/>
      </w:tblGrid>
      <w:tr w14:paraId="329BC0F6">
        <w:tblPrEx>
          <w:tblCellMar>
            <w:top w:w="0" w:type="dxa"/>
            <w:left w:w="108" w:type="dxa"/>
            <w:bottom w:w="0" w:type="dxa"/>
            <w:right w:w="108" w:type="dxa"/>
          </w:tblCellMar>
        </w:tblPrEx>
        <w:tc>
          <w:tcPr>
            <w:tcW w:w="1843" w:type="dxa"/>
            <w:tcBorders>
              <w:top w:val="single" w:color="auto" w:sz="8" w:space="0"/>
              <w:bottom w:val="single" w:color="auto" w:sz="8" w:space="0"/>
            </w:tcBorders>
          </w:tcPr>
          <w:p w14:paraId="6712CD27">
            <w:pPr>
              <w:rPr>
                <w:rFonts w:ascii="Times New Roman" w:hAnsi="Times New Roman" w:cs="Times New Roman"/>
                <w:b/>
                <w:sz w:val="24"/>
                <w:szCs w:val="24"/>
              </w:rPr>
            </w:pPr>
          </w:p>
        </w:tc>
        <w:tc>
          <w:tcPr>
            <w:tcW w:w="1358" w:type="dxa"/>
            <w:tcBorders>
              <w:top w:val="single" w:color="auto" w:sz="8" w:space="0"/>
              <w:bottom w:val="single" w:color="auto" w:sz="8" w:space="0"/>
            </w:tcBorders>
          </w:tcPr>
          <w:p w14:paraId="57553559">
            <w:pPr>
              <w:rPr>
                <w:rFonts w:ascii="Times New Roman" w:hAnsi="Times New Roman" w:cs="Times New Roman"/>
                <w:b/>
                <w:bCs/>
                <w:sz w:val="24"/>
                <w:szCs w:val="24"/>
              </w:rPr>
            </w:pPr>
            <w:r>
              <w:rPr>
                <w:rFonts w:ascii="Times New Roman" w:hAnsi="Times New Roman"/>
                <w:b/>
                <w:bCs/>
                <w:sz w:val="24"/>
                <w:szCs w:val="24"/>
              </w:rPr>
              <w:t>Captopril</w:t>
            </w:r>
          </w:p>
        </w:tc>
        <w:tc>
          <w:tcPr>
            <w:tcW w:w="1830" w:type="dxa"/>
            <w:tcBorders>
              <w:top w:val="single" w:color="auto" w:sz="8" w:space="0"/>
              <w:bottom w:val="single" w:color="auto" w:sz="8" w:space="0"/>
            </w:tcBorders>
          </w:tcPr>
          <w:p w14:paraId="7AEC6B8C">
            <w:pPr>
              <w:rPr>
                <w:rFonts w:ascii="Times New Roman" w:hAnsi="Times New Roman" w:cs="Times New Roman"/>
                <w:b/>
                <w:bCs/>
                <w:sz w:val="24"/>
                <w:szCs w:val="24"/>
              </w:rPr>
            </w:pPr>
            <w:r>
              <w:rPr>
                <w:rFonts w:ascii="Times New Roman" w:hAnsi="Times New Roman"/>
                <w:b/>
                <w:bCs/>
                <w:sz w:val="24"/>
                <w:szCs w:val="24"/>
              </w:rPr>
              <w:t>Donepezil</w:t>
            </w:r>
          </w:p>
        </w:tc>
        <w:tc>
          <w:tcPr>
            <w:tcW w:w="2341" w:type="dxa"/>
            <w:tcBorders>
              <w:top w:val="single" w:color="auto" w:sz="8" w:space="0"/>
              <w:bottom w:val="single" w:color="auto" w:sz="8" w:space="0"/>
            </w:tcBorders>
          </w:tcPr>
          <w:p w14:paraId="5AE6E05B">
            <w:pPr>
              <w:rPr>
                <w:rFonts w:ascii="Times New Roman" w:hAnsi="Times New Roman" w:cs="Times New Roman"/>
                <w:b/>
                <w:bCs/>
                <w:sz w:val="24"/>
                <w:szCs w:val="24"/>
              </w:rPr>
            </w:pPr>
            <w:r>
              <w:rPr>
                <w:rFonts w:ascii="Times New Roman" w:hAnsi="Times New Roman" w:eastAsia="SimSun" w:cs="Times New Roman"/>
                <w:b/>
                <w:bCs/>
                <w:sz w:val="24"/>
                <w:szCs w:val="24"/>
              </w:rPr>
              <w:t xml:space="preserve">2-ethyl- 2H-Benzotriazole </w:t>
            </w:r>
          </w:p>
        </w:tc>
        <w:tc>
          <w:tcPr>
            <w:tcW w:w="2324" w:type="dxa"/>
            <w:tcBorders>
              <w:top w:val="single" w:color="auto" w:sz="8" w:space="0"/>
              <w:bottom w:val="single" w:color="auto" w:sz="8" w:space="0"/>
            </w:tcBorders>
          </w:tcPr>
          <w:p w14:paraId="6639DEB2">
            <w:pPr>
              <w:rPr>
                <w:rFonts w:ascii="Times New Roman" w:hAnsi="Times New Roman" w:cs="Times New Roman"/>
                <w:b/>
                <w:bCs/>
                <w:sz w:val="24"/>
                <w:szCs w:val="24"/>
              </w:rPr>
            </w:pPr>
            <w:r>
              <w:rPr>
                <w:rFonts w:ascii="Times New Roman" w:hAnsi="Times New Roman" w:cs="Times New Roman"/>
                <w:b/>
                <w:bCs/>
                <w:sz w:val="24"/>
                <w:szCs w:val="24"/>
              </w:rPr>
              <w:t>N-</w:t>
            </w:r>
            <w:r>
              <w:rPr>
                <w:rFonts w:ascii="Times New Roman" w:hAnsi="Times New Roman" w:eastAsia="SimSun" w:cs="Times New Roman"/>
                <w:b/>
                <w:bCs/>
                <w:sz w:val="24"/>
                <w:szCs w:val="24"/>
              </w:rPr>
              <w:t>Methylrhodanine</w:t>
            </w:r>
            <w:r>
              <w:rPr>
                <w:rFonts w:ascii="Times New Roman" w:hAnsi="Times New Roman" w:eastAsia="SimSun" w:cs="Times New Roman"/>
                <w:b/>
                <w:bCs/>
                <w:sz w:val="24"/>
                <w:szCs w:val="24"/>
              </w:rPr>
              <w:tab/>
            </w:r>
          </w:p>
        </w:tc>
        <w:tc>
          <w:tcPr>
            <w:tcW w:w="2049" w:type="dxa"/>
            <w:tcBorders>
              <w:top w:val="single" w:color="auto" w:sz="8" w:space="0"/>
              <w:bottom w:val="single" w:color="auto" w:sz="8" w:space="0"/>
            </w:tcBorders>
          </w:tcPr>
          <w:p w14:paraId="5521321F">
            <w:pPr>
              <w:rPr>
                <w:rFonts w:ascii="Times New Roman" w:hAnsi="Times New Roman" w:cs="Times New Roman"/>
                <w:b/>
                <w:bCs/>
                <w:sz w:val="24"/>
                <w:szCs w:val="24"/>
              </w:rPr>
            </w:pPr>
            <w:r>
              <w:rPr>
                <w:rFonts w:ascii="Times New Roman" w:hAnsi="Times New Roman"/>
                <w:b/>
                <w:bCs/>
                <w:sz w:val="24"/>
                <w:szCs w:val="24"/>
              </w:rPr>
              <w:t xml:space="preserve">2-methyl- Benzene, 1-ethyl- </w:t>
            </w:r>
          </w:p>
        </w:tc>
        <w:tc>
          <w:tcPr>
            <w:tcW w:w="2286" w:type="dxa"/>
            <w:tcBorders>
              <w:top w:val="single" w:color="auto" w:sz="8" w:space="0"/>
              <w:bottom w:val="single" w:color="auto" w:sz="8" w:space="0"/>
            </w:tcBorders>
          </w:tcPr>
          <w:p w14:paraId="758CB8D5">
            <w:pPr>
              <w:rPr>
                <w:rFonts w:ascii="Times New Roman" w:hAnsi="Times New Roman" w:cs="Times New Roman"/>
                <w:b/>
                <w:bCs/>
                <w:sz w:val="24"/>
                <w:szCs w:val="24"/>
              </w:rPr>
            </w:pPr>
            <w:r>
              <w:rPr>
                <w:rFonts w:ascii="Times New Roman" w:hAnsi="Times New Roman" w:eastAsia="SimSun" w:cs="Times New Roman"/>
                <w:b/>
                <w:bCs/>
                <w:sz w:val="24"/>
                <w:szCs w:val="24"/>
              </w:rPr>
              <w:t>Carbonic acid, octadecyl vinyl ester</w:t>
            </w:r>
          </w:p>
        </w:tc>
      </w:tr>
      <w:tr w14:paraId="6425D1F2">
        <w:tblPrEx>
          <w:tblCellMar>
            <w:top w:w="0" w:type="dxa"/>
            <w:left w:w="108" w:type="dxa"/>
            <w:bottom w:w="0" w:type="dxa"/>
            <w:right w:w="108" w:type="dxa"/>
          </w:tblCellMar>
        </w:tblPrEx>
        <w:tc>
          <w:tcPr>
            <w:tcW w:w="1843" w:type="dxa"/>
            <w:tcBorders>
              <w:top w:val="single" w:color="auto" w:sz="8" w:space="0"/>
            </w:tcBorders>
          </w:tcPr>
          <w:p w14:paraId="1C466154">
            <w:pPr>
              <w:rPr>
                <w:rFonts w:ascii="Times New Roman" w:hAnsi="Times New Roman" w:cs="Times New Roman"/>
                <w:b/>
                <w:sz w:val="24"/>
                <w:szCs w:val="24"/>
              </w:rPr>
            </w:pPr>
            <w:r>
              <w:rPr>
                <w:rFonts w:ascii="Times New Roman" w:hAnsi="Times New Roman" w:cs="Times New Roman"/>
                <w:b/>
                <w:bCs/>
                <w:sz w:val="24"/>
                <w:szCs w:val="24"/>
              </w:rPr>
              <w:t>GI Absorption</w:t>
            </w:r>
          </w:p>
        </w:tc>
        <w:tc>
          <w:tcPr>
            <w:tcW w:w="1358" w:type="dxa"/>
            <w:tcBorders>
              <w:top w:val="single" w:color="auto" w:sz="8" w:space="0"/>
            </w:tcBorders>
          </w:tcPr>
          <w:p w14:paraId="5310A3B0">
            <w:pPr>
              <w:rPr>
                <w:rFonts w:ascii="Times New Roman" w:hAnsi="Times New Roman" w:cs="Times New Roman"/>
                <w:bCs/>
                <w:sz w:val="24"/>
                <w:szCs w:val="24"/>
              </w:rPr>
            </w:pPr>
            <w:r>
              <w:rPr>
                <w:rFonts w:ascii="Times New Roman" w:hAnsi="Times New Roman" w:cs="Times New Roman"/>
                <w:bCs/>
                <w:sz w:val="24"/>
                <w:szCs w:val="24"/>
              </w:rPr>
              <w:t>High</w:t>
            </w:r>
          </w:p>
        </w:tc>
        <w:tc>
          <w:tcPr>
            <w:tcW w:w="1830" w:type="dxa"/>
            <w:tcBorders>
              <w:top w:val="single" w:color="auto" w:sz="8" w:space="0"/>
            </w:tcBorders>
          </w:tcPr>
          <w:p w14:paraId="40647E6A">
            <w:pPr>
              <w:rPr>
                <w:rFonts w:ascii="Times New Roman" w:hAnsi="Times New Roman" w:cs="Times New Roman"/>
                <w:bCs/>
                <w:sz w:val="24"/>
                <w:szCs w:val="24"/>
              </w:rPr>
            </w:pPr>
            <w:r>
              <w:rPr>
                <w:rFonts w:ascii="Times New Roman" w:hAnsi="Times New Roman" w:cs="Times New Roman"/>
                <w:bCs/>
                <w:sz w:val="24"/>
                <w:szCs w:val="24"/>
              </w:rPr>
              <w:t>High</w:t>
            </w:r>
          </w:p>
        </w:tc>
        <w:tc>
          <w:tcPr>
            <w:tcW w:w="2341" w:type="dxa"/>
            <w:tcBorders>
              <w:top w:val="single" w:color="auto" w:sz="8" w:space="0"/>
            </w:tcBorders>
          </w:tcPr>
          <w:p w14:paraId="6A527C6D">
            <w:pPr>
              <w:rPr>
                <w:rFonts w:ascii="Times New Roman" w:hAnsi="Times New Roman" w:cs="Times New Roman"/>
                <w:bCs/>
                <w:sz w:val="24"/>
                <w:szCs w:val="24"/>
              </w:rPr>
            </w:pPr>
            <w:r>
              <w:rPr>
                <w:rFonts w:ascii="Times New Roman" w:hAnsi="Times New Roman" w:cs="Times New Roman"/>
                <w:bCs/>
                <w:sz w:val="24"/>
                <w:szCs w:val="24"/>
              </w:rPr>
              <w:t>High</w:t>
            </w:r>
          </w:p>
        </w:tc>
        <w:tc>
          <w:tcPr>
            <w:tcW w:w="2324" w:type="dxa"/>
            <w:tcBorders>
              <w:top w:val="single" w:color="auto" w:sz="8" w:space="0"/>
            </w:tcBorders>
          </w:tcPr>
          <w:p w14:paraId="797C4C38">
            <w:pPr>
              <w:rPr>
                <w:rFonts w:ascii="Times New Roman" w:hAnsi="Times New Roman" w:cs="Times New Roman"/>
                <w:bCs/>
                <w:sz w:val="24"/>
                <w:szCs w:val="24"/>
              </w:rPr>
            </w:pPr>
            <w:r>
              <w:rPr>
                <w:rFonts w:ascii="Times New Roman" w:hAnsi="Times New Roman" w:cs="Times New Roman"/>
                <w:bCs/>
                <w:sz w:val="24"/>
                <w:szCs w:val="24"/>
              </w:rPr>
              <w:t>High</w:t>
            </w:r>
          </w:p>
        </w:tc>
        <w:tc>
          <w:tcPr>
            <w:tcW w:w="2049" w:type="dxa"/>
            <w:tcBorders>
              <w:top w:val="single" w:color="auto" w:sz="8" w:space="0"/>
            </w:tcBorders>
          </w:tcPr>
          <w:p w14:paraId="3084EC64">
            <w:pPr>
              <w:rPr>
                <w:rFonts w:ascii="Times New Roman" w:hAnsi="Times New Roman" w:cs="Times New Roman"/>
                <w:bCs/>
                <w:sz w:val="24"/>
                <w:szCs w:val="24"/>
              </w:rPr>
            </w:pPr>
            <w:r>
              <w:rPr>
                <w:rFonts w:ascii="Times New Roman" w:hAnsi="Times New Roman" w:cs="Times New Roman"/>
                <w:bCs/>
                <w:sz w:val="24"/>
                <w:szCs w:val="24"/>
              </w:rPr>
              <w:t>Low</w:t>
            </w:r>
          </w:p>
        </w:tc>
        <w:tc>
          <w:tcPr>
            <w:tcW w:w="2286" w:type="dxa"/>
            <w:tcBorders>
              <w:top w:val="single" w:color="auto" w:sz="8" w:space="0"/>
            </w:tcBorders>
          </w:tcPr>
          <w:p w14:paraId="766D8F77">
            <w:pPr>
              <w:rPr>
                <w:rFonts w:ascii="Times New Roman" w:hAnsi="Times New Roman" w:cs="Times New Roman"/>
                <w:bCs/>
                <w:sz w:val="24"/>
                <w:szCs w:val="24"/>
              </w:rPr>
            </w:pPr>
            <w:r>
              <w:rPr>
                <w:rFonts w:ascii="Times New Roman" w:hAnsi="Times New Roman" w:cs="Times New Roman"/>
                <w:bCs/>
                <w:sz w:val="24"/>
                <w:szCs w:val="24"/>
              </w:rPr>
              <w:t>Low</w:t>
            </w:r>
          </w:p>
        </w:tc>
      </w:tr>
      <w:tr w14:paraId="16B7D468">
        <w:tblPrEx>
          <w:tblCellMar>
            <w:top w:w="0" w:type="dxa"/>
            <w:left w:w="108" w:type="dxa"/>
            <w:bottom w:w="0" w:type="dxa"/>
            <w:right w:w="108" w:type="dxa"/>
          </w:tblCellMar>
        </w:tblPrEx>
        <w:trPr>
          <w:trHeight w:val="166" w:hRule="atLeast"/>
        </w:trPr>
        <w:tc>
          <w:tcPr>
            <w:tcW w:w="1843" w:type="dxa"/>
          </w:tcPr>
          <w:p w14:paraId="19F42BB9">
            <w:pPr>
              <w:rPr>
                <w:rFonts w:ascii="Times New Roman" w:hAnsi="Times New Roman" w:cs="Times New Roman"/>
                <w:b/>
                <w:sz w:val="24"/>
                <w:szCs w:val="24"/>
              </w:rPr>
            </w:pPr>
            <w:r>
              <w:rPr>
                <w:rFonts w:ascii="Times New Roman" w:hAnsi="Times New Roman" w:cs="Times New Roman"/>
                <w:b/>
                <w:bCs/>
                <w:sz w:val="24"/>
                <w:szCs w:val="24"/>
              </w:rPr>
              <w:t>BBB Permeant</w:t>
            </w:r>
          </w:p>
        </w:tc>
        <w:tc>
          <w:tcPr>
            <w:tcW w:w="1358" w:type="dxa"/>
          </w:tcPr>
          <w:p w14:paraId="473E26E2">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36667B4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4951297">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35F6E7A0">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C20A483">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286" w:type="dxa"/>
          </w:tcPr>
          <w:p w14:paraId="6B54290D">
            <w:pPr>
              <w:rPr>
                <w:rFonts w:ascii="Times New Roman" w:hAnsi="Times New Roman" w:cs="Times New Roman"/>
                <w:bCs/>
                <w:sz w:val="24"/>
                <w:szCs w:val="24"/>
              </w:rPr>
            </w:pPr>
            <w:r>
              <w:rPr>
                <w:rFonts w:ascii="Times New Roman" w:hAnsi="Times New Roman" w:cs="Times New Roman"/>
                <w:bCs/>
                <w:sz w:val="24"/>
                <w:szCs w:val="24"/>
              </w:rPr>
              <w:t>No</w:t>
            </w:r>
          </w:p>
        </w:tc>
      </w:tr>
      <w:tr w14:paraId="213057FB">
        <w:tblPrEx>
          <w:tblCellMar>
            <w:top w:w="0" w:type="dxa"/>
            <w:left w:w="108" w:type="dxa"/>
            <w:bottom w:w="0" w:type="dxa"/>
            <w:right w:w="108" w:type="dxa"/>
          </w:tblCellMar>
        </w:tblPrEx>
        <w:tc>
          <w:tcPr>
            <w:tcW w:w="1843" w:type="dxa"/>
          </w:tcPr>
          <w:p w14:paraId="255C56DA">
            <w:pPr>
              <w:rPr>
                <w:rFonts w:ascii="Times New Roman" w:hAnsi="Times New Roman" w:cs="Times New Roman"/>
                <w:b/>
                <w:sz w:val="24"/>
                <w:szCs w:val="24"/>
              </w:rPr>
            </w:pPr>
            <w:r>
              <w:rPr>
                <w:rFonts w:ascii="Times New Roman" w:hAnsi="Times New Roman" w:cs="Times New Roman"/>
                <w:b/>
                <w:bCs/>
                <w:sz w:val="24"/>
                <w:szCs w:val="24"/>
              </w:rPr>
              <w:t>-Pg-Substrate</w:t>
            </w:r>
          </w:p>
        </w:tc>
        <w:tc>
          <w:tcPr>
            <w:tcW w:w="1358" w:type="dxa"/>
          </w:tcPr>
          <w:p w14:paraId="627C9E18">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61C9E1B3">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8E467D9">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0D709ED1">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34896722">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16464777">
            <w:pPr>
              <w:rPr>
                <w:rFonts w:ascii="Times New Roman" w:hAnsi="Times New Roman" w:cs="Times New Roman"/>
                <w:bCs/>
                <w:sz w:val="24"/>
                <w:szCs w:val="24"/>
              </w:rPr>
            </w:pPr>
            <w:r>
              <w:rPr>
                <w:rFonts w:ascii="Times New Roman" w:hAnsi="Times New Roman" w:cs="Times New Roman"/>
                <w:bCs/>
                <w:sz w:val="24"/>
                <w:szCs w:val="24"/>
              </w:rPr>
              <w:t>No</w:t>
            </w:r>
          </w:p>
        </w:tc>
      </w:tr>
      <w:tr w14:paraId="73F2B59F">
        <w:tblPrEx>
          <w:tblCellMar>
            <w:top w:w="0" w:type="dxa"/>
            <w:left w:w="108" w:type="dxa"/>
            <w:bottom w:w="0" w:type="dxa"/>
            <w:right w:w="108" w:type="dxa"/>
          </w:tblCellMar>
        </w:tblPrEx>
        <w:tc>
          <w:tcPr>
            <w:tcW w:w="1843" w:type="dxa"/>
          </w:tcPr>
          <w:p w14:paraId="56ABF10E">
            <w:pPr>
              <w:rPr>
                <w:rFonts w:ascii="Times New Roman" w:hAnsi="Times New Roman" w:cs="Times New Roman"/>
                <w:b/>
                <w:sz w:val="24"/>
                <w:szCs w:val="24"/>
              </w:rPr>
            </w:pPr>
            <w:r>
              <w:rPr>
                <w:rFonts w:ascii="Times New Roman" w:hAnsi="Times New Roman" w:cs="Times New Roman"/>
                <w:b/>
                <w:bCs/>
                <w:sz w:val="24"/>
                <w:szCs w:val="24"/>
              </w:rPr>
              <w:t>CYP1A2I</w:t>
            </w:r>
          </w:p>
        </w:tc>
        <w:tc>
          <w:tcPr>
            <w:tcW w:w="1358" w:type="dxa"/>
          </w:tcPr>
          <w:p w14:paraId="1D4B7AC2">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73B121B1">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6D666C7F">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0D5D453E">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4E360DCD">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0ABC46BF">
            <w:pPr>
              <w:rPr>
                <w:rFonts w:ascii="Times New Roman" w:hAnsi="Times New Roman" w:cs="Times New Roman"/>
                <w:bCs/>
                <w:sz w:val="24"/>
                <w:szCs w:val="24"/>
              </w:rPr>
            </w:pPr>
            <w:r>
              <w:rPr>
                <w:rFonts w:ascii="Times New Roman" w:hAnsi="Times New Roman" w:cs="Times New Roman"/>
                <w:bCs/>
                <w:sz w:val="24"/>
                <w:szCs w:val="24"/>
              </w:rPr>
              <w:t xml:space="preserve">Yes </w:t>
            </w:r>
          </w:p>
        </w:tc>
      </w:tr>
      <w:tr w14:paraId="35D6E1E4">
        <w:tblPrEx>
          <w:tblCellMar>
            <w:top w:w="0" w:type="dxa"/>
            <w:left w:w="108" w:type="dxa"/>
            <w:bottom w:w="0" w:type="dxa"/>
            <w:right w:w="108" w:type="dxa"/>
          </w:tblCellMar>
        </w:tblPrEx>
        <w:tc>
          <w:tcPr>
            <w:tcW w:w="1843" w:type="dxa"/>
          </w:tcPr>
          <w:p w14:paraId="412E835B">
            <w:pPr>
              <w:rPr>
                <w:rFonts w:ascii="Times New Roman" w:hAnsi="Times New Roman" w:cs="Times New Roman"/>
                <w:b/>
                <w:sz w:val="24"/>
                <w:szCs w:val="24"/>
              </w:rPr>
            </w:pPr>
            <w:r>
              <w:rPr>
                <w:rFonts w:ascii="Times New Roman" w:hAnsi="Times New Roman" w:cs="Times New Roman"/>
                <w:b/>
                <w:bCs/>
                <w:sz w:val="24"/>
                <w:szCs w:val="24"/>
              </w:rPr>
              <w:t>CYP2C19I</w:t>
            </w:r>
          </w:p>
        </w:tc>
        <w:tc>
          <w:tcPr>
            <w:tcW w:w="1358" w:type="dxa"/>
          </w:tcPr>
          <w:p w14:paraId="307217CC">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2407A981">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54FE7CC6">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20599A3">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6BE3D6A8">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1EAEE012">
            <w:pPr>
              <w:rPr>
                <w:rFonts w:ascii="Times New Roman" w:hAnsi="Times New Roman" w:cs="Times New Roman"/>
                <w:bCs/>
                <w:sz w:val="24"/>
                <w:szCs w:val="24"/>
              </w:rPr>
            </w:pPr>
            <w:r>
              <w:rPr>
                <w:rFonts w:ascii="Times New Roman" w:hAnsi="Times New Roman" w:cs="Times New Roman"/>
                <w:bCs/>
                <w:sz w:val="24"/>
                <w:szCs w:val="24"/>
              </w:rPr>
              <w:t>No</w:t>
            </w:r>
          </w:p>
        </w:tc>
      </w:tr>
      <w:tr w14:paraId="3B9299BC">
        <w:tblPrEx>
          <w:tblCellMar>
            <w:top w:w="0" w:type="dxa"/>
            <w:left w:w="108" w:type="dxa"/>
            <w:bottom w:w="0" w:type="dxa"/>
            <w:right w:w="108" w:type="dxa"/>
          </w:tblCellMar>
        </w:tblPrEx>
        <w:tc>
          <w:tcPr>
            <w:tcW w:w="1843" w:type="dxa"/>
          </w:tcPr>
          <w:p w14:paraId="0FA4A905">
            <w:pPr>
              <w:rPr>
                <w:rFonts w:ascii="Times New Roman" w:hAnsi="Times New Roman" w:cs="Times New Roman"/>
                <w:b/>
                <w:bCs/>
                <w:sz w:val="24"/>
                <w:szCs w:val="24"/>
              </w:rPr>
            </w:pPr>
            <w:r>
              <w:rPr>
                <w:rFonts w:ascii="Times New Roman" w:hAnsi="Times New Roman" w:cs="Times New Roman"/>
                <w:b/>
                <w:bCs/>
                <w:sz w:val="24"/>
                <w:szCs w:val="24"/>
              </w:rPr>
              <w:t>CYP2C9I</w:t>
            </w:r>
          </w:p>
        </w:tc>
        <w:tc>
          <w:tcPr>
            <w:tcW w:w="1358" w:type="dxa"/>
          </w:tcPr>
          <w:p w14:paraId="3AF4D957">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E42C51B">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4290893B">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DED6FE7">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8EAD818">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470EF21">
            <w:pPr>
              <w:rPr>
                <w:rFonts w:ascii="Times New Roman" w:hAnsi="Times New Roman" w:cs="Times New Roman"/>
                <w:bCs/>
                <w:sz w:val="24"/>
                <w:szCs w:val="24"/>
              </w:rPr>
            </w:pPr>
            <w:r>
              <w:rPr>
                <w:rFonts w:ascii="Times New Roman" w:hAnsi="Times New Roman" w:cs="Times New Roman"/>
                <w:bCs/>
                <w:sz w:val="24"/>
                <w:szCs w:val="24"/>
              </w:rPr>
              <w:t>Yes</w:t>
            </w:r>
          </w:p>
        </w:tc>
      </w:tr>
      <w:tr w14:paraId="792CC3C7">
        <w:tblPrEx>
          <w:tblCellMar>
            <w:top w:w="0" w:type="dxa"/>
            <w:left w:w="108" w:type="dxa"/>
            <w:bottom w:w="0" w:type="dxa"/>
            <w:right w:w="108" w:type="dxa"/>
          </w:tblCellMar>
        </w:tblPrEx>
        <w:tc>
          <w:tcPr>
            <w:tcW w:w="1843" w:type="dxa"/>
          </w:tcPr>
          <w:p w14:paraId="0220857C">
            <w:pPr>
              <w:rPr>
                <w:rFonts w:ascii="Times New Roman" w:hAnsi="Times New Roman" w:cs="Times New Roman"/>
                <w:b/>
                <w:bCs/>
                <w:sz w:val="24"/>
                <w:szCs w:val="24"/>
              </w:rPr>
            </w:pPr>
            <w:r>
              <w:rPr>
                <w:rFonts w:ascii="Times New Roman" w:hAnsi="Times New Roman" w:cs="Times New Roman"/>
                <w:b/>
                <w:bCs/>
                <w:sz w:val="24"/>
                <w:szCs w:val="24"/>
              </w:rPr>
              <w:t>CYP2D6I</w:t>
            </w:r>
          </w:p>
        </w:tc>
        <w:tc>
          <w:tcPr>
            <w:tcW w:w="1358" w:type="dxa"/>
          </w:tcPr>
          <w:p w14:paraId="34ADA4C3">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496A7F5">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22B627B0">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11D61EE">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F42BCE2">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5E54E046">
            <w:pPr>
              <w:rPr>
                <w:rFonts w:ascii="Times New Roman" w:hAnsi="Times New Roman" w:cs="Times New Roman"/>
                <w:bCs/>
                <w:sz w:val="24"/>
                <w:szCs w:val="24"/>
              </w:rPr>
            </w:pPr>
            <w:r>
              <w:rPr>
                <w:rFonts w:ascii="Times New Roman" w:hAnsi="Times New Roman" w:cs="Times New Roman"/>
                <w:bCs/>
                <w:sz w:val="24"/>
                <w:szCs w:val="24"/>
              </w:rPr>
              <w:t>No</w:t>
            </w:r>
          </w:p>
        </w:tc>
      </w:tr>
      <w:tr w14:paraId="43FC1576">
        <w:tblPrEx>
          <w:tblCellMar>
            <w:top w:w="0" w:type="dxa"/>
            <w:left w:w="108" w:type="dxa"/>
            <w:bottom w:w="0" w:type="dxa"/>
            <w:right w:w="108" w:type="dxa"/>
          </w:tblCellMar>
        </w:tblPrEx>
        <w:tc>
          <w:tcPr>
            <w:tcW w:w="1843" w:type="dxa"/>
          </w:tcPr>
          <w:p w14:paraId="455FAE24">
            <w:pPr>
              <w:rPr>
                <w:rFonts w:ascii="Times New Roman" w:hAnsi="Times New Roman" w:cs="Times New Roman"/>
                <w:b/>
                <w:bCs/>
                <w:sz w:val="24"/>
                <w:szCs w:val="24"/>
              </w:rPr>
            </w:pPr>
            <w:r>
              <w:rPr>
                <w:rFonts w:ascii="Times New Roman" w:hAnsi="Times New Roman" w:cs="Times New Roman"/>
                <w:b/>
                <w:bCs/>
                <w:sz w:val="24"/>
                <w:szCs w:val="24"/>
              </w:rPr>
              <w:t>CYP3A4I</w:t>
            </w:r>
          </w:p>
        </w:tc>
        <w:tc>
          <w:tcPr>
            <w:tcW w:w="1358" w:type="dxa"/>
          </w:tcPr>
          <w:p w14:paraId="02A876DF">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13E4E9AF">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FE5998B">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6405877">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D8EA771">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4BA8E90">
            <w:pPr>
              <w:rPr>
                <w:rFonts w:ascii="Times New Roman" w:hAnsi="Times New Roman" w:cs="Times New Roman"/>
                <w:bCs/>
                <w:sz w:val="24"/>
                <w:szCs w:val="24"/>
              </w:rPr>
            </w:pPr>
            <w:r>
              <w:rPr>
                <w:rFonts w:ascii="Times New Roman" w:hAnsi="Times New Roman" w:cs="Times New Roman"/>
                <w:bCs/>
                <w:sz w:val="24"/>
                <w:szCs w:val="24"/>
              </w:rPr>
              <w:t>No</w:t>
            </w:r>
          </w:p>
        </w:tc>
      </w:tr>
      <w:tr w14:paraId="796CA43F">
        <w:tblPrEx>
          <w:tblCellMar>
            <w:top w:w="0" w:type="dxa"/>
            <w:left w:w="108" w:type="dxa"/>
            <w:bottom w:w="0" w:type="dxa"/>
            <w:right w:w="108" w:type="dxa"/>
          </w:tblCellMar>
        </w:tblPrEx>
        <w:tc>
          <w:tcPr>
            <w:tcW w:w="1843" w:type="dxa"/>
          </w:tcPr>
          <w:p w14:paraId="38D01FF7">
            <w:pPr>
              <w:rPr>
                <w:rFonts w:ascii="Times New Roman" w:hAnsi="Times New Roman" w:cs="Times New Roman"/>
                <w:b/>
                <w:bCs/>
                <w:sz w:val="24"/>
                <w:szCs w:val="24"/>
              </w:rPr>
            </w:pPr>
            <w:r>
              <w:rPr>
                <w:rFonts w:ascii="Times New Roman" w:hAnsi="Times New Roman" w:cs="Times New Roman"/>
                <w:b/>
                <w:bCs/>
                <w:sz w:val="24"/>
                <w:szCs w:val="24"/>
              </w:rPr>
              <w:t>R. OCT 2</w:t>
            </w:r>
          </w:p>
        </w:tc>
        <w:tc>
          <w:tcPr>
            <w:tcW w:w="1358" w:type="dxa"/>
          </w:tcPr>
          <w:p w14:paraId="2367273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47592733">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241B9C7">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E80D07F">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ECB83BB">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08996D8">
            <w:pPr>
              <w:rPr>
                <w:rFonts w:ascii="Times New Roman" w:hAnsi="Times New Roman" w:cs="Times New Roman"/>
                <w:bCs/>
                <w:sz w:val="24"/>
                <w:szCs w:val="24"/>
              </w:rPr>
            </w:pPr>
            <w:r>
              <w:rPr>
                <w:rFonts w:ascii="Times New Roman" w:hAnsi="Times New Roman" w:cs="Times New Roman"/>
                <w:bCs/>
                <w:sz w:val="24"/>
                <w:szCs w:val="24"/>
              </w:rPr>
              <w:t>No</w:t>
            </w:r>
          </w:p>
        </w:tc>
      </w:tr>
      <w:tr w14:paraId="0ADE20F1">
        <w:tblPrEx>
          <w:tblCellMar>
            <w:top w:w="0" w:type="dxa"/>
            <w:left w:w="108" w:type="dxa"/>
            <w:bottom w:w="0" w:type="dxa"/>
            <w:right w:w="108" w:type="dxa"/>
          </w:tblCellMar>
        </w:tblPrEx>
        <w:tc>
          <w:tcPr>
            <w:tcW w:w="1843" w:type="dxa"/>
          </w:tcPr>
          <w:p w14:paraId="57E6058A">
            <w:pPr>
              <w:rPr>
                <w:rFonts w:ascii="Times New Roman" w:hAnsi="Times New Roman" w:cs="Times New Roman"/>
                <w:b/>
                <w:bCs/>
                <w:sz w:val="24"/>
                <w:szCs w:val="24"/>
              </w:rPr>
            </w:pPr>
            <w:r>
              <w:rPr>
                <w:rFonts w:ascii="Times New Roman" w:hAnsi="Times New Roman" w:cs="Times New Roman"/>
                <w:b/>
                <w:bCs/>
                <w:sz w:val="24"/>
                <w:szCs w:val="24"/>
              </w:rPr>
              <w:t>Hepatotoxicity</w:t>
            </w:r>
          </w:p>
        </w:tc>
        <w:tc>
          <w:tcPr>
            <w:tcW w:w="1358" w:type="dxa"/>
          </w:tcPr>
          <w:p w14:paraId="2E6F5454">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0002E227">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09AA9829">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709C13E4">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2EB405F1">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4B54AF83">
            <w:pPr>
              <w:rPr>
                <w:rFonts w:ascii="Times New Roman" w:hAnsi="Times New Roman" w:cs="Times New Roman"/>
                <w:bCs/>
                <w:sz w:val="24"/>
                <w:szCs w:val="24"/>
              </w:rPr>
            </w:pPr>
            <w:r>
              <w:rPr>
                <w:rFonts w:ascii="Times New Roman" w:hAnsi="Times New Roman" w:cs="Times New Roman"/>
                <w:bCs/>
                <w:sz w:val="24"/>
                <w:szCs w:val="24"/>
              </w:rPr>
              <w:t>Inactive</w:t>
            </w:r>
          </w:p>
        </w:tc>
      </w:tr>
      <w:tr w14:paraId="77BE5FAA">
        <w:tblPrEx>
          <w:tblCellMar>
            <w:top w:w="0" w:type="dxa"/>
            <w:left w:w="108" w:type="dxa"/>
            <w:bottom w:w="0" w:type="dxa"/>
            <w:right w:w="108" w:type="dxa"/>
          </w:tblCellMar>
        </w:tblPrEx>
        <w:tc>
          <w:tcPr>
            <w:tcW w:w="1843" w:type="dxa"/>
          </w:tcPr>
          <w:p w14:paraId="06A263B1">
            <w:pPr>
              <w:rPr>
                <w:rFonts w:ascii="Times New Roman" w:hAnsi="Times New Roman" w:cs="Times New Roman"/>
                <w:b/>
                <w:bCs/>
                <w:sz w:val="24"/>
                <w:szCs w:val="24"/>
              </w:rPr>
            </w:pPr>
            <w:r>
              <w:rPr>
                <w:rFonts w:ascii="Times New Roman" w:hAnsi="Times New Roman" w:cs="Times New Roman"/>
                <w:b/>
                <w:bCs/>
                <w:sz w:val="24"/>
                <w:szCs w:val="24"/>
              </w:rPr>
              <w:t>Nephrotoxicty</w:t>
            </w:r>
          </w:p>
        </w:tc>
        <w:tc>
          <w:tcPr>
            <w:tcW w:w="1358" w:type="dxa"/>
          </w:tcPr>
          <w:p w14:paraId="1ED7423D">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4314D5D5">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115C24A6">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16F6A6BC">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0F673724">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05BB2671">
            <w:pPr>
              <w:rPr>
                <w:rFonts w:ascii="Times New Roman" w:hAnsi="Times New Roman" w:cs="Times New Roman"/>
                <w:bCs/>
                <w:sz w:val="24"/>
                <w:szCs w:val="24"/>
              </w:rPr>
            </w:pPr>
            <w:r>
              <w:rPr>
                <w:rFonts w:ascii="Times New Roman" w:hAnsi="Times New Roman" w:cs="Times New Roman"/>
                <w:bCs/>
                <w:sz w:val="24"/>
                <w:szCs w:val="24"/>
              </w:rPr>
              <w:t>Inactive</w:t>
            </w:r>
          </w:p>
        </w:tc>
      </w:tr>
      <w:tr w14:paraId="751F38F7">
        <w:tblPrEx>
          <w:tblCellMar>
            <w:top w:w="0" w:type="dxa"/>
            <w:left w:w="108" w:type="dxa"/>
            <w:bottom w:w="0" w:type="dxa"/>
            <w:right w:w="108" w:type="dxa"/>
          </w:tblCellMar>
        </w:tblPrEx>
        <w:tc>
          <w:tcPr>
            <w:tcW w:w="1843" w:type="dxa"/>
          </w:tcPr>
          <w:p w14:paraId="5D68F9D0">
            <w:pPr>
              <w:rPr>
                <w:rFonts w:ascii="Times New Roman" w:hAnsi="Times New Roman" w:cs="Times New Roman"/>
                <w:b/>
                <w:bCs/>
                <w:sz w:val="24"/>
                <w:szCs w:val="24"/>
              </w:rPr>
            </w:pPr>
            <w:r>
              <w:rPr>
                <w:rFonts w:ascii="Times New Roman" w:hAnsi="Times New Roman" w:cs="Times New Roman"/>
                <w:b/>
                <w:bCs/>
                <w:sz w:val="24"/>
                <w:szCs w:val="24"/>
              </w:rPr>
              <w:t>Neurotoxicity</w:t>
            </w:r>
          </w:p>
        </w:tc>
        <w:tc>
          <w:tcPr>
            <w:tcW w:w="1358" w:type="dxa"/>
          </w:tcPr>
          <w:p w14:paraId="1F44808C">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2204487D">
            <w:pPr>
              <w:rPr>
                <w:rFonts w:ascii="Times New Roman" w:hAnsi="Times New Roman" w:cs="Times New Roman"/>
                <w:bCs/>
                <w:sz w:val="24"/>
                <w:szCs w:val="24"/>
              </w:rPr>
            </w:pPr>
            <w:r>
              <w:rPr>
                <w:rFonts w:ascii="Times New Roman" w:hAnsi="Times New Roman" w:cs="Times New Roman"/>
                <w:bCs/>
                <w:sz w:val="24"/>
                <w:szCs w:val="24"/>
              </w:rPr>
              <w:t>Active</w:t>
            </w:r>
          </w:p>
        </w:tc>
        <w:tc>
          <w:tcPr>
            <w:tcW w:w="2341" w:type="dxa"/>
          </w:tcPr>
          <w:p w14:paraId="195D9DC8">
            <w:pPr>
              <w:rPr>
                <w:rFonts w:ascii="Times New Roman" w:hAnsi="Times New Roman" w:cs="Times New Roman"/>
                <w:bCs/>
                <w:sz w:val="24"/>
                <w:szCs w:val="24"/>
              </w:rPr>
            </w:pPr>
            <w:r>
              <w:rPr>
                <w:rFonts w:ascii="Times New Roman" w:hAnsi="Times New Roman" w:cs="Times New Roman"/>
                <w:bCs/>
                <w:sz w:val="24"/>
                <w:szCs w:val="24"/>
              </w:rPr>
              <w:t>Active</w:t>
            </w:r>
          </w:p>
        </w:tc>
        <w:tc>
          <w:tcPr>
            <w:tcW w:w="2324" w:type="dxa"/>
          </w:tcPr>
          <w:p w14:paraId="377AC83D">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7C60AA0B">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236858B1">
            <w:pPr>
              <w:rPr>
                <w:rFonts w:ascii="Times New Roman" w:hAnsi="Times New Roman" w:cs="Times New Roman"/>
                <w:bCs/>
                <w:sz w:val="24"/>
                <w:szCs w:val="24"/>
              </w:rPr>
            </w:pPr>
            <w:r>
              <w:rPr>
                <w:rFonts w:ascii="Times New Roman" w:hAnsi="Times New Roman" w:cs="Times New Roman"/>
                <w:bCs/>
                <w:sz w:val="24"/>
                <w:szCs w:val="24"/>
              </w:rPr>
              <w:t>Inactive</w:t>
            </w:r>
          </w:p>
        </w:tc>
      </w:tr>
      <w:tr w14:paraId="68D7A77A">
        <w:tblPrEx>
          <w:tblCellMar>
            <w:top w:w="0" w:type="dxa"/>
            <w:left w:w="108" w:type="dxa"/>
            <w:bottom w:w="0" w:type="dxa"/>
            <w:right w:w="108" w:type="dxa"/>
          </w:tblCellMar>
        </w:tblPrEx>
        <w:tc>
          <w:tcPr>
            <w:tcW w:w="1843" w:type="dxa"/>
          </w:tcPr>
          <w:p w14:paraId="49D9648D">
            <w:pPr>
              <w:rPr>
                <w:rFonts w:ascii="Times New Roman" w:hAnsi="Times New Roman" w:cs="Times New Roman"/>
                <w:b/>
                <w:bCs/>
                <w:sz w:val="24"/>
                <w:szCs w:val="24"/>
              </w:rPr>
            </w:pPr>
            <w:r>
              <w:rPr>
                <w:rFonts w:ascii="Times New Roman" w:hAnsi="Times New Roman" w:cs="Times New Roman"/>
                <w:b/>
                <w:bCs/>
                <w:sz w:val="24"/>
                <w:szCs w:val="24"/>
              </w:rPr>
              <w:t>Carcinogenicity</w:t>
            </w:r>
          </w:p>
        </w:tc>
        <w:tc>
          <w:tcPr>
            <w:tcW w:w="1358" w:type="dxa"/>
          </w:tcPr>
          <w:p w14:paraId="33F342C6">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16557FB2">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69109A5E">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3CFEE5A9">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19BD523F">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0F090A2A">
            <w:pPr>
              <w:rPr>
                <w:rFonts w:ascii="Times New Roman" w:hAnsi="Times New Roman" w:cs="Times New Roman"/>
                <w:bCs/>
                <w:sz w:val="24"/>
                <w:szCs w:val="24"/>
              </w:rPr>
            </w:pPr>
            <w:r>
              <w:rPr>
                <w:rFonts w:ascii="Times New Roman" w:hAnsi="Times New Roman" w:cs="Times New Roman"/>
                <w:bCs/>
                <w:sz w:val="24"/>
                <w:szCs w:val="24"/>
              </w:rPr>
              <w:t>Active</w:t>
            </w:r>
          </w:p>
        </w:tc>
      </w:tr>
      <w:tr w14:paraId="034A4478">
        <w:tblPrEx>
          <w:tblCellMar>
            <w:top w:w="0" w:type="dxa"/>
            <w:left w:w="108" w:type="dxa"/>
            <w:bottom w:w="0" w:type="dxa"/>
            <w:right w:w="108" w:type="dxa"/>
          </w:tblCellMar>
        </w:tblPrEx>
        <w:tc>
          <w:tcPr>
            <w:tcW w:w="1843" w:type="dxa"/>
            <w:tcBorders>
              <w:bottom w:val="single" w:color="auto" w:sz="8" w:space="0"/>
            </w:tcBorders>
          </w:tcPr>
          <w:p w14:paraId="3440D255">
            <w:pPr>
              <w:rPr>
                <w:rFonts w:ascii="Times New Roman" w:hAnsi="Times New Roman" w:cs="Times New Roman"/>
                <w:b/>
                <w:bCs/>
                <w:sz w:val="24"/>
                <w:szCs w:val="24"/>
              </w:rPr>
            </w:pPr>
            <w:r>
              <w:rPr>
                <w:rFonts w:ascii="Times New Roman" w:hAnsi="Times New Roman" w:cs="Times New Roman"/>
                <w:b/>
                <w:bCs/>
                <w:sz w:val="24"/>
                <w:szCs w:val="24"/>
              </w:rPr>
              <w:t>Lipinski</w:t>
            </w:r>
          </w:p>
        </w:tc>
        <w:tc>
          <w:tcPr>
            <w:tcW w:w="1358" w:type="dxa"/>
            <w:tcBorders>
              <w:bottom w:val="single" w:color="auto" w:sz="8" w:space="0"/>
            </w:tcBorders>
          </w:tcPr>
          <w:p w14:paraId="35D1C6A5">
            <w:pPr>
              <w:rPr>
                <w:rFonts w:ascii="Times New Roman" w:hAnsi="Times New Roman" w:cs="Times New Roman"/>
                <w:bCs/>
                <w:sz w:val="24"/>
                <w:szCs w:val="24"/>
              </w:rPr>
            </w:pPr>
            <w:r>
              <w:rPr>
                <w:rFonts w:ascii="Times New Roman" w:hAnsi="Times New Roman" w:cs="Times New Roman"/>
                <w:bCs/>
                <w:sz w:val="24"/>
                <w:szCs w:val="24"/>
              </w:rPr>
              <w:t>0 violation</w:t>
            </w:r>
          </w:p>
        </w:tc>
        <w:tc>
          <w:tcPr>
            <w:tcW w:w="1830" w:type="dxa"/>
            <w:tcBorders>
              <w:bottom w:val="single" w:color="auto" w:sz="8" w:space="0"/>
            </w:tcBorders>
          </w:tcPr>
          <w:p w14:paraId="4BBE7185">
            <w:pPr>
              <w:rPr>
                <w:rFonts w:ascii="Times New Roman" w:hAnsi="Times New Roman" w:cs="Times New Roman"/>
                <w:bCs/>
                <w:sz w:val="24"/>
                <w:szCs w:val="24"/>
              </w:rPr>
            </w:pPr>
            <w:r>
              <w:rPr>
                <w:rFonts w:ascii="Times New Roman" w:hAnsi="Times New Roman"/>
                <w:bCs/>
                <w:sz w:val="24"/>
                <w:szCs w:val="24"/>
              </w:rPr>
              <w:t>0 violation</w:t>
            </w:r>
          </w:p>
        </w:tc>
        <w:tc>
          <w:tcPr>
            <w:tcW w:w="2341" w:type="dxa"/>
            <w:tcBorders>
              <w:bottom w:val="single" w:color="auto" w:sz="8" w:space="0"/>
            </w:tcBorders>
          </w:tcPr>
          <w:p w14:paraId="6415E364">
            <w:pPr>
              <w:rPr>
                <w:rFonts w:ascii="Times New Roman" w:hAnsi="Times New Roman" w:cs="Times New Roman"/>
                <w:bCs/>
                <w:sz w:val="24"/>
                <w:szCs w:val="24"/>
              </w:rPr>
            </w:pPr>
            <w:r>
              <w:rPr>
                <w:rFonts w:ascii="Times New Roman" w:hAnsi="Times New Roman"/>
                <w:bCs/>
                <w:sz w:val="24"/>
                <w:szCs w:val="24"/>
              </w:rPr>
              <w:t>0 violation</w:t>
            </w:r>
          </w:p>
        </w:tc>
        <w:tc>
          <w:tcPr>
            <w:tcW w:w="2324" w:type="dxa"/>
            <w:tcBorders>
              <w:bottom w:val="single" w:color="auto" w:sz="8" w:space="0"/>
            </w:tcBorders>
          </w:tcPr>
          <w:p w14:paraId="36C158A2">
            <w:pPr>
              <w:rPr>
                <w:rFonts w:ascii="Times New Roman" w:hAnsi="Times New Roman" w:cs="Times New Roman"/>
                <w:bCs/>
                <w:sz w:val="24"/>
                <w:szCs w:val="24"/>
              </w:rPr>
            </w:pPr>
            <w:r>
              <w:rPr>
                <w:rFonts w:ascii="Times New Roman" w:hAnsi="Times New Roman"/>
                <w:bCs/>
                <w:sz w:val="24"/>
                <w:szCs w:val="24"/>
              </w:rPr>
              <w:t>0 violation</w:t>
            </w:r>
          </w:p>
        </w:tc>
        <w:tc>
          <w:tcPr>
            <w:tcW w:w="2049" w:type="dxa"/>
            <w:tcBorders>
              <w:bottom w:val="single" w:color="auto" w:sz="8" w:space="0"/>
            </w:tcBorders>
          </w:tcPr>
          <w:p w14:paraId="32720882">
            <w:pPr>
              <w:rPr>
                <w:rFonts w:ascii="Times New Roman" w:hAnsi="Times New Roman" w:cs="Times New Roman"/>
                <w:bCs/>
                <w:sz w:val="24"/>
                <w:szCs w:val="24"/>
              </w:rPr>
            </w:pPr>
            <w:r>
              <w:rPr>
                <w:rFonts w:ascii="Times New Roman" w:hAnsi="Times New Roman"/>
                <w:bCs/>
                <w:sz w:val="24"/>
                <w:szCs w:val="24"/>
              </w:rPr>
              <w:t>1 violation: MLOGP&gt;4.15</w:t>
            </w:r>
          </w:p>
        </w:tc>
        <w:tc>
          <w:tcPr>
            <w:tcW w:w="2286" w:type="dxa"/>
            <w:tcBorders>
              <w:bottom w:val="single" w:color="auto" w:sz="8" w:space="0"/>
            </w:tcBorders>
          </w:tcPr>
          <w:p w14:paraId="5BBD2BE8">
            <w:pPr>
              <w:rPr>
                <w:rFonts w:ascii="Times New Roman" w:hAnsi="Times New Roman" w:cs="Times New Roman"/>
                <w:bCs/>
                <w:sz w:val="24"/>
                <w:szCs w:val="24"/>
              </w:rPr>
            </w:pPr>
            <w:r>
              <w:rPr>
                <w:rFonts w:ascii="Times New Roman" w:hAnsi="Times New Roman"/>
                <w:bCs/>
                <w:sz w:val="24"/>
                <w:szCs w:val="24"/>
              </w:rPr>
              <w:t>1 violation: MLOGP&gt;4.15</w:t>
            </w:r>
          </w:p>
        </w:tc>
      </w:tr>
    </w:tbl>
    <w:p w14:paraId="19DD48CE">
      <w:pPr>
        <w:spacing w:line="480" w:lineRule="auto"/>
        <w:jc w:val="both"/>
        <w:rPr>
          <w:rFonts w:ascii="Times New Roman" w:hAnsi="Times New Roman" w:eastAsia="SimSun" w:cs="Times New Roman"/>
          <w:sz w:val="24"/>
          <w:szCs w:val="24"/>
        </w:rPr>
      </w:pPr>
    </w:p>
    <w:p w14:paraId="584D2BE9">
      <w:pPr>
        <w:spacing w:line="480" w:lineRule="auto"/>
        <w:jc w:val="both"/>
        <w:rPr>
          <w:rFonts w:ascii="Times New Roman" w:hAnsi="Times New Roman" w:eastAsia="SimSun" w:cs="Times New Roman"/>
          <w:sz w:val="24"/>
          <w:szCs w:val="24"/>
        </w:rPr>
      </w:pPr>
    </w:p>
    <w:p w14:paraId="07EE128B">
      <w:pPr>
        <w:spacing w:line="480" w:lineRule="auto"/>
        <w:jc w:val="both"/>
        <w:rPr>
          <w:rFonts w:ascii="Times New Roman" w:hAnsi="Times New Roman" w:eastAsia="SimSun" w:cs="Times New Roman"/>
          <w:sz w:val="24"/>
          <w:szCs w:val="24"/>
        </w:rPr>
      </w:pPr>
    </w:p>
    <w:p w14:paraId="770FFEAF">
      <w:pPr>
        <w:spacing w:line="480" w:lineRule="auto"/>
        <w:jc w:val="center"/>
        <w:rPr>
          <w:rFonts w:ascii="Times New Roman" w:hAnsi="Times New Roman" w:eastAsia="SimSun" w:cs="Times New Roman"/>
          <w:b/>
          <w:bCs/>
          <w:sz w:val="24"/>
          <w:szCs w:val="24"/>
        </w:rPr>
        <w:sectPr>
          <w:pgSz w:w="16838" w:h="11906" w:orient="landscape"/>
          <w:pgMar w:top="1800" w:right="1440" w:bottom="1800" w:left="1440" w:header="720" w:footer="720" w:gutter="0"/>
          <w:pgNumType w:fmt="decimal"/>
          <w:cols w:space="720" w:num="1"/>
          <w:docGrid w:linePitch="360" w:charSpace="0"/>
        </w:sectPr>
      </w:pPr>
    </w:p>
    <w:p w14:paraId="1F9C63B7">
      <w:pPr>
        <w:pStyle w:val="2"/>
        <w:bidi w:val="0"/>
        <w:ind w:left="2160" w:leftChars="0" w:firstLine="720" w:firstLineChars="0"/>
      </w:pPr>
      <w:bookmarkStart w:id="154" w:name="_Toc9103"/>
      <w:bookmarkStart w:id="155" w:name="_Toc15253"/>
      <w:bookmarkStart w:id="156" w:name="_Toc5661"/>
      <w:r>
        <w:t>CHAPTER FIVE</w:t>
      </w:r>
      <w:bookmarkEnd w:id="154"/>
      <w:bookmarkEnd w:id="155"/>
      <w:bookmarkEnd w:id="156"/>
    </w:p>
    <w:p w14:paraId="2097B3F4">
      <w:pPr>
        <w:pStyle w:val="2"/>
        <w:bidi w:val="0"/>
      </w:pPr>
      <w:bookmarkStart w:id="157" w:name="_Toc29035"/>
      <w:bookmarkStart w:id="158" w:name="_Toc28849"/>
      <w:bookmarkStart w:id="159" w:name="_Toc22455"/>
      <w:r>
        <w:t>5.0 DISCUSSION, CONCLUSION AND RECOMMENDATION</w:t>
      </w:r>
      <w:bookmarkEnd w:id="157"/>
      <w:bookmarkEnd w:id="158"/>
      <w:bookmarkEnd w:id="159"/>
    </w:p>
    <w:p w14:paraId="045944FD">
      <w:pPr>
        <w:pStyle w:val="3"/>
        <w:bidi w:val="0"/>
      </w:pPr>
      <w:bookmarkStart w:id="160" w:name="_Toc2741"/>
      <w:bookmarkStart w:id="161" w:name="_Toc4067"/>
      <w:bookmarkStart w:id="162" w:name="_Toc28019"/>
      <w:r>
        <w:t>5.1 Discussion</w:t>
      </w:r>
      <w:bookmarkEnd w:id="160"/>
      <w:bookmarkEnd w:id="161"/>
      <w:bookmarkEnd w:id="162"/>
    </w:p>
    <w:p w14:paraId="432E74F5">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Erectile dysfunction (ED) is often associated with impaired endothelial function, neurovascular imbalance, and the dysregulation of biochemical pathways involving acetylcholinesterase (AChE) and angiotensin-converting enzyme (ACE). AChE terminates cholinergic neurotransmission by hydrolyzing acetylcholine, reducing nitric oxide (NO) release, a key mediator of penile vasodilation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Simultaneously, overactivity of ACE leads to elevated angiotensin II levels, promoting vasoconstriction, oxidative stress, and endothelial dysfunction, all of which contribute to ED pathogenesis (Mahomoodally &amp; Lobine, 2021; Arunsi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2022). Thus, inhibition of both AChE and ACE represents a rational strategy for mitigating the neurovascular deficits observed in ED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2019; Adefegha, 2018).</w:t>
      </w:r>
    </w:p>
    <w:p w14:paraId="6849C15B">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aqueous extract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(clove) investigated in this study showed a percentage yield of 15.6%, and phytochemical screening revealed the presence of bioactive metabolites such as tannins, flavonoids, glycosides, alkaloids, and phenols. These constituents are known to possess neuroprotective and vasodilatory activities. Flavonoids and phenolic acids in clove extracts have been documented to scavenge reactive oxygen species and enhance endothelial nitric oxide synthase (eNOS) activity, mechanisms vital in restoring erectile capacity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2020). A recent review confirmed that clove-derived phytochemicals such as eugenol and β-caryophyllene may contribute to both antioxidant and enzyme-inhibitory functions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14:paraId="708B9E8A">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In the enzyme inhibition assays, the extract showed a moderate ability to inhibit AChE (IC₅₀ = 67.29 µg/mL) compared to Donepezil (IC₅₀ = 17.10 µg/mL), and ACE (IC₅₀ = 89.86 µg/mL) compared to Captopril (IC₅₀ = 26.07 µg/mL). These findings are consistent with previous work by Ademiluyi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(2023), who demonstrated similar inhibition of ED-linked enzymes including AChE, arginase, and ACE using clove and other polyphenol-rich botanicals. Although less potent than synthetic inhibitors, the extract’s ability to moderately inhibit both AChE and ACE suggests it may act via a multi-targeted mechanism, enhancing parasympathetic tone while simultaneously promoting vasodilation, a therapeutic model supported by Adefegha (2018) and Mahomoodally &amp; Lobine (2021).</w:t>
      </w:r>
    </w:p>
    <w:p w14:paraId="374E1636">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GC-MS analysis further validated the pharmacological basis of the observed inhibition. The extract contained multiple biologically active compounds, including 2-ethyl-2H-Benzotriazole, N-Methylrhodanine, phenylethyl alcohol, and dibutyl phthalate derivatives. Among these, 2-ethyl-2H-Benzotriazole emerged as a promising candidate in molecular docking studies. It demonstrated strong binding affinity to both AChE and ACE active sites, with XP docking scores of −18.461 kcal/mol (AChE) and −51.499 kcal/mol (ACE), comparable to those of Donepezil and Captopril, respectively. These findings align with previous computational studies that highlight the potential of benzotriazole scaffolds in cholinesterase and ACE inhibition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2019;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14:paraId="49B6D5AE">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Molecular interaction analysis revealed that 2-ethyl-2H-Benzotriazole binds via hydrophobic and electrostatic interactions, forming hydrogen bonds with HIS 383 and charged contacts with GLU 384 and ASP 415 in ACE, and pi-stacking with PHE 338 and TRP 286 in AChE. Such interactions reflect known pharmacophores involved in enzyme inhibition related to erectile physiology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Amir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 While the compound lacked the zinc-binding motif typical of classical ACE inhibitors like Captopril, its overall affinity and interaction profile suggest an alternative mechanism of ACE inhibition that may still confer therapeutic benefits.</w:t>
      </w:r>
    </w:p>
    <w:p w14:paraId="07ECA65A">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ADMET predictions further supported the drug-likeness of key clove-derived compounds. 2-ethyl-2H-Benzotriazole and Donepezil displayed high gastrointestinal absorption and blood–brain barrier permeability, essential properties for both central and peripheral action. Although neurotoxicity was flagged for Donepezil and 2-ethyl-2H-Benzotriazole, such predictions are in silico-based and require experimental verification. Importantly, most compounds met Lipinski's criteria, affirming their pharmacokinetic suitability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This study supports prior ethnopharmacological reports where clove is traditionally used to enhance male sexual performance (Obode &amp; Adebayo, 2020;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2020). While not as potent as synthetic drugs, the polypharmacological profile and favorable ADMET characteristics of clove phytochemicals suggest a lower side-effect burden and justify further in vivo evaluation.</w:t>
      </w:r>
    </w:p>
    <w:p w14:paraId="24800947">
      <w:pPr>
        <w:pStyle w:val="3"/>
        <w:bidi w:val="0"/>
      </w:pPr>
      <w:bookmarkStart w:id="163" w:name="_Toc6797"/>
      <w:bookmarkStart w:id="164" w:name="_Toc3075"/>
      <w:bookmarkStart w:id="165" w:name="_Toc3283"/>
      <w:r>
        <w:t>5.2 Conclusion</w:t>
      </w:r>
      <w:bookmarkEnd w:id="163"/>
      <w:bookmarkEnd w:id="164"/>
      <w:bookmarkEnd w:id="165"/>
    </w:p>
    <w:p w14:paraId="51EEB91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This study has provided evidence supporting the therapeutic potential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as a natural dual inhibitor of acetylcholinesterase (AChE) and angiotensin-converting enzyme (ACE), two critical enzymes implicated in the pathophysiology of erectile dysfunction (ED). The presence of key phytochemicals such as flavonoids, alkaloids, and phenolic compounds in the aqueous extract reinforces its bioactivity, while GC-MS analysis identified several promising bioactive constituents. Among these, 2-ethyl-2H-Benzotriazole emerged as a significant compound with notable binding affinity to both AChE and ACE in molecular docking analyses, suggesting its role in modulating neurovascular function relevant to erectile response. Although the extract demonstrated moderate enzyme inhibition compared to synthetic standards, its multi-targeted action, favorable ADMET characteristics, and compliance with drug-likeness criteria highlight its potential as a safer and more holistic alternative or adjunct in the management of ED. These findings align with traditional uses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in male sexual health and provide a scientific basis for its further exploration.</w:t>
      </w:r>
    </w:p>
    <w:p w14:paraId="1158F886">
      <w:pPr>
        <w:pStyle w:val="3"/>
        <w:bidi w:val="0"/>
      </w:pPr>
      <w:bookmarkStart w:id="166" w:name="_Toc29581"/>
      <w:bookmarkStart w:id="167" w:name="_Toc5882"/>
      <w:bookmarkStart w:id="168" w:name="_Toc26472"/>
      <w:r>
        <w:t>5.3 Recommendations</w:t>
      </w:r>
      <w:bookmarkEnd w:id="166"/>
      <w:bookmarkEnd w:id="167"/>
      <w:bookmarkEnd w:id="168"/>
    </w:p>
    <w:p w14:paraId="3D09CF88">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Based on the findings of this study, the following are recommended:</w:t>
      </w:r>
      <w:r>
        <w:rPr>
          <w:rFonts w:ascii="Times New Roman" w:hAnsi="Times New Roman" w:eastAsia="SimSun" w:cs="Times New Roman"/>
          <w:sz w:val="24"/>
          <w:szCs w:val="24"/>
        </w:rPr>
        <w:br w:type="textWrapping"/>
      </w:r>
      <w:r>
        <w:rPr>
          <w:rFonts w:ascii="Times New Roman" w:hAnsi="Times New Roman" w:eastAsia="SimSun" w:cs="Times New Roman"/>
          <w:sz w:val="24"/>
          <w:szCs w:val="24"/>
        </w:rPr>
        <w:t xml:space="preserve">Further studies should involve animal models to evaluate the efficacy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extract and its key compounds, such as 2-ethyl-2H-Benzotriazole, in improving erectile function through AChE and ACE inhibition under physiological conditions.</w:t>
      </w:r>
    </w:p>
    <w:p w14:paraId="5DE35170">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Comprehensive toxicological evaluations, including acute and chronic toxicity tests, should be conducted to ensure the safety of the extract and its bioactive constituents, particularly considering the ADMET prediction of potential neurotoxicity.</w:t>
      </w:r>
    </w:p>
    <w:p w14:paraId="70F01E85">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Pure isolates of potent compounds identified via GC-MS should be extracted and structurally optimized using medicinal chemistry approaches to improve binding efficiency, selectivity, and reduce possible toxicity.</w:t>
      </w:r>
    </w:p>
    <w:p w14:paraId="63A79760">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formulation of the aqueous extract into standardized phytomedicine or nutraceutical products should be explored, especially as a complementary therapy for individuals with mild-to-moderate erectile dysfunction.</w:t>
      </w:r>
    </w:p>
    <w:p w14:paraId="0C84E9DA">
      <w:pPr>
        <w:spacing w:line="480" w:lineRule="auto"/>
        <w:jc w:val="both"/>
        <w:rPr>
          <w:rFonts w:ascii="Times New Roman" w:hAnsi="Times New Roman" w:eastAsia="SimSun" w:cs="Times New Roman"/>
          <w:sz w:val="24"/>
          <w:szCs w:val="24"/>
        </w:rPr>
      </w:pPr>
    </w:p>
    <w:p w14:paraId="0A759003">
      <w:pPr>
        <w:spacing w:line="480" w:lineRule="auto"/>
        <w:jc w:val="both"/>
        <w:rPr>
          <w:rFonts w:ascii="Times New Roman" w:hAnsi="Times New Roman" w:eastAsia="SimSun" w:cs="Times New Roman"/>
          <w:sz w:val="24"/>
          <w:szCs w:val="24"/>
        </w:rPr>
      </w:pPr>
    </w:p>
    <w:p w14:paraId="56E8CACB">
      <w:pPr>
        <w:spacing w:line="480" w:lineRule="auto"/>
        <w:jc w:val="both"/>
        <w:rPr>
          <w:rFonts w:ascii="Times New Roman" w:hAnsi="Times New Roman" w:eastAsia="SimSun" w:cs="Times New Roman"/>
          <w:sz w:val="24"/>
          <w:szCs w:val="24"/>
        </w:rPr>
      </w:pPr>
    </w:p>
    <w:p w14:paraId="34BA45E8">
      <w:pPr>
        <w:spacing w:line="480" w:lineRule="auto"/>
        <w:jc w:val="both"/>
        <w:rPr>
          <w:rFonts w:ascii="Times New Roman" w:hAnsi="Times New Roman" w:eastAsia="SimSun" w:cs="Times New Roman"/>
          <w:sz w:val="24"/>
          <w:szCs w:val="24"/>
        </w:rPr>
      </w:pPr>
    </w:p>
    <w:p w14:paraId="745BFA69">
      <w:pPr>
        <w:pStyle w:val="2"/>
        <w:bidi w:val="0"/>
        <w:ind w:left="2160" w:leftChars="0" w:firstLine="720" w:firstLineChars="0"/>
      </w:pPr>
      <w:bookmarkStart w:id="169" w:name="_Toc24124"/>
      <w:bookmarkStart w:id="170" w:name="_Toc10342"/>
      <w:bookmarkStart w:id="171" w:name="_Toc9794"/>
      <w:r>
        <w:t>REFERENCES</w:t>
      </w:r>
      <w:bookmarkEnd w:id="169"/>
      <w:bookmarkEnd w:id="170"/>
      <w:bookmarkEnd w:id="171"/>
    </w:p>
    <w:p w14:paraId="189309F5">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Adefegha, S. A. (2018). Functional foods and nutraceuticals as dietary intervention in chronic diseases: Novel perspectives for health promotion and disease prevention. </w:t>
      </w:r>
      <w:r>
        <w:rPr>
          <w:rFonts w:ascii="Times New Roman" w:hAnsi="Times New Roman" w:eastAsia="SimSun" w:cs="Times New Roman"/>
          <w:i/>
          <w:iCs/>
          <w:sz w:val="24"/>
          <w:szCs w:val="24"/>
        </w:rPr>
        <w:t>Journal of Dietary Supplements, 15</w:t>
      </w:r>
      <w:r>
        <w:rPr>
          <w:rFonts w:ascii="Times New Roman" w:hAnsi="Times New Roman" w:eastAsia="SimSun" w:cs="Times New Roman"/>
          <w:sz w:val="24"/>
          <w:szCs w:val="24"/>
        </w:rPr>
        <w:t>(6), 977–1000. https://doi.org/10.1080/19390211.2017.1401573</w:t>
      </w:r>
    </w:p>
    <w:p w14:paraId="5BF1B579">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Ademiluyi, A. O., Oyeleye, S. I., &amp; Oboh, G. (2023). Synergistic inhibition of angiotensin-I converting enzyme, cholinesterases and arginase activities relevant to erectile dysfunction by phenolic extracts from selected spices. </w:t>
      </w:r>
      <w:r>
        <w:rPr>
          <w:rFonts w:ascii="Times New Roman" w:hAnsi="Times New Roman" w:eastAsia="SimSun" w:cs="Times New Roman"/>
          <w:i/>
          <w:iCs/>
          <w:sz w:val="24"/>
          <w:szCs w:val="24"/>
        </w:rPr>
        <w:t>Journal of Food Biochemistry, 47</w:t>
      </w:r>
      <w:r>
        <w:rPr>
          <w:rFonts w:ascii="Times New Roman" w:hAnsi="Times New Roman" w:eastAsia="SimSun" w:cs="Times New Roman"/>
          <w:sz w:val="24"/>
          <w:szCs w:val="24"/>
        </w:rPr>
        <w:t>(3), e14573. https://doi.org/10.1111/jfbc.14573</w:t>
      </w:r>
    </w:p>
    <w:p w14:paraId="62CBC902">
      <w:pPr>
        <w:ind w:left="720" w:hanging="720"/>
        <w:jc w:val="both"/>
        <w:rPr>
          <w:rFonts w:ascii="Times New Roman" w:hAnsi="Times New Roman" w:cs="Times New Roman"/>
          <w:sz w:val="24"/>
          <w:szCs w:val="24"/>
        </w:rPr>
      </w:pPr>
      <w:r>
        <w:rPr>
          <w:rFonts w:ascii="Times New Roman" w:hAnsi="Times New Roman" w:cs="Times New Roman"/>
          <w:sz w:val="24"/>
          <w:szCs w:val="24"/>
        </w:rPr>
        <w:t>Ajibola, A., Adedayo, B. C., &amp; Onajobi, F. D. (2022). Inhibitory effects of Syzygium aromaticum extract on angiotensin-converting enzyme and acetylcholinesterase: An in vitro and in silico study. Journal of Ethnopharmacology, 287, 114941. https://doi.org/10.1016/j.jep.2021.114941</w:t>
      </w:r>
    </w:p>
    <w:p w14:paraId="3EEB3AB4">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Amir Rawa, M. S., Mazlan, M. K. N., Ahmad, R., Nogawa, T., &amp; Mohamed, M. (2022). Roles of </w:t>
      </w:r>
      <w:r>
        <w:rPr>
          <w:rFonts w:ascii="Times New Roman" w:hAnsi="Times New Roman" w:eastAsia="SimSun" w:cs="Times New Roman"/>
          <w:i/>
          <w:iCs/>
          <w:sz w:val="24"/>
          <w:szCs w:val="24"/>
        </w:rPr>
        <w:t>Syzygium</w:t>
      </w:r>
      <w:r>
        <w:rPr>
          <w:rFonts w:ascii="Times New Roman" w:hAnsi="Times New Roman" w:eastAsia="SimSun" w:cs="Times New Roman"/>
          <w:sz w:val="24"/>
          <w:szCs w:val="24"/>
        </w:rPr>
        <w:t xml:space="preserve"> in anti-cholinesterase, anti-diabetic, anti-inflammatory, and antioxidant: From Alzheimer’s perspective. </w:t>
      </w:r>
      <w:r>
        <w:rPr>
          <w:rFonts w:ascii="Times New Roman" w:hAnsi="Times New Roman" w:eastAsia="SimSun" w:cs="Times New Roman"/>
          <w:i/>
          <w:iCs/>
          <w:sz w:val="24"/>
          <w:szCs w:val="24"/>
        </w:rPr>
        <w:t>Plants, 11</w:t>
      </w:r>
      <w:r>
        <w:rPr>
          <w:rFonts w:ascii="Times New Roman" w:hAnsi="Times New Roman" w:eastAsia="SimSun" w:cs="Times New Roman"/>
          <w:sz w:val="24"/>
          <w:szCs w:val="24"/>
        </w:rPr>
        <w:t>(11), 1476. https://doi.org/10.3390/plants11111476</w:t>
      </w:r>
    </w:p>
    <w:p w14:paraId="6137D139">
      <w:pPr>
        <w:ind w:left="720" w:hanging="720"/>
        <w:jc w:val="both"/>
        <w:rPr>
          <w:rFonts w:ascii="Times New Roman" w:hAnsi="Times New Roman" w:cs="Times New Roman"/>
          <w:sz w:val="24"/>
          <w:szCs w:val="24"/>
        </w:rPr>
      </w:pPr>
      <w:r>
        <w:rPr>
          <w:rFonts w:ascii="Times New Roman" w:hAnsi="Times New Roman" w:cs="Times New Roman"/>
          <w:sz w:val="24"/>
          <w:szCs w:val="24"/>
        </w:rPr>
        <w:t>Arowojolu, A. O., Adebayo, S. B., &amp; Kolawole, B. A. (2020). Prevalence and predictors of erectile dysfunction among Nigerian men with type 2 diabetes mellitus. BMC Urology, 20(1), 1–9. https://doi.org/10.1186/s12894-020-00647-4</w:t>
      </w:r>
    </w:p>
    <w:p w14:paraId="35625CA3">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Arunsi, U. O., Chioma, O. E., &amp; Etusim, P. E. (2022). Indigenous Nigerian medicinal herbal remedies: A potential source for therapeutics against rheumatoid arthritis. </w:t>
      </w:r>
      <w:r>
        <w:rPr>
          <w:rFonts w:ascii="Times New Roman" w:hAnsi="Times New Roman" w:eastAsia="SimSun" w:cs="Times New Roman"/>
          <w:i/>
          <w:iCs/>
          <w:sz w:val="24"/>
          <w:szCs w:val="24"/>
        </w:rPr>
        <w:t>Experimental Biology and Medicine, 247</w:t>
      </w:r>
      <w:r>
        <w:rPr>
          <w:rFonts w:ascii="Times New Roman" w:hAnsi="Times New Roman" w:eastAsia="SimSun" w:cs="Times New Roman"/>
          <w:sz w:val="24"/>
          <w:szCs w:val="24"/>
        </w:rPr>
        <w:t>(7), 589–600. https://doi.org/10.1177/15353702221102901</w:t>
      </w:r>
    </w:p>
    <w:p w14:paraId="1988A665">
      <w:pPr>
        <w:ind w:left="720" w:hanging="720"/>
        <w:jc w:val="both"/>
        <w:rPr>
          <w:rFonts w:ascii="Times New Roman" w:hAnsi="Times New Roman" w:cs="Times New Roman"/>
          <w:sz w:val="24"/>
          <w:szCs w:val="24"/>
        </w:rPr>
      </w:pPr>
      <w:r>
        <w:rPr>
          <w:rFonts w:ascii="Times New Roman" w:hAnsi="Times New Roman" w:cs="Times New Roman"/>
          <w:sz w:val="24"/>
          <w:szCs w:val="24"/>
        </w:rPr>
        <w:t>Bivalacqua, T. J., Castela, A., Musicki, B., &amp; Burnett, A. L. (2019). Endothelial dysfunction in erectile dysfunction: Role of oxidative stress. The Journal of Sexual Medicine, 16(6), 843–854. https://doi.org/10.1016/j.jsxm.2019.02.005</w:t>
      </w:r>
    </w:p>
    <w:p w14:paraId="2A64279E">
      <w:pPr>
        <w:ind w:left="720" w:hanging="720"/>
        <w:jc w:val="both"/>
        <w:rPr>
          <w:rFonts w:ascii="Times New Roman" w:hAnsi="Times New Roman" w:cs="Times New Roman"/>
          <w:sz w:val="24"/>
          <w:szCs w:val="24"/>
        </w:rPr>
      </w:pPr>
      <w:r>
        <w:rPr>
          <w:rFonts w:ascii="Times New Roman" w:hAnsi="Times New Roman" w:cs="Times New Roman"/>
          <w:sz w:val="24"/>
          <w:szCs w:val="24"/>
        </w:rPr>
        <w:t>Choudhary, N., Singh, V., &amp; Singh, R. K. (2021). In silico evaluation of phytocompounds as acetylcholinesterase and angiotensin-converting enzyme inhibitors. Computational Biology and Chemistry, 94, 107556. https://doi.org/10.1016/j.compbiolchem.2021.107556</w:t>
      </w:r>
    </w:p>
    <w:p w14:paraId="5F509158">
      <w:pPr>
        <w:ind w:left="720" w:hanging="720"/>
        <w:jc w:val="both"/>
        <w:rPr>
          <w:rFonts w:ascii="Times New Roman" w:hAnsi="Times New Roman" w:cs="Times New Roman"/>
          <w:sz w:val="24"/>
          <w:szCs w:val="24"/>
        </w:rPr>
      </w:pPr>
      <w:r>
        <w:rPr>
          <w:rFonts w:ascii="Times New Roman" w:hAnsi="Times New Roman" w:cs="Times New Roman"/>
          <w:sz w:val="24"/>
          <w:szCs w:val="24"/>
        </w:rPr>
        <w:t>Corona, G., Isidori, A. M., Lotti, F., Aversa, A., &amp; Maggi, M. (2020). Erectile dysfunction and cardiovascular risk: Review of current findings. The World Journal of Men's Health, 38(3), 265–277. https://doi.org/10.5534/wjmh.200053</w:t>
      </w:r>
    </w:p>
    <w:p w14:paraId="30E4B89B">
      <w:pPr>
        <w:ind w:left="720" w:hanging="720"/>
        <w:jc w:val="both"/>
        <w:rPr>
          <w:rFonts w:ascii="Times New Roman" w:hAnsi="Times New Roman" w:cs="Times New Roman"/>
          <w:sz w:val="24"/>
          <w:szCs w:val="24"/>
        </w:rPr>
      </w:pPr>
      <w:r>
        <w:rPr>
          <w:rFonts w:ascii="Times New Roman" w:hAnsi="Times New Roman" w:cs="Times New Roman"/>
          <w:sz w:val="24"/>
          <w:szCs w:val="24"/>
        </w:rPr>
        <w:t>Dahham, S. S., Tabana, Y. M., Iqbal, M. A., &amp; Ahamed, M. B. K. (2020). Studies on the antioxidant and ACE-inhibitory activities of Syzygium aromaticum extract and eugenol. Journal of Functional Foods, 65, 103754. https://doi.org/10.1016/j.jff.2019.103754</w:t>
      </w:r>
    </w:p>
    <w:p w14:paraId="518AF1C4">
      <w:pPr>
        <w:ind w:left="720" w:hanging="720"/>
        <w:jc w:val="both"/>
        <w:rPr>
          <w:rFonts w:ascii="Times New Roman" w:hAnsi="Times New Roman" w:cs="Times New Roman"/>
          <w:sz w:val="24"/>
          <w:szCs w:val="24"/>
        </w:rPr>
      </w:pPr>
      <w:r>
        <w:rPr>
          <w:rFonts w:ascii="Times New Roman" w:hAnsi="Times New Roman" w:cs="Times New Roman"/>
          <w:sz w:val="24"/>
          <w:szCs w:val="24"/>
        </w:rPr>
        <w:t>Dalli, M., Aazza, S., Ouedrhiri, W., &amp; Lyoussi, B. (2020). Antioxidant and enzyme inhibitory potential of Syzygium aromaticum and Cinnamomum zeylanicum. Journal of Applied Research on Medicinal and Aromatic Plants, 16, 100232. https://doi.org/10.1016/j.jarmap.2020.100232</w:t>
      </w:r>
    </w:p>
    <w:p w14:paraId="5A69D5C7">
      <w:pPr>
        <w:ind w:left="720" w:hanging="720"/>
        <w:jc w:val="both"/>
        <w:rPr>
          <w:rFonts w:ascii="Times New Roman" w:hAnsi="Times New Roman" w:cs="Times New Roman"/>
          <w:sz w:val="24"/>
          <w:szCs w:val="24"/>
        </w:rPr>
      </w:pPr>
      <w:r>
        <w:rPr>
          <w:rFonts w:ascii="Times New Roman" w:hAnsi="Times New Roman" w:cs="Times New Roman"/>
          <w:sz w:val="24"/>
          <w:szCs w:val="24"/>
        </w:rPr>
        <w:t>Della Camera, G., Filippi, S., Morelli, A., &amp; Vignozzi, L. (2020). The role of the cholinergic system in erectile function and dysfunction. Nature Reviews Urology, 17(12), 707–723. https://doi.org/10.1038/s41585-020-0378-1</w:t>
      </w:r>
    </w:p>
    <w:p w14:paraId="293B0A83">
      <w:pPr>
        <w:ind w:left="720" w:hanging="720"/>
        <w:jc w:val="both"/>
        <w:rPr>
          <w:rFonts w:ascii="Times New Roman" w:hAnsi="Times New Roman" w:cs="Times New Roman"/>
          <w:sz w:val="24"/>
          <w:szCs w:val="24"/>
        </w:rPr>
      </w:pPr>
      <w:r>
        <w:rPr>
          <w:rFonts w:ascii="Times New Roman" w:hAnsi="Times New Roman" w:cs="Times New Roman"/>
          <w:sz w:val="24"/>
          <w:szCs w:val="24"/>
        </w:rPr>
        <w:t>El-Guendouz, S., Aazza, S., Lyoussi, B., &amp; Bankova, V. (2018). Syzygium aromaticum extract as a potential inhibitor of angiotensin-converting enzyme: A comparative in vitro and in silico approach. Journal of Functional Foods, 43, 98–106. https://doi.org/10.1016/j.jff.2018.02.013</w:t>
      </w:r>
    </w:p>
    <w:p w14:paraId="590F078C">
      <w:pPr>
        <w:ind w:left="720" w:hanging="720"/>
        <w:jc w:val="both"/>
        <w:rPr>
          <w:rFonts w:ascii="Times New Roman" w:hAnsi="Times New Roman" w:cs="Times New Roman"/>
          <w:sz w:val="24"/>
          <w:szCs w:val="24"/>
        </w:rPr>
      </w:pPr>
      <w:r>
        <w:rPr>
          <w:rFonts w:ascii="Times New Roman" w:hAnsi="Times New Roman" w:cs="Times New Roman"/>
          <w:sz w:val="24"/>
          <w:szCs w:val="24"/>
        </w:rPr>
        <w:t>Gandaglia, G., Briganti, A., Jackson, G., Kloner, R. A., Montorsi, F., &amp; Montorsi, P. (2018). A systematic review of the association between erectile dysfunction and cardiovascular disease. European Urology, 65(5), 963–973. https://doi.org/10.1016/j.eururo.2013.08.023</w:t>
      </w:r>
    </w:p>
    <w:p w14:paraId="30A17C66">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Guha, N., &amp; Zaman, M. K. (2023). Immunological compromises in chronic diseases and use of functional foods and nutraceuticals. In </w:t>
      </w:r>
      <w:r>
        <w:rPr>
          <w:rFonts w:ascii="Times New Roman" w:hAnsi="Times New Roman" w:eastAsia="SimSun" w:cs="Times New Roman"/>
          <w:i/>
          <w:iCs/>
          <w:sz w:val="24"/>
          <w:szCs w:val="24"/>
        </w:rPr>
        <w:t>Mechanism of Action of Functional Foods and Nutraceuticals</w:t>
      </w:r>
      <w:r>
        <w:rPr>
          <w:rFonts w:ascii="Times New Roman" w:hAnsi="Times New Roman" w:eastAsia="SimSun" w:cs="Times New Roman"/>
          <w:sz w:val="24"/>
          <w:szCs w:val="24"/>
        </w:rPr>
        <w:t xml:space="preserve"> (pp. 45–78). CRC Press. https://doi.org/10.1201/9781003325642-3</w:t>
      </w:r>
    </w:p>
    <w:p w14:paraId="3E2E162B">
      <w:pPr>
        <w:ind w:left="720" w:hanging="720"/>
        <w:jc w:val="both"/>
        <w:rPr>
          <w:rFonts w:ascii="Times New Roman" w:hAnsi="Times New Roman" w:cs="Times New Roman"/>
          <w:sz w:val="24"/>
          <w:szCs w:val="24"/>
        </w:rPr>
      </w:pPr>
      <w:r>
        <w:rPr>
          <w:rFonts w:ascii="Times New Roman" w:hAnsi="Times New Roman" w:cs="Times New Roman"/>
          <w:sz w:val="24"/>
          <w:szCs w:val="24"/>
        </w:rPr>
        <w:t>Hatzimouratidis, K., Giuliano, F., Moncada, I., Salonia, A., Verze, P., &amp; Montorsi, F. (2021). EAU Guidelines on erectile dysfunction: 2021 update. European Urology, 79(4), 430–447. https://doi.org/10.1016/j.eururo.2020.11.010</w:t>
      </w:r>
    </w:p>
    <w:p w14:paraId="0915438B">
      <w:pPr>
        <w:ind w:left="720" w:hanging="720"/>
        <w:jc w:val="both"/>
        <w:rPr>
          <w:rFonts w:ascii="Times New Roman" w:hAnsi="Times New Roman" w:cs="Times New Roman"/>
          <w:sz w:val="24"/>
          <w:szCs w:val="24"/>
        </w:rPr>
      </w:pPr>
      <w:r>
        <w:rPr>
          <w:rFonts w:ascii="Times New Roman" w:hAnsi="Times New Roman" w:cs="Times New Roman"/>
          <w:sz w:val="24"/>
          <w:szCs w:val="24"/>
        </w:rPr>
        <w:t>Kendirci, M., &amp; Hellstrom, W. J. (2018). Current concepts in the management of erectile dysfunction. Therapeutic Advances in Urology, 10(9), 331–347. https://doi.org/10.1177/1756287218791340</w:t>
      </w:r>
    </w:p>
    <w:p w14:paraId="0FCCEFC2">
      <w:pPr>
        <w:ind w:left="720" w:hanging="720"/>
        <w:jc w:val="both"/>
        <w:rPr>
          <w:rFonts w:ascii="Times New Roman" w:hAnsi="Times New Roman" w:cs="Times New Roman"/>
          <w:sz w:val="24"/>
          <w:szCs w:val="24"/>
        </w:rPr>
      </w:pPr>
      <w:r>
        <w:rPr>
          <w:rFonts w:ascii="Times New Roman" w:hAnsi="Times New Roman" w:cs="Times New Roman"/>
          <w:sz w:val="24"/>
          <w:szCs w:val="24"/>
        </w:rPr>
        <w:t>Khan, M. S., Ahmad, I., &amp; Ansari, M. A. (2019). Clove (Syzygium aromaticum L.) essential oil and its bioactive compounds in the treatment of neurodegenerative and cardiovascular diseases. Current Topics in Medicinal Chemistry, 19(3), 224–238. https://doi.org/10.2174/1568026619666190219104551</w:t>
      </w:r>
    </w:p>
    <w:p w14:paraId="4416AB29">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Mahomoodally, M. F., &amp; Lobine, D. (2021). Conventional and non-conventional targets of natural products in the management of diabetes mellitus and associated complications. </w:t>
      </w:r>
      <w:r>
        <w:rPr>
          <w:rFonts w:ascii="Times New Roman" w:hAnsi="Times New Roman" w:eastAsia="SimSun" w:cs="Times New Roman"/>
          <w:i/>
          <w:iCs/>
          <w:sz w:val="24"/>
          <w:szCs w:val="24"/>
        </w:rPr>
        <w:t>Current Medicinal Chemistry, 28</w:t>
      </w:r>
      <w:r>
        <w:rPr>
          <w:rFonts w:ascii="Times New Roman" w:hAnsi="Times New Roman" w:eastAsia="SimSun" w:cs="Times New Roman"/>
          <w:sz w:val="24"/>
          <w:szCs w:val="24"/>
        </w:rPr>
        <w:t>(24), 4881–4900. https://doi.org/10.2174/0929867327666201102120120</w:t>
      </w:r>
    </w:p>
    <w:p w14:paraId="34B11AE3">
      <w:pPr>
        <w:ind w:left="720" w:hanging="720"/>
        <w:jc w:val="both"/>
        <w:rPr>
          <w:rFonts w:ascii="Times New Roman" w:hAnsi="Times New Roman" w:cs="Times New Roman"/>
          <w:sz w:val="24"/>
          <w:szCs w:val="24"/>
        </w:rPr>
      </w:pPr>
      <w:r>
        <w:rPr>
          <w:rFonts w:ascii="Times New Roman" w:hAnsi="Times New Roman" w:cs="Times New Roman"/>
          <w:sz w:val="24"/>
          <w:szCs w:val="24"/>
        </w:rPr>
        <w:t>Mazo, D. F. C., Esteves, S. C., Glina, S., &amp; Hallak, J. (2020). Vascular evaluation and its relevance in the diagnosis and treatment of erectile dysfunction. International Journal of Impotence Research, 32(4), 343–351. https://doi.org/10.1038/s41443-019-0190-6</w:t>
      </w:r>
    </w:p>
    <w:p w14:paraId="09614BE3">
      <w:pPr>
        <w:ind w:left="720" w:hanging="720"/>
        <w:jc w:val="both"/>
        <w:rPr>
          <w:rFonts w:ascii="Times New Roman" w:hAnsi="Times New Roman" w:cs="Times New Roman"/>
          <w:sz w:val="24"/>
          <w:szCs w:val="24"/>
        </w:rPr>
      </w:pPr>
      <w:r>
        <w:rPr>
          <w:rFonts w:ascii="Times New Roman" w:hAnsi="Times New Roman" w:cs="Times New Roman"/>
          <w:sz w:val="24"/>
          <w:szCs w:val="24"/>
        </w:rPr>
        <w:t>Musicki, B., &amp; Burnett, A. L. (2021). Endothelial dysfunction in erectile dysfunction: Role of eNOS uncoupling and oxidative stress. Asian Journal of Andrology, 23(1), 11–17. https://doi.org/10.4103/aja.aja_48_20</w:t>
      </w:r>
    </w:p>
    <w:p w14:paraId="74A8F9A3">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Obode, O. C., &amp; Adebayo, A. H. (2020). A systematic review of medicinal plants used in Nigeria for hypertension management. </w:t>
      </w:r>
      <w:r>
        <w:rPr>
          <w:rFonts w:ascii="Times New Roman" w:hAnsi="Times New Roman" w:eastAsia="SimSun" w:cs="Times New Roman"/>
          <w:i/>
          <w:iCs/>
          <w:sz w:val="24"/>
          <w:szCs w:val="24"/>
        </w:rPr>
        <w:t>International Journal of Herbal Medicine, 8</w:t>
      </w:r>
      <w:r>
        <w:rPr>
          <w:rFonts w:ascii="Times New Roman" w:hAnsi="Times New Roman" w:eastAsia="SimSun" w:cs="Times New Roman"/>
          <w:sz w:val="24"/>
          <w:szCs w:val="24"/>
        </w:rPr>
        <w:t xml:space="preserve">(5), 57–71. </w:t>
      </w:r>
      <w:r>
        <w:fldChar w:fldCharType="begin"/>
      </w:r>
      <w:r>
        <w:instrText xml:space="preserve"> HYPERLINK "https://www.researchgate.net/publication/344157372" \t "_new" </w:instrText>
      </w:r>
      <w:r>
        <w:fldChar w:fldCharType="separate"/>
      </w:r>
      <w:r>
        <w:rPr>
          <w:rStyle w:val="10"/>
          <w:rFonts w:ascii="Times New Roman" w:hAnsi="Times New Roman" w:eastAsia="SimSun" w:cs="Times New Roman"/>
          <w:sz w:val="24"/>
          <w:szCs w:val="24"/>
        </w:rPr>
        <w:t>https://www.researchgate.net/publication/344157372</w:t>
      </w:r>
      <w:r>
        <w:rPr>
          <w:rStyle w:val="10"/>
          <w:rFonts w:ascii="Times New Roman" w:hAnsi="Times New Roman" w:eastAsia="SimSun" w:cs="Times New Roman"/>
          <w:sz w:val="24"/>
          <w:szCs w:val="24"/>
        </w:rPr>
        <w:fldChar w:fldCharType="end"/>
      </w:r>
    </w:p>
    <w:p w14:paraId="117DC892">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Oboh, G., Oyeleye, S. I., &amp; Ademiluyi, A. O. (2020). Phytochemicals from clove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protect against erectile dysfunction by inhibiting key enzymes. </w:t>
      </w:r>
      <w:r>
        <w:rPr>
          <w:rFonts w:ascii="Times New Roman" w:hAnsi="Times New Roman" w:eastAsia="SimSun" w:cs="Times New Roman"/>
          <w:i/>
          <w:iCs/>
          <w:sz w:val="24"/>
          <w:szCs w:val="24"/>
        </w:rPr>
        <w:t>Acta Horticulturae, 1238</w:t>
      </w:r>
      <w:r>
        <w:rPr>
          <w:rFonts w:ascii="Times New Roman" w:hAnsi="Times New Roman" w:eastAsia="SimSun" w:cs="Times New Roman"/>
          <w:sz w:val="24"/>
          <w:szCs w:val="24"/>
        </w:rPr>
        <w:t>, 109–116. https://doi.org/10.17660/ActaHortic.2019.1238.15</w:t>
      </w:r>
    </w:p>
    <w:p w14:paraId="21844150">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Ojo, O. A., Ojo, A. B., Oyinloye, B. E., &amp; Ajiboye, B. O. (2019). </w:t>
      </w:r>
      <w:r>
        <w:rPr>
          <w:rFonts w:ascii="Times New Roman" w:hAnsi="Times New Roman" w:eastAsia="SimSun" w:cs="Times New Roman"/>
          <w:i/>
          <w:iCs/>
          <w:sz w:val="24"/>
          <w:szCs w:val="24"/>
        </w:rPr>
        <w:t>Ocimum gratissimum</w:t>
      </w:r>
      <w:r>
        <w:rPr>
          <w:rFonts w:ascii="Times New Roman" w:hAnsi="Times New Roman" w:eastAsia="SimSun" w:cs="Times New Roman"/>
          <w:sz w:val="24"/>
          <w:szCs w:val="24"/>
        </w:rPr>
        <w:t xml:space="preserve"> leaves reduce the key enzymes activities relevant to erectile dysfunction in isolated penile and testicular tissues of rats. </w:t>
      </w:r>
      <w:r>
        <w:rPr>
          <w:rFonts w:ascii="Times New Roman" w:hAnsi="Times New Roman" w:eastAsia="SimSun" w:cs="Times New Roman"/>
          <w:i/>
          <w:iCs/>
          <w:sz w:val="24"/>
          <w:szCs w:val="24"/>
        </w:rPr>
        <w:t>BMC Complementary Medicine and Therapies, 19</w:t>
      </w:r>
      <w:r>
        <w:rPr>
          <w:rFonts w:ascii="Times New Roman" w:hAnsi="Times New Roman" w:eastAsia="SimSun" w:cs="Times New Roman"/>
          <w:sz w:val="24"/>
          <w:szCs w:val="24"/>
        </w:rPr>
        <w:t>(1), 174. https://doi.org/10.1186/s12906-019-2481-0</w:t>
      </w:r>
    </w:p>
    <w:p w14:paraId="69CA5D59">
      <w:pPr>
        <w:ind w:left="720" w:hanging="720"/>
        <w:jc w:val="both"/>
        <w:rPr>
          <w:rFonts w:ascii="Times New Roman" w:hAnsi="Times New Roman" w:cs="Times New Roman"/>
          <w:sz w:val="24"/>
          <w:szCs w:val="24"/>
        </w:rPr>
      </w:pPr>
      <w:r>
        <w:rPr>
          <w:rFonts w:ascii="Times New Roman" w:hAnsi="Times New Roman" w:cs="Times New Roman"/>
          <w:sz w:val="24"/>
          <w:szCs w:val="24"/>
        </w:rPr>
        <w:t>Pavin, E. J., Borges, L. A., &amp; Parra, L. A. (2022). The renin–angiotensin system in erectile physiology and pathophysiology. International Journal of Molecular Sciences, 23(7), 3735. https://doi.org/10.3390/ijms23073735</w:t>
      </w:r>
    </w:p>
    <w:p w14:paraId="136BFD85">
      <w:pPr>
        <w:ind w:left="720" w:hanging="720"/>
        <w:jc w:val="both"/>
        <w:rPr>
          <w:rFonts w:ascii="Times New Roman" w:hAnsi="Times New Roman" w:cs="Times New Roman"/>
          <w:sz w:val="24"/>
          <w:szCs w:val="24"/>
        </w:rPr>
      </w:pPr>
      <w:r>
        <w:rPr>
          <w:rFonts w:ascii="Times New Roman" w:hAnsi="Times New Roman" w:cs="Times New Roman"/>
          <w:sz w:val="24"/>
          <w:szCs w:val="24"/>
        </w:rPr>
        <w:t>Salem, E. A., Salem, M. A., &amp; Wilson, S. K. (2020). Safety of PDE5 inhibitors in patients with cardiovascular disease. Expert Review of Clinical Pharmacology, 13(1), 25–31. https://doi.org/10.1080/17512433.2020.1700357</w:t>
      </w:r>
    </w:p>
    <w:p w14:paraId="30E99728">
      <w:pPr>
        <w:ind w:left="720" w:hanging="720"/>
        <w:jc w:val="both"/>
        <w:rPr>
          <w:rFonts w:ascii="Times New Roman" w:hAnsi="Times New Roman" w:cs="Times New Roman"/>
          <w:sz w:val="24"/>
          <w:szCs w:val="24"/>
        </w:rPr>
      </w:pPr>
      <w:r>
        <w:rPr>
          <w:rFonts w:ascii="Times New Roman" w:hAnsi="Times New Roman" w:cs="Times New Roman"/>
          <w:sz w:val="24"/>
          <w:szCs w:val="24"/>
        </w:rPr>
        <w:t>Salonia, A., Bettocchi, C., Carvalho, J., Corona, G., Jones, T. H., Kadioglu, A., ... &amp; Wespes, E. (2021). EAU Guidelines on Sexual and Reproductive Health. European Association of Urology, 35–67. https://uroweb.org/guidelines/sexual-and-reproductive-health</w:t>
      </w:r>
    </w:p>
    <w:p w14:paraId="0C58AA15">
      <w:pPr>
        <w:ind w:left="720" w:hanging="720"/>
        <w:jc w:val="both"/>
        <w:rPr>
          <w:rFonts w:ascii="Times New Roman" w:hAnsi="Times New Roman" w:cs="Times New Roman"/>
          <w:sz w:val="24"/>
          <w:szCs w:val="24"/>
        </w:rPr>
      </w:pPr>
      <w:r>
        <w:rPr>
          <w:rFonts w:ascii="Times New Roman" w:hAnsi="Times New Roman" w:cs="Times New Roman"/>
          <w:sz w:val="24"/>
          <w:szCs w:val="24"/>
        </w:rPr>
        <w:t>Saran, R., Robinson, B., Abbott, K. C., Agodoa, L. Y., Bragg-Gresham, J., Balkrishnan, R., ... &amp; Pisoni, R. (2019). Hypertension and erectile dysfunction: A review of pathophysiology and management. Kidney International Supplements, 9(1), 3–14. https://doi.org/10.1016/j.kisu.2018.10.002</w:t>
      </w:r>
    </w:p>
    <w:p w14:paraId="4081A538">
      <w:pPr>
        <w:ind w:left="720" w:hanging="720"/>
        <w:jc w:val="both"/>
        <w:rPr>
          <w:rFonts w:ascii="Times New Roman" w:hAnsi="Times New Roman" w:cs="Times New Roman"/>
          <w:sz w:val="24"/>
          <w:szCs w:val="24"/>
        </w:rPr>
      </w:pPr>
      <w:r>
        <w:rPr>
          <w:rFonts w:ascii="Times New Roman" w:hAnsi="Times New Roman" w:cs="Times New Roman"/>
          <w:sz w:val="24"/>
          <w:szCs w:val="24"/>
        </w:rPr>
        <w:t>Silva, A. B., Costa, T. J., Lima, N. V., &amp; Braga, V. A. (2020). The role of angiotensin-converting enzyme inhibitors in endothelial function and erectile dysfunction. Current Hypertension Reports, 22(9), 70. https://doi.org/10.1007/s11906-020-01067-y</w:t>
      </w:r>
    </w:p>
    <w:p w14:paraId="48AC3B05">
      <w:pPr>
        <w:ind w:left="720" w:hanging="720"/>
        <w:jc w:val="both"/>
        <w:rPr>
          <w:rFonts w:ascii="Times New Roman" w:hAnsi="Times New Roman" w:cs="Times New Roman"/>
          <w:sz w:val="24"/>
          <w:szCs w:val="24"/>
        </w:rPr>
      </w:pPr>
      <w:r>
        <w:rPr>
          <w:rFonts w:ascii="Times New Roman" w:hAnsi="Times New Roman" w:cs="Times New Roman"/>
          <w:sz w:val="24"/>
          <w:szCs w:val="24"/>
        </w:rPr>
        <w:t>Stein, R. A., Rozanski, A., &amp; Pina, I. L. (2019). Angiotensin-converting enzyme inhibitors and sexual function. Journal of Sexual Medicine, 16(5), 684–690. https://doi.org/10.1016/j.jsxm.2019.01.022</w:t>
      </w:r>
    </w:p>
    <w:p w14:paraId="12611B51">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Taghipour, Z., Bahmanzadeh, M., &amp; Rahimi, R. (2023). The effects of clove and its constituents on reproductive system: A comprehensive review. </w:t>
      </w:r>
      <w:r>
        <w:rPr>
          <w:rFonts w:ascii="Times New Roman" w:hAnsi="Times New Roman" w:eastAsia="SimSun" w:cs="Times New Roman"/>
          <w:i/>
          <w:iCs/>
          <w:sz w:val="24"/>
          <w:szCs w:val="24"/>
        </w:rPr>
        <w:t>Reproductive Sciences, 30</w:t>
      </w:r>
      <w:r>
        <w:rPr>
          <w:rFonts w:ascii="Times New Roman" w:hAnsi="Times New Roman" w:eastAsia="SimSun" w:cs="Times New Roman"/>
          <w:sz w:val="24"/>
          <w:szCs w:val="24"/>
        </w:rPr>
        <w:t xml:space="preserve">(9), 2212–2228. </w:t>
      </w:r>
      <w:r>
        <w:fldChar w:fldCharType="begin"/>
      </w:r>
      <w:r>
        <w:instrText xml:space="preserve"> HYPERLINK "https://doi.org/10.1007/s43032-023-01223-x" </w:instrText>
      </w:r>
      <w:r>
        <w:fldChar w:fldCharType="separate"/>
      </w:r>
      <w:r>
        <w:rPr>
          <w:rStyle w:val="10"/>
          <w:rFonts w:ascii="Times New Roman" w:hAnsi="Times New Roman" w:eastAsia="SimSun" w:cs="Times New Roman"/>
          <w:sz w:val="24"/>
          <w:szCs w:val="24"/>
        </w:rPr>
        <w:t>https://doi.org/10.1007/s43032-023-01223-x</w:t>
      </w:r>
      <w:r>
        <w:rPr>
          <w:rStyle w:val="10"/>
          <w:rFonts w:ascii="Times New Roman" w:hAnsi="Times New Roman" w:eastAsia="SimSun" w:cs="Times New Roman"/>
          <w:sz w:val="24"/>
          <w:szCs w:val="24"/>
        </w:rPr>
        <w:fldChar w:fldCharType="end"/>
      </w:r>
    </w:p>
    <w:p w14:paraId="3261A681">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673D5F8E">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3887A95F">
      <w:pPr>
        <w:ind w:left="720" w:hanging="720"/>
        <w:jc w:val="both"/>
        <w:rPr>
          <w:rFonts w:ascii="Times New Roman" w:hAnsi="Times New Roman" w:cs="Times New Roman"/>
          <w:sz w:val="24"/>
          <w:szCs w:val="24"/>
        </w:rPr>
      </w:pPr>
      <w:r>
        <w:rPr>
          <w:rFonts w:ascii="Times New Roman" w:hAnsi="Times New Roman" w:cs="Times New Roman"/>
          <w:sz w:val="24"/>
          <w:szCs w:val="24"/>
        </w:rPr>
        <w:t>Vignozzi, L., Filippi, S., Morelli, A., &amp; Maggi, M. (2020). Erectile dysfunction and metabolic disorders: An overview of risk factors and therapeutic interventions. The Journal of Sexual Medicine, 17(2), 243–259. https://doi.org/10.1016/j.jsxm.2019.10.017</w:t>
      </w:r>
    </w:p>
    <w:p w14:paraId="477972BC">
      <w:pPr>
        <w:ind w:left="720" w:hanging="720"/>
        <w:jc w:val="both"/>
        <w:rPr>
          <w:rFonts w:ascii="Times New Roman" w:hAnsi="Times New Roman" w:cs="Times New Roman"/>
          <w:sz w:val="24"/>
          <w:szCs w:val="24"/>
        </w:rPr>
      </w:pPr>
      <w:r>
        <w:rPr>
          <w:rFonts w:ascii="Times New Roman" w:hAnsi="Times New Roman" w:cs="Times New Roman"/>
          <w:sz w:val="24"/>
          <w:szCs w:val="24"/>
        </w:rPr>
        <w:t>Wang, Z., Zhao, J., &amp; Luo, L. (2021). Role of angiotensin-converting enzyme inhibitors in sexual function and erectile dysfunction. American Journal of Men's Health, 15(5), 15579883211050757. https://doi.org/10.1177/15579883211050757</w:t>
      </w:r>
    </w:p>
    <w:p w14:paraId="19336C3E">
      <w:pPr>
        <w:ind w:left="720" w:hanging="720"/>
        <w:jc w:val="both"/>
        <w:rPr>
          <w:rFonts w:ascii="Times New Roman" w:hAnsi="Times New Roman" w:cs="Times New Roman"/>
          <w:sz w:val="24"/>
          <w:szCs w:val="24"/>
        </w:rPr>
      </w:pPr>
      <w:r>
        <w:rPr>
          <w:rFonts w:ascii="Times New Roman" w:hAnsi="Times New Roman" w:cs="Times New Roman"/>
          <w:sz w:val="24"/>
          <w:szCs w:val="24"/>
        </w:rPr>
        <w:t>Would you like to continue with 2.3.2 Angiotensin-Converting Enzyme (ACE) or generate a molecular interaction diagram for AChE inhibition next?</w:t>
      </w:r>
    </w:p>
    <w:p w14:paraId="64CC471C">
      <w:pPr>
        <w:ind w:left="720" w:hanging="720"/>
        <w:jc w:val="both"/>
        <w:rPr>
          <w:rFonts w:ascii="Times New Roman" w:hAnsi="Times New Roman" w:cs="Times New Roman"/>
          <w:sz w:val="24"/>
          <w:szCs w:val="24"/>
        </w:rPr>
      </w:pPr>
      <w:r>
        <w:rPr>
          <w:rFonts w:ascii="Times New Roman" w:hAnsi="Times New Roman" w:cs="Times New Roman"/>
          <w:sz w:val="24"/>
          <w:szCs w:val="24"/>
        </w:rPr>
        <w:t>Yafi, F. A., Jenkins, L., Albersen, M., Corona, G., Isidori, A. M., Goldfarb, S., &amp; Burnett, A. L. (2018). Erectile dysfunction. Nature Reviews Disease Primers, 4(1), 18003. https://doi.org/10.1038/nrdp.2018.3</w:t>
      </w:r>
    </w:p>
    <w:p w14:paraId="0BD0ED0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Z., Zhang, Y., &amp; Liu, B. (2021). Neurotransmitter modulation in the treatment of erectile dysfunction: A focus on cholinergic pathways. Andrology, 9(2), 515–525. </w:t>
      </w:r>
      <w:r>
        <w:fldChar w:fldCharType="begin"/>
      </w:r>
      <w:r>
        <w:instrText xml:space="preserve"> HYPERLINK "https://doi.org/10.1111/andr.12913" </w:instrText>
      </w:r>
      <w:r>
        <w:fldChar w:fldCharType="separate"/>
      </w:r>
      <w:r>
        <w:rPr>
          <w:rStyle w:val="10"/>
          <w:rFonts w:ascii="Times New Roman" w:hAnsi="Times New Roman" w:cs="Times New Roman"/>
          <w:sz w:val="24"/>
          <w:szCs w:val="24"/>
        </w:rPr>
        <w:t>https://doi.org/10.1111/andr.12913</w:t>
      </w:r>
      <w:r>
        <w:rPr>
          <w:rStyle w:val="10"/>
          <w:rFonts w:ascii="Times New Roman" w:hAnsi="Times New Roman" w:cs="Times New Roman"/>
          <w:sz w:val="24"/>
          <w:szCs w:val="24"/>
        </w:rPr>
        <w:fldChar w:fldCharType="end"/>
      </w:r>
    </w:p>
    <w:p w14:paraId="3E2DF9EE">
      <w:pPr>
        <w:spacing w:line="480" w:lineRule="auto"/>
        <w:jc w:val="both"/>
        <w:rPr>
          <w:rFonts w:ascii="Times New Roman" w:hAnsi="Times New Roman" w:cs="Times New Roman"/>
          <w:sz w:val="24"/>
          <w:szCs w:val="24"/>
        </w:rPr>
      </w:pPr>
    </w:p>
    <w:p w14:paraId="07FB7166">
      <w:pPr>
        <w:spacing w:line="480" w:lineRule="auto"/>
        <w:jc w:val="both"/>
        <w:rPr>
          <w:rFonts w:ascii="Times New Roman" w:hAnsi="Times New Roman" w:eastAsia="SimSun" w:cs="Times New Roman"/>
          <w:sz w:val="24"/>
          <w:szCs w:val="24"/>
        </w:rPr>
      </w:pPr>
    </w:p>
    <w:p w14:paraId="02BF7885">
      <w:pPr>
        <w:spacing w:line="480" w:lineRule="auto"/>
        <w:jc w:val="both"/>
        <w:rPr>
          <w:rFonts w:ascii="Times New Roman" w:hAnsi="Times New Roman" w:eastAsia="SimSun" w:cs="Times New Roman"/>
          <w:b/>
          <w:bCs/>
          <w:sz w:val="24"/>
          <w:szCs w:val="24"/>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webkit-standard">
    <w:altName w:val="Calibr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4C15B">
    <w:pPr>
      <w:pStyle w:val="8"/>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FED2A">
                          <w:pPr>
                            <w:pStyle w:val="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14:paraId="573FED2A">
                    <w:pPr>
                      <w:pStyle w:val="8"/>
                    </w:pPr>
                    <w:r>
                      <w:fldChar w:fldCharType="begin"/>
                    </w:r>
                    <w:r>
                      <w:instrText xml:space="preserve"> PAGE  \* MERGEFORMAT </w:instrText>
                    </w:r>
                    <w:r>
                      <w:fldChar w:fldCharType="separate"/>
                    </w:r>
                    <w:r>
                      <w:t>I</w:t>
                    </w:r>
                    <w:r>
                      <w:fldChar w:fldCharType="end"/>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1F3E6">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06B1F3E6">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951A8">
    <w:pPr>
      <w:pStyle w:val="8"/>
      <w:jc w:val="cente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PZxI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HWPZxIhAgAA&#10;YAQAAA4AAAAAAAAAAQAgAAAAHwEAAGRycy9lMm9Eb2MueG1sUEsFBgAAAAAGAAYAWQEAALIFAAAA&#10;AA==&#10;">
              <v:fill on="f" focussize="0,0"/>
              <v:stroke on="f" weight="0.5pt"/>
              <v:imagedata o:title=""/>
              <o:lock v:ext="edit" aspectratio="f"/>
              <v:textbox inset="0mm,0mm,0mm,0mm" style="mso-fit-shape-to-text:t;">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v:textbox>
            </v:shape>
          </w:pict>
        </mc:Fallback>
      </mc:AlternateContent>
    </w:r>
  </w:p>
  <w:p w14:paraId="22FE868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3DCB3">
    <w:pPr>
      <w:pStyle w:val="8"/>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1D21A">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mzRMYIgIA&#10;AGAEAAAOAAAAAAAAAAEAIAAAAB8BAABkcnMvZTJvRG9jLnhtbFBLBQYAAAAABgAGAFkBAACzBQAA&#10;AAA=&#10;">
              <v:fill on="f" focussize="0,0"/>
              <v:stroke on="f" weight="0.5pt"/>
              <v:imagedata o:title=""/>
              <o:lock v:ext="edit" aspectratio="f"/>
              <v:textbox inset="0mm,0mm,0mm,0mm" style="mso-fit-shape-to-text:t;">
                <w:txbxContent>
                  <w:p w14:paraId="23E1D21A">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B9DFE">
    <w:pPr>
      <w:pStyle w:val="8"/>
      <w:jc w:val="cente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qA7vqCACAABg&#10;BAAADgAAAAAAAAABACAAAAAfAQAAZHJzL2Uyb0RvYy54bWxQSwUGAAAAAAYABgBZAQAAsQUAAAAA&#10;">
              <v:fill on="f" focussize="0,0"/>
              <v:stroke on="f" weight="0.5pt"/>
              <v:imagedata o:title=""/>
              <o:lock v:ext="edit" aspectratio="f"/>
              <v:textbox inset="0mm,0mm,0mm,0mm" style="mso-fit-shape-to-text:t;">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v:textbox>
            </v:shape>
          </w:pict>
        </mc:Fallback>
      </mc:AlternateContent>
    </w:r>
  </w:p>
  <w:p w14:paraId="3D30B432">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33BD1">
    <w:pPr>
      <w:pStyle w:val="8"/>
      <w:jc w:val="cente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GsbUAhAgAA&#10;YAQAAA4AAAAAAAAAAQAgAAAAHwEAAGRycy9lMm9Eb2MueG1sUEsFBgAAAAAGAAYAWQEAALIFAAAA&#10;AA==&#10;">
              <v:fill on="f" focussize="0,0"/>
              <v:stroke on="f" weight="0.5pt"/>
              <v:imagedata o:title=""/>
              <o:lock v:ext="edit" aspectratio="f"/>
              <v:textbox inset="0mm,0mm,0mm,0mm" style="mso-fit-shape-to-text:t;">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v:textbox>
            </v:shape>
          </w:pict>
        </mc:Fallback>
      </mc:AlternateContent>
    </w:r>
  </w:p>
  <w:p w14:paraId="5616DA43">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98617">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5D722">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B9C1AD"/>
    <w:multiLevelType w:val="singleLevel"/>
    <w:tmpl w:val="14B9C1AD"/>
    <w:lvl w:ilvl="0" w:tentative="0">
      <w:start w:val="2"/>
      <w:numFmt w:val="decimal"/>
      <w:suff w:val="nothing"/>
      <w:lvlText w:val="%1-"/>
      <w:lvlJc w:val="left"/>
      <w:pPr>
        <w:ind w:left="1500" w:leftChars="0" w:firstLine="0" w:firstLineChars="0"/>
      </w:pPr>
    </w:lvl>
  </w:abstractNum>
  <w:abstractNum w:abstractNumId="1">
    <w:nsid w:val="622B5382"/>
    <w:multiLevelType w:val="multilevel"/>
    <w:tmpl w:val="622B5382"/>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89C08E3"/>
    <w:multiLevelType w:val="multilevel"/>
    <w:tmpl w:val="689C08E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documentProtection w:enforcement="0"/>
  <w:defaultTabStop w:val="720"/>
  <w:drawingGridVerticalSpacing w:val="156"/>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7C2EEF"/>
    <w:rsid w:val="00011885"/>
    <w:rsid w:val="00013E78"/>
    <w:rsid w:val="00046FCF"/>
    <w:rsid w:val="00063C57"/>
    <w:rsid w:val="000A75B0"/>
    <w:rsid w:val="00286C30"/>
    <w:rsid w:val="00307825"/>
    <w:rsid w:val="00455B6A"/>
    <w:rsid w:val="004C5CDA"/>
    <w:rsid w:val="004E1679"/>
    <w:rsid w:val="00503FEE"/>
    <w:rsid w:val="00523646"/>
    <w:rsid w:val="00533324"/>
    <w:rsid w:val="005667CF"/>
    <w:rsid w:val="00580F2F"/>
    <w:rsid w:val="00606A9D"/>
    <w:rsid w:val="00704CA9"/>
    <w:rsid w:val="007419C6"/>
    <w:rsid w:val="007E1F71"/>
    <w:rsid w:val="00891706"/>
    <w:rsid w:val="008B402F"/>
    <w:rsid w:val="008F2A94"/>
    <w:rsid w:val="009B721C"/>
    <w:rsid w:val="00A65B3C"/>
    <w:rsid w:val="00A80FC2"/>
    <w:rsid w:val="00A8320C"/>
    <w:rsid w:val="00AB7CCD"/>
    <w:rsid w:val="00AF4F1C"/>
    <w:rsid w:val="00B10B93"/>
    <w:rsid w:val="00BD05D4"/>
    <w:rsid w:val="00BE3013"/>
    <w:rsid w:val="00C2393A"/>
    <w:rsid w:val="00C31A73"/>
    <w:rsid w:val="00C6632B"/>
    <w:rsid w:val="00C8265C"/>
    <w:rsid w:val="00CA0DC8"/>
    <w:rsid w:val="00D20DD9"/>
    <w:rsid w:val="00DA6ED5"/>
    <w:rsid w:val="00E54A77"/>
    <w:rsid w:val="00EC4DBC"/>
    <w:rsid w:val="00ED3D9E"/>
    <w:rsid w:val="00F4789C"/>
    <w:rsid w:val="08443464"/>
    <w:rsid w:val="44FE000C"/>
    <w:rsid w:val="47EC430C"/>
    <w:rsid w:val="567E1C82"/>
    <w:rsid w:val="5E535650"/>
    <w:rsid w:val="637C2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spacing w:beforeAutospacing="1" w:afterAutospacing="1"/>
      <w:outlineLvl w:val="0"/>
    </w:pPr>
    <w:rPr>
      <w:rFonts w:ascii="Times New Roman" w:hAnsi="Times New Roman" w:eastAsia="SimSun" w:cs="Times New Roman"/>
      <w:b/>
      <w:bCs/>
      <w:kern w:val="44"/>
      <w:sz w:val="28"/>
      <w:szCs w:val="48"/>
    </w:rPr>
  </w:style>
  <w:style w:type="paragraph" w:styleId="3">
    <w:name w:val="heading 2"/>
    <w:basedOn w:val="1"/>
    <w:next w:val="1"/>
    <w:link w:val="15"/>
    <w:unhideWhenUsed/>
    <w:qFormat/>
    <w:uiPriority w:val="0"/>
    <w:pPr>
      <w:spacing w:line="480" w:lineRule="auto"/>
      <w:jc w:val="both"/>
      <w:outlineLvl w:val="1"/>
    </w:pPr>
    <w:rPr>
      <w:rFonts w:ascii="Times New Roman" w:hAnsi="Times New Roman" w:cs="Times New Roman"/>
      <w:b/>
      <w:bCs/>
      <w:sz w:val="24"/>
      <w:szCs w:val="24"/>
    </w:rPr>
  </w:style>
  <w:style w:type="paragraph" w:styleId="4">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character" w:styleId="7">
    <w:name w:val="Emphasis"/>
    <w:basedOn w:val="5"/>
    <w:qFormat/>
    <w:uiPriority w:val="0"/>
    <w:rPr>
      <w:i/>
      <w:iCs/>
    </w:rPr>
  </w:style>
  <w:style w:type="paragraph" w:styleId="8">
    <w:name w:val="footer"/>
    <w:basedOn w:val="1"/>
    <w:link w:val="18"/>
    <w:qFormat/>
    <w:uiPriority w:val="99"/>
    <w:pPr>
      <w:tabs>
        <w:tab w:val="center" w:pos="4680"/>
        <w:tab w:val="right" w:pos="9360"/>
      </w:tabs>
    </w:pPr>
  </w:style>
  <w:style w:type="paragraph" w:styleId="9">
    <w:name w:val="header"/>
    <w:basedOn w:val="1"/>
    <w:link w:val="17"/>
    <w:qFormat/>
    <w:uiPriority w:val="0"/>
    <w:pPr>
      <w:tabs>
        <w:tab w:val="center" w:pos="4680"/>
        <w:tab w:val="right" w:pos="9360"/>
      </w:tabs>
    </w:pPr>
  </w:style>
  <w:style w:type="character" w:styleId="10">
    <w:name w:val="Hyperlink"/>
    <w:basedOn w:val="5"/>
    <w:qFormat/>
    <w:uiPriority w:val="0"/>
    <w:rPr>
      <w:color w:val="0000FF"/>
      <w:u w:val="single"/>
    </w:rPr>
  </w:style>
  <w:style w:type="paragraph" w:styleId="11">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character" w:styleId="12">
    <w:name w:val="Strong"/>
    <w:basedOn w:val="5"/>
    <w:qFormat/>
    <w:uiPriority w:val="0"/>
    <w:rPr>
      <w:b/>
      <w:bCs/>
    </w:rPr>
  </w:style>
  <w:style w:type="table" w:styleId="13">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Unresolved Mention"/>
    <w:basedOn w:val="5"/>
    <w:semiHidden/>
    <w:unhideWhenUsed/>
    <w:qFormat/>
    <w:uiPriority w:val="99"/>
    <w:rPr>
      <w:color w:val="605E5C"/>
      <w:shd w:val="clear" w:color="auto" w:fill="E1DFDD"/>
    </w:rPr>
  </w:style>
  <w:style w:type="character" w:customStyle="1" w:styleId="15">
    <w:name w:val="Heading 2 Char"/>
    <w:link w:val="3"/>
    <w:semiHidden/>
    <w:qFormat/>
    <w:uiPriority w:val="0"/>
    <w:rPr>
      <w:rFonts w:ascii="Times New Roman" w:hAnsi="Times New Roman" w:cs="Times New Roman" w:eastAsiaTheme="minorEastAsia"/>
      <w:b/>
      <w:bCs/>
      <w:sz w:val="24"/>
      <w:szCs w:val="24"/>
      <w:lang w:val="en-US" w:eastAsia="zh-CN" w:bidi="ar-SA"/>
    </w:rPr>
  </w:style>
  <w:style w:type="paragraph" w:styleId="16">
    <w:name w:val="List Paragraph"/>
    <w:basedOn w:val="1"/>
    <w:unhideWhenUsed/>
    <w:qFormat/>
    <w:uiPriority w:val="99"/>
    <w:pPr>
      <w:ind w:left="720"/>
      <w:contextualSpacing/>
    </w:pPr>
  </w:style>
  <w:style w:type="character" w:customStyle="1" w:styleId="17">
    <w:name w:val="Header Char"/>
    <w:basedOn w:val="5"/>
    <w:link w:val="9"/>
    <w:qFormat/>
    <w:uiPriority w:val="0"/>
    <w:rPr>
      <w:rFonts w:asciiTheme="minorHAnsi" w:hAnsiTheme="minorHAnsi" w:eastAsiaTheme="minorEastAsia" w:cstheme="minorBidi"/>
      <w:lang w:eastAsia="zh-CN"/>
    </w:rPr>
  </w:style>
  <w:style w:type="character" w:customStyle="1" w:styleId="18">
    <w:name w:val="Footer Char"/>
    <w:basedOn w:val="5"/>
    <w:link w:val="8"/>
    <w:qFormat/>
    <w:uiPriority w:val="99"/>
    <w:rPr>
      <w:rFonts w:asciiTheme="minorHAnsi" w:hAnsiTheme="minorHAnsi" w:eastAsiaTheme="minorEastAsia" w:cstheme="minorBidi"/>
      <w:lang w:eastAsia="zh-CN"/>
    </w:rPr>
  </w:style>
  <w:style w:type="paragraph" w:customStyle="1" w:styleId="19">
    <w:name w:val="WPSOffice手动目录 1"/>
    <w:qFormat/>
    <w:uiPriority w:val="0"/>
    <w:pPr>
      <w:ind w:leftChars="0"/>
    </w:pPr>
    <w:rPr>
      <w:rFonts w:ascii="Times New Roman" w:hAnsi="Times New Roman" w:eastAsia="SimSun" w:cs="Times New Roman"/>
      <w:sz w:val="20"/>
      <w:szCs w:val="20"/>
    </w:rPr>
  </w:style>
  <w:style w:type="paragraph" w:customStyle="1" w:styleId="20">
    <w:name w:val="WPSOffice手动目录 2"/>
    <w:qFormat/>
    <w:uiPriority w:val="0"/>
    <w:pPr>
      <w:ind w:leftChars="20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oleObject" Target="embeddings/oleObject6.bin"/><Relationship Id="rId27" Type="http://schemas.openxmlformats.org/officeDocument/2006/relationships/image" Target="media/image12.emf"/><Relationship Id="rId26" Type="http://schemas.openxmlformats.org/officeDocument/2006/relationships/oleObject" Target="embeddings/oleObject5.bin"/><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3.bin"/><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2.bin"/><Relationship Id="rId14" Type="http://schemas.openxmlformats.org/officeDocument/2006/relationships/image" Target="media/image3.emf"/><Relationship Id="rId13" Type="http://schemas.openxmlformats.org/officeDocument/2006/relationships/oleObject" Target="embeddings/oleObject1.bin"/><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11242</Words>
  <Characters>64086</Characters>
  <Lines>534</Lines>
  <Paragraphs>150</Paragraphs>
  <TotalTime>2</TotalTime>
  <ScaleCrop>false</ScaleCrop>
  <LinksUpToDate>false</LinksUpToDate>
  <CharactersWithSpaces>75178</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2025-07-09T13:41:00Z</dcterms:created>
  <dc:creator>Greg Thompson</dc:creator>
  <cp:lastModifiedBy>A</cp:lastModifiedBy>
  <dcterms:modified xsi:type="dcterms:W3CDTF">2025-07-13T00:42:10Z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44ADAEF91FDC49F8ACE1F7CD35B2EA35_13</vt:lpwstr>
  </property>
</Properties>
</file>