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89B3">
      <w:pPr>
        <w:spacing w:after="0" w:line="48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EFFECTS OF </w:t>
      </w:r>
      <w:r>
        <w:rPr>
          <w:rFonts w:hint="default" w:ascii="Times New Roman" w:hAnsi="Times New Roman" w:eastAsia="Times New Roman" w:cs="Times New Roman"/>
          <w:b/>
          <w:i/>
          <w:iCs/>
          <w:sz w:val="32"/>
          <w:szCs w:val="32"/>
        </w:rPr>
        <w:t>Syzygium</w:t>
      </w:r>
      <w:r>
        <w:rPr>
          <w:rFonts w:hint="default" w:ascii="Times New Roman" w:hAnsi="Times New Roman" w:cs="Times New Roman"/>
          <w:b/>
          <w:sz w:val="32"/>
          <w:szCs w:val="32"/>
        </w:rPr>
        <w:t xml:space="preserve"> a</w:t>
      </w:r>
      <w:r>
        <w:rPr>
          <w:rFonts w:hint="default" w:ascii="Times New Roman" w:hAnsi="Times New Roman" w:cs="Times New Roman"/>
          <w:b/>
          <w:i/>
          <w:sz w:val="32"/>
          <w:szCs w:val="32"/>
        </w:rPr>
        <w:t>romaticum</w:t>
      </w:r>
      <w:r>
        <w:rPr>
          <w:rFonts w:hint="default" w:ascii="Times New Roman" w:hAnsi="Times New Roman" w:cs="Times New Roman"/>
          <w:b/>
          <w:sz w:val="32"/>
          <w:szCs w:val="32"/>
        </w:rPr>
        <w:t xml:space="preserve"> (CLOVES) AQUEOUS EXTRACT ON PAROXETINE -INDUCED DYSFUNCTIONAL RATS</w:t>
      </w:r>
    </w:p>
    <w:p w14:paraId="35556DA4">
      <w:pPr>
        <w:wordWrap w:val="0"/>
        <w:spacing w:before="0" w:after="0" w:line="240" w:lineRule="auto"/>
        <w:ind w:firstLine="0"/>
        <w:jc w:val="both"/>
        <w:rPr>
          <w:rFonts w:hint="default" w:ascii="Times New Roman" w:hAnsi="Times New Roman" w:eastAsia="SimSun" w:cs="Times New Roman"/>
          <w:color w:val="000000"/>
          <w:sz w:val="28"/>
          <w:szCs w:val="28"/>
        </w:rPr>
      </w:pPr>
    </w:p>
    <w:p w14:paraId="0AF70150">
      <w:pPr>
        <w:wordWrap w:val="0"/>
        <w:spacing w:before="0" w:after="0" w:line="240" w:lineRule="auto"/>
        <w:ind w:firstLine="0"/>
        <w:jc w:val="both"/>
        <w:rPr>
          <w:rFonts w:hint="default" w:ascii="Times New Roman" w:hAnsi="Times New Roman" w:eastAsia="SimSun" w:cs="Times New Roman"/>
          <w:color w:val="000000"/>
          <w:sz w:val="28"/>
          <w:szCs w:val="28"/>
        </w:rPr>
      </w:pPr>
    </w:p>
    <w:p w14:paraId="1706F3BE">
      <w:pPr>
        <w:wordWrap w:val="0"/>
        <w:spacing w:before="0" w:after="0" w:line="240" w:lineRule="auto"/>
        <w:ind w:firstLine="0"/>
        <w:jc w:val="both"/>
        <w:rPr>
          <w:rFonts w:hint="default" w:ascii="Times New Roman" w:hAnsi="Times New Roman" w:eastAsia="SimSun" w:cs="Times New Roman"/>
          <w:color w:val="000000"/>
          <w:sz w:val="28"/>
          <w:szCs w:val="28"/>
        </w:rPr>
      </w:pPr>
    </w:p>
    <w:p w14:paraId="397E0625">
      <w:pPr>
        <w:wordWrap w:val="0"/>
        <w:spacing w:before="0" w:after="0" w:line="196" w:lineRule="auto"/>
        <w:jc w:val="center"/>
        <w:rPr>
          <w:rFonts w:hint="default" w:ascii="Times New Roman" w:hAnsi="Times New Roman" w:cs="Times New Roman"/>
          <w:sz w:val="28"/>
          <w:szCs w:val="28"/>
        </w:rPr>
      </w:pPr>
      <w:r>
        <w:rPr>
          <w:rFonts w:hint="default" w:ascii="Times New Roman" w:hAnsi="Times New Roman" w:eastAsia="Calibri" w:cs="Times New Roman"/>
          <w:i/>
          <w:color w:val="000000"/>
          <w:sz w:val="28"/>
          <w:szCs w:val="28"/>
        </w:rPr>
        <w:t>BY:</w:t>
      </w:r>
    </w:p>
    <w:p w14:paraId="37710D12">
      <w:pPr>
        <w:wordWrap w:val="0"/>
        <w:spacing w:before="0" w:after="0" w:line="240" w:lineRule="auto"/>
        <w:ind w:firstLine="0"/>
        <w:jc w:val="both"/>
        <w:rPr>
          <w:rFonts w:hint="default" w:ascii="Times New Roman" w:hAnsi="Times New Roman" w:eastAsia="SimSun" w:cs="Times New Roman"/>
          <w:color w:val="000000"/>
          <w:sz w:val="28"/>
          <w:szCs w:val="28"/>
        </w:rPr>
      </w:pPr>
    </w:p>
    <w:p w14:paraId="0957C826">
      <w:pPr>
        <w:wordWrap w:val="0"/>
        <w:spacing w:before="0" w:after="0" w:line="240" w:lineRule="auto"/>
        <w:ind w:firstLine="0"/>
        <w:jc w:val="both"/>
        <w:rPr>
          <w:rFonts w:hint="default" w:ascii="Times New Roman" w:hAnsi="Times New Roman" w:eastAsia="SimSun" w:cs="Times New Roman"/>
          <w:color w:val="000000"/>
          <w:sz w:val="28"/>
          <w:szCs w:val="28"/>
        </w:rPr>
      </w:pPr>
    </w:p>
    <w:p w14:paraId="29D1A246">
      <w:pPr>
        <w:wordWrap w:val="0"/>
        <w:spacing w:before="0" w:after="0" w:line="240" w:lineRule="auto"/>
        <w:ind w:firstLine="0"/>
        <w:jc w:val="both"/>
        <w:rPr>
          <w:rFonts w:hint="default" w:ascii="Times New Roman" w:hAnsi="Times New Roman" w:eastAsia="SimSun" w:cs="Times New Roman"/>
          <w:color w:val="000000"/>
          <w:sz w:val="28"/>
          <w:szCs w:val="28"/>
        </w:rPr>
      </w:pPr>
    </w:p>
    <w:p w14:paraId="4934B583">
      <w:pPr>
        <w:wordWrap w:val="0"/>
        <w:spacing w:before="0" w:after="0" w:line="220" w:lineRule="auto"/>
        <w:jc w:val="center"/>
        <w:rPr>
          <w:rFonts w:hint="default" w:ascii="Times New Roman" w:hAnsi="Times New Roman" w:cs="Times New Roman"/>
          <w:b/>
          <w:bCs/>
          <w:sz w:val="44"/>
          <w:szCs w:val="44"/>
        </w:rPr>
      </w:pPr>
      <w:r>
        <w:rPr>
          <w:rFonts w:hint="default" w:ascii="Times New Roman" w:hAnsi="Times New Roman" w:cs="Times New Roman"/>
          <w:b/>
          <w:bCs/>
          <w:sz w:val="44"/>
          <w:szCs w:val="44"/>
        </w:rPr>
        <w:t>ADENIRAN OYINDAMOLA ERITOSIN</w:t>
      </w:r>
    </w:p>
    <w:p w14:paraId="128DF8F3">
      <w:pPr>
        <w:wordWrap w:val="0"/>
        <w:spacing w:before="0" w:after="0" w:line="240" w:lineRule="auto"/>
        <w:ind w:firstLine="0"/>
        <w:jc w:val="both"/>
        <w:rPr>
          <w:rFonts w:hint="default" w:ascii="Times New Roman" w:hAnsi="Times New Roman" w:eastAsia="SimSun" w:cs="Times New Roman"/>
          <w:color w:val="000000"/>
          <w:sz w:val="44"/>
          <w:szCs w:val="44"/>
        </w:rPr>
      </w:pPr>
    </w:p>
    <w:p w14:paraId="577AE7F9">
      <w:pPr>
        <w:wordWrap w:val="0"/>
        <w:spacing w:before="0" w:after="0" w:line="191"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HND/23/SLT/FT/0895</w:t>
      </w:r>
    </w:p>
    <w:p w14:paraId="5133A524">
      <w:pPr>
        <w:wordWrap w:val="0"/>
        <w:spacing w:before="0" w:after="0" w:line="240" w:lineRule="auto"/>
        <w:ind w:firstLine="0"/>
        <w:jc w:val="both"/>
        <w:rPr>
          <w:rFonts w:hint="default" w:ascii="Times New Roman" w:hAnsi="Times New Roman" w:eastAsia="SimSun" w:cs="Times New Roman"/>
          <w:color w:val="000000"/>
          <w:sz w:val="28"/>
          <w:szCs w:val="28"/>
        </w:rPr>
      </w:pPr>
    </w:p>
    <w:p w14:paraId="17172DB5">
      <w:pPr>
        <w:wordWrap w:val="0"/>
        <w:spacing w:before="0" w:after="0" w:line="240" w:lineRule="auto"/>
        <w:ind w:firstLine="0"/>
        <w:jc w:val="both"/>
        <w:rPr>
          <w:rFonts w:hint="default" w:ascii="Times New Roman" w:hAnsi="Times New Roman" w:eastAsia="SimSun" w:cs="Times New Roman"/>
          <w:color w:val="000000"/>
          <w:sz w:val="28"/>
          <w:szCs w:val="28"/>
        </w:rPr>
      </w:pPr>
    </w:p>
    <w:p w14:paraId="10D5FF16">
      <w:pPr>
        <w:wordWrap w:val="0"/>
        <w:spacing w:before="0" w:after="0" w:line="240" w:lineRule="auto"/>
        <w:ind w:firstLine="0"/>
        <w:jc w:val="both"/>
        <w:rPr>
          <w:rFonts w:hint="default" w:ascii="Times New Roman" w:hAnsi="Times New Roman" w:eastAsia="SimSun" w:cs="Times New Roman"/>
          <w:color w:val="000000"/>
          <w:sz w:val="28"/>
          <w:szCs w:val="28"/>
        </w:rPr>
      </w:pPr>
    </w:p>
    <w:p w14:paraId="257628C0">
      <w:pPr>
        <w:wordWrap w:val="0"/>
        <w:spacing w:before="0" w:after="0" w:line="240" w:lineRule="auto"/>
        <w:ind w:firstLine="0"/>
        <w:jc w:val="both"/>
        <w:rPr>
          <w:rFonts w:hint="default" w:ascii="Times New Roman" w:hAnsi="Times New Roman" w:eastAsia="SimSun" w:cs="Times New Roman"/>
          <w:color w:val="000000"/>
          <w:sz w:val="28"/>
          <w:szCs w:val="28"/>
        </w:rPr>
      </w:pPr>
    </w:p>
    <w:p w14:paraId="6BF65B26">
      <w:pPr>
        <w:wordWrap w:val="0"/>
        <w:spacing w:before="0" w:after="0" w:line="240" w:lineRule="auto"/>
        <w:ind w:left="2940" w:leftChars="0" w:firstLine="980" w:firstLineChars="350"/>
        <w:jc w:val="both"/>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SUBMITTED</w:t>
      </w:r>
      <w:r>
        <w:rPr>
          <w:rFonts w:hint="default" w:ascii="Times New Roman" w:hAnsi="Times New Roman" w:eastAsia="Calibri" w:cs="Times New Roman"/>
          <w:i/>
          <w:color w:val="000000"/>
          <w:sz w:val="28"/>
          <w:szCs w:val="28"/>
        </w:rPr>
        <w:t xml:space="preserve"> TO</w:t>
      </w:r>
    </w:p>
    <w:p w14:paraId="04DE5DAB">
      <w:pPr>
        <w:wordWrap w:val="0"/>
        <w:spacing w:before="0" w:after="0" w:line="240" w:lineRule="auto"/>
        <w:ind w:firstLine="560" w:firstLineChars="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THE DEPARTMENT OF SCIENCE LABORATORY TECHNOLOGY,</w:t>
      </w:r>
    </w:p>
    <w:p w14:paraId="72A1715A">
      <w:pPr>
        <w:wordWrap w:val="0"/>
        <w:spacing w:before="0" w:after="0" w:line="216" w:lineRule="auto"/>
        <w:ind w:firstLine="3360" w:firstLineChars="1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(BIOCHEMISTRY UNIT),</w:t>
      </w:r>
    </w:p>
    <w:p w14:paraId="7A16647E">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INSTITUTE OF APPLIED SCIENCES (IAS)</w:t>
      </w:r>
    </w:p>
    <w:p w14:paraId="075E8C38">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KWARA STATE POLYTECHNIC,ILORIN.</w:t>
      </w:r>
    </w:p>
    <w:p w14:paraId="1D2F3C64">
      <w:pPr>
        <w:wordWrap w:val="0"/>
        <w:spacing w:before="0" w:after="0" w:line="240" w:lineRule="auto"/>
        <w:ind w:firstLine="0"/>
        <w:jc w:val="both"/>
        <w:rPr>
          <w:rFonts w:hint="default" w:ascii="Times New Roman" w:hAnsi="Times New Roman" w:eastAsia="SimSun" w:cs="Times New Roman"/>
          <w:color w:val="000000"/>
          <w:sz w:val="28"/>
          <w:szCs w:val="28"/>
        </w:rPr>
      </w:pPr>
    </w:p>
    <w:p w14:paraId="66FA1C18">
      <w:pPr>
        <w:wordWrap w:val="0"/>
        <w:spacing w:before="0" w:after="0" w:line="240" w:lineRule="auto"/>
        <w:ind w:firstLine="0"/>
        <w:jc w:val="both"/>
        <w:rPr>
          <w:rFonts w:hint="default" w:ascii="Times New Roman" w:hAnsi="Times New Roman" w:eastAsia="SimSun" w:cs="Times New Roman"/>
          <w:color w:val="000000"/>
          <w:sz w:val="28"/>
          <w:szCs w:val="28"/>
        </w:rPr>
      </w:pPr>
    </w:p>
    <w:p w14:paraId="40C3E815">
      <w:pPr>
        <w:wordWrap w:val="0"/>
        <w:spacing w:before="0" w:after="0" w:line="191" w:lineRule="auto"/>
        <w:ind w:firstLine="736" w:firstLineChars="26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PARTIAL FULFILMENT OF THE REQUIREMENTS FOR THE</w:t>
      </w:r>
    </w:p>
    <w:p w14:paraId="73C874C3">
      <w:pPr>
        <w:wordWrap w:val="0"/>
        <w:spacing w:before="13"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AWARD OF HIGHER NATIONAL DIPLOMA (HND)</w:t>
      </w:r>
    </w:p>
    <w:p w14:paraId="0D3293C1">
      <w:pPr>
        <w:wordWrap w:val="0"/>
        <w:spacing w:before="32"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SCIENCE LABORATORY TECHNOLOGY (SLT)</w:t>
      </w:r>
    </w:p>
    <w:p w14:paraId="44569610">
      <w:pPr>
        <w:wordWrap w:val="0"/>
        <w:spacing w:before="0" w:after="0" w:line="240" w:lineRule="auto"/>
        <w:ind w:firstLine="0"/>
        <w:jc w:val="both"/>
        <w:rPr>
          <w:rFonts w:hint="default" w:ascii="Times New Roman" w:hAnsi="Times New Roman" w:eastAsia="SimSun" w:cs="Times New Roman"/>
          <w:color w:val="000000"/>
          <w:sz w:val="28"/>
          <w:szCs w:val="28"/>
        </w:rPr>
      </w:pPr>
    </w:p>
    <w:p w14:paraId="170BB3B2">
      <w:pPr>
        <w:wordWrap w:val="0"/>
        <w:spacing w:before="0" w:after="0" w:line="240" w:lineRule="auto"/>
        <w:ind w:firstLine="0"/>
        <w:jc w:val="both"/>
        <w:rPr>
          <w:rFonts w:hint="default" w:ascii="Times New Roman" w:hAnsi="Times New Roman" w:eastAsia="SimSun" w:cs="Times New Roman"/>
          <w:color w:val="000000"/>
          <w:sz w:val="28"/>
          <w:szCs w:val="28"/>
        </w:rPr>
      </w:pPr>
    </w:p>
    <w:p w14:paraId="263E4200">
      <w:pPr>
        <w:wordWrap w:val="0"/>
        <w:spacing w:before="0" w:after="0" w:line="240" w:lineRule="auto"/>
        <w:ind w:firstLine="0"/>
        <w:jc w:val="both"/>
        <w:rPr>
          <w:rFonts w:hint="default" w:ascii="Times New Roman" w:hAnsi="Times New Roman" w:eastAsia="SimSun" w:cs="Times New Roman"/>
          <w:color w:val="000000"/>
          <w:sz w:val="28"/>
          <w:szCs w:val="28"/>
        </w:rPr>
      </w:pPr>
    </w:p>
    <w:p w14:paraId="27C26975">
      <w:pPr>
        <w:wordWrap w:val="0"/>
        <w:spacing w:before="0" w:after="0" w:line="191" w:lineRule="auto"/>
        <w:jc w:val="center"/>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SUPERVISED BY</w:t>
      </w:r>
    </w:p>
    <w:p w14:paraId="27CB9C76">
      <w:pPr>
        <w:wordWrap w:val="0"/>
        <w:spacing w:before="113" w:after="0" w:line="240" w:lineRule="auto"/>
        <w:jc w:val="center"/>
        <w:rPr>
          <w:rFonts w:hint="default" w:ascii="Times New Roman" w:hAnsi="Times New Roman" w:cs="Times New Roman"/>
          <w:sz w:val="28"/>
          <w:szCs w:val="28"/>
        </w:rPr>
      </w:pPr>
      <w:r>
        <w:rPr>
          <w:rFonts w:hint="default" w:ascii="Times New Roman" w:hAnsi="Times New Roman" w:eastAsia="Calibri" w:cs="Times New Roman"/>
          <w:b/>
          <w:color w:val="000000"/>
          <w:sz w:val="28"/>
          <w:szCs w:val="28"/>
        </w:rPr>
        <w:t>MR. ALLI, A. O.</w:t>
      </w:r>
    </w:p>
    <w:p w14:paraId="59281F35">
      <w:pPr>
        <w:wordWrap w:val="0"/>
        <w:spacing w:before="0" w:after="0" w:line="240" w:lineRule="auto"/>
        <w:ind w:firstLine="0"/>
        <w:jc w:val="both"/>
        <w:rPr>
          <w:rFonts w:hint="default" w:ascii="Times New Roman" w:hAnsi="Times New Roman" w:eastAsia="SimSun" w:cs="Times New Roman"/>
          <w:color w:val="000000"/>
          <w:sz w:val="28"/>
          <w:szCs w:val="28"/>
        </w:rPr>
      </w:pPr>
    </w:p>
    <w:p w14:paraId="15749CF2">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p>
    <w:p w14:paraId="4ADD80A5">
      <w:pPr>
        <w:wordWrap w:val="0"/>
        <w:spacing w:before="0" w:after="0" w:line="240" w:lineRule="auto"/>
        <w:ind w:firstLine="0"/>
        <w:jc w:val="both"/>
        <w:rPr>
          <w:rFonts w:hint="default" w:ascii="Times New Roman" w:hAnsi="Times New Roman" w:eastAsia="SimSun" w:cs="Times New Roman"/>
          <w:color w:val="000000"/>
          <w:sz w:val="28"/>
          <w:szCs w:val="28"/>
        </w:rPr>
      </w:pPr>
    </w:p>
    <w:p w14:paraId="7443525E">
      <w:pPr>
        <w:wordWrap w:val="0"/>
        <w:spacing w:before="0" w:after="0" w:line="240" w:lineRule="auto"/>
        <w:ind w:left="7560" w:leftChars="0" w:firstLine="420" w:firstLineChars="0"/>
        <w:jc w:val="both"/>
        <w:rPr>
          <w:rFonts w:hint="default" w:ascii="Times New Roman" w:hAnsi="Times New Roman" w:eastAsia="SimSun" w:cs="Times New Roman"/>
          <w:color w:val="000000"/>
          <w:sz w:val="32"/>
          <w:szCs w:val="32"/>
        </w:rPr>
      </w:pPr>
      <w:r>
        <w:rPr>
          <w:rFonts w:hint="default" w:ascii="Times New Roman" w:hAnsi="Times New Roman" w:eastAsia="SimSun" w:cs="Times New Roman"/>
          <w:color w:val="000000"/>
          <w:sz w:val="32"/>
          <w:szCs w:val="32"/>
        </w:rPr>
        <w:t>July, 2025.</w:t>
      </w:r>
    </w:p>
    <w:p w14:paraId="7627CBDF">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50F8E766">
      <w:pPr>
        <w:pStyle w:val="2"/>
        <w:bidi w:val="0"/>
        <w:spacing w:line="240" w:lineRule="auto"/>
        <w:ind w:left="2160" w:leftChars="0" w:firstLine="720" w:firstLineChars="0"/>
        <w:rPr>
          <w:rFonts w:hint="default"/>
        </w:rPr>
      </w:pPr>
      <w:r>
        <w:rPr>
          <w:rFonts w:hint="default"/>
        </w:rPr>
        <w:t>CERTIFICATION</w:t>
      </w:r>
    </w:p>
    <w:p w14:paraId="2F425AC1">
      <w:pPr>
        <w:wordWrap w:val="0"/>
        <w:spacing w:before="0" w:after="0" w:line="36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This is to certify that this project work presented by</w:t>
      </w:r>
      <w:r>
        <w:rPr>
          <w:rFonts w:hint="default" w:ascii="Times New Roman" w:hAnsi="Times New Roman" w:eastAsia="Calibri" w:cs="Times New Roman"/>
          <w:b/>
          <w:color w:val="000000"/>
          <w:sz w:val="28"/>
          <w:szCs w:val="28"/>
        </w:rPr>
        <w:t xml:space="preserve"> ADENIRAN OYINDAMOLA E</w:t>
      </w:r>
      <w:r>
        <w:rPr>
          <w:rFonts w:hint="default" w:ascii="Times New Roman" w:hAnsi="Times New Roman" w:eastAsia="Calibri" w:cs="Times New Roman"/>
          <w:b/>
          <w:color w:val="000000"/>
          <w:sz w:val="28"/>
          <w:szCs w:val="28"/>
          <w:lang/>
        </w:rPr>
        <w:t>RITOSIN</w:t>
      </w:r>
      <w:r>
        <w:rPr>
          <w:rFonts w:hint="default" w:ascii="Times New Roman" w:hAnsi="Times New Roman" w:eastAsia="Calibri" w:cs="Times New Roman"/>
          <w:color w:val="000000"/>
          <w:sz w:val="28"/>
          <w:szCs w:val="28"/>
        </w:rPr>
        <w:t xml:space="preserve"> with Matric No: </w:t>
      </w:r>
      <w:r>
        <w:rPr>
          <w:rFonts w:hint="default" w:ascii="Times New Roman" w:hAnsi="Times New Roman" w:eastAsia="Calibri"/>
          <w:b/>
          <w:bCs/>
          <w:color w:val="000000"/>
          <w:sz w:val="28"/>
          <w:szCs w:val="28"/>
        </w:rPr>
        <w:t>HND/23/SLT/FT/0895</w:t>
      </w:r>
      <w:r>
        <w:rPr>
          <w:rFonts w:hint="default" w:ascii="Times New Roman" w:hAnsi="Times New Roman" w:eastAsia="Calibri" w:cs="Times New Roman"/>
          <w:color w:val="000000"/>
          <w:sz w:val="28"/>
          <w:szCs w:val="28"/>
        </w:rPr>
        <w:t xml:space="preserve"> has been read, approved and submitted to Department of Science Laboratory Technology (Biochemistry Unit), Institute of Applied Sciences (IAS), Kwara State Polytechnic, Ilorin.</w:t>
      </w:r>
    </w:p>
    <w:p w14:paraId="54401740">
      <w:pPr>
        <w:wordWrap w:val="0"/>
        <w:spacing w:before="0" w:after="0" w:line="360" w:lineRule="auto"/>
        <w:ind w:firstLine="0"/>
        <w:jc w:val="center"/>
        <w:rPr>
          <w:rFonts w:hint="default" w:ascii="Times New Roman" w:hAnsi="Times New Roman" w:eastAsia="SimSun" w:cs="Times New Roman"/>
          <w:color w:val="000000"/>
          <w:sz w:val="28"/>
          <w:szCs w:val="28"/>
        </w:rPr>
      </w:pPr>
    </w:p>
    <w:p w14:paraId="24B4CBDF">
      <w:pPr>
        <w:wordWrap w:val="0"/>
        <w:spacing w:before="0" w:after="0" w:line="240" w:lineRule="auto"/>
        <w:ind w:firstLine="0"/>
        <w:jc w:val="both"/>
        <w:rPr>
          <w:rFonts w:hint="default" w:ascii="Times New Roman" w:hAnsi="Times New Roman" w:eastAsia="SimSun" w:cs="Times New Roman"/>
          <w:color w:val="000000"/>
          <w:sz w:val="28"/>
          <w:szCs w:val="28"/>
        </w:rPr>
      </w:pPr>
    </w:p>
    <w:p w14:paraId="041989B4">
      <w:pPr>
        <w:wordWrap w:val="0"/>
        <w:spacing w:before="0" w:after="0" w:line="240" w:lineRule="auto"/>
        <w:ind w:firstLine="0"/>
        <w:jc w:val="both"/>
        <w:rPr>
          <w:rFonts w:hint="default" w:ascii="Times New Roman" w:hAnsi="Times New Roman" w:eastAsia="SimSun" w:cs="Times New Roman"/>
          <w:color w:val="000000"/>
          <w:sz w:val="28"/>
          <w:szCs w:val="28"/>
        </w:rPr>
      </w:pPr>
    </w:p>
    <w:p w14:paraId="0511A70A">
      <w:pPr>
        <w:wordWrap w:val="0"/>
        <w:spacing w:before="0" w:after="0" w:line="240" w:lineRule="auto"/>
        <w:ind w:firstLine="0"/>
        <w:jc w:val="both"/>
        <w:rPr>
          <w:rFonts w:hint="default" w:ascii="Times New Roman" w:hAnsi="Times New Roman" w:eastAsia="SimSun" w:cs="Times New Roman"/>
          <w:color w:val="000000"/>
          <w:sz w:val="28"/>
          <w:szCs w:val="28"/>
        </w:rPr>
      </w:pPr>
    </w:p>
    <w:p w14:paraId="2264096D">
      <w:pPr>
        <w:wordWrap w:val="0"/>
        <w:spacing w:before="0" w:after="0" w:line="240" w:lineRule="auto"/>
        <w:ind w:firstLine="0"/>
        <w:jc w:val="both"/>
        <w:rPr>
          <w:rFonts w:hint="default" w:ascii="Times New Roman" w:hAnsi="Times New Roman" w:eastAsia="SimSun" w:cs="Times New Roman"/>
          <w:color w:val="000000"/>
          <w:sz w:val="28"/>
          <w:szCs w:val="28"/>
        </w:rPr>
      </w:pPr>
    </w:p>
    <w:p w14:paraId="3C336995">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     </w:t>
      </w:r>
    </w:p>
    <w:p w14:paraId="3E3D4DCA">
      <w:pPr>
        <w:wordWrap w:val="0"/>
        <w:spacing w:before="0" w:after="0" w:line="240" w:lineRule="auto"/>
        <w:ind w:firstLine="0"/>
        <w:jc w:val="both"/>
        <w:rPr>
          <w:rFonts w:hint="default" w:ascii="Times New Roman" w:hAnsi="Times New Roman" w:eastAsia="SimSun" w:cs="Times New Roman"/>
          <w:color w:val="000000"/>
          <w:sz w:val="28"/>
          <w:szCs w:val="28"/>
        </w:rPr>
      </w:pPr>
    </w:p>
    <w:p w14:paraId="6E4A35DD">
      <w:pPr>
        <w:tabs>
          <w:tab w:val="left" w:pos="8500"/>
        </w:tabs>
        <w:wordWrap w:val="0"/>
        <w:spacing w:before="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ALLI, A. O.</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1762F54">
      <w:pPr>
        <w:wordWrap w:val="0"/>
        <w:spacing w:before="19" w:after="0" w:line="24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(SUPERVISOR)</w:t>
      </w:r>
    </w:p>
    <w:p w14:paraId="55C426E6">
      <w:pPr>
        <w:wordWrap w:val="0"/>
        <w:spacing w:before="0" w:after="0" w:line="240" w:lineRule="auto"/>
        <w:ind w:firstLine="0"/>
        <w:jc w:val="both"/>
        <w:rPr>
          <w:rFonts w:hint="default" w:ascii="Times New Roman" w:hAnsi="Times New Roman" w:eastAsia="SimSun" w:cs="Times New Roman"/>
          <w:color w:val="000000"/>
          <w:sz w:val="28"/>
          <w:szCs w:val="28"/>
        </w:rPr>
      </w:pPr>
    </w:p>
    <w:p w14:paraId="2A65F97B">
      <w:pPr>
        <w:wordWrap w:val="0"/>
        <w:spacing w:before="0" w:after="0" w:line="240" w:lineRule="auto"/>
        <w:ind w:firstLine="0"/>
        <w:jc w:val="both"/>
        <w:rPr>
          <w:rFonts w:hint="default" w:ascii="Times New Roman" w:hAnsi="Times New Roman" w:eastAsia="SimSun" w:cs="Times New Roman"/>
          <w:color w:val="000000"/>
          <w:sz w:val="28"/>
          <w:szCs w:val="28"/>
        </w:rPr>
      </w:pPr>
    </w:p>
    <w:p w14:paraId="1B1DA45B">
      <w:pPr>
        <w:wordWrap w:val="0"/>
        <w:spacing w:before="0" w:after="0" w:line="240" w:lineRule="auto"/>
        <w:ind w:firstLine="0"/>
        <w:jc w:val="both"/>
        <w:rPr>
          <w:rFonts w:hint="default" w:ascii="Times New Roman" w:hAnsi="Times New Roman" w:eastAsia="SimSun" w:cs="Times New Roman"/>
          <w:color w:val="000000"/>
          <w:sz w:val="28"/>
          <w:szCs w:val="28"/>
        </w:rPr>
      </w:pPr>
    </w:p>
    <w:p w14:paraId="24DA367C">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1810147A">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  </w:t>
      </w:r>
    </w:p>
    <w:p w14:paraId="3802C0AE">
      <w:pPr>
        <w:tabs>
          <w:tab w:val="left" w:pos="8500"/>
        </w:tabs>
        <w:wordWrap w:val="0"/>
        <w:spacing w:before="0" w:after="0" w:line="192"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MRS. SALUADEEN, K.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09DF696D">
      <w:pPr>
        <w:wordWrap w:val="0"/>
        <w:spacing w:before="2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UNIT (BIOCHEMISTRY)</w:t>
      </w:r>
    </w:p>
    <w:p w14:paraId="26D9425B">
      <w:pPr>
        <w:wordWrap w:val="0"/>
        <w:spacing w:before="0" w:after="0" w:line="240" w:lineRule="auto"/>
        <w:ind w:firstLine="0"/>
        <w:jc w:val="both"/>
        <w:rPr>
          <w:rFonts w:hint="default" w:ascii="Times New Roman" w:hAnsi="Times New Roman" w:eastAsia="SimSun" w:cs="Times New Roman"/>
          <w:color w:val="000000"/>
          <w:sz w:val="28"/>
          <w:szCs w:val="28"/>
        </w:rPr>
      </w:pPr>
    </w:p>
    <w:p w14:paraId="77F72E17">
      <w:pPr>
        <w:wordWrap w:val="0"/>
        <w:spacing w:before="0" w:after="0" w:line="240" w:lineRule="auto"/>
        <w:ind w:firstLine="0"/>
        <w:jc w:val="both"/>
        <w:rPr>
          <w:rFonts w:hint="default" w:ascii="Times New Roman" w:hAnsi="Times New Roman" w:eastAsia="SimSun" w:cs="Times New Roman"/>
          <w:color w:val="000000"/>
          <w:sz w:val="28"/>
          <w:szCs w:val="28"/>
        </w:rPr>
      </w:pPr>
    </w:p>
    <w:p w14:paraId="2631C610">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6E0368B9">
      <w:pPr>
        <w:wordWrap w:val="0"/>
        <w:spacing w:before="0" w:after="0" w:line="240" w:lineRule="auto"/>
        <w:ind w:firstLine="0"/>
        <w:jc w:val="both"/>
        <w:rPr>
          <w:rFonts w:hint="default" w:ascii="Times New Roman" w:hAnsi="Times New Roman" w:eastAsia="SimSun" w:cs="Times New Roman"/>
          <w:color w:val="000000"/>
          <w:sz w:val="28"/>
          <w:szCs w:val="28"/>
        </w:rPr>
      </w:pPr>
    </w:p>
    <w:p w14:paraId="55407E5E">
      <w:pPr>
        <w:tabs>
          <w:tab w:val="left" w:pos="8500"/>
        </w:tabs>
        <w:wordWrap w:val="0"/>
        <w:spacing w:before="2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USMAN,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302C781C">
      <w:pPr>
        <w:wordWrap w:val="0"/>
        <w:spacing w:before="12"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DETARTMENT(SLT)</w:t>
      </w:r>
    </w:p>
    <w:p w14:paraId="3E2B466F">
      <w:pPr>
        <w:pStyle w:val="2"/>
        <w:bidi w:val="0"/>
        <w:spacing w:line="240" w:lineRule="auto"/>
        <w:ind w:left="2880" w:leftChars="0" w:firstLine="720" w:firstLineChars="0"/>
        <w:rPr>
          <w:rFonts w:hint="default"/>
        </w:rPr>
      </w:pPr>
    </w:p>
    <w:p w14:paraId="1588DFB5">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DD8169A">
      <w:pPr>
        <w:pStyle w:val="2"/>
        <w:bidi w:val="0"/>
        <w:spacing w:line="240" w:lineRule="auto"/>
        <w:ind w:left="2880" w:leftChars="0" w:firstLine="720" w:firstLineChars="0"/>
        <w:rPr>
          <w:rFonts w:hint="default" w:ascii="Times New Roman" w:hAnsi="Times New Roman" w:cs="Times New Roman"/>
          <w:b/>
          <w:bCs/>
          <w:szCs w:val="24"/>
        </w:rPr>
      </w:pPr>
      <w:bookmarkStart w:id="0" w:name="_Toc66"/>
      <w:r>
        <w:rPr>
          <w:rFonts w:hint="default"/>
        </w:rPr>
        <w:t>DEDICATION</w:t>
      </w:r>
      <w:bookmarkEnd w:id="0"/>
    </w:p>
    <w:p w14:paraId="7A65DF2A">
      <w:pPr>
        <w:rPr>
          <w:rFonts w:hint="default" w:ascii="Times New Roman" w:hAnsi="Times New Roman" w:cs="Times New Roman"/>
          <w:b/>
          <w:bCs/>
          <w:sz w:val="24"/>
          <w:szCs w:val="24"/>
        </w:rPr>
      </w:pPr>
      <w:r>
        <w:rPr>
          <w:rFonts w:hint="default" w:ascii="Times New Roman" w:hAnsi="Times New Roman"/>
          <w:b w:val="0"/>
          <w:bCs w:val="0"/>
          <w:sz w:val="24"/>
          <w:szCs w:val="24"/>
        </w:rPr>
        <w:t>I Dedicate this project to God Almighty, and to my parent and siblings who has helped me so far, the source of my strength,my sustainer and my provider,the author and the finisher of my faith.</w:t>
      </w:r>
      <w:r>
        <w:rPr>
          <w:rFonts w:hint="default" w:ascii="Times New Roman" w:hAnsi="Times New Roman" w:cs="Times New Roman"/>
          <w:b/>
          <w:bCs/>
          <w:sz w:val="24"/>
          <w:szCs w:val="24"/>
        </w:rPr>
        <w:br w:type="page"/>
      </w:r>
    </w:p>
    <w:p w14:paraId="217AFC37">
      <w:pPr>
        <w:pStyle w:val="2"/>
        <w:bidi w:val="0"/>
        <w:spacing w:line="240" w:lineRule="auto"/>
        <w:ind w:left="1440" w:leftChars="0" w:firstLine="720" w:firstLineChars="0"/>
        <w:rPr>
          <w:rFonts w:hint="default" w:ascii="Times New Roman" w:hAnsi="Times New Roman" w:cs="Times New Roman"/>
          <w:b/>
          <w:bCs/>
          <w:szCs w:val="24"/>
        </w:rPr>
      </w:pPr>
      <w:bookmarkStart w:id="1" w:name="_Toc9979"/>
      <w:r>
        <w:rPr>
          <w:rFonts w:hint="default"/>
        </w:rPr>
        <w:t>ACKNOWLEDGEMENT</w:t>
      </w:r>
      <w:bookmarkEnd w:id="1"/>
    </w:p>
    <w:p w14:paraId="5F205555">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I would like to express my gratitude to my maker,my pillar,my restorer for the wisdom,knowledge and understanding throughout this journey.</w:t>
      </w:r>
    </w:p>
    <w:p w14:paraId="31F3816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First and foremost my appreciation goes to my parents </w:t>
      </w:r>
      <w:r>
        <w:rPr>
          <w:rFonts w:hint="default" w:ascii="Times New Roman" w:hAnsi="Times New Roman" w:cs="Times New Roman"/>
          <w:sz w:val="24"/>
          <w:szCs w:val="24"/>
        </w:rPr>
        <w:t xml:space="preserve">MR. &amp; MRS. </w:t>
      </w:r>
      <w:r>
        <w:rPr>
          <w:rFonts w:hint="default" w:ascii="Times New Roman" w:hAnsi="Times New Roman" w:cs="Times New Roman"/>
          <w:sz w:val="24"/>
          <w:szCs w:val="24"/>
          <w:lang w:val="en-US"/>
        </w:rPr>
        <w:t>ADENIRAN for their unmeasured love,prayers and financial support and also to my elderly brother and siblings,may GOD bless you all in Jesus name.</w:t>
      </w:r>
    </w:p>
    <w:p w14:paraId="2C1763E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Secondly,my gratitude goes to my amiable supervisor in person of MR ALLI A.O</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 xml:space="preserve"> for his tremendous support on explanation,experience,guidance and teaching support.</w:t>
      </w:r>
    </w:p>
    <w:p w14:paraId="4542B0B7">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Thirdly,l want to appreciate my HOD in person of Dr </w:t>
      </w:r>
      <w:r>
        <w:rPr>
          <w:rFonts w:hint="default" w:ascii="Times New Roman" w:hAnsi="Times New Roman" w:cs="Times New Roman"/>
          <w:sz w:val="24"/>
          <w:szCs w:val="24"/>
        </w:rPr>
        <w:t>U</w:t>
      </w:r>
      <w:r>
        <w:rPr>
          <w:rFonts w:hint="default" w:ascii="Times New Roman" w:hAnsi="Times New Roman" w:cs="Times New Roman"/>
          <w:sz w:val="24"/>
          <w:szCs w:val="24"/>
          <w:lang w:val="en-US"/>
        </w:rPr>
        <w:t>sman</w:t>
      </w:r>
      <w:r>
        <w:rPr>
          <w:rFonts w:hint="default" w:ascii="Times New Roman" w:hAnsi="Times New Roman" w:cs="Times New Roman"/>
          <w:sz w:val="24"/>
          <w:szCs w:val="24"/>
        </w:rPr>
        <w:t xml:space="preserve">, A. </w:t>
      </w:r>
      <w:r>
        <w:rPr>
          <w:rFonts w:hint="default" w:ascii="Times New Roman" w:hAnsi="Times New Roman" w:cs="Times New Roman"/>
          <w:sz w:val="24"/>
          <w:szCs w:val="24"/>
          <w:lang w:val="en-US"/>
        </w:rPr>
        <w:t xml:space="preserve"> for his advice and encouragement.</w:t>
      </w:r>
    </w:p>
    <w:p w14:paraId="7644FCDD">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Also,my gratitude also goes to my HOU in person of Mrs </w:t>
      </w:r>
      <w:r>
        <w:rPr>
          <w:rFonts w:hint="default" w:ascii="Times New Roman" w:hAnsi="Times New Roman" w:cs="Times New Roman"/>
          <w:sz w:val="24"/>
          <w:szCs w:val="24"/>
        </w:rPr>
        <w:t>S</w:t>
      </w:r>
      <w:r>
        <w:rPr>
          <w:rFonts w:hint="default" w:ascii="Times New Roman" w:hAnsi="Times New Roman" w:cs="Times New Roman"/>
          <w:sz w:val="24"/>
          <w:szCs w:val="24"/>
          <w:lang w:val="en-US"/>
        </w:rPr>
        <w:t>alaudeen K.A.</w:t>
      </w:r>
    </w:p>
    <w:p w14:paraId="453AF711">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rPr>
        <w:t>Finally my gratitude goes to everyone who has supported me in one way or the other for advice and finances,may God bless you abundantly,amen.</w:t>
      </w:r>
    </w:p>
    <w:p w14:paraId="1B4B680C">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1E60CAE3">
      <w:pPr>
        <w:pStyle w:val="2"/>
        <w:bidi w:val="0"/>
        <w:spacing w:line="240" w:lineRule="auto"/>
        <w:ind w:left="2880" w:leftChars="0" w:firstLine="720" w:firstLineChars="0"/>
        <w:rPr>
          <w:rFonts w:hint="default" w:ascii="Times New Roman" w:hAnsi="Times New Roman" w:cs="Times New Roman"/>
          <w:b/>
          <w:bCs/>
          <w:szCs w:val="24"/>
        </w:rPr>
      </w:pPr>
      <w:bookmarkStart w:id="2" w:name="_Toc11818"/>
      <w:r>
        <w:rPr>
          <w:rFonts w:hint="default"/>
        </w:rPr>
        <w:t>ABSTRACT</w:t>
      </w:r>
      <w:bookmarkEnd w:id="2"/>
    </w:p>
    <w:p w14:paraId="6511EB4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at 200 mg/kg, and 400 mg/kg. Paroxetine administration (10 mg/kg orally for 21 days)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increased PDE5 activity (42.7 ± 2.8 U/L vs. 28.5 ± 2.1 U/L in control), arginase activity (8.4 ± 0.7 mg/dL vs. 6.2 ± 0.5 mg/dL), and reduced penile nitric oxide concentration (24.8 ± 2.6 µmol/L vs. 45.6 ± 3.4 µmol/L), indicating impaired erectile function. Treatment with 400 mg/kg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extract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71E2AAE6">
      <w:pPr>
        <w:rPr>
          <w:rFonts w:hint="default" w:ascii="Times New Roman" w:hAnsi="Times New Roman" w:cs="Times New Roman"/>
          <w:b/>
          <w:bCs/>
          <w:sz w:val="24"/>
          <w:szCs w:val="24"/>
        </w:rPr>
      </w:pPr>
    </w:p>
    <w:p w14:paraId="2BB0296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4FF8CCD">
      <w:pPr>
        <w:pStyle w:val="2"/>
        <w:bidi w:val="0"/>
        <w:spacing w:line="240" w:lineRule="auto"/>
        <w:ind w:left="2880" w:leftChars="0" w:firstLine="720" w:firstLineChars="0"/>
        <w:rPr>
          <w:rFonts w:hint="default"/>
        </w:rPr>
      </w:pPr>
      <w:bookmarkStart w:id="3" w:name="_Toc8836"/>
      <w:r>
        <w:rPr>
          <w:rFonts w:hint="default"/>
        </w:rPr>
        <w:t>LIST OF FIGURES</w:t>
      </w:r>
      <w:bookmarkEnd w:id="3"/>
    </w:p>
    <w:p w14:paraId="7E1F06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Figures</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Title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Page</w:t>
      </w:r>
    </w:p>
    <w:p w14:paraId="3EAB016B">
      <w:pPr>
        <w:spacing w:line="360" w:lineRule="auto"/>
        <w:rPr>
          <w:rFonts w:hint="default" w:ascii="Times New Roman" w:hAnsi="Times New Roman"/>
          <w:b w:val="0"/>
          <w:bCs w:val="0"/>
          <w:sz w:val="24"/>
          <w:szCs w:val="24"/>
        </w:rPr>
      </w:pPr>
      <w:r>
        <w:rPr>
          <w:rFonts w:hint="default" w:ascii="Times New Roman" w:hAnsi="Times New Roman" w:cs="Times New Roman"/>
          <w:b w:val="0"/>
          <w:bCs w:val="0"/>
          <w:sz w:val="24"/>
          <w:szCs w:val="24"/>
        </w:rPr>
        <w:t>Figure 2.1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w:t>
      </w:r>
      <w:r>
        <w:rPr>
          <w:rFonts w:hint="default" w:ascii="Times New Roman" w:hAnsi="Times New Roman"/>
          <w:b w:val="0"/>
          <w:bCs w:val="0"/>
          <w:sz w:val="24"/>
          <w:szCs w:val="24"/>
        </w:rPr>
        <w:t>Pathophysiology of Erectile Dysfunction</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10</w:t>
      </w:r>
    </w:p>
    <w:p w14:paraId="66D1C43A">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Figure 2.4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Treatment of Erectile Dysfunction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17</w:t>
      </w:r>
    </w:p>
    <w:p w14:paraId="1A0835AB">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Figure 4.1           Penile Organ-Body Ratios of Paroxetine-Induced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29</w:t>
      </w:r>
    </w:p>
    <w:p w14:paraId="02907168">
      <w:pPr>
        <w:spacing w:line="240" w:lineRule="auto"/>
        <w:ind w:left="720" w:leftChars="0" w:firstLine="1101" w:firstLineChars="459"/>
        <w:jc w:val="left"/>
        <w:rPr>
          <w:rFonts w:hint="default" w:ascii="Times New Roman" w:hAnsi="Times New Roman" w:cs="Times New Roman"/>
          <w:i/>
          <w:iCs/>
          <w:sz w:val="24"/>
          <w:szCs w:val="24"/>
        </w:rPr>
      </w:pPr>
      <w:r>
        <w:rPr>
          <w:rFonts w:hint="default" w:ascii="Times New Roman" w:hAnsi="Times New Roman" w:cs="Times New Roman"/>
          <w:sz w:val="24"/>
          <w:szCs w:val="24"/>
        </w:rPr>
        <w:t xml:space="preserve">Dysfunctional Rats Administered </w:t>
      </w:r>
      <w:r>
        <w:rPr>
          <w:rFonts w:hint="default" w:ascii="Times New Roman" w:hAnsi="Times New Roman" w:cs="Times New Roman"/>
          <w:i/>
          <w:iCs/>
          <w:sz w:val="24"/>
          <w:szCs w:val="24"/>
        </w:rPr>
        <w:t xml:space="preserve">Syzygium </w:t>
      </w:r>
    </w:p>
    <w:p w14:paraId="1290C4F8">
      <w:pPr>
        <w:spacing w:line="360" w:lineRule="auto"/>
        <w:ind w:left="720" w:leftChars="0" w:firstLine="1581" w:firstLineChars="659"/>
        <w:jc w:val="left"/>
        <w:rPr>
          <w:rFonts w:hint="default" w:ascii="Times New Roman" w:hAnsi="Times New Roman" w:cs="Times New Roman"/>
          <w:sz w:val="24"/>
          <w:szCs w:val="24"/>
        </w:rPr>
      </w:pPr>
      <w:r>
        <w:rPr>
          <w:rFonts w:hint="default" w:ascii="Times New Roman" w:hAnsi="Times New Roman" w:cs="Times New Roman"/>
          <w:i/>
          <w:iCs/>
          <w:sz w:val="24"/>
          <w:szCs w:val="24"/>
        </w:rPr>
        <w:t>aromatic</w:t>
      </w:r>
      <w:r>
        <w:rPr>
          <w:rFonts w:hint="default" w:ascii="Times New Roman" w:hAnsi="Times New Roman" w:cs="Times New Roman"/>
          <w:sz w:val="24"/>
          <w:szCs w:val="24"/>
        </w:rPr>
        <w:t xml:space="preserve"> Extract (SAAE)</w:t>
      </w:r>
      <w:r>
        <w:rPr>
          <w:rFonts w:hint="default" w:ascii="Times New Roman" w:hAnsi="Times New Roman" w:cs="Times New Roman"/>
          <w:sz w:val="24"/>
          <w:szCs w:val="24"/>
        </w:rPr>
        <w:tab/>
      </w:r>
    </w:p>
    <w:p w14:paraId="66ECE7E4">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4.2</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Nitric Oxide Levels of Paroxetine-Induced Dysfunctional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30</w:t>
      </w:r>
    </w:p>
    <w:p w14:paraId="53F43C1D">
      <w:pPr>
        <w:spacing w:line="360" w:lineRule="auto"/>
        <w:ind w:left="720" w:leftChars="0" w:firstLine="1101" w:firstLineChars="45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56EF8246">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4.3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The phosphodiesterase Activity of Paroxetine-Induced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7C18127F">
      <w:pPr>
        <w:spacing w:line="360" w:lineRule="auto"/>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31C9583F">
      <w:pPr>
        <w:spacing w:line="240" w:lineRule="auto"/>
        <w:jc w:val="both"/>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The Arginase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1D566CC1">
      <w:pPr>
        <w:spacing w:line="240" w:lineRule="auto"/>
        <w:ind w:left="720" w:leftChars="0"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297AE2E4">
      <w:pPr>
        <w:rPr>
          <w:rFonts w:ascii="Times New Roman" w:hAnsi="Times New Roman" w:cs="Times New Roman"/>
          <w:b w:val="0"/>
          <w:bCs w:val="0"/>
          <w:sz w:val="24"/>
          <w:szCs w:val="24"/>
        </w:rPr>
      </w:pPr>
    </w:p>
    <w:p w14:paraId="24650507">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4.5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Creatinine Kinase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32</w:t>
      </w:r>
    </w:p>
    <w:p w14:paraId="4381186A">
      <w:pPr>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1155D92B">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57DA7994">
      <w:pPr>
        <w:pStyle w:val="2"/>
        <w:bidi w:val="0"/>
        <w:spacing w:line="240" w:lineRule="auto"/>
        <w:ind w:left="2880" w:leftChars="0" w:firstLine="720" w:firstLineChars="0"/>
        <w:rPr>
          <w:rFonts w:hint="default"/>
        </w:rPr>
      </w:pPr>
      <w:bookmarkStart w:id="4" w:name="_Toc19016"/>
      <w:r>
        <w:rPr>
          <w:rFonts w:hint="default"/>
        </w:rPr>
        <w:t>LIST OF TABLES</w:t>
      </w:r>
      <w:bookmarkEnd w:id="4"/>
    </w:p>
    <w:p w14:paraId="0F9253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Title</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Page</w:t>
      </w:r>
    </w:p>
    <w:p w14:paraId="069D4C19">
      <w:pPr>
        <w:spacing w:line="480" w:lineRule="auto"/>
        <w:rPr>
          <w:rFonts w:hint="default" w:ascii="Times New Roman" w:hAnsi="Times New Roman" w:cs="Times New Roman"/>
          <w:b/>
          <w:bCs/>
          <w:sz w:val="24"/>
          <w:szCs w:val="24"/>
        </w:rPr>
      </w:pPr>
      <w:r>
        <w:rPr>
          <w:rFonts w:ascii="Times New Roman" w:hAnsi="Times New Roman" w:cs="Times New Roman"/>
          <w:b w:val="0"/>
          <w:bCs w:val="0"/>
          <w:sz w:val="24"/>
          <w:szCs w:val="24"/>
        </w:rPr>
        <w:t xml:space="preserve">Table 4.1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Phytochemical Screening of </w:t>
      </w:r>
      <w:r>
        <w:rPr>
          <w:rFonts w:ascii="Times New Roman" w:hAnsi="Times New Roman" w:cs="Times New Roman"/>
          <w:b w:val="0"/>
          <w:bCs w:val="0"/>
          <w:i/>
          <w:iCs/>
          <w:sz w:val="24"/>
          <w:szCs w:val="24"/>
        </w:rPr>
        <w:t>Syzygium aromaticum</w:t>
      </w:r>
      <w:r>
        <w:rPr>
          <w:rFonts w:ascii="Times New Roman" w:hAnsi="Times New Roman" w:cs="Times New Roman"/>
          <w:b w:val="0"/>
          <w:bCs w:val="0"/>
          <w:sz w:val="24"/>
          <w:szCs w:val="24"/>
        </w:rPr>
        <w:t xml:space="preserve"> Aqueous Extract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28</w:t>
      </w:r>
    </w:p>
    <w:p w14:paraId="03245E01">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Table 4.2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Serum Lipid Profile of Paroxetine-Induced Dysfunctional Rats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33</w:t>
      </w:r>
    </w:p>
    <w:p w14:paraId="2B51DED1">
      <w:pPr>
        <w:ind w:left="144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w:t>
      </w:r>
    </w:p>
    <w:p w14:paraId="4030889B">
      <w:pPr>
        <w:rPr>
          <w:rFonts w:ascii="Times New Roman" w:hAnsi="Times New Roman" w:cs="Times New Roman"/>
          <w:b w:val="0"/>
          <w:bCs w:val="0"/>
          <w:sz w:val="24"/>
          <w:szCs w:val="24"/>
        </w:rPr>
      </w:pPr>
    </w:p>
    <w:p w14:paraId="593FE6A7">
      <w:pPr>
        <w:spacing w:line="360" w:lineRule="auto"/>
        <w:jc w:val="left"/>
        <w:rPr>
          <w:rFonts w:hint="default" w:ascii="Times New Roman" w:hAnsi="Times New Roman" w:cs="Times New Roman"/>
          <w:sz w:val="24"/>
          <w:szCs w:val="24"/>
        </w:rPr>
      </w:pPr>
    </w:p>
    <w:p w14:paraId="4F1E6FF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14:paraId="2FB00361">
      <w:pPr>
        <w:spacing w:line="360" w:lineRule="auto"/>
        <w:jc w:val="left"/>
        <w:rPr>
          <w:rFonts w:hint="default" w:ascii="Times New Roman" w:hAnsi="Times New Roman" w:cs="Times New Roman"/>
          <w:b/>
          <w:bCs/>
          <w:sz w:val="24"/>
          <w:szCs w:val="24"/>
        </w:rPr>
      </w:pPr>
      <w:r>
        <w:rPr>
          <w:rFonts w:hint="default"/>
          <w:sz w:val="24"/>
          <w:szCs w:val="24"/>
        </w:rPr>
        <w:br w:type="page"/>
      </w:r>
    </w:p>
    <w:p w14:paraId="6B4F9212">
      <w:pPr>
        <w:pStyle w:val="2"/>
        <w:bidi w:val="0"/>
        <w:spacing w:line="240" w:lineRule="auto"/>
        <w:ind w:left="2160" w:leftChars="0" w:firstLine="720" w:firstLineChars="0"/>
        <w:rPr>
          <w:rFonts w:hint="default"/>
        </w:rPr>
      </w:pPr>
      <w:bookmarkStart w:id="5" w:name="_Toc1905"/>
      <w:r>
        <w:rPr>
          <w:rFonts w:hint="default"/>
        </w:rPr>
        <w:t>TABLE OF CONTENT</w:t>
      </w:r>
      <w:bookmarkEnd w:id="5"/>
    </w:p>
    <w:sdt>
      <w:sdtPr>
        <w:rPr>
          <w:rFonts w:ascii="SimSun" w:hAnsi="SimSun" w:eastAsia="SimSun" w:cstheme="minorBidi"/>
          <w:sz w:val="21"/>
          <w:lang w:val="en-US" w:eastAsia="zh-CN" w:bidi="ar-SA"/>
        </w:rPr>
        <w:id w:val="147477542"/>
        <w15:color w:val="DBDBDB"/>
        <w:docPartObj>
          <w:docPartGallery w:val="Table of Contents"/>
          <w:docPartUnique/>
        </w:docPartObj>
      </w:sdtPr>
      <w:sdtEndPr>
        <w:rPr>
          <w:rFonts w:hint="default" w:ascii="Times New Roman" w:hAnsi="Times New Roman" w:eastAsia="SimSun" w:cs="Times New Roman"/>
          <w:b/>
          <w:sz w:val="24"/>
          <w:szCs w:val="24"/>
          <w:lang w:val="en-US" w:eastAsia="zh-CN" w:bidi="ar-SA"/>
        </w:rPr>
      </w:sdtEndPr>
      <w:sdtContent>
        <w:p w14:paraId="25726E5B">
          <w:pPr>
            <w:spacing w:before="0" w:beforeLines="0" w:after="0" w:afterLines="0" w:line="240" w:lineRule="auto"/>
            <w:ind w:left="0" w:leftChars="0" w:right="0" w:rightChars="0" w:firstLine="0" w:firstLineChars="0"/>
            <w:jc w:val="center"/>
          </w:pPr>
        </w:p>
        <w:p w14:paraId="2BB79AB0">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_Toc18234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CERTIFICATION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_Toc18234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38E20E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_Toc30012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DEDICATION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_Toc30012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F47F3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_Toc24339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ACKNOWLEDGEMENT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_Toc24339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901C2C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_Toc11818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ABSTRACT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_Toc11818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A95706E">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_Toc8836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FIGURES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_Toc8836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42AF21">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TABLES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49A267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TABLE OF CONTENT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46D7FD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3E071684">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_Toc4022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 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_Toc4022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2B45A4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94A62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Justification for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3AD6AC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Problem Statement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23388F">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859196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890EB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8E7DFD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 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F5AD0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1439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Epidemiology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24F6764">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Pathophysiology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4B68C2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0B6D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AF9B597">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2.3.3 Nitric oxide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7A1DD0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2.3.4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412C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Treatment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2E522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2.4.1 Limitations of Current Erectile Dysfunction Treatment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D60A2E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B6B1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2.5.1 Bioactive Components of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AA1B4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_Toc12238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THREE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_Toc12238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799D39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_Toc19633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3.0 MATERIALS AND METHODS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_Toc19633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F5DD4F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303C6C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3.1.1 Plant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16B8B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3.1.2 Experimental Animal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BE68D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3.1.3 Reagents and Kits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_Toc16950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A6D6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_Toc32038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Methods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_Toc32038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08D47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 Preparation of Clove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619149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3.2.2 Experimental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AB762A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_Toc23318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3.2.3 Induction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_Toc23318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10CAB3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3.2.4 Determination of Body-Organ Weight Ratio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545188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_Toc21493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3.2.5 Determination of Phosphodiesterase 5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877B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3.2.6 Determination of Penile Nitric Oxide Concentrations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6AC26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3.2.7 Arginase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3859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3.2.8 Creatine Kinase (CK) Activity Assay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150D5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6496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3.2.9.1 Serum Total 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3A3C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3.2.9.2 Triglycerides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074A42B">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3.2.9.3 Serum High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DF3D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3.2.9.4 Serum Low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CA0AF2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_Toc5856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3.2.9.5 Atherogenic Index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2FD2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3.2.10 Statistical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E9152F">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_Toc27551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FOUR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_Toc27551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D87F6F2">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4.0 RESULTS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1D3AD3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Percentage Yield of the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D31A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_Toc30697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Phytochemical Screening of Syzygium aromaticum Aqueous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17242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 Penile Organ-Body Ratios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8456F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Nitric Oxide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EB37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In vivo Enzyme Assays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F5A58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_Toc18863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111D88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0B60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_Toc19066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4.5.3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D5BEC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 Serum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EC491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_Toc30383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FIVE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_Toc30383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4279DD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_Toc22960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5.0 DISCUSSION, CONCLUSION AND RECOMMENDATION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_Toc22960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3A2BE4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EF3C33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A130A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Recommendation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9FE039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_Toc26004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REFERENCES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_Toc26004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8210281">
          <w:pPr>
            <w:rPr>
              <w:rFonts w:hint="default" w:ascii="Times New Roman" w:hAnsi="Times New Roman" w:cs="Times New Roman"/>
              <w:b/>
              <w:sz w:val="24"/>
              <w:szCs w:val="24"/>
            </w:rPr>
          </w:pPr>
          <w:r>
            <w:rPr>
              <w:rFonts w:hint="default" w:ascii="Times New Roman" w:hAnsi="Times New Roman" w:cs="Times New Roman"/>
              <w:b/>
              <w:sz w:val="24"/>
              <w:szCs w:val="24"/>
            </w:rPr>
            <w:fldChar w:fldCharType="end"/>
          </w:r>
        </w:p>
      </w:sdtContent>
    </w:sdt>
    <w:p w14:paraId="30484944">
      <w:pPr>
        <w:rPr>
          <w:b/>
        </w:rPr>
      </w:pPr>
    </w:p>
    <w:p w14:paraId="13C585D2">
      <w:pPr>
        <w:rPr>
          <w:rFonts w:hint="default" w:ascii="SimSun" w:hAnsi="SimSun" w:eastAsia="SimSun" w:cstheme="minorBidi"/>
          <w:b/>
          <w:lang w:val="en-US" w:eastAsia="zh-CN" w:bidi="ar-SA"/>
        </w:rPr>
      </w:pPr>
      <w:r>
        <w:rPr>
          <w:rFonts w:hint="default" w:ascii="SimSun" w:hAnsi="SimSun" w:eastAsia="SimSun" w:cstheme="minorBidi"/>
          <w:b/>
          <w:lang w:val="en-US" w:eastAsia="zh-CN" w:bidi="ar-SA"/>
        </w:rPr>
        <w:br w:type="page"/>
      </w:r>
    </w:p>
    <w:p w14:paraId="0F5EFE17">
      <w:pPr>
        <w:pStyle w:val="2"/>
        <w:bidi w:val="0"/>
        <w:spacing w:line="240" w:lineRule="auto"/>
        <w:ind w:left="2880" w:leftChars="0" w:firstLine="720" w:firstLineChars="0"/>
        <w:outlineLvl w:val="9"/>
        <w:rPr>
          <w:rFonts w:hint="default"/>
        </w:rPr>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14:paraId="3E5621C9">
      <w:pPr>
        <w:pStyle w:val="2"/>
        <w:bidi w:val="0"/>
        <w:spacing w:line="240" w:lineRule="auto"/>
        <w:ind w:left="2880" w:leftChars="0" w:firstLine="720" w:firstLineChars="0"/>
        <w:rPr>
          <w:rFonts w:hint="default"/>
        </w:rPr>
      </w:pPr>
      <w:bookmarkStart w:id="6" w:name="_Toc10697"/>
      <w:r>
        <w:rPr>
          <w:rFonts w:hint="default"/>
        </w:rPr>
        <w:t>CHAPTER ONE</w:t>
      </w:r>
      <w:bookmarkEnd w:id="6"/>
    </w:p>
    <w:p w14:paraId="715339F7">
      <w:pPr>
        <w:pStyle w:val="2"/>
        <w:bidi w:val="0"/>
        <w:spacing w:line="240" w:lineRule="auto"/>
        <w:rPr>
          <w:rFonts w:hint="default"/>
        </w:rPr>
      </w:pPr>
      <w:bookmarkStart w:id="7" w:name="_Toc4022"/>
      <w:r>
        <w:rPr>
          <w:rFonts w:hint="default"/>
        </w:rPr>
        <w:t>1.0 INTRODUCTION</w:t>
      </w:r>
      <w:bookmarkEnd w:id="7"/>
    </w:p>
    <w:p w14:paraId="73E38DB7">
      <w:pPr>
        <w:pStyle w:val="3"/>
        <w:numPr>
          <w:ilvl w:val="1"/>
          <w:numId w:val="1"/>
        </w:numPr>
        <w:bidi w:val="0"/>
        <w:spacing w:line="360" w:lineRule="auto"/>
        <w:jc w:val="both"/>
        <w:rPr>
          <w:rFonts w:hint="default"/>
        </w:rPr>
      </w:pPr>
      <w:bookmarkStart w:id="8" w:name="_Toc10179"/>
      <w:r>
        <w:rPr>
          <w:rFonts w:hint="default"/>
        </w:rPr>
        <w:t>Background of the Study</w:t>
      </w:r>
      <w:bookmarkEnd w:id="8"/>
    </w:p>
    <w:p w14:paraId="68EA0F17">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hint="default" w:ascii="Times New Roman" w:hAnsi="Times New Roman"/>
          <w:i/>
          <w:iCs/>
          <w:sz w:val="24"/>
          <w:szCs w:val="24"/>
        </w:rPr>
        <w:t>et al.,</w:t>
      </w:r>
      <w:r>
        <w:rPr>
          <w:rFonts w:hint="default"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w:t>
      </w:r>
    </w:p>
    <w:p w14:paraId="52A2085B">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As a result of these limitations, less side-effect-prone natural products are in greater demand. Among such plants is </w:t>
      </w:r>
      <w:r>
        <w:rPr>
          <w:rFonts w:hint="default" w:ascii="Times New Roman" w:hAnsi="Times New Roman"/>
          <w:i/>
          <w:iCs/>
          <w:sz w:val="24"/>
          <w:szCs w:val="24"/>
        </w:rPr>
        <w:t>Syzygium aromaticum</w:t>
      </w:r>
      <w:r>
        <w:rPr>
          <w:rFonts w:hint="default"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hint="default" w:ascii="Times New Roman" w:hAnsi="Times New Roman"/>
          <w:i/>
          <w:iCs/>
          <w:sz w:val="24"/>
          <w:szCs w:val="24"/>
        </w:rPr>
        <w:t>S. aromaticum</w:t>
      </w:r>
      <w:r>
        <w:rPr>
          <w:rFonts w:hint="default" w:ascii="Times New Roman" w:hAnsi="Times New Roman"/>
          <w:sz w:val="24"/>
          <w:szCs w:val="24"/>
        </w:rPr>
        <w:t xml:space="preserve"> contains bioactive compounds such as eugenol and flavonoids with antioxidant, androgenic, and nitric oxide-stimulating activities (Adedayo </w:t>
      </w:r>
      <w:r>
        <w:rPr>
          <w:rFonts w:hint="default" w:ascii="Times New Roman" w:hAnsi="Times New Roman"/>
          <w:i/>
          <w:iCs/>
          <w:sz w:val="24"/>
          <w:szCs w:val="24"/>
        </w:rPr>
        <w:t>et al.,</w:t>
      </w:r>
      <w:r>
        <w:rPr>
          <w:rFonts w:hint="default"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w:t>
      </w:r>
    </w:p>
    <w:p w14:paraId="0FFB6748">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Though aphrodisiac activity of </w:t>
      </w:r>
      <w:r>
        <w:rPr>
          <w:rFonts w:hint="default" w:ascii="Times New Roman" w:hAnsi="Times New Roman"/>
          <w:i/>
          <w:iCs/>
          <w:sz w:val="24"/>
          <w:szCs w:val="24"/>
        </w:rPr>
        <w:t>S. aromaticum</w:t>
      </w:r>
      <w:r>
        <w:rPr>
          <w:rFonts w:hint="default"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hint="default" w:ascii="Times New Roman" w:hAnsi="Times New Roman"/>
          <w:i/>
          <w:iCs/>
          <w:sz w:val="24"/>
          <w:szCs w:val="24"/>
        </w:rPr>
        <w:t>et al.,</w:t>
      </w:r>
      <w:r>
        <w:rPr>
          <w:rFonts w:hint="default" w:ascii="Times New Roman" w:hAnsi="Times New Roman"/>
          <w:sz w:val="24"/>
          <w:szCs w:val="24"/>
        </w:rPr>
        <w:t xml:space="preserve"> 2021; Kpomah </w:t>
      </w:r>
      <w:r>
        <w:rPr>
          <w:rFonts w:hint="default" w:ascii="Times New Roman" w:hAnsi="Times New Roman"/>
          <w:i/>
          <w:iCs/>
          <w:sz w:val="24"/>
          <w:szCs w:val="24"/>
        </w:rPr>
        <w:t>et al.,</w:t>
      </w:r>
      <w:r>
        <w:rPr>
          <w:rFonts w:hint="default" w:ascii="Times New Roman" w:hAnsi="Times New Roman"/>
          <w:sz w:val="24"/>
          <w:szCs w:val="24"/>
        </w:rPr>
        <w:t xml:space="preserve"> 2024). It is a strong rationale for investigating the aqueous extract of </w:t>
      </w:r>
      <w:r>
        <w:rPr>
          <w:rFonts w:hint="default" w:ascii="Times New Roman" w:hAnsi="Times New Roman"/>
          <w:i/>
          <w:iCs/>
          <w:sz w:val="24"/>
          <w:szCs w:val="24"/>
        </w:rPr>
        <w:t>S. aromaticum</w:t>
      </w:r>
      <w:r>
        <w:rPr>
          <w:rFonts w:hint="default"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D7666E8">
      <w:pPr>
        <w:pStyle w:val="3"/>
        <w:bidi w:val="0"/>
        <w:spacing w:line="240" w:lineRule="auto"/>
        <w:rPr>
          <w:rFonts w:hint="default"/>
        </w:rPr>
      </w:pPr>
      <w:bookmarkStart w:id="9" w:name="_Toc12307"/>
      <w:r>
        <w:rPr>
          <w:rFonts w:hint="default"/>
        </w:rPr>
        <w:t>1.2 Justification for the Study</w:t>
      </w:r>
      <w:bookmarkEnd w:id="9"/>
    </w:p>
    <w:p w14:paraId="064F356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14:paraId="7AB19E80">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sz w:val="24"/>
          <w:szCs w:val="24"/>
        </w:rPr>
        <w:t>Medicinal herbs have been used traditionally to enhance sexual function from ancient times in many systems of traditional medicine.</w:t>
      </w:r>
      <w:r>
        <w:rPr>
          <w:rFonts w:hint="default" w:ascii="Times New Roman" w:hAnsi="Times New Roman"/>
          <w:i/>
          <w:iCs/>
          <w:sz w:val="24"/>
          <w:szCs w:val="24"/>
        </w:rPr>
        <w:t xml:space="preserve"> </w:t>
      </w: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14:paraId="3CDFD9E6">
      <w:pPr>
        <w:pStyle w:val="3"/>
        <w:bidi w:val="0"/>
        <w:spacing w:line="240" w:lineRule="auto"/>
        <w:rPr>
          <w:rFonts w:hint="default"/>
        </w:rPr>
      </w:pPr>
      <w:bookmarkStart w:id="10" w:name="_Toc23532"/>
      <w:r>
        <w:rPr>
          <w:rFonts w:hint="default"/>
        </w:rPr>
        <w:t>1.3 Problem Statement</w:t>
      </w:r>
      <w:bookmarkEnd w:id="10"/>
    </w:p>
    <w:p w14:paraId="47EF883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14:paraId="24FFB42C">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hint="default" w:ascii="Times New Roman" w:hAnsi="Times New Roman"/>
          <w:i/>
          <w:iCs/>
          <w:sz w:val="24"/>
          <w:szCs w:val="24"/>
        </w:rPr>
        <w:t xml:space="preserve">Syzygium aromaticum </w:t>
      </w:r>
      <w:r>
        <w:rPr>
          <w:rFonts w:hint="default" w:ascii="Times New Roman" w:hAnsi="Times New Roman"/>
          <w:sz w:val="24"/>
          <w:szCs w:val="24"/>
        </w:rPr>
        <w:t xml:space="preserve">(clove) has been classically used as an aphrodisiac and is also known to possess antioxidant, anti-inflammatory, and androgen-stimulating activity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04DC35ED">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absence of scientific evidence on the putative therapeutic action of S. </w:t>
      </w:r>
      <w:r>
        <w:rPr>
          <w:rFonts w:hint="default" w:ascii="Times New Roman" w:hAnsi="Times New Roman"/>
          <w:i/>
          <w:iCs/>
          <w:sz w:val="24"/>
          <w:szCs w:val="24"/>
        </w:rPr>
        <w:t xml:space="preserve">aromaticum </w:t>
      </w:r>
      <w:r>
        <w:rPr>
          <w:rFonts w:hint="default"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as a substitute or adjunct treatment for SSRI-induced erectile dysfunction.</w:t>
      </w:r>
    </w:p>
    <w:p w14:paraId="146B3DFE">
      <w:pPr>
        <w:pStyle w:val="3"/>
        <w:bidi w:val="0"/>
        <w:spacing w:line="240" w:lineRule="auto"/>
        <w:rPr>
          <w:rFonts w:hint="default"/>
        </w:rPr>
      </w:pPr>
      <w:bookmarkStart w:id="11" w:name="_Toc10104"/>
      <w:r>
        <w:rPr>
          <w:rFonts w:hint="default"/>
        </w:rPr>
        <w:t>1.4 Significance of the Study</w:t>
      </w:r>
      <w:bookmarkEnd w:id="11"/>
    </w:p>
    <w:p w14:paraId="60B68872">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14:paraId="29B785A6">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significance of this study is that it examines Syzygium </w:t>
      </w:r>
      <w:r>
        <w:rPr>
          <w:rFonts w:hint="default" w:ascii="Times New Roman" w:hAnsi="Times New Roman"/>
          <w:i/>
          <w:iCs/>
          <w:sz w:val="24"/>
          <w:szCs w:val="24"/>
        </w:rPr>
        <w:t>aromaticum</w:t>
      </w:r>
      <w:r>
        <w:rPr>
          <w:rFonts w:hint="default" w:ascii="Times New Roman" w:hAnsi="Times New Roman"/>
          <w:sz w:val="24"/>
          <w:szCs w:val="24"/>
        </w:rPr>
        <w:t xml:space="preserve">, a prevalent medicinal herb with traditional aphrodisiac and healing claims. Previous studies suggest that S. </w:t>
      </w:r>
      <w:r>
        <w:rPr>
          <w:rFonts w:hint="default" w:ascii="Times New Roman" w:hAnsi="Times New Roman"/>
          <w:i/>
          <w:iCs/>
          <w:sz w:val="24"/>
          <w:szCs w:val="24"/>
        </w:rPr>
        <w:t xml:space="preserve">aromaticum </w:t>
      </w:r>
      <w:r>
        <w:rPr>
          <w:rFonts w:hint="default" w:ascii="Times New Roman" w:hAnsi="Times New Roman"/>
          <w:sz w:val="24"/>
          <w:szCs w:val="24"/>
        </w:rPr>
        <w:t xml:space="preserve">contains pharmacologically active compounds such as eugenol and flavonoids with antioxidant, androgenic, and nitric oxide-enhancing activities (Ajiboye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2B7CA4F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14:paraId="14C6BF69">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07427CB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4CFE961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309C6938">
      <w:pPr>
        <w:pStyle w:val="3"/>
        <w:bidi w:val="0"/>
        <w:spacing w:line="360" w:lineRule="auto"/>
        <w:rPr>
          <w:rFonts w:hint="default"/>
        </w:rPr>
      </w:pPr>
      <w:bookmarkStart w:id="12" w:name="_Toc16192"/>
      <w:r>
        <w:rPr>
          <w:rFonts w:hint="default"/>
        </w:rPr>
        <w:t>1.5 Objectives of the Study</w:t>
      </w:r>
      <w:bookmarkEnd w:id="12"/>
    </w:p>
    <w:p w14:paraId="23EFB343">
      <w:pPr>
        <w:pStyle w:val="5"/>
        <w:keepNext w:val="0"/>
        <w:keepLines w:val="0"/>
        <w:widowControl/>
        <w:suppressLineNumbers w:val="0"/>
        <w:tabs>
          <w:tab w:val="left" w:pos="2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overall aim of this study was to evaluate the therapeutic effects of aqueous extract of </w:t>
      </w:r>
      <w:r>
        <w:rPr>
          <w:rStyle w:val="8"/>
          <w:rFonts w:hint="default" w:ascii="Times New Roman" w:hAnsi="Times New Roman" w:cs="Times New Roman"/>
          <w:b w:val="0"/>
          <w:bCs w:val="0"/>
          <w:i/>
          <w:iCs/>
          <w:sz w:val="24"/>
          <w:szCs w:val="24"/>
        </w:rPr>
        <w:t>Syzygium aromaticum</w:t>
      </w:r>
      <w:r>
        <w:rPr>
          <w:rFonts w:hint="default" w:ascii="Times New Roman" w:hAnsi="Times New Roman" w:cs="Times New Roman"/>
          <w:b w:val="0"/>
          <w:bCs w:val="0"/>
          <w:i/>
          <w:iCs/>
          <w:sz w:val="24"/>
          <w:szCs w:val="24"/>
        </w:rPr>
        <w:t xml:space="preserve"> </w:t>
      </w:r>
      <w:r>
        <w:rPr>
          <w:rFonts w:hint="default" w:ascii="Times New Roman" w:hAnsi="Times New Roman" w:cs="Times New Roman"/>
          <w:b w:val="0"/>
          <w:bCs w:val="0"/>
          <w:sz w:val="24"/>
          <w:szCs w:val="24"/>
        </w:rPr>
        <w:t>on erectile dysfunction induced by paroxetine in male Wistar rats. The specific objectives of the study were to:</w:t>
      </w:r>
    </w:p>
    <w:p w14:paraId="57B22894">
      <w:pPr>
        <w:numPr>
          <w:ilvl w:val="0"/>
          <w:numId w:val="2"/>
        </w:numPr>
        <w:spacing w:line="480" w:lineRule="auto"/>
        <w:ind w:left="425" w:leftChars="0" w:hanging="425" w:firstLineChars="0"/>
        <w:rPr>
          <w:rFonts w:hint="default" w:ascii="Times New Roman" w:hAnsi="Times New Roman" w:cs="Times New Roman"/>
          <w:b w:val="0"/>
          <w:bCs w:val="0"/>
          <w:i/>
          <w:iCs/>
          <w:sz w:val="24"/>
          <w:szCs w:val="24"/>
        </w:rPr>
      </w:pPr>
      <w:r>
        <w:rPr>
          <w:rFonts w:hint="default" w:ascii="Times New Roman" w:hAnsi="Times New Roman" w:cs="Times New Roman"/>
          <w:b w:val="0"/>
          <w:bCs w:val="0"/>
          <w:sz w:val="24"/>
          <w:szCs w:val="24"/>
        </w:rPr>
        <w:t xml:space="preserve">prepare aqueous extract of  </w:t>
      </w:r>
      <w:r>
        <w:rPr>
          <w:rFonts w:hint="default" w:ascii="Times New Roman" w:hAnsi="Times New Roman" w:cs="Times New Roman"/>
          <w:b w:val="0"/>
          <w:bCs w:val="0"/>
          <w:i/>
          <w:iCs/>
          <w:sz w:val="24"/>
          <w:szCs w:val="24"/>
        </w:rPr>
        <w:t>S. aromaticum;</w:t>
      </w:r>
    </w:p>
    <w:p w14:paraId="08DB98C6">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induce erectile dysfunction in Wistar rats using paroxetine administration;</w:t>
      </w:r>
    </w:p>
    <w:p w14:paraId="74CB4CE4">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administer the induced rats with </w:t>
      </w:r>
      <w:r>
        <w:rPr>
          <w:rFonts w:hint="default" w:ascii="Times New Roman" w:hAnsi="Times New Roman" w:cs="Times New Roman"/>
          <w:b w:val="0"/>
          <w:bCs w:val="0"/>
          <w:i/>
          <w:iCs/>
          <w:sz w:val="24"/>
          <w:szCs w:val="24"/>
        </w:rPr>
        <w:t xml:space="preserve">S. aromaticum </w:t>
      </w:r>
      <w:r>
        <w:rPr>
          <w:rFonts w:hint="default" w:ascii="Times New Roman" w:hAnsi="Times New Roman" w:cs="Times New Roman"/>
          <w:b w:val="0"/>
          <w:bCs w:val="0"/>
          <w:i w:val="0"/>
          <w:iCs w:val="0"/>
          <w:sz w:val="24"/>
          <w:szCs w:val="24"/>
        </w:rPr>
        <w:t>extract;</w:t>
      </w:r>
    </w:p>
    <w:p w14:paraId="61BB5CE1">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assess the enzymatic biomarker of erectile dysfunction (PDE 5 and Arginase) in the penile organs of experimental rats;</w:t>
      </w:r>
    </w:p>
    <w:p w14:paraId="609C8A65">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examine the penile nitric oxide and protein levels of the experimental rats;</w:t>
      </w:r>
    </w:p>
    <w:p w14:paraId="54480DE0">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investigate creatinine kinase activity in serum of the animals;</w:t>
      </w:r>
    </w:p>
    <w:p w14:paraId="05BCCAED">
      <w:pPr>
        <w:numPr>
          <w:ilvl w:val="0"/>
          <w:numId w:val="2"/>
        </w:numPr>
        <w:spacing w:line="480" w:lineRule="auto"/>
        <w:ind w:left="425" w:leftChars="0" w:hanging="425" w:firstLineChars="0"/>
        <w:rPr>
          <w:rFonts w:hint="default" w:ascii="Times New Roman" w:hAnsi="Times New Roman"/>
          <w:sz w:val="24"/>
          <w:szCs w:val="24"/>
        </w:rPr>
      </w:pPr>
      <w:r>
        <w:rPr>
          <w:rFonts w:hint="default" w:ascii="Times New Roman" w:hAnsi="Times New Roman" w:cs="Times New Roman"/>
          <w:b w:val="0"/>
          <w:bCs w:val="0"/>
          <w:i w:val="0"/>
          <w:iCs w:val="0"/>
          <w:sz w:val="24"/>
          <w:szCs w:val="24"/>
        </w:rPr>
        <w:t>carryout lipid profile assessment on serum of the experimental rats.</w:t>
      </w:r>
    </w:p>
    <w:p w14:paraId="39A1CFEC">
      <w:pPr>
        <w:rPr>
          <w:rFonts w:hint="default" w:ascii="Times New Roman" w:hAnsi="Times New Roman"/>
          <w:sz w:val="24"/>
          <w:szCs w:val="24"/>
        </w:rPr>
      </w:pPr>
      <w:r>
        <w:rPr>
          <w:rFonts w:hint="default" w:ascii="Times New Roman" w:hAnsi="Times New Roman"/>
          <w:sz w:val="24"/>
          <w:szCs w:val="24"/>
        </w:rPr>
        <w:br w:type="page"/>
      </w:r>
    </w:p>
    <w:p w14:paraId="5E9E08D5">
      <w:pPr>
        <w:pStyle w:val="2"/>
        <w:bidi w:val="0"/>
        <w:spacing w:line="240" w:lineRule="auto"/>
        <w:ind w:left="2160" w:leftChars="0" w:firstLine="720" w:firstLineChars="0"/>
        <w:rPr>
          <w:rFonts w:hint="default"/>
        </w:rPr>
      </w:pPr>
      <w:bookmarkStart w:id="13" w:name="_Toc4495"/>
      <w:r>
        <w:rPr>
          <w:rFonts w:hint="default"/>
        </w:rPr>
        <w:t>CHAPTER TWO</w:t>
      </w:r>
      <w:bookmarkEnd w:id="13"/>
    </w:p>
    <w:p w14:paraId="5AE5821E">
      <w:pPr>
        <w:pStyle w:val="2"/>
        <w:bidi w:val="0"/>
        <w:spacing w:line="240" w:lineRule="auto"/>
        <w:rPr>
          <w:rFonts w:hint="default" w:ascii="Times New Roman" w:hAnsi="Times New Roman"/>
          <w:b/>
          <w:bCs/>
          <w:szCs w:val="24"/>
        </w:rPr>
      </w:pPr>
      <w:bookmarkStart w:id="14" w:name="_Toc29404"/>
      <w:r>
        <w:rPr>
          <w:rFonts w:hint="default"/>
        </w:rPr>
        <w:t>2.0 LITERATURE REVIEW</w:t>
      </w:r>
      <w:bookmarkEnd w:id="14"/>
    </w:p>
    <w:p w14:paraId="775283AD">
      <w:pPr>
        <w:pStyle w:val="3"/>
        <w:bidi w:val="0"/>
        <w:spacing w:line="240" w:lineRule="auto"/>
        <w:rPr>
          <w:rFonts w:hint="default"/>
        </w:rPr>
      </w:pPr>
      <w:bookmarkStart w:id="15" w:name="_Toc5816"/>
      <w:r>
        <w:rPr>
          <w:rFonts w:hint="default"/>
        </w:rPr>
        <w:t>2.1 Erectile Dysfunction</w:t>
      </w:r>
      <w:bookmarkEnd w:id="15"/>
    </w:p>
    <w:p w14:paraId="187BFB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the repeated or persistent inability to attain or maintain a penile erection sufficient for satisfactory sexual performance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Feng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741959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2017;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w:t>
      </w:r>
    </w:p>
    <w:p w14:paraId="1163C35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Kassan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2013). This emphasizes the role of antioxidant defense mechanisms, such as superoxide dismutase (SOD) and glutathione peroxidase, in maintaining normal erectile function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187BDEE">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Experiments using animal models have shown that paroxetine decreases testicular weight, serum testosterone, and penile NO levels, testifying to its negative action on sexual function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E82BED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have also demonstrated promising results in experimental models via testosterone level enhancement, NO synthesis, and reversal of SSRI-induced dysfunction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637F05C1">
      <w:pPr>
        <w:pStyle w:val="3"/>
        <w:bidi w:val="0"/>
        <w:spacing w:line="240" w:lineRule="auto"/>
        <w:rPr>
          <w:rFonts w:hint="default"/>
        </w:rPr>
      </w:pPr>
      <w:bookmarkStart w:id="16" w:name="_Toc8841"/>
      <w:r>
        <w:rPr>
          <w:rFonts w:hint="default"/>
        </w:rPr>
        <w:t>2.2 Epidemiology of Erectile Dysfunction</w:t>
      </w:r>
      <w:bookmarkEnd w:id="16"/>
    </w:p>
    <w:p w14:paraId="121501E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Prevalence rises from approximately 10% for men below the age of 40 years to more than 60% among men above 70 years (Dilixiati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This is associated not only with age but also with the cumulative vascular, endocrine, and neurological deficits.</w:t>
      </w:r>
    </w:p>
    <w:p w14:paraId="66BB8BA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This has implications for the cumulative effect of aging on endothelial function and hormonal control, both important predictors of erectile capability.</w:t>
      </w:r>
    </w:p>
    <w:p w14:paraId="00F2069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7CCFA51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Besides, sexual dysfunction is stigmatized and hence underreported, limiting accuracy in data in the majority of regions.</w:t>
      </w:r>
    </w:p>
    <w:p w14:paraId="24770F4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579C0498">
      <w:pPr>
        <w:pStyle w:val="3"/>
        <w:bidi w:val="0"/>
        <w:spacing w:line="240" w:lineRule="auto"/>
        <w:rPr>
          <w:rFonts w:hint="default"/>
        </w:rPr>
      </w:pPr>
      <w:bookmarkStart w:id="17" w:name="_Toc27865"/>
      <w:r>
        <w:rPr>
          <w:rFonts w:hint="default"/>
        </w:rPr>
        <w:t>2.3 Pathophysiology of Erectile Dysfunction</w:t>
      </w:r>
      <w:bookmarkEnd w:id="17"/>
      <w:r>
        <w:rPr>
          <w:rFonts w:hint="default"/>
        </w:rPr>
        <w:t xml:space="preserve"> </w:t>
      </w:r>
    </w:p>
    <w:p w14:paraId="7EBD172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2DD1343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444DDDE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bookmarkStart w:id="67" w:name="_GoBack"/>
      <w:bookmarkEnd w:id="67"/>
    </w:p>
    <w:p w14:paraId="0691A611">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1: Pathophysiology of Erectile Dysfunction</w:t>
      </w:r>
    </w:p>
    <w:p w14:paraId="519560A8">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Roushias, S., &amp; Ossei-Gerning</w:t>
      </w:r>
      <w:r>
        <w:rPr>
          <w:rFonts w:hint="default" w:ascii="Times New Roman" w:hAnsi="Times New Roman"/>
          <w:b w:val="0"/>
          <w:bCs w:val="0"/>
          <w:sz w:val="24"/>
          <w:szCs w:val="24"/>
          <w:lang/>
        </w:rPr>
        <w:t xml:space="preserve"> </w:t>
      </w:r>
      <w:r>
        <w:rPr>
          <w:rFonts w:hint="default" w:ascii="Times New Roman" w:hAnsi="Times New Roman"/>
          <w:b w:val="0"/>
          <w:bCs w:val="0"/>
          <w:sz w:val="24"/>
          <w:szCs w:val="24"/>
        </w:rPr>
        <w:t xml:space="preserve"> (2018).</w:t>
      </w:r>
    </w:p>
    <w:p w14:paraId="027A70D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Chronic exposure to ROS also induces accumulation of collagen in corpus cavernosum, causing fibrosis and penile tissue loss of elasticity (Ziapour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Malondialdehyde and decreased superoxide dismutase activity have been reported as biomarkers for oxidative damage in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FB0923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Clinical evidence reports that testosterone replacement is capable of recovering erectile function in hypogonadal men through enhanced NOS function and vascular reactivity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521FA0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Xie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5925EA8E">
      <w:pPr>
        <w:pStyle w:val="3"/>
        <w:bidi w:val="0"/>
        <w:spacing w:line="240" w:lineRule="auto"/>
        <w:rPr>
          <w:rFonts w:hint="default"/>
        </w:rPr>
      </w:pPr>
      <w:bookmarkStart w:id="18" w:name="_Toc2255"/>
      <w:r>
        <w:rPr>
          <w:rFonts w:hint="default"/>
        </w:rPr>
        <w:t>2.3.1 Phosphodiesterase 5</w:t>
      </w:r>
      <w:bookmarkEnd w:id="18"/>
    </w:p>
    <w:p w14:paraId="7767E7A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6844D95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44734E9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14:paraId="4EAC888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long-term safety, drug interactions, and individual variations in response remain areas requiring continued investigation.</w:t>
      </w:r>
    </w:p>
    <w:p w14:paraId="7E0C490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0609AABA">
      <w:pPr>
        <w:pStyle w:val="3"/>
        <w:bidi w:val="0"/>
        <w:spacing w:line="240" w:lineRule="auto"/>
        <w:rPr>
          <w:rFonts w:hint="default"/>
        </w:rPr>
      </w:pPr>
      <w:bookmarkStart w:id="19" w:name="_Toc14250"/>
      <w:r>
        <w:rPr>
          <w:rFonts w:hint="default"/>
        </w:rPr>
        <w:t>2.3.2 Arginase</w:t>
      </w:r>
      <w:bookmarkEnd w:id="19"/>
    </w:p>
    <w:p w14:paraId="575F0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55BBA94">
      <w:pPr>
        <w:numPr>
          <w:ilvl w:val="0"/>
          <w:numId w:val="0"/>
        </w:numPr>
        <w:spacing w:line="480" w:lineRule="auto"/>
        <w:ind w:leftChars="0"/>
        <w:jc w:val="both"/>
        <w:rPr>
          <w:rFonts w:hint="default" w:ascii="Times New Roman" w:hAnsi="Times New Roman"/>
          <w:b w:val="0"/>
          <w:bCs w:val="0"/>
          <w:sz w:val="24"/>
          <w:szCs w:val="24"/>
        </w:rPr>
      </w:pPr>
    </w:p>
    <w:p w14:paraId="2D81BD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This indicates that arginase acts as a negative regulator of NO signaling in penile tissue, with direct consequences on erectile capacity.</w:t>
      </w:r>
    </w:p>
    <w:p w14:paraId="46C3223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14:paraId="2785D2B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agents or plant-derived compounds that inhibit arginase activity have shown promise in restoring erectile function. For instance, certain polyphenols and flavonoids found in </w:t>
      </w:r>
      <w:r>
        <w:rPr>
          <w:rFonts w:hint="default" w:ascii="Times New Roman" w:hAnsi="Times New Roman"/>
          <w:b w:val="0"/>
          <w:bCs w:val="0"/>
          <w:i w:val="0"/>
          <w:iCs w:val="0"/>
          <w:sz w:val="24"/>
          <w:szCs w:val="24"/>
        </w:rPr>
        <w:t xml:space="preserve">Syzygium aromaticum </w:t>
      </w:r>
      <w:r>
        <w:rPr>
          <w:rFonts w:hint="default" w:ascii="Times New Roman" w:hAnsi="Times New Roman"/>
          <w:b w:val="0"/>
          <w:bCs w:val="0"/>
          <w:sz w:val="24"/>
          <w:szCs w:val="24"/>
        </w:rPr>
        <w:t xml:space="preserve">and other medicinal plants possess arginase-inhibitory effects, which may account for their vasodilatory and aphrodisiac properties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Targeting arginase not only boosts NO levels but also limits pro-fibrotic and inflammatory pathways, making it a compelling therapeutic target for drug development and phytotherapy in ED management.</w:t>
      </w:r>
    </w:p>
    <w:p w14:paraId="2CD21341">
      <w:pPr>
        <w:pStyle w:val="3"/>
        <w:bidi w:val="0"/>
        <w:spacing w:line="240" w:lineRule="auto"/>
        <w:rPr>
          <w:rFonts w:hint="default"/>
        </w:rPr>
      </w:pPr>
      <w:bookmarkStart w:id="20" w:name="_Toc2193"/>
      <w:r>
        <w:rPr>
          <w:rFonts w:hint="default"/>
        </w:rPr>
        <w:t>2.3.3 Nitric oxide</w:t>
      </w:r>
      <w:bookmarkEnd w:id="20"/>
      <w:r>
        <w:rPr>
          <w:rFonts w:hint="default"/>
        </w:rPr>
        <w:t xml:space="preserve"> </w:t>
      </w:r>
    </w:p>
    <w:p w14:paraId="11A69CC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w:t>
      </w:r>
    </w:p>
    <w:p w14:paraId="36A97D7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45729F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 Consequently, NO deficiency is now recognized as one of the core molecular mechanisms underlying both organic and psychogenic forms of erectile dysfunction.</w:t>
      </w:r>
    </w:p>
    <w:p w14:paraId="07F98DB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These biochemical disruptions compromise cavernosal vasodilation and are linked with reduced responsiveness to phosphodiesterase-5 inhibitors (PDE5is).</w:t>
      </w:r>
    </w:p>
    <w:p w14:paraId="6C39B43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Oyovwi &amp; Atere, 2024). </w:t>
      </w:r>
    </w:p>
    <w:p w14:paraId="382B7877">
      <w:pPr>
        <w:pStyle w:val="3"/>
        <w:bidi w:val="0"/>
        <w:spacing w:line="240" w:lineRule="auto"/>
        <w:rPr>
          <w:rFonts w:hint="default"/>
        </w:rPr>
      </w:pPr>
      <w:bookmarkStart w:id="21" w:name="_Toc3175"/>
      <w:r>
        <w:rPr>
          <w:rFonts w:hint="default"/>
        </w:rPr>
        <w:t>2.3.4 Creatinine Kinase</w:t>
      </w:r>
      <w:bookmarkEnd w:id="21"/>
    </w:p>
    <w:p w14:paraId="32ABE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2001;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In the erectile process, CK contributes to the rapid regeneration of ATP, enabling sustained contraction and relaxation of smooth muscle cells during penile tumescence and detumescence.</w:t>
      </w:r>
    </w:p>
    <w:p w14:paraId="68F607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2014; Giri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8E1CDC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34F26E0D">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0A0FEDBE">
      <w:pPr>
        <w:pStyle w:val="3"/>
        <w:bidi w:val="0"/>
        <w:spacing w:line="240" w:lineRule="auto"/>
        <w:rPr>
          <w:rFonts w:hint="default"/>
        </w:rPr>
      </w:pPr>
      <w:bookmarkStart w:id="22" w:name="_Toc12405"/>
      <w:r>
        <w:rPr>
          <w:rFonts w:hint="default"/>
        </w:rPr>
        <w:t>2.4 Treatment of Erectile Dysfunction</w:t>
      </w:r>
      <w:bookmarkEnd w:id="22"/>
    </w:p>
    <w:p w14:paraId="64A4D7CD">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PDE5is are effective in approximately 70–80% of patients, although their efficacy may be reduced in individuals with severe endothelial dysfunction, diabetes, or those using SSRIs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575EC67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TRT is contraindicated in certain patients, including those with prostate cancer, and must be carefully monitored due to potential adverse effects.</w:t>
      </w:r>
    </w:p>
    <w:p w14:paraId="06A9E78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14:paraId="209D9F4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2: Treatment of Erectile Dysfunction</w:t>
      </w:r>
    </w:p>
    <w:p w14:paraId="21DED16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New Approaches in Oncology for Repositioning Drugs: The Case of PDE5 Inhibitor Sildenafil (2025)</w:t>
      </w:r>
    </w:p>
    <w:p w14:paraId="30AACD4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Vardi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1040189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3DFFAEFA">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w:t>
      </w:r>
    </w:p>
    <w:p w14:paraId="0D06EF48">
      <w:pPr>
        <w:pStyle w:val="3"/>
        <w:bidi w:val="0"/>
        <w:spacing w:line="240" w:lineRule="auto"/>
        <w:rPr>
          <w:rFonts w:hint="default"/>
        </w:rPr>
      </w:pPr>
      <w:bookmarkStart w:id="23" w:name="_Toc15373"/>
      <w:r>
        <w:rPr>
          <w:rFonts w:hint="default"/>
        </w:rPr>
        <w:t>2.4.1 Limitations of Current Erectile Dysfunction Treatment</w:t>
      </w:r>
      <w:bookmarkEnd w:id="23"/>
    </w:p>
    <w:p w14:paraId="375A886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Moreover, PDE5 is require sexual stimulation to be effective and do not address underlying psychological or hormonal causes of ED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6DC522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Furthermore, many patients require combination therapy with TRT and PDE5is to achieve satisfactory results, highlighting the insufficiency of monotherapy in complex cases (Islam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4867092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Additionally, concerns about adulteration, drug-herb interactions, and delayed onset of action limit their utility for acute ED management.</w:t>
      </w:r>
    </w:p>
    <w:p w14:paraId="7F4A9D6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Additionally, few healthcare systems integrate psychological interventions with pharmacotherapy as part of a standard ED care pathway.</w:t>
      </w:r>
    </w:p>
    <w:p w14:paraId="72BE6CA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2B6154C">
      <w:pPr>
        <w:pStyle w:val="3"/>
        <w:bidi w:val="0"/>
        <w:spacing w:line="240" w:lineRule="auto"/>
        <w:rPr>
          <w:rFonts w:hint="default"/>
        </w:rPr>
      </w:pPr>
      <w:bookmarkStart w:id="24" w:name="_Toc24234"/>
      <w:r>
        <w:rPr>
          <w:rFonts w:hint="default"/>
        </w:rPr>
        <w:t>2.5 Syzygium aromaticum</w:t>
      </w:r>
      <w:bookmarkEnd w:id="24"/>
    </w:p>
    <w:p w14:paraId="0C9AFFF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hint="default" w:ascii="Times New Roman" w:hAnsi="Times New Roman"/>
          <w:b w:val="0"/>
          <w:bCs w:val="0"/>
          <w:i/>
          <w:iCs/>
          <w:sz w:val="24"/>
          <w:szCs w:val="24"/>
        </w:rPr>
        <w:t>Corpora cavernosae</w:t>
      </w:r>
      <w:r>
        <w:rPr>
          <w:rFonts w:hint="default" w:ascii="Times New Roman" w:hAnsi="Times New Roman"/>
          <w:b w:val="0"/>
          <w:bCs w:val="0"/>
          <w:i w:val="0"/>
          <w:iCs w:val="0"/>
          <w:sz w:val="24"/>
          <w:szCs w:val="24"/>
        </w:rPr>
        <w:t>.</w:t>
      </w:r>
    </w:p>
    <w:p w14:paraId="2426B5AC">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2017;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2ED4C934">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 is particularly observed in SSRI-induced erectile dysfunction, such as that caused by paroxetine, which is known to decrease testosterone levels and suppress NO synthesis in penile tissue.</w:t>
      </w:r>
    </w:p>
    <w:p w14:paraId="3A744F9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2020). </w:t>
      </w:r>
    </w:p>
    <w:p w14:paraId="649C97CF">
      <w:pPr>
        <w:pStyle w:val="3"/>
        <w:bidi w:val="0"/>
        <w:spacing w:line="240" w:lineRule="auto"/>
        <w:rPr>
          <w:rFonts w:hint="default"/>
        </w:rPr>
      </w:pPr>
      <w:bookmarkStart w:id="25" w:name="_Toc24722"/>
      <w:r>
        <w:rPr>
          <w:rFonts w:hint="default"/>
        </w:rPr>
        <w:t>2.5.1 Bioactive Components of Syzygium aromaticum</w:t>
      </w:r>
      <w:bookmarkEnd w:id="25"/>
    </w:p>
    <w:p w14:paraId="44A35CDA">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hint="default" w:ascii="Times New Roman" w:hAnsi="Times New Roman"/>
          <w:i/>
          <w:iCs/>
          <w:sz w:val="24"/>
          <w:szCs w:val="24"/>
        </w:rPr>
        <w:t>et al.,</w:t>
      </w:r>
      <w:r>
        <w:rPr>
          <w:rFonts w:hint="default" w:ascii="Times New Roman" w:hAnsi="Times New Roman"/>
          <w:sz w:val="24"/>
          <w:szCs w:val="24"/>
        </w:rPr>
        <w:t xml:space="preserve"> 2024; Otunola, 2022).</w:t>
      </w:r>
    </w:p>
    <w:p w14:paraId="4EBCAD73">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w:t>
      </w:r>
      <w:r>
        <w:rPr>
          <w:rFonts w:hint="default" w:ascii="Times New Roman" w:hAnsi="Times New Roman"/>
          <w:i w:val="0"/>
          <w:iCs w:val="0"/>
          <w:sz w:val="24"/>
          <w:szCs w:val="24"/>
        </w:rPr>
        <w:t>et al.,</w:t>
      </w:r>
      <w:r>
        <w:rPr>
          <w:rFonts w:hint="default" w:ascii="Times New Roman" w:hAnsi="Times New Roman"/>
          <w:sz w:val="24"/>
          <w:szCs w:val="24"/>
        </w:rPr>
        <w:t xml:space="preserve"> 2025). Eugenol also stimulates nitric oxide (NO) release and helps in vasodilation through endothelial modulation, thereby facilitating penile erection (Sarkodie </w:t>
      </w:r>
      <w:r>
        <w:rPr>
          <w:rFonts w:hint="default" w:ascii="Times New Roman" w:hAnsi="Times New Roman"/>
          <w:i/>
          <w:iCs/>
          <w:sz w:val="24"/>
          <w:szCs w:val="24"/>
        </w:rPr>
        <w:t>et al.,</w:t>
      </w:r>
      <w:r>
        <w:rPr>
          <w:rFonts w:hint="default" w:ascii="Times New Roman" w:hAnsi="Times New Roman"/>
          <w:sz w:val="24"/>
          <w:szCs w:val="24"/>
        </w:rPr>
        <w:t xml:space="preserve"> 2024).</w:t>
      </w:r>
    </w:p>
    <w:p w14:paraId="22E3813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In addition to eugenol, </w:t>
      </w:r>
      <w:r>
        <w:rPr>
          <w:rFonts w:hint="default" w:ascii="Times New Roman" w:hAnsi="Times New Roman"/>
          <w:i/>
          <w:iCs/>
          <w:sz w:val="24"/>
          <w:szCs w:val="24"/>
        </w:rPr>
        <w:t>S. aromaticum</w:t>
      </w:r>
      <w:r>
        <w:rPr>
          <w:rFonts w:hint="default"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hint="default" w:ascii="Times New Roman" w:hAnsi="Times New Roman"/>
          <w:i/>
          <w:iCs/>
          <w:sz w:val="24"/>
          <w:szCs w:val="24"/>
        </w:rPr>
        <w:t>et al.,</w:t>
      </w:r>
      <w:r>
        <w:rPr>
          <w:rFonts w:hint="default" w:ascii="Times New Roman" w:hAnsi="Times New Roman"/>
          <w:sz w:val="24"/>
          <w:szCs w:val="24"/>
        </w:rPr>
        <w:t xml:space="preserve"> 2024). Flavonoids are also involved in the regulation of hormonal pathways, including testosterone synthesis, which is required for sexual arousal and erectile function.</w:t>
      </w:r>
    </w:p>
    <w:p w14:paraId="5462BB4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hint="default" w:ascii="Times New Roman" w:hAnsi="Times New Roman"/>
          <w:i/>
          <w:iCs/>
          <w:sz w:val="24"/>
          <w:szCs w:val="24"/>
        </w:rPr>
        <w:t>et al.,</w:t>
      </w:r>
      <w:r>
        <w:rPr>
          <w:rFonts w:hint="default" w:ascii="Times New Roman" w:hAnsi="Times New Roman"/>
          <w:sz w:val="24"/>
          <w:szCs w:val="24"/>
        </w:rPr>
        <w:t xml:space="preserve"> 2024; Adama, 2025). Saponins, a class of phytoconstituents, are reported to possess adaptogenic activities that improve stress tolerance and libido.</w:t>
      </w:r>
    </w:p>
    <w:p w14:paraId="2B41D4B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hint="default" w:ascii="Times New Roman" w:hAnsi="Times New Roman"/>
          <w:i/>
          <w:iCs/>
          <w:sz w:val="24"/>
          <w:szCs w:val="24"/>
        </w:rPr>
        <w:t>et al.,</w:t>
      </w:r>
      <w:r>
        <w:rPr>
          <w:rFonts w:hint="default" w:ascii="Times New Roman" w:hAnsi="Times New Roman"/>
          <w:sz w:val="24"/>
          <w:szCs w:val="24"/>
        </w:rPr>
        <w:t xml:space="preserve"> 2024). </w:t>
      </w:r>
    </w:p>
    <w:p w14:paraId="1D574DDD">
      <w:pPr>
        <w:rPr>
          <w:rFonts w:hint="default" w:ascii="Times New Roman" w:hAnsi="Times New Roman"/>
          <w:sz w:val="24"/>
          <w:szCs w:val="24"/>
        </w:rPr>
      </w:pPr>
      <w:r>
        <w:rPr>
          <w:rFonts w:hint="default" w:ascii="Times New Roman" w:hAnsi="Times New Roman"/>
          <w:sz w:val="24"/>
          <w:szCs w:val="24"/>
        </w:rPr>
        <w:br w:type="page"/>
      </w:r>
    </w:p>
    <w:p w14:paraId="5FAE3646">
      <w:pPr>
        <w:pStyle w:val="2"/>
        <w:bidi w:val="0"/>
        <w:spacing w:line="240" w:lineRule="auto"/>
        <w:ind w:left="2160" w:leftChars="0" w:firstLine="720" w:firstLineChars="0"/>
      </w:pPr>
      <w:bookmarkStart w:id="26" w:name="_Toc12238"/>
      <w:r>
        <w:t>CHAPTER THREE</w:t>
      </w:r>
      <w:bookmarkEnd w:id="26"/>
    </w:p>
    <w:p w14:paraId="66F46D08">
      <w:pPr>
        <w:pStyle w:val="2"/>
        <w:bidi w:val="0"/>
        <w:spacing w:line="240" w:lineRule="auto"/>
      </w:pPr>
      <w:bookmarkStart w:id="27" w:name="_Toc19633"/>
      <w:r>
        <w:t>3.0 MATERIALS AND METHODS</w:t>
      </w:r>
      <w:bookmarkEnd w:id="27"/>
    </w:p>
    <w:p w14:paraId="2FEDDE71">
      <w:pPr>
        <w:pStyle w:val="3"/>
        <w:bidi w:val="0"/>
        <w:spacing w:line="240" w:lineRule="auto"/>
      </w:pPr>
      <w:bookmarkStart w:id="28" w:name="_Toc31224"/>
      <w:r>
        <w:t>3.1 Materials</w:t>
      </w:r>
      <w:bookmarkEnd w:id="28"/>
    </w:p>
    <w:p w14:paraId="37B0C809">
      <w:pPr>
        <w:pStyle w:val="3"/>
        <w:bidi w:val="0"/>
        <w:spacing w:line="240" w:lineRule="auto"/>
      </w:pPr>
      <w:bookmarkStart w:id="29" w:name="_Toc15168"/>
      <w:r>
        <w:t>3.1.1 Plant Materials</w:t>
      </w:r>
      <w:bookmarkEnd w:id="29"/>
      <w:r>
        <w:t xml:space="preserve">  </w:t>
      </w:r>
    </w:p>
    <w:p w14:paraId="0E6AB8F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3D91B729">
      <w:pPr>
        <w:pStyle w:val="3"/>
        <w:bidi w:val="0"/>
        <w:spacing w:line="240" w:lineRule="auto"/>
      </w:pPr>
      <w:bookmarkStart w:id="30" w:name="_Toc23870"/>
      <w:r>
        <w:t>3.1.2 Experimental Animal</w:t>
      </w:r>
      <w:bookmarkEnd w:id="30"/>
      <w:r>
        <w:t xml:space="preserve">  </w:t>
      </w:r>
    </w:p>
    <w:p w14:paraId="51C186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1F9ECE45">
      <w:pPr>
        <w:pStyle w:val="3"/>
        <w:bidi w:val="0"/>
        <w:spacing w:line="240" w:lineRule="auto"/>
      </w:pPr>
      <w:bookmarkStart w:id="31" w:name="_Toc16950"/>
      <w:r>
        <w:t>3.1.3 Reagents and Kits</w:t>
      </w:r>
      <w:bookmarkEnd w:id="31"/>
      <w:r>
        <w:t xml:space="preserve">  </w:t>
      </w:r>
    </w:p>
    <w:p w14:paraId="18ED867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14:paraId="1324D182">
      <w:pPr>
        <w:pStyle w:val="3"/>
        <w:bidi w:val="0"/>
        <w:spacing w:line="240" w:lineRule="auto"/>
      </w:pPr>
      <w:bookmarkStart w:id="32" w:name="_Toc32038"/>
      <w:r>
        <w:t>3.2 Methods</w:t>
      </w:r>
      <w:bookmarkEnd w:id="32"/>
    </w:p>
    <w:p w14:paraId="1663883A">
      <w:pPr>
        <w:pStyle w:val="3"/>
        <w:bidi w:val="0"/>
        <w:spacing w:line="240" w:lineRule="auto"/>
      </w:pPr>
      <w:bookmarkStart w:id="33" w:name="_Toc28352"/>
      <w:r>
        <w:t>3.2.1 Preparation of Clove Extract</w:t>
      </w:r>
      <w:bookmarkEnd w:id="33"/>
    </w:p>
    <w:p w14:paraId="33D3EED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42DFBC74">
      <w:pPr>
        <w:spacing w:line="480" w:lineRule="auto"/>
        <w:jc w:val="both"/>
        <w:rPr>
          <w:rFonts w:ascii="Times New Roman" w:hAnsi="Times New Roman" w:cs="Times New Roman"/>
          <w:b/>
          <w:bCs/>
          <w:sz w:val="24"/>
          <w:szCs w:val="24"/>
        </w:rPr>
      </w:pPr>
    </w:p>
    <w:p w14:paraId="22FEB69C">
      <w:pPr>
        <w:pStyle w:val="3"/>
        <w:bidi w:val="0"/>
        <w:spacing w:line="240" w:lineRule="auto"/>
      </w:pPr>
      <w:bookmarkStart w:id="34" w:name="_Toc21219"/>
      <w:r>
        <w:t>3.2.2 Experimental Design</w:t>
      </w:r>
      <w:bookmarkEnd w:id="34"/>
    </w:p>
    <w:p w14:paraId="66B9E546">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1F06A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784071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1936EE7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365188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3997E4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E411510">
      <w:pPr>
        <w:pStyle w:val="3"/>
        <w:bidi w:val="0"/>
        <w:spacing w:line="240" w:lineRule="auto"/>
      </w:pPr>
      <w:bookmarkStart w:id="35" w:name="_Toc23318"/>
      <w:r>
        <w:t>3.2.3 Induction of Erectile Dysfunction</w:t>
      </w:r>
      <w:bookmarkEnd w:id="35"/>
    </w:p>
    <w:p w14:paraId="2F45969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0D9092B3">
      <w:pPr>
        <w:pStyle w:val="3"/>
        <w:bidi w:val="0"/>
        <w:spacing w:line="240" w:lineRule="auto"/>
      </w:pPr>
      <w:bookmarkStart w:id="36" w:name="_Toc18007"/>
      <w:r>
        <w:t>3.2.4 Determination of Body-Organ Weight Ratio</w:t>
      </w:r>
      <w:bookmarkEnd w:id="36"/>
    </w:p>
    <w:p w14:paraId="5F91D5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60FA00E8">
      <w:pPr>
        <w:spacing w:line="480" w:lineRule="auto"/>
        <w:jc w:val="both"/>
        <w:rPr>
          <w:rFonts w:ascii="Times New Roman" w:hAnsi="Times New Roman" w:cs="Times New Roman"/>
          <w:b/>
          <w:bCs/>
          <w:sz w:val="24"/>
          <w:szCs w:val="24"/>
        </w:rPr>
      </w:pPr>
    </w:p>
    <w:p w14:paraId="5C268E66">
      <w:pPr>
        <w:pStyle w:val="3"/>
        <w:bidi w:val="0"/>
      </w:pPr>
      <w:bookmarkStart w:id="37" w:name="_Toc21493"/>
      <w:r>
        <w:t>3.2.5 Determination of Phosphodiesterase 5 Activity</w:t>
      </w:r>
      <w:bookmarkEnd w:id="37"/>
    </w:p>
    <w:p w14:paraId="4544C969">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8DFE19A">
      <w:pPr>
        <w:spacing w:line="480" w:lineRule="auto"/>
        <w:jc w:val="both"/>
        <w:rPr>
          <w:rFonts w:ascii="Times New Roman" w:hAnsi="Times New Roman" w:cs="Times New Roman" w:eastAsiaTheme="minorEastAsia"/>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ctrlPr>
              <w:rPr>
                <w:rFonts w:ascii="Cambria Math" w:hAnsi="Cambria Math" w:cs="Times New Roman"/>
                <w:iCs/>
                <w:sz w:val="24"/>
                <w:szCs w:val="24"/>
              </w:rPr>
            </m:ctrlPr>
          </m:num>
          <m:den>
            <m:r>
              <m:rPr>
                <m:sty m:val="p"/>
              </m:rPr>
              <w:rPr>
                <w:rFonts w:ascii="Cambria Math" w:hAnsi="Cambria Math" w:cs="Times New Roman"/>
                <w:sz w:val="24"/>
                <w:szCs w:val="24"/>
              </w:rPr>
              <m:t>V3</m:t>
            </m:r>
            <m:ctrlPr>
              <w:rPr>
                <w:rFonts w:ascii="Cambria Math" w:hAnsi="Cambria Math" w:cs="Times New Roman"/>
                <w:iCs/>
                <w:sz w:val="24"/>
                <w:szCs w:val="24"/>
              </w:rPr>
            </m:ctrlPr>
          </m:den>
        </m:f>
      </m:oMath>
      <w:r>
        <w:rPr>
          <w:rFonts w:ascii="Times New Roman" w:hAnsi="Times New Roman" w:cs="Times New Roman" w:eastAsiaTheme="minorEastAsia"/>
          <w:iCs/>
          <w:sz w:val="24"/>
          <w:szCs w:val="24"/>
        </w:rPr>
        <w:t xml:space="preserve"> (units/mL)</w:t>
      </w:r>
    </w:p>
    <w:p w14:paraId="1F9484F1">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C227F3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2D36591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3D84CCC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2CAE886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1D7551C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582FF69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173C8A1E">
      <w:pPr>
        <w:pStyle w:val="3"/>
        <w:bidi w:val="0"/>
        <w:spacing w:line="240" w:lineRule="auto"/>
      </w:pPr>
      <w:bookmarkStart w:id="38" w:name="_Toc27686"/>
      <w:bookmarkStart w:id="39" w:name="_Hlk202822397"/>
      <w:r>
        <w:t>3.2.6 Determination of Penile Nitric Oxide Concentrations</w:t>
      </w:r>
      <w:bookmarkEnd w:id="38"/>
    </w:p>
    <w:p w14:paraId="3FE4DA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728B7798">
      <w:pPr>
        <w:pStyle w:val="3"/>
        <w:bidi w:val="0"/>
        <w:spacing w:line="240" w:lineRule="auto"/>
      </w:pPr>
      <w:bookmarkStart w:id="40" w:name="_Toc4838"/>
      <w:r>
        <w:t>3.2.7 Arginase Activity</w:t>
      </w:r>
      <w:bookmarkEnd w:id="40"/>
    </w:p>
    <w:p w14:paraId="0D299AA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3742AAE">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m:oMath>
        <m:f>
          <m:fPr>
            <m:ctrlPr>
              <w:rPr>
                <w:rFonts w:ascii="Cambria Math" w:hAnsi="Cambria Math" w:eastAsia="Calibri" w:cs="Times New Roman"/>
                <w:i/>
                <w:sz w:val="24"/>
                <w:szCs w:val="24"/>
              </w:rPr>
            </m:ctrlPr>
          </m:fPr>
          <m:num>
            <m:r>
              <m:rPr/>
              <w:rPr>
                <w:rFonts w:ascii="Cambria Math" w:hAnsi="Cambria Math" w:eastAsia="Calibri" w:cs="Times New Roman"/>
                <w:sz w:val="24"/>
                <w:szCs w:val="24"/>
              </w:rPr>
              <m:t>Asample ×concentration of standard</m:t>
            </m:r>
            <m:ctrlPr>
              <w:rPr>
                <w:rFonts w:ascii="Cambria Math" w:hAnsi="Cambria Math" w:eastAsia="Calibri" w:cs="Times New Roman"/>
                <w:i/>
                <w:sz w:val="24"/>
                <w:szCs w:val="24"/>
              </w:rPr>
            </m:ctrlPr>
          </m:num>
          <m:den>
            <m:r>
              <m:rPr/>
              <w:rPr>
                <w:rFonts w:ascii="Cambria Math" w:hAnsi="Cambria Math" w:eastAsia="Calibri" w:cs="Times New Roman"/>
                <w:sz w:val="24"/>
                <w:szCs w:val="24"/>
              </w:rPr>
              <m:t>Astandard</m:t>
            </m:r>
            <m:ctrlPr>
              <w:rPr>
                <w:rFonts w:ascii="Cambria Math" w:hAnsi="Cambria Math" w:eastAsia="Calibri" w:cs="Times New Roman"/>
                <w:i/>
                <w:sz w:val="24"/>
                <w:szCs w:val="24"/>
              </w:rPr>
            </m:ctrlPr>
          </m:den>
        </m:f>
      </m:oMath>
      <w:r>
        <w:rPr>
          <w:rFonts w:ascii="Times New Roman" w:hAnsi="Times New Roman" w:eastAsia="Calibri" w:cs="Times New Roman"/>
          <w:sz w:val="24"/>
          <w:szCs w:val="24"/>
        </w:rPr>
        <w:t xml:space="preserve"> </w:t>
      </w:r>
    </w:p>
    <w:p w14:paraId="67BB8F77">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14:paraId="267E4A20">
      <w:pPr>
        <w:pStyle w:val="3"/>
        <w:bidi w:val="0"/>
        <w:spacing w:line="240" w:lineRule="auto"/>
      </w:pPr>
      <w:bookmarkStart w:id="41" w:name="_Toc31072"/>
      <w:r>
        <w:t>3.2.8 Creatine Kinase (CK) Activity Assay</w:t>
      </w:r>
      <w:bookmarkEnd w:id="41"/>
      <w:r>
        <w:t xml:space="preserve">  </w:t>
      </w:r>
    </w:p>
    <w:p w14:paraId="0F5384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24139F8A">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14:paraId="647E948D">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1BFC04D6">
      <w:pPr>
        <w:pStyle w:val="3"/>
        <w:bidi w:val="0"/>
        <w:spacing w:line="240" w:lineRule="auto"/>
      </w:pPr>
      <w:bookmarkStart w:id="42" w:name="_Toc31671"/>
      <w:r>
        <w:t>3.2.9 Lipid Profile</w:t>
      </w:r>
      <w:bookmarkEnd w:id="42"/>
    </w:p>
    <w:p w14:paraId="045B954F">
      <w:pPr>
        <w:pStyle w:val="3"/>
        <w:bidi w:val="0"/>
        <w:spacing w:line="240" w:lineRule="auto"/>
        <w:rPr>
          <w:rFonts w:ascii="Times New Roman" w:hAnsi="Times New Roman" w:cs="Times New Roman"/>
          <w:b/>
          <w:szCs w:val="24"/>
        </w:rPr>
      </w:pPr>
      <w:bookmarkStart w:id="43" w:name="_Toc16784"/>
      <w:r>
        <w:t>3.2.9.1 Serum Total Cholesterol Concentration</w:t>
      </w:r>
      <w:bookmarkEnd w:id="43"/>
    </w:p>
    <w:p w14:paraId="34FF6945">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5E1EEAC2">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3A03E12B">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7C91DBD">
      <w:pPr>
        <w:spacing w:line="360" w:lineRule="auto"/>
        <w:jc w:val="both"/>
        <w:rPr>
          <w:rFonts w:ascii="Times New Roman" w:hAnsi="Times New Roman" w:cs="Times New Roman"/>
          <w:b/>
          <w:sz w:val="24"/>
          <w:szCs w:val="24"/>
        </w:rPr>
      </w:pPr>
    </w:p>
    <w:p w14:paraId="6F7F3993">
      <w:pPr>
        <w:pStyle w:val="3"/>
        <w:bidi w:val="0"/>
        <w:spacing w:line="240" w:lineRule="auto"/>
      </w:pPr>
      <w:bookmarkStart w:id="44" w:name="_Toc32472"/>
      <w:r>
        <w:t>3.2.9.2 Triglycerides concentration</w:t>
      </w:r>
      <w:bookmarkEnd w:id="44"/>
    </w:p>
    <w:p w14:paraId="2D3DE66B">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25461CB4">
      <w:pPr>
        <w:tabs>
          <w:tab w:val="left" w:pos="0"/>
          <w:tab w:val="left" w:pos="720"/>
          <w:tab w:val="left" w:pos="5040"/>
          <w:tab w:val="left" w:pos="6390"/>
          <w:tab w:val="left" w:pos="74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F9D732A">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55A49136">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C8AF07A">
      <w:pPr>
        <w:pStyle w:val="3"/>
        <w:bidi w:val="0"/>
        <w:spacing w:line="240" w:lineRule="auto"/>
      </w:pPr>
      <w:bookmarkStart w:id="45" w:name="_Toc31284"/>
      <w:r>
        <w:t>3.2.9.3 Serum High Density Lipoprotein-Cholesterol Concentration</w:t>
      </w:r>
      <w:bookmarkEnd w:id="45"/>
    </w:p>
    <w:p w14:paraId="46547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116AC0EE">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1EC5659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6B6B7D23">
      <w:pPr>
        <w:spacing w:line="360" w:lineRule="auto"/>
        <w:jc w:val="both"/>
        <w:rPr>
          <w:rFonts w:ascii="Times New Roman" w:hAnsi="Times New Roman" w:cs="Times New Roman"/>
          <w:sz w:val="24"/>
          <w:szCs w:val="24"/>
        </w:rPr>
      </w:pPr>
    </w:p>
    <w:p w14:paraId="0D2CCF46">
      <w:pPr>
        <w:spacing w:line="360" w:lineRule="auto"/>
        <w:jc w:val="both"/>
        <w:rPr>
          <w:rFonts w:ascii="Times New Roman" w:hAnsi="Times New Roman" w:cs="Times New Roman"/>
          <w:b/>
          <w:sz w:val="24"/>
          <w:szCs w:val="24"/>
        </w:rPr>
      </w:pPr>
    </w:p>
    <w:p w14:paraId="247EB972">
      <w:pPr>
        <w:pStyle w:val="3"/>
        <w:bidi w:val="0"/>
        <w:spacing w:line="240" w:lineRule="auto"/>
      </w:pPr>
      <w:bookmarkStart w:id="46" w:name="_Toc3958"/>
      <w:r>
        <w:t>3.2.9.4 Serum Low Density Lipoprotein-Cholesterol Concentration</w:t>
      </w:r>
      <w:bookmarkEnd w:id="46"/>
    </w:p>
    <w:p w14:paraId="601AD45C">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14:paraId="1117AA9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660B161A">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37028B4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66C2B28">
      <w:pPr>
        <w:pStyle w:val="3"/>
        <w:bidi w:val="0"/>
        <w:spacing w:line="240" w:lineRule="auto"/>
      </w:pPr>
      <w:bookmarkStart w:id="47" w:name="_Toc5856"/>
      <w:r>
        <w:t>3.2.9.5 Atherogenic Index</w:t>
      </w:r>
      <w:bookmarkEnd w:id="47"/>
    </w:p>
    <w:p w14:paraId="7A6A055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14:paraId="572ADF0F">
      <w:pPr>
        <w:tabs>
          <w:tab w:val="left" w:pos="3171"/>
        </w:tabs>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ctrlPr>
              <w:rPr>
                <w:rFonts w:ascii="Cambria Math" w:hAnsi="Cambria Math" w:cs="Times New Roman"/>
                <w:iCs/>
                <w:sz w:val="24"/>
                <w:szCs w:val="24"/>
              </w:rPr>
            </m:ctrlPr>
          </m:num>
          <m:den>
            <m:r>
              <m:rPr>
                <m:sty m:val="p"/>
              </m:rPr>
              <w:rPr>
                <w:rFonts w:ascii="Cambria Math" w:hAnsi="Cambria Math" w:cs="Times New Roman"/>
                <w:sz w:val="24"/>
                <w:szCs w:val="24"/>
              </w:rPr>
              <m:t>HDL</m:t>
            </m:r>
            <m:ctrlPr>
              <w:rPr>
                <w:rFonts w:ascii="Cambria Math" w:hAnsi="Cambria Math" w:cs="Times New Roman"/>
                <w:iCs/>
                <w:sz w:val="24"/>
                <w:szCs w:val="24"/>
              </w:rPr>
            </m:ctrlPr>
          </m:den>
        </m:f>
      </m:oMath>
      <w:r>
        <w:rPr>
          <w:rFonts w:ascii="Times New Roman" w:hAnsi="Times New Roman" w:cs="Times New Roman" w:eastAsiaTheme="minorEastAsia"/>
          <w:sz w:val="24"/>
          <w:szCs w:val="24"/>
        </w:rPr>
        <w:t>)</w:t>
      </w:r>
    </w:p>
    <w:p w14:paraId="438CF500">
      <w:pPr>
        <w:pStyle w:val="3"/>
        <w:bidi w:val="0"/>
        <w:spacing w:line="240" w:lineRule="auto"/>
      </w:pPr>
      <w:bookmarkStart w:id="48" w:name="_Toc21381"/>
      <w:r>
        <w:t>3.2.10 Statistical Analysis</w:t>
      </w:r>
      <w:bookmarkEnd w:id="48"/>
    </w:p>
    <w:p w14:paraId="63B299D1">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14:paraId="47574896">
      <w:pPr>
        <w:numPr>
          <w:ilvl w:val="0"/>
          <w:numId w:val="0"/>
        </w:numPr>
        <w:spacing w:line="480" w:lineRule="auto"/>
        <w:ind w:leftChars="0"/>
        <w:jc w:val="both"/>
        <w:rPr>
          <w:rFonts w:hint="default" w:ascii="Times New Roman" w:hAnsi="Times New Roman"/>
          <w:sz w:val="24"/>
          <w:szCs w:val="24"/>
        </w:rPr>
      </w:pPr>
    </w:p>
    <w:p w14:paraId="38ED31A9">
      <w:pPr>
        <w:numPr>
          <w:ilvl w:val="0"/>
          <w:numId w:val="0"/>
        </w:numPr>
        <w:spacing w:line="480" w:lineRule="auto"/>
        <w:ind w:leftChars="0"/>
        <w:rPr>
          <w:rFonts w:hint="default" w:ascii="Times New Roman" w:hAnsi="Times New Roman"/>
          <w:sz w:val="24"/>
          <w:szCs w:val="24"/>
        </w:rPr>
      </w:pPr>
    </w:p>
    <w:p w14:paraId="762D9FF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DF1F2F1">
      <w:pPr>
        <w:pStyle w:val="2"/>
        <w:bidi w:val="0"/>
        <w:spacing w:line="240" w:lineRule="auto"/>
        <w:ind w:left="2160" w:leftChars="0" w:firstLine="720" w:firstLineChars="0"/>
      </w:pPr>
      <w:bookmarkStart w:id="49" w:name="_Toc27551"/>
      <w:r>
        <w:t>CHAPTER FOUR</w:t>
      </w:r>
      <w:bookmarkEnd w:id="49"/>
    </w:p>
    <w:p w14:paraId="15AC0845">
      <w:pPr>
        <w:pStyle w:val="2"/>
        <w:bidi w:val="0"/>
        <w:spacing w:line="240" w:lineRule="auto"/>
      </w:pPr>
      <w:bookmarkStart w:id="50" w:name="_Toc9504"/>
      <w:r>
        <w:t>4.0 RESULTS</w:t>
      </w:r>
      <w:bookmarkEnd w:id="50"/>
    </w:p>
    <w:p w14:paraId="39092E1F">
      <w:pPr>
        <w:pStyle w:val="3"/>
        <w:bidi w:val="0"/>
        <w:spacing w:line="240" w:lineRule="auto"/>
      </w:pPr>
      <w:bookmarkStart w:id="51" w:name="_Toc28506"/>
      <w:r>
        <w:t>4.1 Percentage Yield of the Extract</w:t>
      </w:r>
      <w:bookmarkEnd w:id="51"/>
    </w:p>
    <w:p w14:paraId="15D219E9">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2"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2"/>
      <w:r>
        <w:rPr>
          <w:rFonts w:ascii="Times New Roman" w:hAnsi="Times New Roman" w:cs="Times New Roman"/>
          <w:sz w:val="24"/>
          <w:szCs w:val="24"/>
        </w:rPr>
        <w:t>extract using 500 g of the plant sample, 78 g of extract was obtained.</w:t>
      </w:r>
    </w:p>
    <w:p w14:paraId="693B0A3F">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ctrlPr>
              <w:rPr>
                <w:rFonts w:ascii="Cambria Math" w:hAnsi="Cambria Math" w:cs="Times New Roman"/>
                <w:iCs/>
                <w:sz w:val="28"/>
                <w:szCs w:val="28"/>
              </w:rPr>
            </m:ctrlPr>
          </m:num>
          <m:den>
            <m:r>
              <m:rPr>
                <m:sty m:val="p"/>
              </m:rPr>
              <w:rPr>
                <w:rFonts w:ascii="Cambria Math" w:hAnsi="Cambria Math" w:cs="Times New Roman"/>
                <w:sz w:val="28"/>
                <w:szCs w:val="28"/>
              </w:rPr>
              <m:t>Weight o Sample</m:t>
            </m:r>
            <m:ctrlPr>
              <w:rPr>
                <w:rFonts w:ascii="Cambria Math" w:hAnsi="Cambria Math" w:cs="Times New Roman"/>
                <w:iCs/>
                <w:sz w:val="28"/>
                <w:szCs w:val="28"/>
              </w:rPr>
            </m:ctrlPr>
          </m:den>
        </m:f>
      </m:oMath>
      <w:r>
        <w:rPr>
          <w:rFonts w:ascii="Times New Roman" w:hAnsi="Times New Roman" w:cs="Times New Roman" w:eastAsiaTheme="minorEastAsia"/>
          <w:sz w:val="24"/>
          <w:szCs w:val="24"/>
        </w:rPr>
        <w:t xml:space="preserve"> × 100</w:t>
      </w:r>
    </w:p>
    <w:p w14:paraId="0AA56D1A">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ctrlPr>
              <w:rPr>
                <w:rFonts w:ascii="Cambria Math" w:hAnsi="Cambria Math" w:cs="Times New Roman"/>
                <w:sz w:val="28"/>
                <w:szCs w:val="28"/>
              </w:rPr>
            </m:ctrlPr>
          </m:num>
          <m:den>
            <m:r>
              <m:rPr>
                <m:sty m:val="p"/>
              </m:rPr>
              <w:rPr>
                <w:rFonts w:ascii="Cambria Math" w:hAnsi="Cambria Math" w:cs="Times New Roman"/>
                <w:sz w:val="28"/>
                <w:szCs w:val="28"/>
              </w:rPr>
              <m:t>500 g</m:t>
            </m:r>
            <m:ctrlPr>
              <w:rPr>
                <w:rFonts w:ascii="Cambria Math" w:hAnsi="Cambria Math" w:cs="Times New Roman"/>
                <w:sz w:val="28"/>
                <w:szCs w:val="28"/>
              </w:rPr>
            </m:ctrlPr>
          </m:den>
        </m:f>
      </m:oMath>
      <w:r>
        <w:rPr>
          <w:rFonts w:ascii="Times New Roman" w:hAnsi="Times New Roman" w:cs="Times New Roman" w:eastAsiaTheme="minorEastAsia"/>
          <w:sz w:val="24"/>
          <w:szCs w:val="24"/>
        </w:rPr>
        <w:t xml:space="preserve"> × 100</w:t>
      </w:r>
    </w:p>
    <w:p w14:paraId="69ED1858">
      <w:pPr>
        <w:spacing w:line="480" w:lineRule="auto"/>
        <w:ind w:left="420" w:firstLine="420"/>
        <w:rPr>
          <w:rFonts w:ascii="Times New Roman" w:hAnsi="Times New Roman" w:cs="Times New Roman" w:eastAsiaTheme="minorEastAsia"/>
          <w:sz w:val="24"/>
          <w:szCs w:val="24"/>
        </w:rPr>
      </w:pPr>
      <w:r>
        <w:rPr>
          <w:rFonts w:ascii="Times New Roman" w:hAnsi="Times New Roman" w:cs="Times New Roman" w:eastAsiaTheme="minorEastAsia"/>
          <w:sz w:val="24"/>
          <w:szCs w:val="24"/>
        </w:rPr>
        <w:t>= 15.6 %</w:t>
      </w:r>
    </w:p>
    <w:p w14:paraId="109600A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Therefore, the percentage yield of the </w:t>
      </w:r>
      <w:r>
        <w:rPr>
          <w:rFonts w:ascii="Times New Roman" w:hAnsi="Times New Roman" w:cs="Times New Roman" w:eastAsiaTheme="minorEastAsia"/>
          <w:i/>
          <w:iCs/>
          <w:sz w:val="24"/>
          <w:szCs w:val="24"/>
        </w:rPr>
        <w:t xml:space="preserve">S. aromatic </w:t>
      </w:r>
      <w:r>
        <w:rPr>
          <w:rFonts w:ascii="Times New Roman" w:hAnsi="Times New Roman" w:cs="Times New Roman" w:eastAsiaTheme="minorEastAsia"/>
          <w:sz w:val="24"/>
          <w:szCs w:val="24"/>
        </w:rPr>
        <w:t>extract was 15.6 %</w:t>
      </w:r>
    </w:p>
    <w:p w14:paraId="0CBA4FF8">
      <w:pPr>
        <w:pStyle w:val="3"/>
        <w:bidi w:val="0"/>
        <w:spacing w:line="240" w:lineRule="auto"/>
      </w:pPr>
      <w:bookmarkStart w:id="53" w:name="_Toc30697"/>
      <w:r>
        <w:t>4.2 Phytochemical Screening of Syzygium aromaticum Aqueous Extract</w:t>
      </w:r>
      <w:bookmarkEnd w:id="53"/>
    </w:p>
    <w:p w14:paraId="5105837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A04A55A">
      <w:pPr>
        <w:spacing w:line="480" w:lineRule="auto"/>
        <w:rPr>
          <w:rFonts w:ascii="Times New Roman" w:hAnsi="Times New Roman" w:cs="Times New Roman"/>
          <w:b/>
          <w:bCs/>
          <w:sz w:val="24"/>
          <w:szCs w:val="24"/>
        </w:rPr>
      </w:pPr>
    </w:p>
    <w:p w14:paraId="26B0132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7"/>
        <w:tblW w:w="0" w:type="auto"/>
        <w:tblInd w:w="0" w:type="dxa"/>
        <w:tblLayout w:type="fixed"/>
        <w:tblCellMar>
          <w:top w:w="0" w:type="dxa"/>
          <w:left w:w="108" w:type="dxa"/>
          <w:bottom w:w="0" w:type="dxa"/>
          <w:right w:w="108" w:type="dxa"/>
        </w:tblCellMar>
      </w:tblPr>
      <w:tblGrid>
        <w:gridCol w:w="2880"/>
        <w:gridCol w:w="2880"/>
        <w:gridCol w:w="2880"/>
      </w:tblGrid>
      <w:tr w14:paraId="1CF18421">
        <w:tblPrEx>
          <w:tblCellMar>
            <w:top w:w="0" w:type="dxa"/>
            <w:left w:w="108" w:type="dxa"/>
            <w:bottom w:w="0" w:type="dxa"/>
            <w:right w:w="108" w:type="dxa"/>
          </w:tblCellMar>
        </w:tblPrEx>
        <w:tc>
          <w:tcPr>
            <w:tcW w:w="2880" w:type="dxa"/>
            <w:tcBorders>
              <w:top w:val="single" w:color="auto" w:sz="8" w:space="0"/>
            </w:tcBorders>
          </w:tcPr>
          <w:p w14:paraId="4BDC07AD">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S/N</w:t>
            </w:r>
          </w:p>
        </w:tc>
        <w:tc>
          <w:tcPr>
            <w:tcW w:w="2880" w:type="dxa"/>
            <w:tcBorders>
              <w:top w:val="single" w:color="auto" w:sz="8" w:space="0"/>
            </w:tcBorders>
          </w:tcPr>
          <w:p w14:paraId="531F5462">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Phytochemical Class</w:t>
            </w:r>
          </w:p>
        </w:tc>
        <w:tc>
          <w:tcPr>
            <w:tcW w:w="2880" w:type="dxa"/>
            <w:tcBorders>
              <w:top w:val="single" w:color="auto" w:sz="8" w:space="0"/>
            </w:tcBorders>
          </w:tcPr>
          <w:p w14:paraId="73F519F3">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Results</w:t>
            </w:r>
          </w:p>
        </w:tc>
      </w:tr>
      <w:tr w14:paraId="3EE85832">
        <w:tblPrEx>
          <w:tblCellMar>
            <w:top w:w="0" w:type="dxa"/>
            <w:left w:w="108" w:type="dxa"/>
            <w:bottom w:w="0" w:type="dxa"/>
            <w:right w:w="108" w:type="dxa"/>
          </w:tblCellMar>
        </w:tblPrEx>
        <w:tc>
          <w:tcPr>
            <w:tcW w:w="2880" w:type="dxa"/>
            <w:tcBorders>
              <w:top w:val="single" w:color="auto" w:sz="8" w:space="0"/>
            </w:tcBorders>
          </w:tcPr>
          <w:p w14:paraId="78669B69">
            <w:pPr>
              <w:pStyle w:val="12"/>
              <w:keepNext w:val="0"/>
              <w:keepLines w:val="0"/>
              <w:widowControl/>
              <w:suppressLineNumbers w:val="0"/>
              <w:spacing w:beforeAutospacing="0" w:afterAutospacing="0" w:line="216" w:lineRule="atLeast"/>
              <w:rPr>
                <w:rFonts w:hint="eastAsia"/>
              </w:rPr>
            </w:pPr>
            <w:r>
              <w:rPr>
                <w:rFonts w:hint="eastAsia" w:eastAsia="-webkit-standard"/>
              </w:rPr>
              <w:t>1</w:t>
            </w:r>
          </w:p>
        </w:tc>
        <w:tc>
          <w:tcPr>
            <w:tcW w:w="2880" w:type="dxa"/>
            <w:tcBorders>
              <w:top w:val="single" w:color="auto" w:sz="8" w:space="0"/>
            </w:tcBorders>
          </w:tcPr>
          <w:p w14:paraId="1364F88B">
            <w:pPr>
              <w:pStyle w:val="12"/>
              <w:keepNext w:val="0"/>
              <w:keepLines w:val="0"/>
              <w:widowControl/>
              <w:suppressLineNumbers w:val="0"/>
              <w:spacing w:beforeAutospacing="0" w:afterAutospacing="0" w:line="216" w:lineRule="atLeast"/>
              <w:rPr>
                <w:rFonts w:hint="eastAsia"/>
              </w:rPr>
            </w:pPr>
            <w:r>
              <w:rPr>
                <w:rFonts w:hint="eastAsia" w:eastAsia="-webkit-standard"/>
              </w:rPr>
              <w:t>Tannins</w:t>
            </w:r>
          </w:p>
        </w:tc>
        <w:tc>
          <w:tcPr>
            <w:tcW w:w="2880" w:type="dxa"/>
            <w:tcBorders>
              <w:top w:val="single" w:color="auto" w:sz="8" w:space="0"/>
            </w:tcBorders>
          </w:tcPr>
          <w:p w14:paraId="239FA77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4DCE0D2B">
        <w:tblPrEx>
          <w:tblCellMar>
            <w:top w:w="0" w:type="dxa"/>
            <w:left w:w="108" w:type="dxa"/>
            <w:bottom w:w="0" w:type="dxa"/>
            <w:right w:w="108" w:type="dxa"/>
          </w:tblCellMar>
        </w:tblPrEx>
        <w:tc>
          <w:tcPr>
            <w:tcW w:w="2880" w:type="dxa"/>
          </w:tcPr>
          <w:p w14:paraId="728C5971">
            <w:pPr>
              <w:pStyle w:val="12"/>
              <w:keepNext w:val="0"/>
              <w:keepLines w:val="0"/>
              <w:widowControl/>
              <w:suppressLineNumbers w:val="0"/>
              <w:spacing w:beforeAutospacing="0" w:afterAutospacing="0" w:line="216" w:lineRule="atLeast"/>
              <w:rPr>
                <w:rFonts w:hint="eastAsia"/>
              </w:rPr>
            </w:pPr>
            <w:r>
              <w:rPr>
                <w:rFonts w:hint="eastAsia" w:eastAsia="-webkit-standard"/>
              </w:rPr>
              <w:t>2</w:t>
            </w:r>
          </w:p>
        </w:tc>
        <w:tc>
          <w:tcPr>
            <w:tcW w:w="2880" w:type="dxa"/>
          </w:tcPr>
          <w:p w14:paraId="0D5037BE">
            <w:pPr>
              <w:pStyle w:val="12"/>
              <w:keepNext w:val="0"/>
              <w:keepLines w:val="0"/>
              <w:widowControl/>
              <w:suppressLineNumbers w:val="0"/>
              <w:spacing w:beforeAutospacing="0" w:afterAutospacing="0" w:line="216" w:lineRule="atLeast"/>
              <w:rPr>
                <w:rFonts w:hint="eastAsia"/>
              </w:rPr>
            </w:pPr>
            <w:r>
              <w:rPr>
                <w:rFonts w:hint="eastAsia" w:eastAsia="-webkit-standard"/>
              </w:rPr>
              <w:t>Saponins</w:t>
            </w:r>
          </w:p>
        </w:tc>
        <w:tc>
          <w:tcPr>
            <w:tcW w:w="2880" w:type="dxa"/>
          </w:tcPr>
          <w:p w14:paraId="597738E2">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275A28CD">
        <w:tblPrEx>
          <w:tblCellMar>
            <w:top w:w="0" w:type="dxa"/>
            <w:left w:w="108" w:type="dxa"/>
            <w:bottom w:w="0" w:type="dxa"/>
            <w:right w:w="108" w:type="dxa"/>
          </w:tblCellMar>
        </w:tblPrEx>
        <w:tc>
          <w:tcPr>
            <w:tcW w:w="2880" w:type="dxa"/>
          </w:tcPr>
          <w:p w14:paraId="74DC0701">
            <w:pPr>
              <w:pStyle w:val="12"/>
              <w:keepNext w:val="0"/>
              <w:keepLines w:val="0"/>
              <w:widowControl/>
              <w:suppressLineNumbers w:val="0"/>
              <w:spacing w:beforeAutospacing="0" w:afterAutospacing="0" w:line="216" w:lineRule="atLeast"/>
              <w:rPr>
                <w:rFonts w:hint="eastAsia"/>
              </w:rPr>
            </w:pPr>
            <w:r>
              <w:rPr>
                <w:rFonts w:hint="eastAsia" w:eastAsia="-webkit-standard"/>
              </w:rPr>
              <w:t>3</w:t>
            </w:r>
          </w:p>
        </w:tc>
        <w:tc>
          <w:tcPr>
            <w:tcW w:w="2880" w:type="dxa"/>
          </w:tcPr>
          <w:p w14:paraId="3805B025">
            <w:pPr>
              <w:pStyle w:val="12"/>
              <w:keepNext w:val="0"/>
              <w:keepLines w:val="0"/>
              <w:widowControl/>
              <w:suppressLineNumbers w:val="0"/>
              <w:spacing w:beforeAutospacing="0" w:afterAutospacing="0" w:line="216" w:lineRule="atLeast"/>
              <w:rPr>
                <w:rFonts w:hint="eastAsia"/>
              </w:rPr>
            </w:pPr>
            <w:r>
              <w:rPr>
                <w:rFonts w:hint="eastAsia" w:eastAsia="-webkit-standard"/>
              </w:rPr>
              <w:t>Flavonoids</w:t>
            </w:r>
          </w:p>
        </w:tc>
        <w:tc>
          <w:tcPr>
            <w:tcW w:w="2880" w:type="dxa"/>
          </w:tcPr>
          <w:p w14:paraId="4D433BCE">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6E71EC78">
        <w:tblPrEx>
          <w:tblCellMar>
            <w:top w:w="0" w:type="dxa"/>
            <w:left w:w="108" w:type="dxa"/>
            <w:bottom w:w="0" w:type="dxa"/>
            <w:right w:w="108" w:type="dxa"/>
          </w:tblCellMar>
        </w:tblPrEx>
        <w:tc>
          <w:tcPr>
            <w:tcW w:w="2880" w:type="dxa"/>
          </w:tcPr>
          <w:p w14:paraId="48DC0794">
            <w:pPr>
              <w:pStyle w:val="12"/>
              <w:keepNext w:val="0"/>
              <w:keepLines w:val="0"/>
              <w:widowControl/>
              <w:suppressLineNumbers w:val="0"/>
              <w:spacing w:beforeAutospacing="0" w:afterAutospacing="0" w:line="216" w:lineRule="atLeast"/>
              <w:rPr>
                <w:rFonts w:hint="eastAsia"/>
              </w:rPr>
            </w:pPr>
            <w:r>
              <w:rPr>
                <w:rFonts w:hint="eastAsia" w:eastAsia="-webkit-standard"/>
              </w:rPr>
              <w:t>4</w:t>
            </w:r>
          </w:p>
        </w:tc>
        <w:tc>
          <w:tcPr>
            <w:tcW w:w="2880" w:type="dxa"/>
          </w:tcPr>
          <w:p w14:paraId="3C1BA111">
            <w:pPr>
              <w:pStyle w:val="12"/>
              <w:keepNext w:val="0"/>
              <w:keepLines w:val="0"/>
              <w:widowControl/>
              <w:suppressLineNumbers w:val="0"/>
              <w:spacing w:beforeAutospacing="0" w:afterAutospacing="0" w:line="216" w:lineRule="atLeast"/>
              <w:rPr>
                <w:rFonts w:hint="eastAsia"/>
              </w:rPr>
            </w:pPr>
            <w:r>
              <w:rPr>
                <w:rFonts w:hint="eastAsia" w:eastAsia="-webkit-standard"/>
              </w:rPr>
              <w:t>Terpenoids</w:t>
            </w:r>
          </w:p>
        </w:tc>
        <w:tc>
          <w:tcPr>
            <w:tcW w:w="2880" w:type="dxa"/>
          </w:tcPr>
          <w:p w14:paraId="0AFEDD06">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9149115">
        <w:tblPrEx>
          <w:tblCellMar>
            <w:top w:w="0" w:type="dxa"/>
            <w:left w:w="108" w:type="dxa"/>
            <w:bottom w:w="0" w:type="dxa"/>
            <w:right w:w="108" w:type="dxa"/>
          </w:tblCellMar>
        </w:tblPrEx>
        <w:tc>
          <w:tcPr>
            <w:tcW w:w="2880" w:type="dxa"/>
          </w:tcPr>
          <w:p w14:paraId="2389A7C3">
            <w:pPr>
              <w:pStyle w:val="12"/>
              <w:keepNext w:val="0"/>
              <w:keepLines w:val="0"/>
              <w:widowControl/>
              <w:suppressLineNumbers w:val="0"/>
              <w:spacing w:beforeAutospacing="0" w:afterAutospacing="0" w:line="216" w:lineRule="atLeast"/>
              <w:rPr>
                <w:rFonts w:hint="eastAsia"/>
              </w:rPr>
            </w:pPr>
            <w:r>
              <w:rPr>
                <w:rFonts w:hint="eastAsia" w:eastAsia="-webkit-standard"/>
              </w:rPr>
              <w:t>5</w:t>
            </w:r>
          </w:p>
        </w:tc>
        <w:tc>
          <w:tcPr>
            <w:tcW w:w="2880" w:type="dxa"/>
          </w:tcPr>
          <w:p w14:paraId="72F5BA87">
            <w:pPr>
              <w:pStyle w:val="12"/>
              <w:keepNext w:val="0"/>
              <w:keepLines w:val="0"/>
              <w:widowControl/>
              <w:suppressLineNumbers w:val="0"/>
              <w:spacing w:beforeAutospacing="0" w:afterAutospacing="0" w:line="216" w:lineRule="atLeast"/>
              <w:rPr>
                <w:rFonts w:hint="eastAsia"/>
              </w:rPr>
            </w:pPr>
            <w:r>
              <w:rPr>
                <w:rFonts w:hint="eastAsia" w:eastAsia="-webkit-standard"/>
              </w:rPr>
              <w:t>Glycosides</w:t>
            </w:r>
          </w:p>
        </w:tc>
        <w:tc>
          <w:tcPr>
            <w:tcW w:w="2880" w:type="dxa"/>
          </w:tcPr>
          <w:p w14:paraId="5801D350">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1EE67C1">
        <w:tblPrEx>
          <w:tblCellMar>
            <w:top w:w="0" w:type="dxa"/>
            <w:left w:w="108" w:type="dxa"/>
            <w:bottom w:w="0" w:type="dxa"/>
            <w:right w:w="108" w:type="dxa"/>
          </w:tblCellMar>
        </w:tblPrEx>
        <w:tc>
          <w:tcPr>
            <w:tcW w:w="2880" w:type="dxa"/>
          </w:tcPr>
          <w:p w14:paraId="050EB77C">
            <w:pPr>
              <w:pStyle w:val="12"/>
              <w:keepNext w:val="0"/>
              <w:keepLines w:val="0"/>
              <w:widowControl/>
              <w:suppressLineNumbers w:val="0"/>
              <w:spacing w:beforeAutospacing="0" w:afterAutospacing="0" w:line="216" w:lineRule="atLeast"/>
              <w:rPr>
                <w:rFonts w:hint="eastAsia"/>
              </w:rPr>
            </w:pPr>
            <w:r>
              <w:rPr>
                <w:rFonts w:hint="eastAsia" w:eastAsia="-webkit-standard"/>
              </w:rPr>
              <w:t>6</w:t>
            </w:r>
          </w:p>
        </w:tc>
        <w:tc>
          <w:tcPr>
            <w:tcW w:w="2880" w:type="dxa"/>
          </w:tcPr>
          <w:p w14:paraId="20A1D642">
            <w:pPr>
              <w:pStyle w:val="12"/>
              <w:keepNext w:val="0"/>
              <w:keepLines w:val="0"/>
              <w:widowControl/>
              <w:suppressLineNumbers w:val="0"/>
              <w:spacing w:beforeAutospacing="0" w:afterAutospacing="0" w:line="216" w:lineRule="atLeast"/>
              <w:rPr>
                <w:rFonts w:hint="eastAsia"/>
              </w:rPr>
            </w:pPr>
            <w:r>
              <w:rPr>
                <w:rFonts w:hint="eastAsia" w:eastAsia="-webkit-standard"/>
              </w:rPr>
              <w:t>Phlobatannins</w:t>
            </w:r>
          </w:p>
        </w:tc>
        <w:tc>
          <w:tcPr>
            <w:tcW w:w="2880" w:type="dxa"/>
          </w:tcPr>
          <w:p w14:paraId="7BA55D04">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CAA0E26">
        <w:tblPrEx>
          <w:tblCellMar>
            <w:top w:w="0" w:type="dxa"/>
            <w:left w:w="108" w:type="dxa"/>
            <w:bottom w:w="0" w:type="dxa"/>
            <w:right w:w="108" w:type="dxa"/>
          </w:tblCellMar>
        </w:tblPrEx>
        <w:tc>
          <w:tcPr>
            <w:tcW w:w="2880" w:type="dxa"/>
          </w:tcPr>
          <w:p w14:paraId="020F0FFD">
            <w:pPr>
              <w:pStyle w:val="12"/>
              <w:keepNext w:val="0"/>
              <w:keepLines w:val="0"/>
              <w:widowControl/>
              <w:suppressLineNumbers w:val="0"/>
              <w:spacing w:beforeAutospacing="0" w:afterAutospacing="0" w:line="216" w:lineRule="atLeast"/>
              <w:rPr>
                <w:rFonts w:hint="eastAsia"/>
              </w:rPr>
            </w:pPr>
            <w:r>
              <w:rPr>
                <w:rFonts w:hint="eastAsia" w:eastAsia="-webkit-standard"/>
              </w:rPr>
              <w:t>7</w:t>
            </w:r>
          </w:p>
        </w:tc>
        <w:tc>
          <w:tcPr>
            <w:tcW w:w="2880" w:type="dxa"/>
          </w:tcPr>
          <w:p w14:paraId="16E50B38">
            <w:pPr>
              <w:pStyle w:val="12"/>
              <w:keepNext w:val="0"/>
              <w:keepLines w:val="0"/>
              <w:widowControl/>
              <w:suppressLineNumbers w:val="0"/>
              <w:spacing w:beforeAutospacing="0" w:afterAutospacing="0" w:line="216" w:lineRule="atLeast"/>
              <w:rPr>
                <w:rFonts w:hint="eastAsia"/>
              </w:rPr>
            </w:pPr>
            <w:r>
              <w:rPr>
                <w:rFonts w:hint="eastAsia" w:eastAsia="-webkit-standard"/>
              </w:rPr>
              <w:t>Alkaloids</w:t>
            </w:r>
          </w:p>
        </w:tc>
        <w:tc>
          <w:tcPr>
            <w:tcW w:w="2880" w:type="dxa"/>
          </w:tcPr>
          <w:p w14:paraId="6BEC208F">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3687F4BF">
        <w:tblPrEx>
          <w:tblCellMar>
            <w:top w:w="0" w:type="dxa"/>
            <w:left w:w="108" w:type="dxa"/>
            <w:bottom w:w="0" w:type="dxa"/>
            <w:right w:w="108" w:type="dxa"/>
          </w:tblCellMar>
        </w:tblPrEx>
        <w:tc>
          <w:tcPr>
            <w:tcW w:w="2880" w:type="dxa"/>
          </w:tcPr>
          <w:p w14:paraId="02EDBFEB">
            <w:pPr>
              <w:pStyle w:val="12"/>
              <w:keepNext w:val="0"/>
              <w:keepLines w:val="0"/>
              <w:widowControl/>
              <w:suppressLineNumbers w:val="0"/>
              <w:spacing w:beforeAutospacing="0" w:afterAutospacing="0" w:line="216" w:lineRule="atLeast"/>
              <w:rPr>
                <w:rFonts w:hint="eastAsia"/>
              </w:rPr>
            </w:pPr>
            <w:r>
              <w:rPr>
                <w:rFonts w:hint="eastAsia" w:eastAsia="-webkit-standard"/>
              </w:rPr>
              <w:t>8</w:t>
            </w:r>
          </w:p>
        </w:tc>
        <w:tc>
          <w:tcPr>
            <w:tcW w:w="2880" w:type="dxa"/>
          </w:tcPr>
          <w:p w14:paraId="75E8545D">
            <w:pPr>
              <w:pStyle w:val="12"/>
              <w:keepNext w:val="0"/>
              <w:keepLines w:val="0"/>
              <w:widowControl/>
              <w:suppressLineNumbers w:val="0"/>
              <w:spacing w:beforeAutospacing="0" w:afterAutospacing="0" w:line="216" w:lineRule="atLeast"/>
              <w:rPr>
                <w:rFonts w:hint="eastAsia"/>
              </w:rPr>
            </w:pPr>
            <w:r>
              <w:rPr>
                <w:rFonts w:hint="eastAsia" w:eastAsia="-webkit-standard"/>
              </w:rPr>
              <w:t>Phenols</w:t>
            </w:r>
          </w:p>
        </w:tc>
        <w:tc>
          <w:tcPr>
            <w:tcW w:w="2880" w:type="dxa"/>
          </w:tcPr>
          <w:p w14:paraId="6CF96441">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6BBD65D">
        <w:tblPrEx>
          <w:tblCellMar>
            <w:top w:w="0" w:type="dxa"/>
            <w:left w:w="108" w:type="dxa"/>
            <w:bottom w:w="0" w:type="dxa"/>
            <w:right w:w="108" w:type="dxa"/>
          </w:tblCellMar>
        </w:tblPrEx>
        <w:tc>
          <w:tcPr>
            <w:tcW w:w="2880" w:type="dxa"/>
            <w:tcBorders>
              <w:bottom w:val="single" w:color="auto" w:sz="8" w:space="0"/>
            </w:tcBorders>
          </w:tcPr>
          <w:p w14:paraId="18C502DB">
            <w:pPr>
              <w:pStyle w:val="12"/>
              <w:keepNext w:val="0"/>
              <w:keepLines w:val="0"/>
              <w:widowControl/>
              <w:suppressLineNumbers w:val="0"/>
              <w:spacing w:beforeAutospacing="0" w:afterAutospacing="0" w:line="216" w:lineRule="atLeast"/>
              <w:rPr>
                <w:rFonts w:hint="eastAsia"/>
              </w:rPr>
            </w:pPr>
            <w:r>
              <w:rPr>
                <w:rFonts w:hint="eastAsia" w:eastAsia="-webkit-standard"/>
              </w:rPr>
              <w:t>9</w:t>
            </w:r>
          </w:p>
        </w:tc>
        <w:tc>
          <w:tcPr>
            <w:tcW w:w="2880" w:type="dxa"/>
            <w:tcBorders>
              <w:bottom w:val="single" w:color="auto" w:sz="8" w:space="0"/>
            </w:tcBorders>
          </w:tcPr>
          <w:p w14:paraId="590B3943">
            <w:pPr>
              <w:pStyle w:val="12"/>
              <w:keepNext w:val="0"/>
              <w:keepLines w:val="0"/>
              <w:widowControl/>
              <w:suppressLineNumbers w:val="0"/>
              <w:spacing w:beforeAutospacing="0" w:afterAutospacing="0" w:line="216" w:lineRule="atLeast"/>
              <w:rPr>
                <w:rFonts w:hint="eastAsia"/>
              </w:rPr>
            </w:pPr>
            <w:r>
              <w:rPr>
                <w:rFonts w:hint="eastAsia" w:eastAsia="-webkit-standard"/>
              </w:rPr>
              <w:t>Steroids</w:t>
            </w:r>
          </w:p>
        </w:tc>
        <w:tc>
          <w:tcPr>
            <w:tcW w:w="2880" w:type="dxa"/>
            <w:tcBorders>
              <w:bottom w:val="single" w:color="auto" w:sz="8" w:space="0"/>
            </w:tcBorders>
          </w:tcPr>
          <w:p w14:paraId="1EA0B7E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bl>
    <w:p w14:paraId="3F1B5F2A">
      <w:pPr>
        <w:pStyle w:val="12"/>
        <w:spacing w:beforeAutospacing="0" w:afterAutospacing="0" w:line="324" w:lineRule="atLeast"/>
        <w:rPr>
          <w:rFonts w:eastAsia="-webkit-standard"/>
          <w:color w:val="000000"/>
        </w:rPr>
      </w:pPr>
      <w:r>
        <w:rPr>
          <w:rFonts w:eastAsia="-webkit-standard"/>
          <w:color w:val="000000"/>
        </w:rPr>
        <w:t> </w:t>
      </w:r>
    </w:p>
    <w:p w14:paraId="493EF7F5">
      <w:pPr>
        <w:rPr>
          <w:rFonts w:ascii="Times New Roman" w:hAnsi="Times New Roman" w:cs="Times New Roman"/>
          <w:b/>
          <w:bCs/>
          <w:sz w:val="24"/>
          <w:szCs w:val="24"/>
        </w:rPr>
      </w:pPr>
      <w:r>
        <w:rPr>
          <w:rFonts w:ascii="Times New Roman" w:hAnsi="Times New Roman" w:cs="Times New Roman"/>
          <w:b/>
          <w:bCs/>
          <w:sz w:val="24"/>
          <w:szCs w:val="24"/>
        </w:rPr>
        <w:t>Keys:</w:t>
      </w:r>
    </w:p>
    <w:p w14:paraId="1AD7BD19">
      <w:pPr>
        <w:rPr>
          <w:rFonts w:ascii="Times New Roman" w:hAnsi="Times New Roman" w:cs="Times New Roman"/>
          <w:sz w:val="24"/>
          <w:szCs w:val="24"/>
        </w:rPr>
      </w:pPr>
      <w:r>
        <w:rPr>
          <w:rFonts w:ascii="Times New Roman" w:hAnsi="Times New Roman" w:cs="Times New Roman"/>
          <w:sz w:val="24"/>
          <w:szCs w:val="24"/>
        </w:rPr>
        <w:t>+ = Present</w:t>
      </w:r>
    </w:p>
    <w:p w14:paraId="46376D3B">
      <w:pPr>
        <w:rPr>
          <w:rFonts w:ascii="Times New Roman" w:hAnsi="Times New Roman" w:cs="Times New Roman"/>
          <w:sz w:val="24"/>
          <w:szCs w:val="24"/>
        </w:rPr>
      </w:pPr>
      <w:r>
        <w:rPr>
          <w:rFonts w:ascii="Times New Roman" w:hAnsi="Times New Roman" w:cs="Times New Roman"/>
          <w:sz w:val="24"/>
          <w:szCs w:val="24"/>
        </w:rPr>
        <w:t>- = Absent</w:t>
      </w:r>
    </w:p>
    <w:p w14:paraId="2320E7CD">
      <w:pPr>
        <w:spacing w:line="480" w:lineRule="auto"/>
        <w:rPr>
          <w:rFonts w:ascii="Times New Roman" w:hAnsi="Times New Roman" w:cs="Times New Roman"/>
          <w:b/>
          <w:bCs/>
          <w:sz w:val="24"/>
          <w:szCs w:val="24"/>
        </w:rPr>
      </w:pPr>
    </w:p>
    <w:p w14:paraId="7D440479">
      <w:pPr>
        <w:pStyle w:val="3"/>
        <w:bidi w:val="0"/>
        <w:spacing w:line="240" w:lineRule="auto"/>
      </w:pPr>
      <w:bookmarkStart w:id="54" w:name="_Toc1592"/>
      <w:r>
        <w:t>4.3 Penile Organ-Body Ratios</w:t>
      </w:r>
      <w:bookmarkEnd w:id="54"/>
    </w:p>
    <w:p w14:paraId="214507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0553F2AD">
      <w:pPr>
        <w:jc w:val="both"/>
        <w:rPr>
          <w:rFonts w:ascii="Times New Roman" w:hAnsi="Times New Roman" w:cs="Times New Roman"/>
          <w:sz w:val="24"/>
          <w:szCs w:val="24"/>
        </w:rPr>
      </w:pPr>
      <w:r>
        <w:object>
          <v:shape id="_x0000_i1025" o:spt="75" type="#_x0000_t75" style="height:208.55pt;width:441.3pt;" o:ole="t" filled="f" o:preferrelative="t" stroked="f" coordsize="21600,21600">
            <v:path/>
            <v:fill on="f" focussize="0,0"/>
            <v:stroke on="f"/>
            <v:imagedata r:id="rId10" o:title=""/>
            <o:lock v:ext="edit" aspectratio="t"/>
            <w10:wrap type="none"/>
            <w10:anchorlock/>
          </v:shape>
          <o:OLEObject Type="Embed" ProgID="Prism8.Document" ShapeID="_x0000_i1025" DrawAspect="Content" ObjectID="_1468075725" r:id="rId9">
            <o:LockedField>false</o:LockedField>
          </o:OLEObject>
        </w:object>
      </w:r>
    </w:p>
    <w:p w14:paraId="5CD26F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14:paraId="47CAC90E">
      <w:pPr>
        <w:pStyle w:val="3"/>
        <w:bidi w:val="0"/>
        <w:spacing w:line="240" w:lineRule="auto"/>
      </w:pPr>
      <w:bookmarkStart w:id="55" w:name="_Toc2629"/>
      <w:r>
        <w:t>4.4 Nitric Oxide Concentration</w:t>
      </w:r>
      <w:bookmarkEnd w:id="55"/>
    </w:p>
    <w:p w14:paraId="005BB3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59074C41">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5pt;width:435.35pt;" o:ole="t" filled="f" o:preferrelative="t" stroked="f" coordsize="21600,21600">
            <v:path/>
            <v:fill on="f" focussize="0,0"/>
            <v:stroke on="f"/>
            <v:imagedata r:id="rId12" o:title=""/>
            <o:lock v:ext="edit" aspectratio="t"/>
            <w10:wrap type="none"/>
            <w10:anchorlock/>
          </v:shape>
          <o:OLEObject Type="Embed" ProgID="Prism8.Document" ShapeID="_x0000_i1026" DrawAspect="Content" ObjectID="_1468075726" r:id="rId11">
            <o:LockedField>false</o:LockedField>
          </o:OLEObject>
        </w:object>
      </w:r>
    </w:p>
    <w:p w14:paraId="080543D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2EF8EFB">
      <w:pPr>
        <w:pStyle w:val="3"/>
        <w:bidi w:val="0"/>
        <w:spacing w:line="240" w:lineRule="auto"/>
      </w:pPr>
      <w:bookmarkStart w:id="56" w:name="_Toc15457"/>
      <w:r>
        <w:t>4.5 In vivo Enzyme Assays</w:t>
      </w:r>
      <w:bookmarkEnd w:id="56"/>
    </w:p>
    <w:p w14:paraId="0ADDA75A">
      <w:pPr>
        <w:pStyle w:val="3"/>
        <w:bidi w:val="0"/>
        <w:spacing w:line="240" w:lineRule="auto"/>
      </w:pPr>
      <w:bookmarkStart w:id="57" w:name="_Toc18863"/>
      <w:r>
        <w:t>4.5.1 Phosphodiesterase 5</w:t>
      </w:r>
      <w:bookmarkEnd w:id="57"/>
    </w:p>
    <w:p w14:paraId="09AAE05E">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7B6E2520">
      <w:pPr>
        <w:rPr>
          <w:rFonts w:ascii="Times New Roman" w:hAnsi="Times New Roman" w:cs="Times New Roman"/>
          <w:sz w:val="24"/>
          <w:szCs w:val="24"/>
        </w:rPr>
      </w:pPr>
    </w:p>
    <w:p w14:paraId="6C734671">
      <w:pPr>
        <w:rPr>
          <w:rFonts w:ascii="Times New Roman" w:hAnsi="Times New Roman" w:cs="Times New Roman"/>
          <w:sz w:val="24"/>
          <w:szCs w:val="24"/>
        </w:rPr>
      </w:pPr>
    </w:p>
    <w:p w14:paraId="41F871CF">
      <w:pPr>
        <w:rPr>
          <w:rFonts w:ascii="Times New Roman" w:hAnsi="Times New Roman" w:cs="Times New Roman"/>
          <w:sz w:val="24"/>
          <w:szCs w:val="24"/>
        </w:rPr>
      </w:pPr>
    </w:p>
    <w:p w14:paraId="7AEAB6A6">
      <w:pPr>
        <w:rPr>
          <w:rFonts w:ascii="Times New Roman" w:hAnsi="Times New Roman" w:cs="Times New Roman"/>
          <w:sz w:val="24"/>
          <w:szCs w:val="24"/>
        </w:rPr>
      </w:pPr>
    </w:p>
    <w:p w14:paraId="4B93388E">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25pt;width:477.3pt;" o:ole="t" filled="f" o:preferrelative="t" stroked="f" coordsize="21600,21600">
            <v:path/>
            <v:fill on="f" focussize="0,0"/>
            <v:stroke on="f"/>
            <v:imagedata r:id="rId14" o:title=""/>
            <o:lock v:ext="edit" aspectratio="t"/>
            <w10:wrap type="none"/>
            <w10:anchorlock/>
          </v:shape>
          <o:OLEObject Type="Embed" ProgID="Prism8.Document" ShapeID="_x0000_i1027" DrawAspect="Content" ObjectID="_1468075727" r:id="rId13">
            <o:LockedField>false</o:LockedField>
          </o:OLEObject>
        </w:object>
      </w:r>
    </w:p>
    <w:p w14:paraId="69ED8A3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A75AD7E">
      <w:pPr>
        <w:pStyle w:val="3"/>
        <w:bidi w:val="0"/>
        <w:spacing w:line="240" w:lineRule="auto"/>
      </w:pPr>
      <w:bookmarkStart w:id="58" w:name="_Toc23441"/>
      <w:r>
        <w:t>4.5.2 Arginase</w:t>
      </w:r>
      <w:bookmarkEnd w:id="58"/>
    </w:p>
    <w:p w14:paraId="7634AA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4F955342">
      <w:pPr>
        <w:spacing w:line="480" w:lineRule="auto"/>
        <w:jc w:val="both"/>
        <w:rPr>
          <w:rFonts w:ascii="Times New Roman" w:hAnsi="Times New Roman" w:cs="Times New Roman"/>
          <w:sz w:val="24"/>
          <w:szCs w:val="24"/>
        </w:rPr>
      </w:pPr>
    </w:p>
    <w:p w14:paraId="5D757FB2">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8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14:paraId="7AB605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38B51C98">
      <w:pPr>
        <w:pStyle w:val="3"/>
        <w:bidi w:val="0"/>
        <w:spacing w:line="240" w:lineRule="auto"/>
      </w:pPr>
      <w:bookmarkStart w:id="59" w:name="_Toc19066"/>
      <w:r>
        <w:t>4.5.3 Creatinine Kinase</w:t>
      </w:r>
      <w:bookmarkEnd w:id="59"/>
    </w:p>
    <w:p w14:paraId="02191D12">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187CE2A8">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8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14:paraId="68DF0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0FC020F">
      <w:pPr>
        <w:pStyle w:val="3"/>
        <w:bidi w:val="0"/>
        <w:spacing w:line="240" w:lineRule="auto"/>
      </w:pPr>
      <w:bookmarkStart w:id="60" w:name="_Toc23112"/>
      <w:r>
        <w:t>4.6 Serum Lipid Profile</w:t>
      </w:r>
      <w:bookmarkEnd w:id="60"/>
    </w:p>
    <w:p w14:paraId="2C650CB7">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BA5A41E">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5C95F25B">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CAECDD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7F6FC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7"/>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14:paraId="093D2809">
        <w:tblPrEx>
          <w:tblCellMar>
            <w:top w:w="0" w:type="dxa"/>
            <w:left w:w="108" w:type="dxa"/>
            <w:bottom w:w="0" w:type="dxa"/>
            <w:right w:w="108" w:type="dxa"/>
          </w:tblCellMar>
        </w:tblPrEx>
        <w:tc>
          <w:tcPr>
            <w:tcW w:w="591" w:type="dxa"/>
            <w:tcBorders>
              <w:top w:val="single" w:color="auto" w:sz="8" w:space="0"/>
              <w:bottom w:val="single" w:color="auto" w:sz="8" w:space="0"/>
            </w:tcBorders>
          </w:tcPr>
          <w:p w14:paraId="39310280">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14:paraId="2839B8AD">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14:paraId="496E85F6">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LDL</w:t>
            </w:r>
          </w:p>
          <w:p w14:paraId="3016024A">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5762952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HDL</w:t>
            </w:r>
          </w:p>
          <w:p w14:paraId="7C00721F">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38270C9E">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TAG</w:t>
            </w:r>
          </w:p>
          <w:p w14:paraId="4D1BDEE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14:paraId="4142B455">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14:paraId="370D031C">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14:paraId="1B5C3B81">
        <w:tblPrEx>
          <w:tblCellMar>
            <w:top w:w="0" w:type="dxa"/>
            <w:left w:w="108" w:type="dxa"/>
            <w:bottom w:w="0" w:type="dxa"/>
            <w:right w:w="108" w:type="dxa"/>
          </w:tblCellMar>
        </w:tblPrEx>
        <w:tc>
          <w:tcPr>
            <w:tcW w:w="591" w:type="dxa"/>
            <w:tcBorders>
              <w:top w:val="single" w:color="auto" w:sz="8" w:space="0"/>
            </w:tcBorders>
          </w:tcPr>
          <w:p w14:paraId="0A35931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14:paraId="4458F7E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14:paraId="242B403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14:paraId="2A4C76D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14:paraId="5279158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14:paraId="0A3B2DE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14:paraId="1DFF9C80">
        <w:tblPrEx>
          <w:tblCellMar>
            <w:top w:w="0" w:type="dxa"/>
            <w:left w:w="108" w:type="dxa"/>
            <w:bottom w:w="0" w:type="dxa"/>
            <w:right w:w="108" w:type="dxa"/>
          </w:tblCellMar>
        </w:tblPrEx>
        <w:tc>
          <w:tcPr>
            <w:tcW w:w="591" w:type="dxa"/>
          </w:tcPr>
          <w:p w14:paraId="3C6375C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14:paraId="4EA9B8F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14:paraId="602ACB7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14:paraId="64CCF4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14:paraId="25BB12F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14:paraId="14D3D78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14:paraId="518ADBF0">
        <w:tblPrEx>
          <w:tblCellMar>
            <w:top w:w="0" w:type="dxa"/>
            <w:left w:w="108" w:type="dxa"/>
            <w:bottom w:w="0" w:type="dxa"/>
            <w:right w:w="108" w:type="dxa"/>
          </w:tblCellMar>
        </w:tblPrEx>
        <w:tc>
          <w:tcPr>
            <w:tcW w:w="591" w:type="dxa"/>
          </w:tcPr>
          <w:p w14:paraId="7223A12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14:paraId="5BEA606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14:paraId="49807C5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14:paraId="612E4521">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14:paraId="471F000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14:paraId="0B5185E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14:paraId="60F36FA2">
        <w:tblPrEx>
          <w:tblCellMar>
            <w:top w:w="0" w:type="dxa"/>
            <w:left w:w="108" w:type="dxa"/>
            <w:bottom w:w="0" w:type="dxa"/>
            <w:right w:w="108" w:type="dxa"/>
          </w:tblCellMar>
        </w:tblPrEx>
        <w:tc>
          <w:tcPr>
            <w:tcW w:w="591" w:type="dxa"/>
          </w:tcPr>
          <w:p w14:paraId="57246B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14:paraId="2B2B4B35">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14:paraId="36F0EB4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14:paraId="537FA18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14:paraId="626530A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14:paraId="5F086AB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14:paraId="4DA8F229">
        <w:tblPrEx>
          <w:tblCellMar>
            <w:top w:w="0" w:type="dxa"/>
            <w:left w:w="108" w:type="dxa"/>
            <w:bottom w:w="0" w:type="dxa"/>
            <w:right w:w="108" w:type="dxa"/>
          </w:tblCellMar>
        </w:tblPrEx>
        <w:tc>
          <w:tcPr>
            <w:tcW w:w="591" w:type="dxa"/>
            <w:tcBorders>
              <w:bottom w:val="single" w:color="auto" w:sz="8" w:space="0"/>
            </w:tcBorders>
          </w:tcPr>
          <w:p w14:paraId="760E82A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14:paraId="25B8051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14:paraId="1FA8CA2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295F2E5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43820EC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14:paraId="6F7DF18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14:paraId="3B326980">
      <w:pPr>
        <w:rPr>
          <w:rFonts w:hint="default" w:ascii="Times New Roman" w:hAnsi="Times New Roman" w:cs="Times New Roman"/>
          <w:b w:val="0"/>
          <w:bCs w:val="0"/>
          <w:sz w:val="24"/>
          <w:szCs w:val="24"/>
        </w:rPr>
      </w:pPr>
    </w:p>
    <w:p w14:paraId="4C6440E6">
      <w:pPr>
        <w:rPr>
          <w:rFonts w:hint="default" w:ascii="Times New Roman" w:hAnsi="Times New Roman" w:cs="Times New Roman"/>
          <w:b w:val="0"/>
          <w:bCs w:val="0"/>
          <w:sz w:val="24"/>
          <w:szCs w:val="24"/>
        </w:rPr>
      </w:pPr>
    </w:p>
    <w:p w14:paraId="7FC6DBC1">
      <w:pPr>
        <w:rPr>
          <w:rFonts w:hint="default" w:ascii="Times New Roman" w:hAnsi="Times New Roman" w:cs="Times New Roman"/>
          <w:b w:val="0"/>
          <w:bCs w:val="0"/>
          <w:sz w:val="24"/>
          <w:szCs w:val="24"/>
        </w:rPr>
      </w:pPr>
    </w:p>
    <w:p w14:paraId="13489FC2">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6B65A35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63A03AA5">
      <w:pPr>
        <w:pStyle w:val="2"/>
        <w:bidi w:val="0"/>
        <w:spacing w:line="240" w:lineRule="auto"/>
        <w:ind w:left="1440" w:leftChars="0" w:firstLine="720" w:firstLineChars="0"/>
      </w:pPr>
      <w:bookmarkStart w:id="61" w:name="_Toc30383"/>
      <w:r>
        <w:t>CHAPTER FIVE</w:t>
      </w:r>
      <w:bookmarkEnd w:id="61"/>
    </w:p>
    <w:p w14:paraId="1991CC47">
      <w:pPr>
        <w:pStyle w:val="2"/>
        <w:bidi w:val="0"/>
        <w:spacing w:line="240" w:lineRule="auto"/>
      </w:pPr>
      <w:bookmarkStart w:id="62" w:name="_Toc22960"/>
      <w:r>
        <w:t>5.0 DISCUSSION, CONCLUSION AND RECOMMENDATION</w:t>
      </w:r>
      <w:bookmarkEnd w:id="62"/>
    </w:p>
    <w:p w14:paraId="5A9C3EB4">
      <w:pPr>
        <w:pStyle w:val="3"/>
        <w:bidi w:val="0"/>
        <w:spacing w:line="240" w:lineRule="auto"/>
      </w:pPr>
      <w:bookmarkStart w:id="63" w:name="_Toc29947"/>
      <w:r>
        <w:t>5.1 Discussion</w:t>
      </w:r>
      <w:bookmarkEnd w:id="63"/>
    </w:p>
    <w:p w14:paraId="510340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4D491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14:paraId="69E469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AB4A3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7EFE8050">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048D7E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AEB4693">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259A3C64">
      <w:pPr>
        <w:pStyle w:val="3"/>
        <w:bidi w:val="0"/>
        <w:spacing w:line="240" w:lineRule="auto"/>
      </w:pPr>
      <w:bookmarkStart w:id="64" w:name="_Toc20326"/>
      <w:r>
        <w:t>5.2 Conclusion</w:t>
      </w:r>
      <w:bookmarkEnd w:id="64"/>
    </w:p>
    <w:p w14:paraId="2569F0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14:paraId="5F69EEF9">
      <w:pPr>
        <w:spacing w:line="480" w:lineRule="auto"/>
        <w:jc w:val="both"/>
        <w:rPr>
          <w:rFonts w:ascii="Times New Roman" w:hAnsi="Times New Roman" w:cs="Times New Roman"/>
          <w:b/>
          <w:bCs/>
          <w:sz w:val="24"/>
          <w:szCs w:val="24"/>
        </w:rPr>
      </w:pPr>
    </w:p>
    <w:p w14:paraId="3C7A73B9">
      <w:pPr>
        <w:spacing w:line="480" w:lineRule="auto"/>
        <w:jc w:val="both"/>
        <w:rPr>
          <w:rFonts w:ascii="Times New Roman" w:hAnsi="Times New Roman" w:cs="Times New Roman"/>
          <w:b/>
          <w:bCs/>
          <w:sz w:val="24"/>
          <w:szCs w:val="24"/>
        </w:rPr>
      </w:pPr>
    </w:p>
    <w:p w14:paraId="2FD55602">
      <w:pPr>
        <w:spacing w:line="480" w:lineRule="auto"/>
        <w:jc w:val="both"/>
        <w:rPr>
          <w:rFonts w:ascii="Times New Roman" w:hAnsi="Times New Roman" w:cs="Times New Roman"/>
          <w:b/>
          <w:bCs/>
          <w:sz w:val="24"/>
          <w:szCs w:val="24"/>
        </w:rPr>
      </w:pPr>
    </w:p>
    <w:p w14:paraId="306763C5">
      <w:pPr>
        <w:pStyle w:val="3"/>
        <w:bidi w:val="0"/>
        <w:spacing w:line="240" w:lineRule="auto"/>
      </w:pPr>
      <w:bookmarkStart w:id="65" w:name="_Toc8899"/>
      <w:r>
        <w:t>5.3 Recommendation</w:t>
      </w:r>
      <w:bookmarkEnd w:id="65"/>
    </w:p>
    <w:p w14:paraId="41CA2412">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2D693B8">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14:paraId="7CEDB0C3">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43FB6FB2">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6EF4AFA7">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71FBDA77">
      <w:pPr>
        <w:rPr>
          <w:rFonts w:hint="default" w:ascii="Times New Roman" w:hAnsi="Times New Roman" w:cs="Times New Roman"/>
          <w:b w:val="0"/>
          <w:bCs w:val="0"/>
          <w:sz w:val="24"/>
          <w:szCs w:val="24"/>
        </w:rPr>
      </w:pPr>
    </w:p>
    <w:p w14:paraId="68E16F0C">
      <w:pPr>
        <w:rPr>
          <w:b/>
        </w:rPr>
      </w:pPr>
      <w:r>
        <w:rPr>
          <w:rFonts w:hint="default" w:ascii="Times New Roman" w:hAnsi="Times New Roman" w:cs="Times New Roman"/>
          <w:b w:val="0"/>
          <w:bCs w:val="0"/>
          <w:sz w:val="24"/>
          <w:szCs w:val="24"/>
        </w:rPr>
        <w:br w:type="page"/>
      </w:r>
    </w:p>
    <w:p w14:paraId="524D2A03">
      <w:pPr>
        <w:pStyle w:val="2"/>
        <w:bidi w:val="0"/>
        <w:spacing w:line="240" w:lineRule="auto"/>
        <w:ind w:left="2160" w:leftChars="0" w:firstLine="720" w:firstLineChars="0"/>
        <w:rPr>
          <w:rFonts w:hint="default"/>
        </w:rPr>
      </w:pPr>
      <w:bookmarkStart w:id="66" w:name="_Toc26004"/>
      <w:r>
        <w:rPr>
          <w:rFonts w:hint="default"/>
        </w:rPr>
        <w:t>REFERENCES</w:t>
      </w:r>
      <w:bookmarkEnd w:id="66"/>
    </w:p>
    <w:p w14:paraId="073EFA91">
      <w:pPr>
        <w:pStyle w:val="12"/>
        <w:keepNext w:val="0"/>
        <w:keepLines w:val="0"/>
        <w:widowControl/>
        <w:suppressLineNumbers w:val="0"/>
        <w:rPr>
          <w:shd w:val="clear" w:color="auto" w:fill="auto"/>
        </w:rPr>
      </w:pPr>
      <w:r>
        <w:rPr>
          <w:shd w:val="clear" w:color="auto" w:fill="auto"/>
        </w:rPr>
        <w:t xml:space="preserve">Abdel-Kader, M. S., Alam, P., Soliman, G. A., &amp; Al-Shdefat, R. (2021). Eco-friendly stability-indicating RP-HPTLC method for sildenafil analysis, characterization and biological evaluation of its oxidized stress degradation product. </w:t>
      </w:r>
      <w:r>
        <w:rPr>
          <w:rStyle w:val="8"/>
          <w:shd w:val="clear" w:color="auto" w:fill="auto"/>
        </w:rPr>
        <w:t>Scientific Reports</w:t>
      </w:r>
      <w:r>
        <w:rPr>
          <w:shd w:val="clear" w:color="auto" w:fill="auto"/>
        </w:rPr>
        <w:t xml:space="preserve">, 11, 1–11. </w:t>
      </w:r>
      <w:r>
        <w:rPr>
          <w:shd w:val="clear" w:color="auto" w:fill="auto"/>
        </w:rPr>
        <w:fldChar w:fldCharType="begin"/>
      </w:r>
      <w:r>
        <w:rPr>
          <w:shd w:val="clear" w:color="auto" w:fill="auto"/>
        </w:rPr>
        <w:instrText xml:space="preserve"> HYPERLINK "https://www.nature.com/articles/s41598-021-94854-6" </w:instrText>
      </w:r>
      <w:r>
        <w:rPr>
          <w:shd w:val="clear" w:color="auto" w:fill="auto"/>
        </w:rPr>
        <w:fldChar w:fldCharType="separate"/>
      </w:r>
      <w:r>
        <w:rPr>
          <w:rStyle w:val="11"/>
          <w:shd w:val="clear" w:color="auto" w:fill="auto"/>
        </w:rPr>
        <w:t>https://www.nature.com/articles/s41598-021-94854-6</w:t>
      </w:r>
      <w:r>
        <w:rPr>
          <w:shd w:val="clear" w:color="auto" w:fill="auto"/>
        </w:rPr>
        <w:fldChar w:fldCharType="end"/>
      </w:r>
    </w:p>
    <w:p w14:paraId="56BC8B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BE8237A">
      <w:pPr>
        <w:pStyle w:val="12"/>
        <w:keepNext w:val="0"/>
        <w:keepLines w:val="0"/>
        <w:widowControl/>
        <w:suppressLineNumbers w:val="0"/>
        <w:rPr>
          <w:shd w:val="clear" w:color="auto" w:fill="auto"/>
        </w:rPr>
      </w:pPr>
      <w:r>
        <w:rPr>
          <w:shd w:val="clear" w:color="auto" w:fill="auto"/>
        </w:rPr>
        <w:t xml:space="preserve">Adama, O. I. (2025). Hydro-maceration and decoction of clove seed as an aphrodisiac: A structured literature review. </w:t>
      </w:r>
      <w:r>
        <w:rPr>
          <w:rStyle w:val="8"/>
          <w:shd w:val="clear" w:color="auto" w:fill="auto"/>
        </w:rPr>
        <w:t>Archives of Biotechnology &amp; Pharmaceutical Research</w:t>
      </w:r>
      <w:r>
        <w:rPr>
          <w:shd w:val="clear" w:color="auto" w:fill="auto"/>
        </w:rPr>
        <w:t xml:space="preserve">. </w:t>
      </w:r>
      <w:r>
        <w:rPr>
          <w:shd w:val="clear" w:color="auto" w:fill="auto"/>
        </w:rPr>
        <w:fldChar w:fldCharType="begin"/>
      </w:r>
      <w:r>
        <w:rPr>
          <w:shd w:val="clear" w:color="auto" w:fill="auto"/>
        </w:rPr>
        <w:instrText xml:space="preserve"> HYPERLINK "https://urfjournals.org/open-access/hydro-maceration-and-decoction-of-clove-seed-as-an-aphrodisiac-a-structured-literature-review.pdf" </w:instrText>
      </w:r>
      <w:r>
        <w:rPr>
          <w:shd w:val="clear" w:color="auto" w:fill="auto"/>
        </w:rPr>
        <w:fldChar w:fldCharType="separate"/>
      </w:r>
      <w:r>
        <w:rPr>
          <w:rStyle w:val="11"/>
          <w:shd w:val="clear" w:color="auto" w:fill="auto"/>
        </w:rPr>
        <w:t>PDF link</w:t>
      </w:r>
      <w:r>
        <w:rPr>
          <w:shd w:val="clear" w:color="auto" w:fill="auto"/>
        </w:rPr>
        <w:fldChar w:fldCharType="end"/>
      </w:r>
    </w:p>
    <w:p w14:paraId="7EE2B9AE">
      <w:pPr>
        <w:pStyle w:val="12"/>
        <w:keepNext w:val="0"/>
        <w:keepLines w:val="0"/>
        <w:widowControl/>
        <w:suppressLineNumbers w:val="0"/>
        <w:rPr>
          <w:shd w:val="clear" w:color="auto" w:fill="auto"/>
        </w:rPr>
      </w:pPr>
      <w:r>
        <w:rPr>
          <w:shd w:val="clear" w:color="auto" w:fill="auto"/>
        </w:rPr>
        <w:t xml:space="preserve">Adedayo, B. C., Jesubowale, O. S., &amp; Adebayo, A. A. (2021). Toxicological evaluation and in vitro assessment of antioxidant and anticholinesterase properties of </w:t>
      </w:r>
      <w:r>
        <w:rPr>
          <w:rStyle w:val="8"/>
          <w:shd w:val="clear" w:color="auto" w:fill="auto"/>
        </w:rPr>
        <w:t>Andrographis paniculata</w:t>
      </w:r>
      <w:r>
        <w:rPr>
          <w:shd w:val="clear" w:color="auto" w:fill="auto"/>
        </w:rPr>
        <w:t xml:space="preserve"> extract. </w:t>
      </w:r>
      <w:r>
        <w:rPr>
          <w:rStyle w:val="8"/>
          <w:shd w:val="clear" w:color="auto" w:fill="auto"/>
        </w:rPr>
        <w:t>Interdisciplinary Toxicology</w:t>
      </w:r>
      <w:r>
        <w:rPr>
          <w:shd w:val="clear" w:color="auto" w:fill="auto"/>
        </w:rPr>
        <w:t xml:space="preserve">, 14(1), 1–10. </w:t>
      </w:r>
      <w:r>
        <w:rPr>
          <w:shd w:val="clear" w:color="auto" w:fill="auto"/>
        </w:rPr>
        <w:fldChar w:fldCharType="begin"/>
      </w:r>
      <w:r>
        <w:rPr>
          <w:shd w:val="clear" w:color="auto" w:fill="auto"/>
        </w:rPr>
        <w:instrText xml:space="preserve"> HYPERLINK "https://sciendo.com/pdf/10.2478/intox-2021-0001" </w:instrText>
      </w:r>
      <w:r>
        <w:rPr>
          <w:shd w:val="clear" w:color="auto" w:fill="auto"/>
        </w:rPr>
        <w:fldChar w:fldCharType="separate"/>
      </w:r>
      <w:r>
        <w:rPr>
          <w:rStyle w:val="11"/>
          <w:shd w:val="clear" w:color="auto" w:fill="auto"/>
        </w:rPr>
        <w:t>https://sciendo.com/pdf/10.2478/intox-2021-0001</w:t>
      </w:r>
      <w:r>
        <w:rPr>
          <w:shd w:val="clear" w:color="auto" w:fill="auto"/>
        </w:rPr>
        <w:fldChar w:fldCharType="end"/>
      </w:r>
    </w:p>
    <w:p w14:paraId="0457C39E">
      <w:pPr>
        <w:pStyle w:val="12"/>
        <w:keepNext w:val="0"/>
        <w:keepLines w:val="0"/>
        <w:widowControl/>
        <w:suppressLineNumbers w:val="0"/>
        <w:rPr>
          <w:shd w:val="clear" w:color="auto" w:fill="auto"/>
        </w:rPr>
      </w:pPr>
      <w:r>
        <w:rPr>
          <w:shd w:val="clear" w:color="auto" w:fill="auto"/>
        </w:rPr>
        <w:t xml:space="preserve">Ademosun, A. O., Adebayo, A. A., &amp; Oboh, G. (2019). </w:t>
      </w:r>
      <w:r>
        <w:rPr>
          <w:rStyle w:val="8"/>
          <w:shd w:val="clear" w:color="auto" w:fill="auto"/>
        </w:rPr>
        <w:t>Anogeissus leiocarpus</w:t>
      </w:r>
      <w:r>
        <w:rPr>
          <w:shd w:val="clear" w:color="auto" w:fill="auto"/>
        </w:rPr>
        <w:t xml:space="preserve"> attenuates paroxetine-induced erectile dysfunction in male rats via enhanced sexual behavior, nitric oxide level and antioxidant status. </w:t>
      </w:r>
      <w:r>
        <w:rPr>
          <w:rStyle w:val="8"/>
          <w:shd w:val="clear" w:color="auto" w:fill="auto"/>
        </w:rPr>
        <w:t>Biomedicine &amp; Pharmacotherapy, 111</w:t>
      </w:r>
      <w:r>
        <w:rPr>
          <w:shd w:val="clear" w:color="auto" w:fill="auto"/>
        </w:rPr>
        <w:t xml:space="preserve">, 716–723. </w:t>
      </w:r>
      <w:r>
        <w:rPr>
          <w:shd w:val="clear" w:color="auto" w:fill="auto"/>
        </w:rPr>
        <w:fldChar w:fldCharType="begin"/>
      </w:r>
      <w:r>
        <w:rPr>
          <w:shd w:val="clear" w:color="auto" w:fill="auto"/>
        </w:rPr>
        <w:instrText xml:space="preserve"> HYPERLINK "https://doi.org/10.1016/j.biopha.2018.12.142" </w:instrText>
      </w:r>
      <w:r>
        <w:rPr>
          <w:shd w:val="clear" w:color="auto" w:fill="auto"/>
        </w:rPr>
        <w:fldChar w:fldCharType="separate"/>
      </w:r>
      <w:r>
        <w:rPr>
          <w:rStyle w:val="11"/>
          <w:shd w:val="clear" w:color="auto" w:fill="auto"/>
        </w:rPr>
        <w:t>https://doi.org/10.1016/j.biopha.2018.12.142</w:t>
      </w:r>
      <w:r>
        <w:rPr>
          <w:shd w:val="clear" w:color="auto" w:fill="auto"/>
        </w:rPr>
        <w:fldChar w:fldCharType="end"/>
      </w:r>
    </w:p>
    <w:p w14:paraId="528E3918">
      <w:pPr>
        <w:pStyle w:val="12"/>
        <w:keepNext w:val="0"/>
        <w:keepLines w:val="0"/>
        <w:widowControl/>
        <w:suppressLineNumbers w:val="0"/>
        <w:rPr>
          <w:shd w:val="clear" w:color="auto" w:fill="auto"/>
        </w:rPr>
      </w:pPr>
      <w:r>
        <w:rPr>
          <w:shd w:val="clear" w:color="auto" w:fill="auto"/>
        </w:rPr>
        <w:t xml:space="preserve">Ajiboye, T. O., Nurudeen, Q. O., &amp; Yakubu, M. T. (2018). Effect of 50% ethanolic extract of </w:t>
      </w:r>
      <w:r>
        <w:rPr>
          <w:rStyle w:val="8"/>
          <w:shd w:val="clear" w:color="auto" w:fill="auto"/>
        </w:rPr>
        <w:t>Syzygium aromaticum</w:t>
      </w:r>
      <w:r>
        <w:rPr>
          <w:shd w:val="clear" w:color="auto" w:fill="auto"/>
        </w:rPr>
        <w:t xml:space="preserve"> (L.) Merr. &amp; L.M. Perry (clove) on sexual dysfunction. </w:t>
      </w:r>
      <w:r>
        <w:rPr>
          <w:rStyle w:val="8"/>
          <w:shd w:val="clear" w:color="auto" w:fill="auto"/>
        </w:rPr>
        <w:t>Journal of Basic and Clinical Physiology and Pharmacology</w:t>
      </w:r>
      <w:r>
        <w:rPr>
          <w:shd w:val="clear" w:color="auto" w:fill="auto"/>
        </w:rPr>
        <w:t xml:space="preserve">, 29(3), 243–250. </w:t>
      </w:r>
      <w:r>
        <w:rPr>
          <w:shd w:val="clear" w:color="auto" w:fill="auto"/>
        </w:rPr>
        <w:fldChar w:fldCharType="begin"/>
      </w:r>
      <w:r>
        <w:rPr>
          <w:shd w:val="clear" w:color="auto" w:fill="auto"/>
        </w:rPr>
        <w:instrText xml:space="preserve"> HYPERLINK "https://www.academia.edu/download/101815394/jbcpp-2013-006120230504-1-9xts55.pdf" </w:instrText>
      </w:r>
      <w:r>
        <w:rPr>
          <w:shd w:val="clear" w:color="auto" w:fill="auto"/>
        </w:rPr>
        <w:fldChar w:fldCharType="separate"/>
      </w:r>
      <w:r>
        <w:rPr>
          <w:rStyle w:val="11"/>
          <w:shd w:val="clear" w:color="auto" w:fill="auto"/>
        </w:rPr>
        <w:t>https://www.academia.edu/download/101815394/jbcpp-2013-006120230504-1-9xts55.pdf</w:t>
      </w:r>
      <w:r>
        <w:rPr>
          <w:shd w:val="clear" w:color="auto" w:fill="auto"/>
        </w:rPr>
        <w:fldChar w:fldCharType="end"/>
      </w:r>
    </w:p>
    <w:p w14:paraId="68841A31">
      <w:pPr>
        <w:pStyle w:val="12"/>
        <w:keepNext w:val="0"/>
        <w:keepLines w:val="0"/>
        <w:widowControl/>
        <w:suppressLineNumbers w:val="0"/>
        <w:rPr>
          <w:shd w:val="clear" w:color="auto" w:fill="auto"/>
        </w:rPr>
      </w:pPr>
      <w:r>
        <w:rPr>
          <w:shd w:val="clear" w:color="auto" w:fill="auto"/>
        </w:rPr>
        <w:t xml:space="preserve">Al-Qahtani, F. S., Battar, S. S., &amp; Alqahtani, M. M. M. (2025). The prevalence of erectile dysfunction and its associated factors among diabetic patients in the Southwestern Region of Saudi Arabia: An analytical cross-sectional study. </w:t>
      </w:r>
      <w:r>
        <w:rPr>
          <w:rStyle w:val="8"/>
          <w:shd w:val="clear" w:color="auto" w:fill="auto"/>
        </w:rPr>
        <w:t>Journal of Men's Health</w:t>
      </w:r>
      <w:r>
        <w:rPr>
          <w:shd w:val="clear" w:color="auto" w:fill="auto"/>
        </w:rPr>
        <w:t xml:space="preserve">, 21(1), 1–9. </w:t>
      </w:r>
      <w:r>
        <w:rPr>
          <w:shd w:val="clear" w:color="auto" w:fill="auto"/>
        </w:rPr>
        <w:fldChar w:fldCharType="begin"/>
      </w:r>
      <w:r>
        <w:rPr>
          <w:shd w:val="clear" w:color="auto" w:fill="auto"/>
        </w:rPr>
        <w:instrText xml:space="preserve"> HYPERLINK "https://oss.jomh.org/files/article/20250530-552/pdf/JOMH2025020101.pdf" </w:instrText>
      </w:r>
      <w:r>
        <w:rPr>
          <w:shd w:val="clear" w:color="auto" w:fill="auto"/>
        </w:rPr>
        <w:fldChar w:fldCharType="separate"/>
      </w:r>
      <w:r>
        <w:rPr>
          <w:rStyle w:val="11"/>
          <w:shd w:val="clear" w:color="auto" w:fill="auto"/>
        </w:rPr>
        <w:t>https://oss.jomh.org/files/article/20250530-552/pdf/JOMH2025020101.pdf</w:t>
      </w:r>
      <w:r>
        <w:rPr>
          <w:shd w:val="clear" w:color="auto" w:fill="auto"/>
        </w:rPr>
        <w:fldChar w:fldCharType="end"/>
      </w:r>
    </w:p>
    <w:p w14:paraId="45CA49B8">
      <w:pPr>
        <w:pStyle w:val="12"/>
        <w:keepNext w:val="0"/>
        <w:keepLines w:val="0"/>
        <w:widowControl/>
        <w:suppressLineNumbers w:val="0"/>
        <w:rPr>
          <w:shd w:val="clear" w:color="auto" w:fill="auto"/>
        </w:rPr>
      </w:pPr>
      <w:r>
        <w:rPr>
          <w:shd w:val="clear" w:color="auto" w:fill="auto"/>
        </w:rPr>
        <w:t xml:space="preserve">Alrumaihi, F., Raut, R., Yahia, E. A., Kumar, V., &amp; Anwar, S. (2024). A review on risk factors, diagnostic innovations, and plant-based therapies for the management of erectile dysfunction. </w:t>
      </w:r>
      <w:r>
        <w:rPr>
          <w:rStyle w:val="8"/>
          <w:shd w:val="clear" w:color="auto" w:fill="auto"/>
        </w:rPr>
        <w:t>Uro, 4</w:t>
      </w:r>
      <w:r>
        <w:rPr>
          <w:shd w:val="clear" w:color="auto" w:fill="auto"/>
        </w:rPr>
        <w:t xml:space="preserve">(2), 60–88. </w:t>
      </w:r>
      <w:r>
        <w:rPr>
          <w:shd w:val="clear" w:color="auto" w:fill="auto"/>
        </w:rPr>
        <w:fldChar w:fldCharType="begin"/>
      </w:r>
      <w:r>
        <w:rPr>
          <w:shd w:val="clear" w:color="auto" w:fill="auto"/>
        </w:rPr>
        <w:instrText xml:space="preserve"> HYPERLINK "https://www.mdpi.com/2673-4397/4/2/6" </w:instrText>
      </w:r>
      <w:r>
        <w:rPr>
          <w:shd w:val="clear" w:color="auto" w:fill="auto"/>
        </w:rPr>
        <w:fldChar w:fldCharType="separate"/>
      </w:r>
      <w:r>
        <w:rPr>
          <w:rStyle w:val="11"/>
          <w:shd w:val="clear" w:color="auto" w:fill="auto"/>
        </w:rPr>
        <w:t>https://www.mdpi.com/2673-4397/4/2/6</w:t>
      </w:r>
      <w:r>
        <w:rPr>
          <w:shd w:val="clear" w:color="auto" w:fill="auto"/>
        </w:rPr>
        <w:fldChar w:fldCharType="end"/>
      </w:r>
    </w:p>
    <w:p w14:paraId="46292877">
      <w:pPr>
        <w:pStyle w:val="12"/>
        <w:keepNext w:val="0"/>
        <w:keepLines w:val="0"/>
        <w:widowControl/>
        <w:suppressLineNumbers w:val="0"/>
        <w:rPr>
          <w:shd w:val="clear" w:color="auto" w:fill="auto"/>
        </w:rPr>
      </w:pPr>
      <w:r>
        <w:rPr>
          <w:shd w:val="clear" w:color="auto" w:fill="auto"/>
        </w:rPr>
        <w:t xml:space="preserve">Besong, E. E., Akhigbe, T. M., Ashonibare, P. J., &amp; Adeyemi, A. M. (2023). Zinc improves sexual performance and erectile function by preventing penile oxidative injury and upregulating circulating testosterone in lead-exposed rats. </w:t>
      </w:r>
      <w:r>
        <w:rPr>
          <w:rStyle w:val="8"/>
          <w:shd w:val="clear" w:color="auto" w:fill="auto"/>
        </w:rPr>
        <w:t>Redox Report</w:t>
      </w:r>
      <w:r>
        <w:rPr>
          <w:shd w:val="clear" w:color="auto" w:fill="auto"/>
        </w:rPr>
        <w:t xml:space="preserve">, 28(1), 1–9. </w:t>
      </w:r>
      <w:r>
        <w:rPr>
          <w:shd w:val="clear" w:color="auto" w:fill="auto"/>
        </w:rPr>
        <w:fldChar w:fldCharType="begin"/>
      </w:r>
      <w:r>
        <w:rPr>
          <w:shd w:val="clear" w:color="auto" w:fill="auto"/>
        </w:rPr>
        <w:instrText xml:space="preserve"> HYPERLINK "https://www.tandfonline.com/doi/abs/10.1080/13510002.2023.2225675" </w:instrText>
      </w:r>
      <w:r>
        <w:rPr>
          <w:shd w:val="clear" w:color="auto" w:fill="auto"/>
        </w:rPr>
        <w:fldChar w:fldCharType="separate"/>
      </w:r>
      <w:r>
        <w:rPr>
          <w:rStyle w:val="11"/>
          <w:shd w:val="clear" w:color="auto" w:fill="auto"/>
        </w:rPr>
        <w:t>https://www.tandfonline.com/doi/abs/10.1080/13510002.2023.2225675</w:t>
      </w:r>
      <w:r>
        <w:rPr>
          <w:shd w:val="clear" w:color="auto" w:fill="auto"/>
        </w:rPr>
        <w:fldChar w:fldCharType="end"/>
      </w:r>
    </w:p>
    <w:p w14:paraId="115E766A">
      <w:pPr>
        <w:pStyle w:val="12"/>
        <w:keepNext w:val="0"/>
        <w:keepLines w:val="0"/>
        <w:widowControl/>
        <w:suppressLineNumbers w:val="0"/>
        <w:rPr>
          <w:shd w:val="clear" w:color="auto" w:fill="auto"/>
        </w:rPr>
      </w:pPr>
      <w:r>
        <w:rPr>
          <w:shd w:val="clear" w:color="auto" w:fill="auto"/>
        </w:rPr>
        <w:t xml:space="preserve">Bonarska, M., Adasik, D., Szymczyk, S., &amp; Łocik, G. (2025). A narrative review of independent treatment methods for ED: Diet, supplements, pharmacotherapy, and physiotherapy. </w:t>
      </w:r>
      <w:r>
        <w:rPr>
          <w:rStyle w:val="8"/>
          <w:shd w:val="clear" w:color="auto" w:fill="auto"/>
        </w:rPr>
        <w:t>Journal of Clinical Medicine, 14</w:t>
      </w:r>
      <w:r>
        <w:rPr>
          <w:shd w:val="clear" w:color="auto" w:fill="auto"/>
        </w:rPr>
        <w:t xml:space="preserve">(7), 2386. </w:t>
      </w:r>
      <w:r>
        <w:rPr>
          <w:shd w:val="clear" w:color="auto" w:fill="auto"/>
        </w:rPr>
        <w:fldChar w:fldCharType="begin"/>
      </w:r>
      <w:r>
        <w:rPr>
          <w:shd w:val="clear" w:color="auto" w:fill="auto"/>
        </w:rPr>
        <w:instrText xml:space="preserve"> HYPERLINK "https://www.mdpi.com/2077-0383/14/7/2386" </w:instrText>
      </w:r>
      <w:r>
        <w:rPr>
          <w:shd w:val="clear" w:color="auto" w:fill="auto"/>
        </w:rPr>
        <w:fldChar w:fldCharType="separate"/>
      </w:r>
      <w:r>
        <w:rPr>
          <w:rStyle w:val="11"/>
          <w:shd w:val="clear" w:color="auto" w:fill="auto"/>
        </w:rPr>
        <w:t>https://www.mdpi.com/2077-0383/14/7/2386</w:t>
      </w:r>
      <w:r>
        <w:rPr>
          <w:shd w:val="clear" w:color="auto" w:fill="auto"/>
        </w:rPr>
        <w:fldChar w:fldCharType="end"/>
      </w:r>
    </w:p>
    <w:p w14:paraId="0ED79353">
      <w:pPr>
        <w:pStyle w:val="12"/>
        <w:keepNext w:val="0"/>
        <w:keepLines w:val="0"/>
        <w:widowControl/>
        <w:suppressLineNumbers w:val="0"/>
        <w:rPr>
          <w:shd w:val="clear" w:color="auto" w:fill="auto"/>
        </w:rPr>
      </w:pPr>
      <w:r>
        <w:rPr>
          <w:shd w:val="clear" w:color="auto" w:fill="auto"/>
        </w:rPr>
        <w:t xml:space="preserve">Boojar, M. M. A., Shakeri, M., &amp; Saberi, M. (2024). Herbal treatments and their impact on male fertility: A comprehensive review.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"https://www.researchgate.net/publication/389745678" </w:instrText>
      </w:r>
      <w:r>
        <w:rPr>
          <w:shd w:val="clear" w:color="auto" w:fill="auto"/>
        </w:rPr>
        <w:fldChar w:fldCharType="separate"/>
      </w:r>
      <w:r>
        <w:rPr>
          <w:rStyle w:val="11"/>
          <w:shd w:val="clear" w:color="auto" w:fill="auto"/>
        </w:rPr>
        <w:t>Link</w:t>
      </w:r>
      <w:r>
        <w:rPr>
          <w:shd w:val="clear" w:color="auto" w:fill="auto"/>
        </w:rPr>
        <w:fldChar w:fldCharType="end"/>
      </w:r>
    </w:p>
    <w:p w14:paraId="4846EB41">
      <w:pPr>
        <w:pStyle w:val="12"/>
        <w:keepNext w:val="0"/>
        <w:keepLines w:val="0"/>
        <w:widowControl/>
        <w:suppressLineNumbers w:val="0"/>
        <w:rPr>
          <w:shd w:val="clear" w:color="auto" w:fill="auto"/>
        </w:rPr>
      </w:pPr>
      <w:r>
        <w:rPr>
          <w:shd w:val="clear" w:color="auto" w:fill="auto"/>
        </w:rPr>
        <w:t xml:space="preserve">Caballero-Gallardo, K., Quintero-Rincón, P., &amp; Michel, M. R. (2025). Aromatherapy and essential oils: Holistic strategies in complementary medicine. </w:t>
      </w:r>
      <w:r>
        <w:rPr>
          <w:rStyle w:val="8"/>
          <w:shd w:val="clear" w:color="auto" w:fill="auto"/>
        </w:rPr>
        <w:t>Plants, 14</w:t>
      </w:r>
      <w:r>
        <w:rPr>
          <w:shd w:val="clear" w:color="auto" w:fill="auto"/>
        </w:rPr>
        <w:t xml:space="preserve">(3), 400. </w:t>
      </w:r>
      <w:r>
        <w:rPr>
          <w:shd w:val="clear" w:color="auto" w:fill="auto"/>
        </w:rPr>
        <w:fldChar w:fldCharType="begin"/>
      </w:r>
      <w:r>
        <w:rPr>
          <w:shd w:val="clear" w:color="auto" w:fill="auto"/>
        </w:rPr>
        <w:instrText xml:space="preserve"> HYPERLINK "https://www.mdpi.com/2223-7747/14/3/400" </w:instrText>
      </w:r>
      <w:r>
        <w:rPr>
          <w:shd w:val="clear" w:color="auto" w:fill="auto"/>
        </w:rPr>
        <w:fldChar w:fldCharType="separate"/>
      </w:r>
      <w:r>
        <w:rPr>
          <w:rStyle w:val="11"/>
          <w:shd w:val="clear" w:color="auto" w:fill="auto"/>
        </w:rPr>
        <w:t>https://www.mdpi.com/2223-7747/14/3/400</w:t>
      </w:r>
      <w:r>
        <w:rPr>
          <w:shd w:val="clear" w:color="auto" w:fill="auto"/>
        </w:rPr>
        <w:fldChar w:fldCharType="end"/>
      </w:r>
    </w:p>
    <w:p w14:paraId="36EC7C49">
      <w:pPr>
        <w:pStyle w:val="12"/>
        <w:keepNext w:val="0"/>
        <w:keepLines w:val="0"/>
        <w:widowControl/>
        <w:suppressLineNumbers w:val="0"/>
        <w:rPr>
          <w:shd w:val="clear" w:color="auto" w:fill="auto"/>
        </w:rPr>
      </w:pPr>
      <w:r>
        <w:rPr>
          <w:shd w:val="clear" w:color="auto" w:fill="auto"/>
        </w:rPr>
        <w:t xml:space="preserve">Campolo, F., Barbagallo, F., Franceschini, E., Crecca, C., &amp; Maggi, M. (2020). PDE5 inhibitors in type 2 diabetes cardiovascular complications. </w:t>
      </w:r>
      <w:r>
        <w:rPr>
          <w:rStyle w:val="8"/>
          <w:shd w:val="clear" w:color="auto" w:fill="auto"/>
        </w:rPr>
        <w:t>Endocrines, 1</w:t>
      </w:r>
      <w:r>
        <w:rPr>
          <w:shd w:val="clear" w:color="auto" w:fill="auto"/>
        </w:rPr>
        <w:t xml:space="preserve">(2), 122–135. </w:t>
      </w:r>
      <w:r>
        <w:rPr>
          <w:shd w:val="clear" w:color="auto" w:fill="auto"/>
        </w:rPr>
        <w:fldChar w:fldCharType="begin"/>
      </w:r>
      <w:r>
        <w:rPr>
          <w:shd w:val="clear" w:color="auto" w:fill="auto"/>
        </w:rPr>
        <w:instrText xml:space="preserve"> HYPERLINK "https://www.mdpi.com/2673-396X/1/2/9" </w:instrText>
      </w:r>
      <w:r>
        <w:rPr>
          <w:shd w:val="clear" w:color="auto" w:fill="auto"/>
        </w:rPr>
        <w:fldChar w:fldCharType="separate"/>
      </w:r>
      <w:r>
        <w:rPr>
          <w:rStyle w:val="11"/>
          <w:shd w:val="clear" w:color="auto" w:fill="auto"/>
        </w:rPr>
        <w:t>https://www.mdpi.com/2673-396X/1/2/9</w:t>
      </w:r>
      <w:r>
        <w:rPr>
          <w:shd w:val="clear" w:color="auto" w:fill="auto"/>
        </w:rPr>
        <w:fldChar w:fldCharType="end"/>
      </w:r>
    </w:p>
    <w:p w14:paraId="154808C6">
      <w:pPr>
        <w:pStyle w:val="12"/>
        <w:keepNext w:val="0"/>
        <w:keepLines w:val="0"/>
        <w:widowControl/>
        <w:suppressLineNumbers w:val="0"/>
        <w:rPr>
          <w:shd w:val="clear" w:color="auto" w:fill="auto"/>
        </w:rPr>
      </w:pPr>
      <w:r>
        <w:rPr>
          <w:shd w:val="clear" w:color="auto" w:fill="auto"/>
        </w:rPr>
        <w:t xml:space="preserve">Carella, M. C., Forleo, C., Stanca, A., &amp; Carulli, E. (2023). Heart failure and erectile dysfunction: Clinical implications. </w:t>
      </w:r>
      <w:r>
        <w:rPr>
          <w:rStyle w:val="8"/>
          <w:shd w:val="clear" w:color="auto" w:fill="auto"/>
        </w:rPr>
        <w:t>Current Heart Failure Reports, 20</w:t>
      </w:r>
      <w:r>
        <w:rPr>
          <w:shd w:val="clear" w:color="auto" w:fill="auto"/>
        </w:rPr>
        <w:t xml:space="preserve">(4), 241–252. </w:t>
      </w:r>
      <w:r>
        <w:rPr>
          <w:shd w:val="clear" w:color="auto" w:fill="auto"/>
        </w:rPr>
        <w:fldChar w:fldCharType="begin"/>
      </w:r>
      <w:r>
        <w:rPr>
          <w:shd w:val="clear" w:color="auto" w:fill="auto"/>
        </w:rPr>
        <w:instrText xml:space="preserve"> HYPERLINK "https://doi.org/10.1007/s11897-023-00632-y" </w:instrText>
      </w:r>
      <w:r>
        <w:rPr>
          <w:shd w:val="clear" w:color="auto" w:fill="auto"/>
        </w:rPr>
        <w:fldChar w:fldCharType="separate"/>
      </w:r>
      <w:r>
        <w:rPr>
          <w:rStyle w:val="11"/>
          <w:shd w:val="clear" w:color="auto" w:fill="auto"/>
        </w:rPr>
        <w:t>https://doi.org/10.1007/s11897-023-00632-y</w:t>
      </w:r>
      <w:r>
        <w:rPr>
          <w:shd w:val="clear" w:color="auto" w:fill="auto"/>
        </w:rPr>
        <w:fldChar w:fldCharType="end"/>
      </w:r>
    </w:p>
    <w:p w14:paraId="22222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14:paraId="46479A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14:paraId="49C52919">
      <w:pPr>
        <w:pStyle w:val="12"/>
        <w:keepNext w:val="0"/>
        <w:keepLines w:val="0"/>
        <w:widowControl/>
        <w:suppressLineNumbers w:val="0"/>
        <w:rPr>
          <w:shd w:val="clear" w:color="auto" w:fill="auto"/>
        </w:rPr>
      </w:pPr>
      <w:r>
        <w:rPr>
          <w:shd w:val="clear" w:color="auto" w:fill="auto"/>
        </w:rPr>
        <w:t xml:space="preserve">Crescioli, C., &amp; Paronetto, M. P. (2024). Rethinking phosphodiesterase 5 inhibition: the old, the new, and the perspective in human health. </w:t>
      </w:r>
      <w:r>
        <w:rPr>
          <w:rStyle w:val="8"/>
          <w:shd w:val="clear" w:color="auto" w:fill="auto"/>
        </w:rPr>
        <w:t>Frontiers in Endocrinology, 15</w:t>
      </w:r>
      <w:r>
        <w:rPr>
          <w:shd w:val="clear" w:color="auto" w:fill="auto"/>
        </w:rPr>
        <w:t xml:space="preserve">, Article 1461642. </w:t>
      </w:r>
      <w:r>
        <w:rPr>
          <w:shd w:val="clear" w:color="auto" w:fill="auto"/>
        </w:rPr>
        <w:fldChar w:fldCharType="begin"/>
      </w:r>
      <w:r>
        <w:rPr>
          <w:shd w:val="clear" w:color="auto" w:fill="auto"/>
        </w:rPr>
        <w:instrText xml:space="preserve"> HYPERLINK "https://www.frontiersin.org/articles/10.3389/fendo.2024.1461642/full" </w:instrText>
      </w:r>
      <w:r>
        <w:rPr>
          <w:shd w:val="clear" w:color="auto" w:fill="auto"/>
        </w:rPr>
        <w:fldChar w:fldCharType="separate"/>
      </w:r>
      <w:r>
        <w:rPr>
          <w:rStyle w:val="11"/>
          <w:shd w:val="clear" w:color="auto" w:fill="auto"/>
        </w:rPr>
        <w:t>https://www.frontiersin.org/articles/10.3389/fendo.2024.1461642/full</w:t>
      </w:r>
      <w:r>
        <w:rPr>
          <w:shd w:val="clear" w:color="auto" w:fill="auto"/>
        </w:rPr>
        <w:fldChar w:fldCharType="end"/>
      </w:r>
    </w:p>
    <w:p w14:paraId="40348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14:paraId="78C26B62">
      <w:pPr>
        <w:pStyle w:val="12"/>
        <w:keepNext w:val="0"/>
        <w:keepLines w:val="0"/>
        <w:widowControl/>
        <w:suppressLineNumbers w:val="0"/>
        <w:rPr>
          <w:shd w:val="clear" w:color="auto" w:fill="auto"/>
        </w:rPr>
      </w:pPr>
      <w:r>
        <w:rPr>
          <w:shd w:val="clear" w:color="auto" w:fill="auto"/>
        </w:rPr>
        <w:t xml:space="preserve">Dilixiati, D., Waili, A., Tuerxunmaimaiti, A., Tao, L., &amp; Zhang, Y. (2024). Risk factors for erectile dysfunction in diabetes mellitus: A systematic review and meta-analysis. </w:t>
      </w:r>
      <w:r>
        <w:rPr>
          <w:rStyle w:val="8"/>
          <w:shd w:val="clear" w:color="auto" w:fill="auto"/>
        </w:rPr>
        <w:t>Frontiers in Endocrinology</w:t>
      </w:r>
      <w:r>
        <w:rPr>
          <w:shd w:val="clear" w:color="auto" w:fill="auto"/>
        </w:rPr>
        <w:t xml:space="preserve">, 15, Article 1368079. </w:t>
      </w:r>
      <w:r>
        <w:rPr>
          <w:shd w:val="clear" w:color="auto" w:fill="auto"/>
        </w:rPr>
        <w:fldChar w:fldCharType="begin"/>
      </w:r>
      <w:r>
        <w:rPr>
          <w:shd w:val="clear" w:color="auto" w:fill="auto"/>
        </w:rPr>
        <w:instrText xml:space="preserve"> HYPERLINK "https://doi.org/10.3389/fendo.2024.1368079" </w:instrText>
      </w:r>
      <w:r>
        <w:rPr>
          <w:shd w:val="clear" w:color="auto" w:fill="auto"/>
        </w:rPr>
        <w:fldChar w:fldCharType="separate"/>
      </w:r>
      <w:r>
        <w:rPr>
          <w:rStyle w:val="11"/>
          <w:shd w:val="clear" w:color="auto" w:fill="auto"/>
        </w:rPr>
        <w:t>https://doi.org/10.3389/fendo.2024.1368079</w:t>
      </w:r>
      <w:r>
        <w:rPr>
          <w:shd w:val="clear" w:color="auto" w:fill="auto"/>
        </w:rPr>
        <w:fldChar w:fldCharType="end"/>
      </w:r>
    </w:p>
    <w:p w14:paraId="3A9365DB">
      <w:pPr>
        <w:pStyle w:val="12"/>
        <w:keepNext w:val="0"/>
        <w:keepLines w:val="0"/>
        <w:widowControl/>
        <w:suppressLineNumbers w:val="0"/>
        <w:rPr>
          <w:shd w:val="clear" w:color="auto" w:fill="auto"/>
        </w:rPr>
      </w:pPr>
      <w:r>
        <w:rPr>
          <w:shd w:val="clear" w:color="auto" w:fill="auto"/>
        </w:rPr>
        <w:t xml:space="preserve">Elekofehinti, O. O., Akintoye, O. N., &amp; Akinjiyan, M. O. (2024). Effect of </w:t>
      </w:r>
      <w:r>
        <w:rPr>
          <w:rStyle w:val="8"/>
          <w:shd w:val="clear" w:color="auto" w:fill="auto"/>
        </w:rPr>
        <w:t>Carpolobia lutea</w:t>
      </w:r>
      <w:r>
        <w:rPr>
          <w:shd w:val="clear" w:color="auto" w:fill="auto"/>
        </w:rPr>
        <w:t xml:space="preserve"> leaf extract on erectile dysfunction induced by paroxetine in rats. </w:t>
      </w:r>
      <w:r>
        <w:rPr>
          <w:rStyle w:val="8"/>
          <w:shd w:val="clear" w:color="auto" w:fill="auto"/>
        </w:rPr>
        <w:t>Phytomedicine Plus, 4</w:t>
      </w:r>
      <w:r>
        <w:rPr>
          <w:shd w:val="clear" w:color="auto" w:fill="auto"/>
        </w:rPr>
        <w:t xml:space="preserve">(2), 100384. </w:t>
      </w:r>
      <w:r>
        <w:rPr>
          <w:shd w:val="clear" w:color="auto" w:fill="auto"/>
        </w:rPr>
        <w:fldChar w:fldCharType="begin"/>
      </w:r>
      <w:r>
        <w:rPr>
          <w:shd w:val="clear" w:color="auto" w:fill="auto"/>
        </w:rPr>
        <w:instrText xml:space="preserve"> HYPERLINK "https://doi.org/10.1016/j.phyplu.2024.100384" </w:instrText>
      </w:r>
      <w:r>
        <w:rPr>
          <w:shd w:val="clear" w:color="auto" w:fill="auto"/>
        </w:rPr>
        <w:fldChar w:fldCharType="separate"/>
      </w:r>
      <w:r>
        <w:rPr>
          <w:rStyle w:val="11"/>
          <w:shd w:val="clear" w:color="auto" w:fill="auto"/>
        </w:rPr>
        <w:t>https://doi.org/10.1016/j.phyplu.2024.100384</w:t>
      </w:r>
      <w:r>
        <w:rPr>
          <w:shd w:val="clear" w:color="auto" w:fill="auto"/>
        </w:rPr>
        <w:fldChar w:fldCharType="end"/>
      </w:r>
    </w:p>
    <w:p w14:paraId="6D844C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FD040E2">
      <w:pPr>
        <w:pStyle w:val="12"/>
        <w:keepNext w:val="0"/>
        <w:keepLines w:val="0"/>
        <w:widowControl/>
        <w:suppressLineNumbers w:val="0"/>
        <w:rPr>
          <w:shd w:val="clear" w:color="auto" w:fill="auto"/>
        </w:rPr>
      </w:pPr>
      <w:r>
        <w:rPr>
          <w:shd w:val="clear" w:color="auto" w:fill="auto"/>
        </w:rPr>
        <w:t xml:space="preserve">El-Saber Batiha, G., Beshbishy, A. M., El-Mleeh, A., Abdel-Daim, M. M., &amp; Devkota, H. P. (2020). Traditional uses, bioactive chemical constituents, and pharmacological and toxicological activities of </w:t>
      </w:r>
      <w:r>
        <w:rPr>
          <w:rStyle w:val="8"/>
          <w:shd w:val="clear" w:color="auto" w:fill="auto"/>
        </w:rPr>
        <w:t>Glycyrrhiza glabra</w:t>
      </w:r>
      <w:r>
        <w:rPr>
          <w:shd w:val="clear" w:color="auto" w:fill="auto"/>
        </w:rPr>
        <w:t xml:space="preserve"> L. (Fabaceae). </w:t>
      </w:r>
      <w:r>
        <w:rPr>
          <w:rStyle w:val="8"/>
          <w:shd w:val="clear" w:color="auto" w:fill="auto"/>
        </w:rPr>
        <w:t>Biomolecules, 10</w:t>
      </w:r>
      <w:r>
        <w:rPr>
          <w:shd w:val="clear" w:color="auto" w:fill="auto"/>
        </w:rPr>
        <w:t xml:space="preserve">(3), 352. </w:t>
      </w:r>
      <w:r>
        <w:rPr>
          <w:shd w:val="clear" w:color="auto" w:fill="auto"/>
        </w:rPr>
        <w:fldChar w:fldCharType="begin"/>
      </w:r>
      <w:r>
        <w:rPr>
          <w:shd w:val="clear" w:color="auto" w:fill="auto"/>
        </w:rPr>
        <w:instrText xml:space="preserve"> HYPERLINK "https://www.mdpi.com/2218-273X/10/3/352" </w:instrText>
      </w:r>
      <w:r>
        <w:rPr>
          <w:shd w:val="clear" w:color="auto" w:fill="auto"/>
        </w:rPr>
        <w:fldChar w:fldCharType="separate"/>
      </w:r>
      <w:r>
        <w:rPr>
          <w:rStyle w:val="11"/>
          <w:shd w:val="clear" w:color="auto" w:fill="auto"/>
        </w:rPr>
        <w:t>https://www.mdpi.com/2218-273X/10/3/352</w:t>
      </w:r>
      <w:r>
        <w:rPr>
          <w:shd w:val="clear" w:color="auto" w:fill="auto"/>
        </w:rPr>
        <w:fldChar w:fldCharType="end"/>
      </w:r>
    </w:p>
    <w:p w14:paraId="465CC6D5">
      <w:pPr>
        <w:pStyle w:val="12"/>
        <w:keepNext w:val="0"/>
        <w:keepLines w:val="0"/>
        <w:widowControl/>
        <w:suppressLineNumbers w:val="0"/>
        <w:rPr>
          <w:shd w:val="clear" w:color="auto" w:fill="auto"/>
        </w:rPr>
      </w:pPr>
      <w:r>
        <w:rPr>
          <w:shd w:val="clear" w:color="auto" w:fill="auto"/>
        </w:rPr>
        <w:t xml:space="preserve">Feng, Y., Qu, X., &amp; Hao, H. (2025). Progress in the study of the effects of selective serotonin reuptake inhibitors (SSRIs) on the reproductive system. </w:t>
      </w:r>
      <w:r>
        <w:rPr>
          <w:rStyle w:val="8"/>
          <w:shd w:val="clear" w:color="auto" w:fill="auto"/>
        </w:rPr>
        <w:t>Frontiers in Pharmacology, 16</w:t>
      </w:r>
      <w:r>
        <w:rPr>
          <w:shd w:val="clear" w:color="auto" w:fill="auto"/>
        </w:rPr>
        <w:t xml:space="preserve">, Article 1567863. </w:t>
      </w:r>
      <w:r>
        <w:rPr>
          <w:shd w:val="clear" w:color="auto" w:fill="auto"/>
        </w:rPr>
        <w:fldChar w:fldCharType="begin"/>
      </w:r>
      <w:r>
        <w:rPr>
          <w:shd w:val="clear" w:color="auto" w:fill="auto"/>
        </w:rPr>
        <w:instrText xml:space="preserve"> HYPERLINK "https://doi.org/10.3389/fphar.2025.1567863" </w:instrText>
      </w:r>
      <w:r>
        <w:rPr>
          <w:shd w:val="clear" w:color="auto" w:fill="auto"/>
        </w:rPr>
        <w:fldChar w:fldCharType="separate"/>
      </w:r>
      <w:r>
        <w:rPr>
          <w:rStyle w:val="11"/>
          <w:shd w:val="clear" w:color="auto" w:fill="auto"/>
        </w:rPr>
        <w:t>https://doi.org/10.3389/fphar.2025.1567863</w:t>
      </w:r>
      <w:r>
        <w:rPr>
          <w:shd w:val="clear" w:color="auto" w:fill="auto"/>
        </w:rPr>
        <w:fldChar w:fldCharType="end"/>
      </w:r>
    </w:p>
    <w:p w14:paraId="00DFB8EB">
      <w:pPr>
        <w:pStyle w:val="12"/>
        <w:keepNext w:val="0"/>
        <w:keepLines w:val="0"/>
        <w:widowControl/>
        <w:suppressLineNumbers w:val="0"/>
        <w:rPr>
          <w:shd w:val="clear" w:color="auto" w:fill="auto"/>
        </w:rPr>
      </w:pPr>
      <w:r>
        <w:rPr>
          <w:shd w:val="clear" w:color="auto" w:fill="auto"/>
        </w:rPr>
        <w:t xml:space="preserve">Gebeyehu, N. A., Gesese, M. M., Tegegne, K. D., &amp; Kebede, Y. S. (2023). Global prevalence of sexual dysfunction among diabetic patients from 2008 to 2022: Systematic review and meta-analysis. </w:t>
      </w:r>
      <w:r>
        <w:rPr>
          <w:rStyle w:val="8"/>
          <w:shd w:val="clear" w:color="auto" w:fill="auto"/>
        </w:rPr>
        <w:t>Metabolism Open</w:t>
      </w:r>
      <w:r>
        <w:rPr>
          <w:shd w:val="clear" w:color="auto" w:fill="auto"/>
        </w:rPr>
        <w:t xml:space="preserve">, 19, Article 1000191. </w:t>
      </w:r>
      <w:r>
        <w:rPr>
          <w:shd w:val="clear" w:color="auto" w:fill="auto"/>
        </w:rPr>
        <w:fldChar w:fldCharType="begin"/>
      </w:r>
      <w:r>
        <w:rPr>
          <w:shd w:val="clear" w:color="auto" w:fill="auto"/>
        </w:rPr>
        <w:instrText xml:space="preserve"> HYPERLINK "https://doi.org/10.1016/j.metop.2023.1000191" </w:instrText>
      </w:r>
      <w:r>
        <w:rPr>
          <w:shd w:val="clear" w:color="auto" w:fill="auto"/>
        </w:rPr>
        <w:fldChar w:fldCharType="separate"/>
      </w:r>
      <w:r>
        <w:rPr>
          <w:rStyle w:val="11"/>
          <w:shd w:val="clear" w:color="auto" w:fill="auto"/>
        </w:rPr>
        <w:t>https://doi.org/10.1016/j.metop.2023.1000191</w:t>
      </w:r>
      <w:r>
        <w:rPr>
          <w:shd w:val="clear" w:color="auto" w:fill="auto"/>
        </w:rPr>
        <w:fldChar w:fldCharType="end"/>
      </w:r>
    </w:p>
    <w:p w14:paraId="020F2215">
      <w:pPr>
        <w:pStyle w:val="12"/>
        <w:keepNext w:val="0"/>
        <w:keepLines w:val="0"/>
        <w:widowControl/>
        <w:suppressLineNumbers w:val="0"/>
        <w:rPr>
          <w:shd w:val="clear" w:color="auto" w:fill="auto"/>
        </w:rPr>
      </w:pPr>
      <w:r>
        <w:rPr>
          <w:shd w:val="clear" w:color="auto" w:fill="auto"/>
        </w:rPr>
        <w:t xml:space="preserve">Giri, S., Varshney, K. K., &amp; Srivastava, R. (2024). Therapeutic potential and prospects of L-arginine in various diseases and its clinical intervention. </w:t>
      </w:r>
      <w:r>
        <w:rPr>
          <w:rStyle w:val="8"/>
          <w:shd w:val="clear" w:color="auto" w:fill="auto"/>
        </w:rPr>
        <w:t>Current Drug Therapy, 19</w:t>
      </w:r>
      <w:r>
        <w:rPr>
          <w:shd w:val="clear" w:color="auto" w:fill="auto"/>
        </w:rPr>
        <w:t xml:space="preserve">(1), 25–33. </w:t>
      </w:r>
      <w:r>
        <w:rPr>
          <w:shd w:val="clear" w:color="auto" w:fill="auto"/>
        </w:rPr>
        <w:fldChar w:fldCharType="begin"/>
      </w:r>
      <w:r>
        <w:rPr>
          <w:shd w:val="clear" w:color="auto" w:fill="auto"/>
        </w:rPr>
        <w:instrText xml:space="preserve"> HYPERLINK "https://www.benthamdirect.com/content/journals/cdth/10.2174/0115748855260802231019072509" </w:instrText>
      </w:r>
      <w:r>
        <w:rPr>
          <w:shd w:val="clear" w:color="auto" w:fill="auto"/>
        </w:rPr>
        <w:fldChar w:fldCharType="separate"/>
      </w:r>
      <w:r>
        <w:rPr>
          <w:rStyle w:val="11"/>
          <w:shd w:val="clear" w:color="auto" w:fill="auto"/>
        </w:rPr>
        <w:t>https://www.benthamdirect.com/content/journals/cdth/10.2174/0115748855260802231019072509</w:t>
      </w:r>
      <w:r>
        <w:rPr>
          <w:shd w:val="clear" w:color="auto" w:fill="auto"/>
        </w:rPr>
        <w:fldChar w:fldCharType="end"/>
      </w:r>
    </w:p>
    <w:p w14:paraId="50D0ACFA">
      <w:pPr>
        <w:pStyle w:val="12"/>
        <w:keepNext w:val="0"/>
        <w:keepLines w:val="0"/>
        <w:widowControl/>
        <w:suppressLineNumbers w:val="0"/>
        <w:rPr>
          <w:shd w:val="clear" w:color="auto" w:fill="auto"/>
        </w:rPr>
      </w:pPr>
      <w:r>
        <w:rPr>
          <w:shd w:val="clear" w:color="auto" w:fill="auto"/>
        </w:rPr>
        <w:t xml:space="preserve">Goldstein, I., Goren, A., Li, V. W., &amp; Tang, W. Y. (2020). Epidemiology update of erectile dysfunction in eight countries with high burden. </w:t>
      </w:r>
      <w:r>
        <w:rPr>
          <w:rStyle w:val="8"/>
          <w:shd w:val="clear" w:color="auto" w:fill="auto"/>
        </w:rPr>
        <w:t>Sexual Medicine Reviews</w:t>
      </w:r>
      <w:r>
        <w:rPr>
          <w:shd w:val="clear" w:color="auto" w:fill="auto"/>
        </w:rPr>
        <w:t xml:space="preserve">, 8(1), 48–56. </w:t>
      </w:r>
      <w:r>
        <w:rPr>
          <w:shd w:val="clear" w:color="auto" w:fill="auto"/>
        </w:rPr>
        <w:fldChar w:fldCharType="begin"/>
      </w:r>
      <w:r>
        <w:rPr>
          <w:shd w:val="clear" w:color="auto" w:fill="auto"/>
        </w:rPr>
        <w:instrText xml:space="preserve"> HYPERLINK "https://doi.org/10.1016/j.sxmr.2019.06.004" </w:instrText>
      </w:r>
      <w:r>
        <w:rPr>
          <w:shd w:val="clear" w:color="auto" w:fill="auto"/>
        </w:rPr>
        <w:fldChar w:fldCharType="separate"/>
      </w:r>
      <w:r>
        <w:rPr>
          <w:rStyle w:val="11"/>
          <w:shd w:val="clear" w:color="auto" w:fill="auto"/>
        </w:rPr>
        <w:t>https://doi.org/10.1016/j.sxmr.2019.06.004</w:t>
      </w:r>
      <w:r>
        <w:rPr>
          <w:shd w:val="clear" w:color="auto" w:fill="auto"/>
        </w:rPr>
        <w:fldChar w:fldCharType="end"/>
      </w:r>
    </w:p>
    <w:p w14:paraId="72972377">
      <w:pPr>
        <w:pStyle w:val="12"/>
        <w:keepNext w:val="0"/>
        <w:keepLines w:val="0"/>
        <w:widowControl/>
        <w:suppressLineNumbers w:val="0"/>
        <w:rPr>
          <w:shd w:val="clear" w:color="auto" w:fill="auto"/>
        </w:rPr>
      </w:pPr>
      <w:r>
        <w:rPr>
          <w:shd w:val="clear" w:color="auto" w:fill="auto"/>
        </w:rPr>
        <w:t xml:space="preserve">Hersch, E., Huang, J., &amp; Grider, J. R. (2004). Gq/G13 signaling by ET-1 in smooth muscle: MYPT1 phosphorylation via ETA and CPI-17 dephosphorylation via ETB. </w:t>
      </w:r>
      <w:r>
        <w:rPr>
          <w:rStyle w:val="8"/>
          <w:shd w:val="clear" w:color="auto" w:fill="auto"/>
        </w:rPr>
        <w:t>American Journal of Physiology-Cell Physiology, 287</w:t>
      </w:r>
      <w:r>
        <w:rPr>
          <w:shd w:val="clear" w:color="auto" w:fill="auto"/>
        </w:rPr>
        <w:t xml:space="preserve">(2), C456–C463. </w:t>
      </w:r>
      <w:r>
        <w:rPr>
          <w:shd w:val="clear" w:color="auto" w:fill="auto"/>
        </w:rPr>
        <w:fldChar w:fldCharType="begin"/>
      </w:r>
      <w:r>
        <w:rPr>
          <w:shd w:val="clear" w:color="auto" w:fill="auto"/>
        </w:rPr>
        <w:instrText xml:space="preserve"> HYPERLINK "https://doi.org/10.1152/ajpcell.00198.2004" </w:instrText>
      </w:r>
      <w:r>
        <w:rPr>
          <w:shd w:val="clear" w:color="auto" w:fill="auto"/>
        </w:rPr>
        <w:fldChar w:fldCharType="separate"/>
      </w:r>
      <w:r>
        <w:rPr>
          <w:rStyle w:val="11"/>
          <w:shd w:val="clear" w:color="auto" w:fill="auto"/>
        </w:rPr>
        <w:t>https://doi.org/10.1152/ajpcell.00198.2004</w:t>
      </w:r>
      <w:r>
        <w:rPr>
          <w:shd w:val="clear" w:color="auto" w:fill="auto"/>
        </w:rPr>
        <w:fldChar w:fldCharType="end"/>
      </w:r>
    </w:p>
    <w:p w14:paraId="0D6A34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14:paraId="25870992">
      <w:pPr>
        <w:pStyle w:val="12"/>
        <w:keepNext w:val="0"/>
        <w:keepLines w:val="0"/>
        <w:widowControl/>
        <w:suppressLineNumbers w:val="0"/>
        <w:rPr>
          <w:shd w:val="clear" w:color="auto" w:fill="auto"/>
        </w:rPr>
      </w:pPr>
      <w:r>
        <w:rPr>
          <w:shd w:val="clear" w:color="auto" w:fill="auto"/>
        </w:rPr>
        <w:t xml:space="preserve">Islam, M. M., Naveen, N. R., &amp; Anitha, P. (2022). Recent advances and interventions to treat or manage erectile dysfunction. </w:t>
      </w:r>
      <w:r>
        <w:rPr>
          <w:rStyle w:val="8"/>
          <w:shd w:val="clear" w:color="auto" w:fill="auto"/>
        </w:rPr>
        <w:t>Journal of Clinical Medicine, 11</w:t>
      </w:r>
      <w:r>
        <w:rPr>
          <w:shd w:val="clear" w:color="auto" w:fill="auto"/>
        </w:rPr>
        <w:t xml:space="preserve">(11), 3140. </w:t>
      </w:r>
      <w:r>
        <w:rPr>
          <w:shd w:val="clear" w:color="auto" w:fill="auto"/>
        </w:rPr>
        <w:fldChar w:fldCharType="begin"/>
      </w:r>
      <w:r>
        <w:rPr>
          <w:shd w:val="clear" w:color="auto" w:fill="auto"/>
        </w:rPr>
        <w:instrText xml:space="preserve"> HYPERLINK "https://www.mdpi.com/2077-0383/11/11/3140" </w:instrText>
      </w:r>
      <w:r>
        <w:rPr>
          <w:shd w:val="clear" w:color="auto" w:fill="auto"/>
        </w:rPr>
        <w:fldChar w:fldCharType="separate"/>
      </w:r>
      <w:r>
        <w:rPr>
          <w:rStyle w:val="11"/>
          <w:shd w:val="clear" w:color="auto" w:fill="auto"/>
        </w:rPr>
        <w:t>https://www.mdpi.com/2077-0383/11/11/3140</w:t>
      </w:r>
      <w:r>
        <w:rPr>
          <w:shd w:val="clear" w:color="auto" w:fill="auto"/>
        </w:rPr>
        <w:fldChar w:fldCharType="end"/>
      </w:r>
    </w:p>
    <w:p w14:paraId="436CA947">
      <w:pPr>
        <w:pStyle w:val="12"/>
        <w:keepNext w:val="0"/>
        <w:keepLines w:val="0"/>
        <w:widowControl/>
        <w:suppressLineNumbers w:val="0"/>
        <w:rPr>
          <w:shd w:val="clear" w:color="auto" w:fill="auto"/>
        </w:rPr>
      </w:pPr>
      <w:r>
        <w:rPr>
          <w:shd w:val="clear" w:color="auto" w:fill="auto"/>
        </w:rPr>
        <w:t xml:space="preserve">Kaltsas, A., Dimitriadis, F., Zachariou, A., &amp; Sofikitis, N. (2025). Phosphodiesterase type 5 inhibitors in male reproduction: Molecular mechanisms and clinical implications. </w:t>
      </w:r>
      <w:r>
        <w:rPr>
          <w:rStyle w:val="8"/>
          <w:shd w:val="clear" w:color="auto" w:fill="auto"/>
        </w:rPr>
        <w:t>Cells, 14</w:t>
      </w:r>
      <w:r>
        <w:rPr>
          <w:shd w:val="clear" w:color="auto" w:fill="auto"/>
        </w:rPr>
        <w:t xml:space="preserve">(2), 120. </w:t>
      </w:r>
      <w:r>
        <w:rPr>
          <w:shd w:val="clear" w:color="auto" w:fill="auto"/>
        </w:rPr>
        <w:fldChar w:fldCharType="begin"/>
      </w:r>
      <w:r>
        <w:rPr>
          <w:shd w:val="clear" w:color="auto" w:fill="auto"/>
        </w:rPr>
        <w:instrText xml:space="preserve"> HYPERLINK "https://www.mdpi.com/2073-4409/14/2/120" </w:instrText>
      </w:r>
      <w:r>
        <w:rPr>
          <w:shd w:val="clear" w:color="auto" w:fill="auto"/>
        </w:rPr>
        <w:fldChar w:fldCharType="separate"/>
      </w:r>
      <w:r>
        <w:rPr>
          <w:rStyle w:val="11"/>
          <w:shd w:val="clear" w:color="auto" w:fill="auto"/>
        </w:rPr>
        <w:t>https://www.mdpi.com/2073-4409/14/2/120</w:t>
      </w:r>
      <w:r>
        <w:rPr>
          <w:shd w:val="clear" w:color="auto" w:fill="auto"/>
        </w:rPr>
        <w:fldChar w:fldCharType="end"/>
      </w:r>
    </w:p>
    <w:p w14:paraId="0E35BC9F">
      <w:pPr>
        <w:pStyle w:val="12"/>
        <w:keepNext w:val="0"/>
        <w:keepLines w:val="0"/>
        <w:widowControl/>
        <w:suppressLineNumbers w:val="0"/>
        <w:rPr>
          <w:shd w:val="clear" w:color="auto" w:fill="auto"/>
        </w:rPr>
      </w:pPr>
      <w:r>
        <w:rPr>
          <w:shd w:val="clear" w:color="auto" w:fill="auto"/>
        </w:rPr>
        <w:t xml:space="preserve">Kassan, M., Lasker, G. F., Sikka, S. C., Mandava, S. H., &amp; Hellstrom, W. J. G. (2013). Chronic escitalopram treatment induces erectile dysfunction by decreasing nitric oxide bioavailability mediated by increased NADPH oxidase activity. </w:t>
      </w:r>
      <w:r>
        <w:rPr>
          <w:rStyle w:val="8"/>
          <w:shd w:val="clear" w:color="auto" w:fill="auto"/>
        </w:rPr>
        <w:t>Urology, 82</w:t>
      </w:r>
      <w:r>
        <w:rPr>
          <w:shd w:val="clear" w:color="auto" w:fill="auto"/>
        </w:rPr>
        <w:t xml:space="preserve">(5), 1186–1192. </w:t>
      </w:r>
      <w:r>
        <w:rPr>
          <w:shd w:val="clear" w:color="auto" w:fill="auto"/>
        </w:rPr>
        <w:fldChar w:fldCharType="begin"/>
      </w:r>
      <w:r>
        <w:rPr>
          <w:shd w:val="clear" w:color="auto" w:fill="auto"/>
        </w:rPr>
        <w:instrText xml:space="preserve"> HYPERLINK "https://doi.org/10.1016/j.urology.2013.05.049" </w:instrText>
      </w:r>
      <w:r>
        <w:rPr>
          <w:shd w:val="clear" w:color="auto" w:fill="auto"/>
        </w:rPr>
        <w:fldChar w:fldCharType="separate"/>
      </w:r>
      <w:r>
        <w:rPr>
          <w:rStyle w:val="11"/>
          <w:shd w:val="clear" w:color="auto" w:fill="auto"/>
        </w:rPr>
        <w:t>https://doi.org/10.1016/j.urology.2013.05.049</w:t>
      </w:r>
      <w:r>
        <w:rPr>
          <w:shd w:val="clear" w:color="auto" w:fill="auto"/>
        </w:rPr>
        <w:fldChar w:fldCharType="end"/>
      </w:r>
    </w:p>
    <w:p w14:paraId="6F57B3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14:paraId="533CC0AA">
      <w:pPr>
        <w:pStyle w:val="12"/>
        <w:keepNext w:val="0"/>
        <w:keepLines w:val="0"/>
        <w:widowControl/>
        <w:suppressLineNumbers w:val="0"/>
        <w:rPr>
          <w:shd w:val="clear" w:color="auto" w:fill="auto"/>
        </w:rPr>
      </w:pPr>
      <w:r>
        <w:rPr>
          <w:shd w:val="clear" w:color="auto" w:fill="auto"/>
        </w:rPr>
        <w:t xml:space="preserve">Kim, N. N., Kim, J. J., Hypolite, J., &amp; Levin, R. M. (2001). Altered contractility of rabbit penile corpus cavernosum smooth muscle by hypoxia. </w:t>
      </w:r>
      <w:r>
        <w:rPr>
          <w:rStyle w:val="8"/>
          <w:shd w:val="clear" w:color="auto" w:fill="auto"/>
        </w:rPr>
        <w:t>The Journal of Urology, 166</w:t>
      </w:r>
      <w:r>
        <w:rPr>
          <w:shd w:val="clear" w:color="auto" w:fill="auto"/>
        </w:rPr>
        <w:t xml:space="preserve">(2), 745–751. </w:t>
      </w:r>
      <w:r>
        <w:rPr>
          <w:shd w:val="clear" w:color="auto" w:fill="auto"/>
        </w:rPr>
        <w:fldChar w:fldCharType="begin"/>
      </w:r>
      <w:r>
        <w:rPr>
          <w:shd w:val="clear" w:color="auto" w:fill="auto"/>
        </w:rPr>
        <w:instrText xml:space="preserve"> HYPERLINK "https://doi.org/10.1016/S0022-5347(01)66519-4" </w:instrText>
      </w:r>
      <w:r>
        <w:rPr>
          <w:shd w:val="clear" w:color="auto" w:fill="auto"/>
        </w:rPr>
        <w:fldChar w:fldCharType="separate"/>
      </w:r>
      <w:r>
        <w:rPr>
          <w:rStyle w:val="11"/>
          <w:shd w:val="clear" w:color="auto" w:fill="auto"/>
        </w:rPr>
        <w:t>https://doi.org/10.1016/S0022-5347(01)66519-4</w:t>
      </w:r>
      <w:r>
        <w:rPr>
          <w:shd w:val="clear" w:color="auto" w:fill="auto"/>
        </w:rPr>
        <w:fldChar w:fldCharType="end"/>
      </w:r>
    </w:p>
    <w:p w14:paraId="132B90EF">
      <w:pPr>
        <w:pStyle w:val="12"/>
        <w:keepNext w:val="0"/>
        <w:keepLines w:val="0"/>
        <w:widowControl/>
        <w:suppressLineNumbers w:val="0"/>
        <w:rPr>
          <w:shd w:val="clear" w:color="auto" w:fill="auto"/>
        </w:rPr>
      </w:pPr>
      <w:r>
        <w:rPr>
          <w:shd w:val="clear" w:color="auto" w:fill="auto"/>
        </w:rPr>
        <w:t xml:space="preserve">Kpomah, E. D., Osioma, E., &amp; Agoro, E. S. (2024). Sexual invigorating potentials of a combined extract of </w:t>
      </w:r>
      <w:r>
        <w:rPr>
          <w:rStyle w:val="8"/>
          <w:shd w:val="clear" w:color="auto" w:fill="auto"/>
        </w:rPr>
        <w:t>Sabicea calycina</w:t>
      </w:r>
      <w:r>
        <w:rPr>
          <w:shd w:val="clear" w:color="auto" w:fill="auto"/>
        </w:rPr>
        <w:t xml:space="preserve"> and </w:t>
      </w:r>
      <w:r>
        <w:rPr>
          <w:rStyle w:val="8"/>
          <w:shd w:val="clear" w:color="auto" w:fill="auto"/>
        </w:rPr>
        <w:t>Carpolobia lutea</w:t>
      </w:r>
      <w:r>
        <w:rPr>
          <w:shd w:val="clear" w:color="auto" w:fill="auto"/>
        </w:rPr>
        <w:t xml:space="preserve"> on male Wistar rats in crude oil challenged environment. </w:t>
      </w:r>
      <w:r>
        <w:rPr>
          <w:rStyle w:val="8"/>
          <w:shd w:val="clear" w:color="auto" w:fill="auto"/>
        </w:rPr>
        <w:t>International Journal of Biochemistry Research and Review</w:t>
      </w:r>
      <w:r>
        <w:rPr>
          <w:shd w:val="clear" w:color="auto" w:fill="auto"/>
        </w:rPr>
        <w:t xml:space="preserve">, 33(2), 32–45. </w:t>
      </w:r>
      <w:r>
        <w:rPr>
          <w:shd w:val="clear" w:color="auto" w:fill="auto"/>
        </w:rPr>
        <w:fldChar w:fldCharType="begin"/>
      </w:r>
      <w:r>
        <w:rPr>
          <w:shd w:val="clear" w:color="auto" w:fill="auto"/>
        </w:rPr>
        <w:instrText xml:space="preserve"> HYPERLINK "https://www.researchgate.net/publication/377752319" </w:instrText>
      </w:r>
      <w:r>
        <w:rPr>
          <w:shd w:val="clear" w:color="auto" w:fill="auto"/>
        </w:rPr>
        <w:fldChar w:fldCharType="separate"/>
      </w:r>
      <w:r>
        <w:rPr>
          <w:rStyle w:val="11"/>
          <w:shd w:val="clear" w:color="auto" w:fill="auto"/>
        </w:rPr>
        <w:t>https://www.researchgate.net/publication/377752319</w:t>
      </w:r>
      <w:r>
        <w:rPr>
          <w:shd w:val="clear" w:color="auto" w:fill="auto"/>
        </w:rPr>
        <w:fldChar w:fldCharType="end"/>
      </w:r>
    </w:p>
    <w:p w14:paraId="28A5B3BA">
      <w:pPr>
        <w:pStyle w:val="12"/>
        <w:keepNext w:val="0"/>
        <w:keepLines w:val="0"/>
        <w:widowControl/>
        <w:suppressLineNumbers w:val="0"/>
        <w:rPr>
          <w:shd w:val="clear" w:color="auto" w:fill="auto"/>
        </w:rPr>
      </w:pPr>
      <w:r>
        <w:rPr>
          <w:shd w:val="clear" w:color="auto" w:fill="auto"/>
        </w:rPr>
        <w:t xml:space="preserve">Lee, S., Hwang, Y. G., &amp; Chung, H. K. (2014). A proteomic analysis using an animal model for hyperlipidemia-related erectile dysfunction. </w:t>
      </w:r>
      <w:r>
        <w:rPr>
          <w:rStyle w:val="8"/>
          <w:shd w:val="clear" w:color="auto" w:fill="auto"/>
        </w:rPr>
        <w:t>Drug Research, 64</w:t>
      </w:r>
      <w:r>
        <w:rPr>
          <w:shd w:val="clear" w:color="auto" w:fill="auto"/>
        </w:rPr>
        <w:t xml:space="preserve">(5), 237–243. </w:t>
      </w:r>
      <w:r>
        <w:rPr>
          <w:shd w:val="clear" w:color="auto" w:fill="auto"/>
        </w:rPr>
        <w:fldChar w:fldCharType="begin"/>
      </w:r>
      <w:r>
        <w:rPr>
          <w:shd w:val="clear" w:color="auto" w:fill="auto"/>
        </w:rPr>
        <w:instrText xml:space="preserve"> HYPERLINK "https://doi.org/10.1055/s-0033-1363994" </w:instrText>
      </w:r>
      <w:r>
        <w:rPr>
          <w:shd w:val="clear" w:color="auto" w:fill="auto"/>
        </w:rPr>
        <w:fldChar w:fldCharType="separate"/>
      </w:r>
      <w:r>
        <w:rPr>
          <w:rStyle w:val="11"/>
          <w:shd w:val="clear" w:color="auto" w:fill="auto"/>
        </w:rPr>
        <w:t>https://doi.org/10.1055/s-0033-1363994</w:t>
      </w:r>
      <w:r>
        <w:rPr>
          <w:shd w:val="clear" w:color="auto" w:fill="auto"/>
        </w:rPr>
        <w:fldChar w:fldCharType="end"/>
      </w:r>
    </w:p>
    <w:p w14:paraId="50616A2F">
      <w:pPr>
        <w:pStyle w:val="12"/>
        <w:keepNext w:val="0"/>
        <w:keepLines w:val="0"/>
        <w:widowControl/>
        <w:suppressLineNumbers w:val="0"/>
        <w:rPr>
          <w:shd w:val="clear" w:color="auto" w:fill="auto"/>
        </w:rPr>
      </w:pPr>
      <w:r>
        <w:rPr>
          <w:shd w:val="clear" w:color="auto" w:fill="auto"/>
        </w:rPr>
        <w:t xml:space="preserve">Leyaro, B. J., Nyalile, K. B., Mushi, E. H. P., &amp; Moshi, E. (2020). Prevalence and factors associated with erectile dysfunction among adult men in Moshi Municipal, Tanzania: A community-based study. </w:t>
      </w:r>
      <w:r>
        <w:rPr>
          <w:rStyle w:val="8"/>
          <w:shd w:val="clear" w:color="auto" w:fill="auto"/>
        </w:rPr>
        <w:t>Basic and Clinical Andrology</w:t>
      </w:r>
      <w:r>
        <w:rPr>
          <w:shd w:val="clear" w:color="auto" w:fill="auto"/>
        </w:rPr>
        <w:t xml:space="preserve">, 30(1), 1–9. </w:t>
      </w:r>
      <w:r>
        <w:rPr>
          <w:shd w:val="clear" w:color="auto" w:fill="auto"/>
        </w:rPr>
        <w:fldChar w:fldCharType="begin"/>
      </w:r>
      <w:r>
        <w:rPr>
          <w:shd w:val="clear" w:color="auto" w:fill="auto"/>
        </w:rPr>
        <w:instrText xml:space="preserve"> HYPERLINK "https://doi.org/10.1186/s12610-020-00118-0" </w:instrText>
      </w:r>
      <w:r>
        <w:rPr>
          <w:shd w:val="clear" w:color="auto" w:fill="auto"/>
        </w:rPr>
        <w:fldChar w:fldCharType="separate"/>
      </w:r>
      <w:r>
        <w:rPr>
          <w:rStyle w:val="11"/>
          <w:shd w:val="clear" w:color="auto" w:fill="auto"/>
        </w:rPr>
        <w:t>https://doi.org/10.1186/s12610-020-00118-0</w:t>
      </w:r>
      <w:r>
        <w:rPr>
          <w:shd w:val="clear" w:color="auto" w:fill="auto"/>
        </w:rPr>
        <w:fldChar w:fldCharType="end"/>
      </w:r>
    </w:p>
    <w:p w14:paraId="62844BD0">
      <w:pPr>
        <w:pStyle w:val="12"/>
        <w:keepNext w:val="0"/>
        <w:keepLines w:val="0"/>
        <w:widowControl/>
        <w:suppressLineNumbers w:val="0"/>
        <w:rPr>
          <w:shd w:val="clear" w:color="auto" w:fill="auto"/>
        </w:rPr>
      </w:pPr>
      <w:r>
        <w:rPr>
          <w:shd w:val="clear" w:color="auto" w:fill="auto"/>
        </w:rPr>
        <w:t xml:space="preserve">Mobley, D. F., Khera, M., &amp; Baum, N. (2017). Recent advances in the treatment of erectile dysfunction. </w:t>
      </w:r>
      <w:r>
        <w:rPr>
          <w:rStyle w:val="8"/>
          <w:shd w:val="clear" w:color="auto" w:fill="auto"/>
        </w:rPr>
        <w:t>Postgraduate Medical Journal, 93</w:t>
      </w:r>
      <w:r>
        <w:rPr>
          <w:shd w:val="clear" w:color="auto" w:fill="auto"/>
        </w:rPr>
        <w:t xml:space="preserve">(1105), 679–685. </w:t>
      </w:r>
      <w:r>
        <w:rPr>
          <w:shd w:val="clear" w:color="auto" w:fill="auto"/>
        </w:rPr>
        <w:fldChar w:fldCharType="begin"/>
      </w:r>
      <w:r>
        <w:rPr>
          <w:shd w:val="clear" w:color="auto" w:fill="auto"/>
        </w:rPr>
        <w:instrText xml:space="preserve"> HYPERLINK "https://doi.org/10.1136/postgradmedj-2017-135045" </w:instrText>
      </w:r>
      <w:r>
        <w:rPr>
          <w:shd w:val="clear" w:color="auto" w:fill="auto"/>
        </w:rPr>
        <w:fldChar w:fldCharType="separate"/>
      </w:r>
      <w:r>
        <w:rPr>
          <w:rStyle w:val="11"/>
          <w:shd w:val="clear" w:color="auto" w:fill="auto"/>
        </w:rPr>
        <w:t>https://doi.org/10.1136/postgradmedj-2017-135045</w:t>
      </w:r>
      <w:r>
        <w:rPr>
          <w:shd w:val="clear" w:color="auto" w:fill="auto"/>
        </w:rPr>
        <w:fldChar w:fldCharType="end"/>
      </w:r>
    </w:p>
    <w:p w14:paraId="0D74371F">
      <w:pPr>
        <w:pStyle w:val="12"/>
        <w:keepNext w:val="0"/>
        <w:keepLines w:val="0"/>
        <w:widowControl/>
        <w:suppressLineNumbers w:val="0"/>
        <w:rPr>
          <w:shd w:val="clear" w:color="auto" w:fill="auto"/>
        </w:rPr>
      </w:pPr>
      <w:r>
        <w:rPr>
          <w:shd w:val="clear" w:color="auto" w:fill="auto"/>
        </w:rPr>
        <w:t xml:space="preserve">Muritala, H. F., &amp; Bewaji, C. O. (2021). Paroxetine administration alters some biochemical parameters in male Wistar rats over a systemic period of thirty-five days. </w:t>
      </w:r>
      <w:r>
        <w:rPr>
          <w:rStyle w:val="8"/>
          <w:shd w:val="clear" w:color="auto" w:fill="auto"/>
        </w:rPr>
        <w:t>Academia.edu</w:t>
      </w:r>
      <w:r>
        <w:rPr>
          <w:shd w:val="clear" w:color="auto" w:fill="auto"/>
        </w:rPr>
        <w:t xml:space="preserve">. </w:t>
      </w:r>
      <w:r>
        <w:rPr>
          <w:shd w:val="clear" w:color="auto" w:fill="auto"/>
        </w:rPr>
        <w:fldChar w:fldCharType="begin"/>
      </w:r>
      <w:r>
        <w:rPr>
          <w:shd w:val="clear" w:color="auto" w:fill="auto"/>
        </w:rPr>
        <w:instrText xml:space="preserve"> HYPERLINK "https://www.academia.edu/download/109912536/19.pdf" </w:instrText>
      </w:r>
      <w:r>
        <w:rPr>
          <w:shd w:val="clear" w:color="auto" w:fill="auto"/>
        </w:rPr>
        <w:fldChar w:fldCharType="separate"/>
      </w:r>
      <w:r>
        <w:rPr>
          <w:rStyle w:val="11"/>
          <w:shd w:val="clear" w:color="auto" w:fill="auto"/>
        </w:rPr>
        <w:t>https://www.academia.edu/download/109912536/19.pdf</w:t>
      </w:r>
      <w:r>
        <w:rPr>
          <w:shd w:val="clear" w:color="auto" w:fill="auto"/>
        </w:rPr>
        <w:fldChar w:fldCharType="end"/>
      </w:r>
    </w:p>
    <w:p w14:paraId="50507C33">
      <w:pPr>
        <w:pStyle w:val="12"/>
        <w:keepNext w:val="0"/>
        <w:keepLines w:val="0"/>
        <w:widowControl/>
        <w:suppressLineNumbers w:val="0"/>
        <w:rPr>
          <w:shd w:val="clear" w:color="auto" w:fill="auto"/>
        </w:rPr>
      </w:pPr>
      <w:r>
        <w:rPr>
          <w:rFonts w:hint="default"/>
          <w:shd w:val="clear" w:color="auto" w:fill="auto"/>
        </w:rP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65E0AA85">
      <w:pPr>
        <w:pStyle w:val="12"/>
        <w:keepNext w:val="0"/>
        <w:keepLines w:val="0"/>
        <w:widowControl/>
        <w:suppressLineNumbers w:val="0"/>
        <w:rPr>
          <w:shd w:val="clear" w:color="auto" w:fill="auto"/>
        </w:rPr>
      </w:pPr>
      <w:r>
        <w:rPr>
          <w:shd w:val="clear" w:color="auto" w:fill="auto"/>
        </w:rPr>
        <w:t xml:space="preserve">Nguyen, H. N. N., Luong, T. V., &amp; Pham, A. K. (2024). Exploring the bidirectional link between erectile dysfunction and 10-year cardiovascular risk in men with diabetes and hypertension. </w:t>
      </w:r>
      <w:r>
        <w:rPr>
          <w:rStyle w:val="8"/>
          <w:shd w:val="clear" w:color="auto" w:fill="auto"/>
        </w:rPr>
        <w:t>Scientific Reports, 14</w:t>
      </w:r>
      <w:r>
        <w:rPr>
          <w:shd w:val="clear" w:color="auto" w:fill="auto"/>
        </w:rPr>
        <w:t xml:space="preserve">, Article 78182. </w:t>
      </w:r>
      <w:r>
        <w:rPr>
          <w:shd w:val="clear" w:color="auto" w:fill="auto"/>
        </w:rPr>
        <w:fldChar w:fldCharType="begin"/>
      </w:r>
      <w:r>
        <w:rPr>
          <w:shd w:val="clear" w:color="auto" w:fill="auto"/>
        </w:rPr>
        <w:instrText xml:space="preserve"> HYPERLINK "https://doi.org/10.1038/s41598-024-78182-z" </w:instrText>
      </w:r>
      <w:r>
        <w:rPr>
          <w:shd w:val="clear" w:color="auto" w:fill="auto"/>
        </w:rPr>
        <w:fldChar w:fldCharType="separate"/>
      </w:r>
      <w:r>
        <w:rPr>
          <w:rStyle w:val="11"/>
          <w:shd w:val="clear" w:color="auto" w:fill="auto"/>
        </w:rPr>
        <w:t>https://doi.org/10.1038/s41598-024-78182-z</w:t>
      </w:r>
      <w:r>
        <w:rPr>
          <w:shd w:val="clear" w:color="auto" w:fill="auto"/>
        </w:rPr>
        <w:fldChar w:fldCharType="end"/>
      </w:r>
    </w:p>
    <w:p w14:paraId="14B3A1C8">
      <w:pPr>
        <w:pStyle w:val="12"/>
        <w:keepNext w:val="0"/>
        <w:keepLines w:val="0"/>
        <w:widowControl/>
        <w:suppressLineNumbers w:val="0"/>
        <w:rPr>
          <w:shd w:val="clear" w:color="auto" w:fill="auto"/>
        </w:rPr>
      </w:pPr>
      <w:r>
        <w:rPr>
          <w:shd w:val="clear" w:color="auto" w:fill="auto"/>
        </w:rPr>
        <w:t xml:space="preserve">Nik-Ahd, F., &amp; Shindel, A. W. (2022). Pharmacotherapy for erectile dysfunction in 2021 and beyond. </w:t>
      </w:r>
      <w:r>
        <w:rPr>
          <w:rStyle w:val="8"/>
          <w:shd w:val="clear" w:color="auto" w:fill="auto"/>
        </w:rPr>
        <w:t>Urologic Clinics of North America, 49</w:t>
      </w:r>
      <w:r>
        <w:rPr>
          <w:shd w:val="clear" w:color="auto" w:fill="auto"/>
        </w:rPr>
        <w:t xml:space="preserve">(2), 197–209. </w:t>
      </w:r>
      <w:r>
        <w:rPr>
          <w:shd w:val="clear" w:color="auto" w:fill="auto"/>
        </w:rPr>
        <w:fldChar w:fldCharType="begin"/>
      </w:r>
      <w:r>
        <w:rPr>
          <w:shd w:val="clear" w:color="auto" w:fill="auto"/>
        </w:rPr>
        <w:instrText xml:space="preserve"> HYPERLINK "https://doi.org/10.1016/j.ucl.2021.12.005" </w:instrText>
      </w:r>
      <w:r>
        <w:rPr>
          <w:shd w:val="clear" w:color="auto" w:fill="auto"/>
        </w:rPr>
        <w:fldChar w:fldCharType="separate"/>
      </w:r>
      <w:r>
        <w:rPr>
          <w:rStyle w:val="11"/>
          <w:shd w:val="clear" w:color="auto" w:fill="auto"/>
        </w:rPr>
        <w:t>https://doi.org/10.1016/j.ucl.2021.12.005</w:t>
      </w:r>
      <w:r>
        <w:rPr>
          <w:shd w:val="clear" w:color="auto" w:fill="auto"/>
        </w:rPr>
        <w:fldChar w:fldCharType="end"/>
      </w:r>
    </w:p>
    <w:p w14:paraId="7792F79D">
      <w:pPr>
        <w:pStyle w:val="12"/>
        <w:keepNext w:val="0"/>
        <w:keepLines w:val="0"/>
        <w:widowControl/>
        <w:suppressLineNumbers w:val="0"/>
        <w:rPr>
          <w:shd w:val="clear" w:color="auto" w:fill="auto"/>
        </w:rPr>
      </w:pPr>
      <w:r>
        <w:rPr>
          <w:shd w:val="clear" w:color="auto" w:fill="auto"/>
        </w:rPr>
        <w:t xml:space="preserve">Obalana, E., Oluwatimilehin, O. E. (2024). Assessment of serum biomarkers of cardiac function (creatine kinase and troponin) in Wistar rats treated with Long Jack sperm enhancer.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"https://www.researchgate.net/publication/383455071" </w:instrText>
      </w:r>
      <w:r>
        <w:rPr>
          <w:shd w:val="clear" w:color="auto" w:fill="auto"/>
        </w:rPr>
        <w:fldChar w:fldCharType="separate"/>
      </w:r>
      <w:r>
        <w:rPr>
          <w:rStyle w:val="11"/>
          <w:shd w:val="clear" w:color="auto" w:fill="auto"/>
        </w:rPr>
        <w:t>https://www.researchgate.net/publication/383455071</w:t>
      </w:r>
      <w:r>
        <w:rPr>
          <w:shd w:val="clear" w:color="auto" w:fill="auto"/>
        </w:rPr>
        <w:fldChar w:fldCharType="end"/>
      </w:r>
    </w:p>
    <w:p w14:paraId="50F55BC6">
      <w:pPr>
        <w:pStyle w:val="12"/>
        <w:keepNext w:val="0"/>
        <w:keepLines w:val="0"/>
        <w:widowControl/>
        <w:suppressLineNumbers w:val="0"/>
        <w:rPr>
          <w:shd w:val="clear" w:color="auto" w:fill="auto"/>
        </w:rPr>
      </w:pPr>
      <w:r>
        <w:rPr>
          <w:shd w:val="clear" w:color="auto" w:fill="auto"/>
        </w:rPr>
        <w:t xml:space="preserve">Odetayo, A. F., &amp; Olayaki, L. A. (2023). Omega-3 fatty acid improves sexual and erectile function in BPF-treated rats by upregulating NO/cGMP signaling and steroidogenic enzymes activities. </w:t>
      </w:r>
      <w:r>
        <w:rPr>
          <w:rStyle w:val="8"/>
          <w:shd w:val="clear" w:color="auto" w:fill="auto"/>
        </w:rPr>
        <w:t>Scientific Reports</w:t>
      </w:r>
      <w:r>
        <w:rPr>
          <w:shd w:val="clear" w:color="auto" w:fill="auto"/>
        </w:rPr>
        <w:t xml:space="preserve">, 13, 1–13. </w:t>
      </w:r>
      <w:r>
        <w:rPr>
          <w:shd w:val="clear" w:color="auto" w:fill="auto"/>
        </w:rPr>
        <w:fldChar w:fldCharType="begin"/>
      </w:r>
      <w:r>
        <w:rPr>
          <w:shd w:val="clear" w:color="auto" w:fill="auto"/>
        </w:rPr>
        <w:instrText xml:space="preserve"> HYPERLINK "https://www.nature.com/articles/s41598-023-45344-4" </w:instrText>
      </w:r>
      <w:r>
        <w:rPr>
          <w:shd w:val="clear" w:color="auto" w:fill="auto"/>
        </w:rPr>
        <w:fldChar w:fldCharType="separate"/>
      </w:r>
      <w:r>
        <w:rPr>
          <w:rStyle w:val="11"/>
          <w:shd w:val="clear" w:color="auto" w:fill="auto"/>
        </w:rPr>
        <w:t>https://www.nature.com/articles/s41598-023-45344-4</w:t>
      </w:r>
      <w:r>
        <w:rPr>
          <w:shd w:val="clear" w:color="auto" w:fill="auto"/>
        </w:rPr>
        <w:fldChar w:fldCharType="end"/>
      </w:r>
    </w:p>
    <w:p w14:paraId="037C6D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14:paraId="1EBD27B4">
      <w:pPr>
        <w:pStyle w:val="12"/>
        <w:keepNext w:val="0"/>
        <w:keepLines w:val="0"/>
        <w:widowControl/>
        <w:suppressLineNumbers w:val="0"/>
        <w:rPr>
          <w:shd w:val="clear" w:color="auto" w:fill="auto"/>
        </w:rPr>
      </w:pPr>
      <w:r>
        <w:rPr>
          <w:shd w:val="clear" w:color="auto" w:fill="auto"/>
        </w:rPr>
        <w:t xml:space="preserve">Otunola, G. A. (2022). Culinary spices in food and medicine: An overview of </w:t>
      </w:r>
      <w:r>
        <w:rPr>
          <w:rStyle w:val="8"/>
          <w:shd w:val="clear" w:color="auto" w:fill="auto"/>
        </w:rPr>
        <w:t>Syzygium aromaticum</w:t>
      </w:r>
      <w:r>
        <w:rPr>
          <w:shd w:val="clear" w:color="auto" w:fill="auto"/>
        </w:rPr>
        <w:t xml:space="preserve">. </w:t>
      </w:r>
      <w:r>
        <w:rPr>
          <w:rStyle w:val="8"/>
          <w:shd w:val="clear" w:color="auto" w:fill="auto"/>
        </w:rPr>
        <w:t>Frontiers in Pharmacology, 12</w:t>
      </w:r>
      <w:r>
        <w:rPr>
          <w:shd w:val="clear" w:color="auto" w:fill="auto"/>
        </w:rPr>
        <w:t xml:space="preserve">, 793200. </w:t>
      </w:r>
      <w:r>
        <w:rPr>
          <w:shd w:val="clear" w:color="auto" w:fill="auto"/>
        </w:rPr>
        <w:fldChar w:fldCharType="begin"/>
      </w:r>
      <w:r>
        <w:rPr>
          <w:shd w:val="clear" w:color="auto" w:fill="auto"/>
        </w:rPr>
        <w:instrText xml:space="preserve"> HYPERLINK "https://www.frontiersin.org/articles/10.3389/fphar.2021.793200/full" </w:instrText>
      </w:r>
      <w:r>
        <w:rPr>
          <w:shd w:val="clear" w:color="auto" w:fill="auto"/>
        </w:rPr>
        <w:fldChar w:fldCharType="separate"/>
      </w:r>
      <w:r>
        <w:rPr>
          <w:rStyle w:val="11"/>
          <w:shd w:val="clear" w:color="auto" w:fill="auto"/>
        </w:rPr>
        <w:t>https://www.frontiersin.org/articles/10.3389/fphar.2021.793200/full</w:t>
      </w:r>
      <w:r>
        <w:rPr>
          <w:shd w:val="clear" w:color="auto" w:fill="auto"/>
        </w:rPr>
        <w:fldChar w:fldCharType="end"/>
      </w:r>
    </w:p>
    <w:p w14:paraId="778BD45C">
      <w:pPr>
        <w:pStyle w:val="12"/>
        <w:keepNext w:val="0"/>
        <w:keepLines w:val="0"/>
        <w:widowControl/>
        <w:suppressLineNumbers w:val="0"/>
        <w:rPr>
          <w:shd w:val="clear" w:color="auto" w:fill="auto"/>
        </w:rPr>
      </w:pPr>
      <w:r>
        <w:rPr>
          <w:shd w:val="clear" w:color="auto" w:fill="auto"/>
        </w:rPr>
        <w:t xml:space="preserve">Oyovwi, M. O., &amp; Atere, A. D. (2024). Exploring the medicinal significance of L-arginine-mediated nitric oxide in preventing health disorders. </w:t>
      </w:r>
      <w:r>
        <w:rPr>
          <w:rStyle w:val="8"/>
          <w:shd w:val="clear" w:color="auto" w:fill="auto"/>
        </w:rPr>
        <w:t>European Journal of Medicinal Chemistry Reports, 3</w:t>
      </w:r>
      <w:r>
        <w:rPr>
          <w:shd w:val="clear" w:color="auto" w:fill="auto"/>
        </w:rPr>
        <w:t xml:space="preserve">, 100047. </w:t>
      </w:r>
      <w:r>
        <w:rPr>
          <w:shd w:val="clear" w:color="auto" w:fill="auto"/>
        </w:rPr>
        <w:fldChar w:fldCharType="begin"/>
      </w:r>
      <w:r>
        <w:rPr>
          <w:shd w:val="clear" w:color="auto" w:fill="auto"/>
        </w:rPr>
        <w:instrText xml:space="preserve"> HYPERLINK "https://doi.org/10.1016/j.ejmcr.2024.100047" </w:instrText>
      </w:r>
      <w:r>
        <w:rPr>
          <w:shd w:val="clear" w:color="auto" w:fill="auto"/>
        </w:rPr>
        <w:fldChar w:fldCharType="separate"/>
      </w:r>
      <w:r>
        <w:rPr>
          <w:rStyle w:val="11"/>
          <w:shd w:val="clear" w:color="auto" w:fill="auto"/>
        </w:rPr>
        <w:t>https://doi.org/10.1016/j.ejmcr.2024.100047</w:t>
      </w:r>
      <w:r>
        <w:rPr>
          <w:shd w:val="clear" w:color="auto" w:fill="auto"/>
        </w:rPr>
        <w:fldChar w:fldCharType="end"/>
      </w:r>
    </w:p>
    <w:p w14:paraId="64863BEC">
      <w:pPr>
        <w:pStyle w:val="12"/>
        <w:keepNext w:val="0"/>
        <w:keepLines w:val="0"/>
        <w:widowControl/>
        <w:suppressLineNumbers w:val="0"/>
        <w:rPr>
          <w:shd w:val="clear" w:color="auto" w:fill="auto"/>
        </w:rPr>
      </w:pPr>
      <w:r>
        <w:rPr>
          <w:shd w:val="clear" w:color="auto" w:fill="auto"/>
        </w:rPr>
        <w:t xml:space="preserve">Paschou, S. A., Athanasiadou, K. I., &amp; Hafford-Letchfield, T. (2024). Sexual health and wellbeing and the menopause: An EMAS clinical guide. </w:t>
      </w:r>
      <w:r>
        <w:rPr>
          <w:rStyle w:val="8"/>
          <w:shd w:val="clear" w:color="auto" w:fill="auto"/>
        </w:rPr>
        <w:t>Maturitas, 185</w:t>
      </w:r>
      <w:r>
        <w:rPr>
          <w:shd w:val="clear" w:color="auto" w:fill="auto"/>
        </w:rPr>
        <w:t xml:space="preserve">, 1–10. </w:t>
      </w:r>
      <w:r>
        <w:rPr>
          <w:shd w:val="clear" w:color="auto" w:fill="auto"/>
        </w:rPr>
        <w:fldChar w:fldCharType="begin"/>
      </w:r>
      <w:r>
        <w:rPr>
          <w:shd w:val="clear" w:color="auto" w:fill="auto"/>
        </w:rPr>
        <w:instrText xml:space="preserve"> HYPERLINK "https://www.sciencedirect.com/science/article/pii/S0378512224001506" </w:instrText>
      </w:r>
      <w:r>
        <w:rPr>
          <w:shd w:val="clear" w:color="auto" w:fill="auto"/>
        </w:rPr>
        <w:fldChar w:fldCharType="separate"/>
      </w:r>
      <w:r>
        <w:rPr>
          <w:rStyle w:val="11"/>
          <w:shd w:val="clear" w:color="auto" w:fill="auto"/>
        </w:rPr>
        <w:t>https://www.sciencedirect.com/science/article/pii/S0378512224001506</w:t>
      </w:r>
      <w:r>
        <w:rPr>
          <w:shd w:val="clear" w:color="auto" w:fill="auto"/>
        </w:rPr>
        <w:fldChar w:fldCharType="end"/>
      </w:r>
    </w:p>
    <w:p w14:paraId="1A8D8DC6">
      <w:pPr>
        <w:pStyle w:val="12"/>
        <w:keepNext w:val="0"/>
        <w:keepLines w:val="0"/>
        <w:widowControl/>
        <w:suppressLineNumbers w:val="0"/>
        <w:rPr>
          <w:shd w:val="clear" w:color="auto" w:fill="auto"/>
        </w:rPr>
      </w:pPr>
      <w:r>
        <w:rPr>
          <w:shd w:val="clear" w:color="auto" w:fill="auto"/>
        </w:rPr>
        <w:t xml:space="preserve">Pyrgidis, N., Mykoniatis, I., Haidich, A. B., Tirta, M., &amp; Hatzichristodoulou, G. (2021). The effect of PDE5 inhibitors on erectile function: A systematic overview. </w:t>
      </w:r>
      <w:r>
        <w:rPr>
          <w:rStyle w:val="8"/>
          <w:shd w:val="clear" w:color="auto" w:fill="auto"/>
        </w:rPr>
        <w:t>Frontiers in Pharmacology, 12</w:t>
      </w:r>
      <w:r>
        <w:rPr>
          <w:shd w:val="clear" w:color="auto" w:fill="auto"/>
        </w:rPr>
        <w:t xml:space="preserve">, 735708. </w:t>
      </w:r>
      <w:r>
        <w:rPr>
          <w:shd w:val="clear" w:color="auto" w:fill="auto"/>
        </w:rPr>
        <w:fldChar w:fldCharType="begin"/>
      </w:r>
      <w:r>
        <w:rPr>
          <w:shd w:val="clear" w:color="auto" w:fill="auto"/>
        </w:rPr>
        <w:instrText xml:space="preserve"> HYPERLINK "https://doi.org/10.3389/fphar.2021.735708" </w:instrText>
      </w:r>
      <w:r>
        <w:rPr>
          <w:shd w:val="clear" w:color="auto" w:fill="auto"/>
        </w:rPr>
        <w:fldChar w:fldCharType="separate"/>
      </w:r>
      <w:r>
        <w:rPr>
          <w:rStyle w:val="11"/>
          <w:shd w:val="clear" w:color="auto" w:fill="auto"/>
        </w:rPr>
        <w:t>https://doi.org/10.3389/fphar.2021.735708</w:t>
      </w:r>
      <w:r>
        <w:rPr>
          <w:shd w:val="clear" w:color="auto" w:fill="auto"/>
        </w:rPr>
        <w:fldChar w:fldCharType="end"/>
      </w:r>
    </w:p>
    <w:p w14:paraId="6A744B12">
      <w:pPr>
        <w:pStyle w:val="12"/>
        <w:keepNext w:val="0"/>
        <w:keepLines w:val="0"/>
        <w:widowControl/>
        <w:suppressLineNumbers w:val="0"/>
        <w:rPr>
          <w:shd w:val="clear" w:color="auto" w:fill="auto"/>
        </w:rPr>
      </w:pPr>
      <w:r>
        <w:rPr>
          <w:shd w:val="clear" w:color="auto" w:fill="auto"/>
        </w:rPr>
        <w:t xml:space="preserve">Rastrelli, G., Antonio, L., Carrier, S., &amp; Isidori, A. (2025). Hormonal regulation of men’s sexual function: ICSM 2024 recommendations. </w:t>
      </w:r>
      <w:r>
        <w:rPr>
          <w:rStyle w:val="8"/>
          <w:shd w:val="clear" w:color="auto" w:fill="auto"/>
        </w:rPr>
        <w:t>Sexual Medicine Reviews, 13</w:t>
      </w:r>
      <w:r>
        <w:rPr>
          <w:shd w:val="clear" w:color="auto" w:fill="auto"/>
        </w:rPr>
        <w:t xml:space="preserve">(2), 147–168. </w:t>
      </w:r>
      <w:r>
        <w:rPr>
          <w:shd w:val="clear" w:color="auto" w:fill="auto"/>
        </w:rPr>
        <w:fldChar w:fldCharType="begin"/>
      </w:r>
      <w:r>
        <w:rPr>
          <w:shd w:val="clear" w:color="auto" w:fill="auto"/>
        </w:rPr>
        <w:instrText xml:space="preserve"> HYPERLINK "https://doi.org/10.1093/sxmrev/qeaf025" </w:instrText>
      </w:r>
      <w:r>
        <w:rPr>
          <w:shd w:val="clear" w:color="auto" w:fill="auto"/>
        </w:rPr>
        <w:fldChar w:fldCharType="separate"/>
      </w:r>
      <w:r>
        <w:rPr>
          <w:rStyle w:val="11"/>
          <w:shd w:val="clear" w:color="auto" w:fill="auto"/>
        </w:rPr>
        <w:t>https://doi.org/10.1093/sxmrev/qeaf025</w:t>
      </w:r>
      <w:r>
        <w:rPr>
          <w:shd w:val="clear" w:color="auto" w:fill="auto"/>
        </w:rPr>
        <w:fldChar w:fldCharType="end"/>
      </w:r>
    </w:p>
    <w:p w14:paraId="566622B6">
      <w:pPr>
        <w:pStyle w:val="12"/>
        <w:keepNext w:val="0"/>
        <w:keepLines w:val="0"/>
        <w:widowControl/>
        <w:suppressLineNumbers w:val="0"/>
        <w:rPr>
          <w:shd w:val="clear" w:color="auto" w:fill="auto"/>
        </w:rPr>
      </w:pPr>
      <w:r>
        <w:rPr>
          <w:shd w:val="clear" w:color="auto" w:fill="auto"/>
        </w:rPr>
        <w:t xml:space="preserve">Sağır, S., Ünsal, V., Öner, E., Yıldız, R., &amp; Mert, B. D. (2025). Comparison of PDE-5 inhibitors used in erectile dysfunction with some candidate molecules: A study involving molecular docking, ADMET, DFT, and biological target interactions. </w:t>
      </w:r>
      <w:r>
        <w:rPr>
          <w:rStyle w:val="8"/>
          <w:shd w:val="clear" w:color="auto" w:fill="auto"/>
        </w:rPr>
        <w:t>BMC Urology, 25</w:t>
      </w:r>
      <w:r>
        <w:rPr>
          <w:shd w:val="clear" w:color="auto" w:fill="auto"/>
        </w:rPr>
        <w:t xml:space="preserve">, Article 1727. </w:t>
      </w:r>
      <w:r>
        <w:rPr>
          <w:shd w:val="clear" w:color="auto" w:fill="auto"/>
        </w:rPr>
        <w:fldChar w:fldCharType="begin"/>
      </w:r>
      <w:r>
        <w:rPr>
          <w:shd w:val="clear" w:color="auto" w:fill="auto"/>
        </w:rPr>
        <w:instrText xml:space="preserve"> HYPERLINK "https://doi.org/10.1186/s12894-025-01727-5" </w:instrText>
      </w:r>
      <w:r>
        <w:rPr>
          <w:shd w:val="clear" w:color="auto" w:fill="auto"/>
        </w:rPr>
        <w:fldChar w:fldCharType="separate"/>
      </w:r>
      <w:r>
        <w:rPr>
          <w:rStyle w:val="11"/>
          <w:shd w:val="clear" w:color="auto" w:fill="auto"/>
        </w:rPr>
        <w:t>https://doi.org/10.1186/s12894-025-01727-5</w:t>
      </w:r>
      <w:r>
        <w:rPr>
          <w:shd w:val="clear" w:color="auto" w:fill="auto"/>
        </w:rPr>
        <w:fldChar w:fldCharType="end"/>
      </w:r>
    </w:p>
    <w:p w14:paraId="605D6809">
      <w:pPr>
        <w:pStyle w:val="12"/>
        <w:keepNext w:val="0"/>
        <w:keepLines w:val="0"/>
        <w:widowControl/>
        <w:suppressLineNumbers w:val="0"/>
        <w:rPr>
          <w:shd w:val="clear" w:color="auto" w:fill="auto"/>
        </w:rPr>
      </w:pPr>
      <w:r>
        <w:rPr>
          <w:shd w:val="clear" w:color="auto" w:fill="auto"/>
        </w:rPr>
        <w:t xml:space="preserve">Saikia, Q., Adhikari, K., Begum, T., &amp; Dutta, S. (2024). Erectile dysfunction: Basics and its management using plant products. </w:t>
      </w:r>
      <w:r>
        <w:rPr>
          <w:rStyle w:val="8"/>
          <w:shd w:val="clear" w:color="auto" w:fill="auto"/>
        </w:rPr>
        <w:t>Egyptian Journal of Basic and Clinical Pharmacology, 14</w:t>
      </w:r>
      <w:r>
        <w:rPr>
          <w:shd w:val="clear" w:color="auto" w:fill="auto"/>
        </w:rPr>
        <w:t xml:space="preserve">(1), 102–112. </w:t>
      </w:r>
      <w:r>
        <w:rPr>
          <w:shd w:val="clear" w:color="auto" w:fill="auto"/>
        </w:rPr>
        <w:fldChar w:fldCharType="begin"/>
      </w:r>
      <w:r>
        <w:rPr>
          <w:shd w:val="clear" w:color="auto" w:fill="auto"/>
        </w:rPr>
        <w:instrText xml:space="preserve"> HYPERLINK "https://doi.org/10.1080/2314808X.2023.2300560" </w:instrText>
      </w:r>
      <w:r>
        <w:rPr>
          <w:shd w:val="clear" w:color="auto" w:fill="auto"/>
        </w:rPr>
        <w:fldChar w:fldCharType="separate"/>
      </w:r>
      <w:r>
        <w:rPr>
          <w:rStyle w:val="11"/>
          <w:shd w:val="clear" w:color="auto" w:fill="auto"/>
        </w:rPr>
        <w:t>https://doi.org/10.1080/2314808X.2023.2300560</w:t>
      </w:r>
      <w:r>
        <w:rPr>
          <w:shd w:val="clear" w:color="auto" w:fill="auto"/>
        </w:rPr>
        <w:fldChar w:fldCharType="end"/>
      </w:r>
    </w:p>
    <w:p w14:paraId="50D6AA63">
      <w:pPr>
        <w:pStyle w:val="12"/>
        <w:keepNext w:val="0"/>
        <w:keepLines w:val="0"/>
        <w:widowControl/>
        <w:suppressLineNumbers w:val="0"/>
        <w:rPr>
          <w:shd w:val="clear" w:color="auto" w:fill="auto"/>
        </w:rPr>
      </w:pPr>
      <w:r>
        <w:rPr>
          <w:shd w:val="clear" w:color="auto" w:fill="auto"/>
        </w:rPr>
        <w:t xml:space="preserve">Salehiyeh, S., Faiz, A. F., &amp; Manzourolhojeh, M. (2024). The functions of hydrogen sulfide on the urogenital system of both males and females: From inception to the present. </w:t>
      </w:r>
      <w:r>
        <w:rPr>
          <w:rStyle w:val="8"/>
          <w:shd w:val="clear" w:color="auto" w:fill="auto"/>
        </w:rPr>
        <w:t>Naunyn–Schmiedeberg's Archives of Pharmacology</w:t>
      </w:r>
      <w:r>
        <w:rPr>
          <w:shd w:val="clear" w:color="auto" w:fill="auto"/>
        </w:rPr>
        <w:t xml:space="preserve">. </w:t>
      </w:r>
      <w:r>
        <w:rPr>
          <w:shd w:val="clear" w:color="auto" w:fill="auto"/>
        </w:rPr>
        <w:fldChar w:fldCharType="begin"/>
      </w:r>
      <w:r>
        <w:rPr>
          <w:shd w:val="clear" w:color="auto" w:fill="auto"/>
        </w:rPr>
        <w:instrText xml:space="preserve"> HYPERLINK "https://doi.org/10.1007/s00210-024-03086-8" </w:instrText>
      </w:r>
      <w:r>
        <w:rPr>
          <w:shd w:val="clear" w:color="auto" w:fill="auto"/>
        </w:rPr>
        <w:fldChar w:fldCharType="separate"/>
      </w:r>
      <w:r>
        <w:rPr>
          <w:rStyle w:val="11"/>
          <w:shd w:val="clear" w:color="auto" w:fill="auto"/>
        </w:rPr>
        <w:t>https://doi.org/10.1007/s00210-024-03086-8</w:t>
      </w:r>
      <w:r>
        <w:rPr>
          <w:shd w:val="clear" w:color="auto" w:fill="auto"/>
        </w:rPr>
        <w:fldChar w:fldCharType="end"/>
      </w:r>
    </w:p>
    <w:p w14:paraId="582CDDD4">
      <w:pPr>
        <w:pStyle w:val="12"/>
        <w:keepNext w:val="0"/>
        <w:keepLines w:val="0"/>
        <w:widowControl/>
        <w:suppressLineNumbers w:val="0"/>
        <w:rPr>
          <w:shd w:val="clear" w:color="auto" w:fill="auto"/>
        </w:rPr>
      </w:pPr>
      <w:r>
        <w:rPr>
          <w:shd w:val="clear" w:color="auto" w:fill="auto"/>
        </w:rPr>
        <w:t xml:space="preserve">Salvio, G., Martino, M., Giancola, G., &amp; Arnaldi, G. (2021). Hypothalamic–pituitary diseases and erectile dysfunction. </w:t>
      </w:r>
      <w:r>
        <w:rPr>
          <w:rStyle w:val="8"/>
          <w:shd w:val="clear" w:color="auto" w:fill="auto"/>
        </w:rPr>
        <w:t>Journal of Clinical Medicine</w:t>
      </w:r>
      <w:r>
        <w:rPr>
          <w:shd w:val="clear" w:color="auto" w:fill="auto"/>
        </w:rPr>
        <w:t xml:space="preserve">, 10(12), 2551. </w:t>
      </w:r>
      <w:r>
        <w:rPr>
          <w:shd w:val="clear" w:color="auto" w:fill="auto"/>
        </w:rPr>
        <w:fldChar w:fldCharType="begin"/>
      </w:r>
      <w:r>
        <w:rPr>
          <w:shd w:val="clear" w:color="auto" w:fill="auto"/>
        </w:rPr>
        <w:instrText xml:space="preserve"> HYPERLINK "https://www.mdpi.com/2077-0383/10/12/2551" </w:instrText>
      </w:r>
      <w:r>
        <w:rPr>
          <w:shd w:val="clear" w:color="auto" w:fill="auto"/>
        </w:rPr>
        <w:fldChar w:fldCharType="separate"/>
      </w:r>
      <w:r>
        <w:rPr>
          <w:rStyle w:val="11"/>
          <w:shd w:val="clear" w:color="auto" w:fill="auto"/>
        </w:rPr>
        <w:t>https://www.mdpi.com/2077-0383/10/12/2551</w:t>
      </w:r>
      <w:r>
        <w:rPr>
          <w:shd w:val="clear" w:color="auto" w:fill="auto"/>
        </w:rPr>
        <w:fldChar w:fldCharType="end"/>
      </w:r>
    </w:p>
    <w:p w14:paraId="4AD126E0">
      <w:pPr>
        <w:pStyle w:val="12"/>
        <w:keepNext w:val="0"/>
        <w:keepLines w:val="0"/>
        <w:widowControl/>
        <w:suppressLineNumbers w:val="0"/>
        <w:rPr>
          <w:shd w:val="clear" w:color="auto" w:fill="auto"/>
        </w:rPr>
      </w:pPr>
      <w:r>
        <w:rPr>
          <w:shd w:val="clear" w:color="auto" w:fill="auto"/>
        </w:rPr>
        <w:t xml:space="preserve">Sangiorgi, G., Cereda, A., Benedetto, D., &amp; Bonanni, M. (2021). Anatomy, pathophysiology, molecular mechanisms, and clinical management of erectile dysfunction in patients affected by coronary artery disease: A review. </w:t>
      </w:r>
      <w:r>
        <w:rPr>
          <w:rStyle w:val="8"/>
          <w:shd w:val="clear" w:color="auto" w:fill="auto"/>
        </w:rPr>
        <w:t>Biomedicines, 9</w:t>
      </w:r>
      <w:r>
        <w:rPr>
          <w:shd w:val="clear" w:color="auto" w:fill="auto"/>
        </w:rPr>
        <w:t xml:space="preserve">(4), 432. </w:t>
      </w:r>
      <w:r>
        <w:rPr>
          <w:shd w:val="clear" w:color="auto" w:fill="auto"/>
        </w:rPr>
        <w:fldChar w:fldCharType="begin"/>
      </w:r>
      <w:r>
        <w:rPr>
          <w:shd w:val="clear" w:color="auto" w:fill="auto"/>
        </w:rPr>
        <w:instrText xml:space="preserve"> HYPERLINK "https://www.mdpi.com/2227-9059/9/4/432" </w:instrText>
      </w:r>
      <w:r>
        <w:rPr>
          <w:shd w:val="clear" w:color="auto" w:fill="auto"/>
        </w:rPr>
        <w:fldChar w:fldCharType="separate"/>
      </w:r>
      <w:r>
        <w:rPr>
          <w:rStyle w:val="11"/>
          <w:shd w:val="clear" w:color="auto" w:fill="auto"/>
        </w:rPr>
        <w:t>https://www.mdpi.com/2227-9059/9/4/432</w:t>
      </w:r>
      <w:r>
        <w:rPr>
          <w:shd w:val="clear" w:color="auto" w:fill="auto"/>
        </w:rPr>
        <w:fldChar w:fldCharType="end"/>
      </w:r>
    </w:p>
    <w:p w14:paraId="1B11DD2D">
      <w:pPr>
        <w:pStyle w:val="12"/>
        <w:keepNext w:val="0"/>
        <w:keepLines w:val="0"/>
        <w:widowControl/>
        <w:suppressLineNumbers w:val="0"/>
        <w:rPr>
          <w:shd w:val="clear" w:color="auto" w:fill="auto"/>
        </w:rPr>
      </w:pPr>
      <w:r>
        <w:rPr>
          <w:shd w:val="clear" w:color="auto" w:fill="auto"/>
        </w:rPr>
        <w:t xml:space="preserve">Sarkodie, J. A., Amponsah, I. K., &amp; Yeboah, F. O. (2024). Application of the Herbal Marker Ranking System (Herb Mars) for male vitality herbal remedies. </w:t>
      </w:r>
      <w:r>
        <w:rPr>
          <w:rStyle w:val="8"/>
          <w:shd w:val="clear" w:color="auto" w:fill="auto"/>
        </w:rPr>
        <w:t>SSRN</w:t>
      </w:r>
      <w:r>
        <w:rPr>
          <w:shd w:val="clear" w:color="auto" w:fill="auto"/>
        </w:rPr>
        <w:t xml:space="preserve">. </w:t>
      </w:r>
      <w:r>
        <w:rPr>
          <w:shd w:val="clear" w:color="auto" w:fill="auto"/>
        </w:rPr>
        <w:fldChar w:fldCharType="begin"/>
      </w:r>
      <w:r>
        <w:rPr>
          <w:shd w:val="clear" w:color="auto" w:fill="auto"/>
        </w:rPr>
        <w:instrText xml:space="preserve"> HYPERLINK "https://papers.ssrn.com/sol3/papers.cfm?abstract_id=5270490" </w:instrText>
      </w:r>
      <w:r>
        <w:rPr>
          <w:shd w:val="clear" w:color="auto" w:fill="auto"/>
        </w:rPr>
        <w:fldChar w:fldCharType="separate"/>
      </w:r>
      <w:r>
        <w:rPr>
          <w:rStyle w:val="11"/>
          <w:shd w:val="clear" w:color="auto" w:fill="auto"/>
        </w:rPr>
        <w:t>https://papers.ssrn.com/sol3/papers.cfm?abstract_id=5270490</w:t>
      </w:r>
      <w:r>
        <w:rPr>
          <w:shd w:val="clear" w:color="auto" w:fill="auto"/>
        </w:rPr>
        <w:fldChar w:fldCharType="end"/>
      </w:r>
    </w:p>
    <w:p w14:paraId="01C14928">
      <w:pPr>
        <w:pStyle w:val="12"/>
        <w:keepNext w:val="0"/>
        <w:keepLines w:val="0"/>
        <w:widowControl/>
        <w:suppressLineNumbers w:val="0"/>
        <w:rPr>
          <w:shd w:val="clear" w:color="auto" w:fill="auto"/>
        </w:rPr>
      </w:pPr>
      <w:r>
        <w:rPr>
          <w:shd w:val="clear" w:color="auto" w:fill="auto"/>
        </w:rPr>
        <w:t xml:space="preserve">Stefan, M. G., Kiss, B., Gutleb, A. C., &amp; Loghin, F. (2020). Redox metabolism modulation as a mechanism in SSRI toxicity and pharmacological effects. </w:t>
      </w:r>
      <w:r>
        <w:rPr>
          <w:rStyle w:val="8"/>
          <w:shd w:val="clear" w:color="auto" w:fill="auto"/>
        </w:rPr>
        <w:t>Archives of Toxicology, 94</w:t>
      </w:r>
      <w:r>
        <w:rPr>
          <w:shd w:val="clear" w:color="auto" w:fill="auto"/>
        </w:rPr>
        <w:t xml:space="preserve">, 3145–3156. </w:t>
      </w:r>
      <w:r>
        <w:rPr>
          <w:shd w:val="clear" w:color="auto" w:fill="auto"/>
        </w:rPr>
        <w:fldChar w:fldCharType="begin"/>
      </w:r>
      <w:r>
        <w:rPr>
          <w:shd w:val="clear" w:color="auto" w:fill="auto"/>
        </w:rPr>
        <w:instrText xml:space="preserve"> HYPERLINK "https://doi.org/10.1007/s00204-020-02721-6" </w:instrText>
      </w:r>
      <w:r>
        <w:rPr>
          <w:shd w:val="clear" w:color="auto" w:fill="auto"/>
        </w:rPr>
        <w:fldChar w:fldCharType="separate"/>
      </w:r>
      <w:r>
        <w:rPr>
          <w:rStyle w:val="11"/>
          <w:shd w:val="clear" w:color="auto" w:fill="auto"/>
        </w:rPr>
        <w:t>https://doi.org/10.1007/s00204-020-02721-6</w:t>
      </w:r>
      <w:r>
        <w:rPr>
          <w:shd w:val="clear" w:color="auto" w:fill="auto"/>
        </w:rPr>
        <w:fldChar w:fldCharType="end"/>
      </w:r>
    </w:p>
    <w:p w14:paraId="4022C0B3">
      <w:pPr>
        <w:pStyle w:val="12"/>
        <w:keepNext w:val="0"/>
        <w:keepLines w:val="0"/>
        <w:widowControl/>
        <w:suppressLineNumbers w:val="0"/>
        <w:rPr>
          <w:shd w:val="clear" w:color="auto" w:fill="auto"/>
        </w:rPr>
      </w:pPr>
      <w:r>
        <w:rPr>
          <w:shd w:val="clear" w:color="auto" w:fill="auto"/>
        </w:rPr>
        <w:t xml:space="preserve">Sun, H., Zhao, Y., Liao, X., Ortega, F. B., &amp; Chen, Q. (2025). Effects and moderators of exercise training on erectile function: A systematic review and meta-analysis. </w:t>
      </w:r>
      <w:r>
        <w:rPr>
          <w:rStyle w:val="8"/>
          <w:shd w:val="clear" w:color="auto" w:fill="auto"/>
        </w:rPr>
        <w:t>Research Square</w:t>
      </w:r>
      <w:r>
        <w:rPr>
          <w:shd w:val="clear" w:color="auto" w:fill="auto"/>
        </w:rPr>
        <w:t xml:space="preserve">. </w:t>
      </w:r>
      <w:r>
        <w:rPr>
          <w:shd w:val="clear" w:color="auto" w:fill="auto"/>
        </w:rPr>
        <w:fldChar w:fldCharType="begin"/>
      </w:r>
      <w:r>
        <w:rPr>
          <w:shd w:val="clear" w:color="auto" w:fill="auto"/>
        </w:rPr>
        <w:instrText xml:space="preserve"> HYPERLINK "https://www.researchsquare.com/article/rs-6075962/latest" </w:instrText>
      </w:r>
      <w:r>
        <w:rPr>
          <w:shd w:val="clear" w:color="auto" w:fill="auto"/>
        </w:rPr>
        <w:fldChar w:fldCharType="separate"/>
      </w:r>
      <w:r>
        <w:rPr>
          <w:rStyle w:val="11"/>
          <w:shd w:val="clear" w:color="auto" w:fill="auto"/>
        </w:rPr>
        <w:t>https://www.researchsquare.com/article/rs-6075962/latest</w:t>
      </w:r>
      <w:r>
        <w:rPr>
          <w:shd w:val="clear" w:color="auto" w:fill="auto"/>
        </w:rPr>
        <w:fldChar w:fldCharType="end"/>
      </w:r>
    </w:p>
    <w:p w14:paraId="20362359">
      <w:pPr>
        <w:pStyle w:val="12"/>
        <w:keepNext w:val="0"/>
        <w:keepLines w:val="0"/>
        <w:widowControl/>
        <w:suppressLineNumbers w:val="0"/>
        <w:rPr>
          <w:shd w:val="clear" w:color="auto" w:fill="auto"/>
        </w:rPr>
      </w:pPr>
      <w:r>
        <w:rPr>
          <w:shd w:val="clear" w:color="auto" w:fill="auto"/>
        </w:rPr>
        <w:t xml:space="preserve">Svennersten, K., &amp; Reus, C. (2024). Etiology, surgical anatomy, and pathophysiology of male erectile dysfunction. </w:t>
      </w:r>
      <w:r>
        <w:rPr>
          <w:rStyle w:val="8"/>
          <w:shd w:val="clear" w:color="auto" w:fill="auto"/>
        </w:rPr>
        <w:t>International Journal of Reconstructive Urology</w:t>
      </w:r>
      <w:r>
        <w:rPr>
          <w:shd w:val="clear" w:color="auto" w:fill="auto"/>
        </w:rPr>
        <w:t xml:space="preserve">, 14(1), 1–12. </w:t>
      </w:r>
      <w:r>
        <w:rPr>
          <w:shd w:val="clear" w:color="auto" w:fill="auto"/>
        </w:rPr>
        <w:fldChar w:fldCharType="begin"/>
      </w:r>
      <w:r>
        <w:rPr>
          <w:shd w:val="clear" w:color="auto" w:fill="auto"/>
        </w:rPr>
        <w:instrText xml:space="preserve"> HYPERLINK "https://journals.lww.com/ijoru/fulltext/2024/02010/etiology,_surgical_anatomy,_and_pathophysiology_of.2.aspx" </w:instrText>
      </w:r>
      <w:r>
        <w:rPr>
          <w:shd w:val="clear" w:color="auto" w:fill="auto"/>
        </w:rPr>
        <w:fldChar w:fldCharType="separate"/>
      </w:r>
      <w:r>
        <w:rPr>
          <w:rStyle w:val="11"/>
          <w:shd w:val="clear" w:color="auto" w:fill="auto"/>
        </w:rPr>
        <w:t>https://journals.lww.com/ijoru/fulltext/2024/02010/etiology,_surgical_anatomy,_and_pathophysiology_of.2.aspx</w:t>
      </w:r>
      <w:r>
        <w:rPr>
          <w:shd w:val="clear" w:color="auto" w:fill="auto"/>
        </w:rPr>
        <w:fldChar w:fldCharType="end"/>
      </w:r>
    </w:p>
    <w:p w14:paraId="58A6C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14:paraId="2464E279">
      <w:pPr>
        <w:pStyle w:val="12"/>
        <w:keepNext w:val="0"/>
        <w:keepLines w:val="0"/>
        <w:widowControl/>
        <w:suppressLineNumbers w:val="0"/>
        <w:rPr>
          <w:shd w:val="clear" w:color="auto" w:fill="auto"/>
        </w:rPr>
      </w:pPr>
      <w:r>
        <w:rPr>
          <w:shd w:val="clear" w:color="auto" w:fill="auto"/>
        </w:rPr>
        <w:t xml:space="preserve">Tang, X., Olatunji, O. J., Zhou, Y., &amp; Hou, X. (2017). In vitro and in vivo aphrodisiac properties of the seed extract from </w:t>
      </w:r>
      <w:r>
        <w:rPr>
          <w:rStyle w:val="8"/>
          <w:shd w:val="clear" w:color="auto" w:fill="auto"/>
        </w:rPr>
        <w:t>Allium tuberosum</w:t>
      </w:r>
      <w:r>
        <w:rPr>
          <w:shd w:val="clear" w:color="auto" w:fill="auto"/>
        </w:rPr>
        <w:t xml:space="preserve"> on corpus cavernosum smooth muscle relaxation and sexual behavior parameters in male rats. </w:t>
      </w:r>
      <w:r>
        <w:rPr>
          <w:rStyle w:val="8"/>
          <w:shd w:val="clear" w:color="auto" w:fill="auto"/>
        </w:rPr>
        <w:t>BMC Complementary and Alternative Medicine, 17</w:t>
      </w:r>
      <w:r>
        <w:rPr>
          <w:shd w:val="clear" w:color="auto" w:fill="auto"/>
        </w:rPr>
        <w:t xml:space="preserve">(1), 538. </w:t>
      </w:r>
      <w:r>
        <w:rPr>
          <w:shd w:val="clear" w:color="auto" w:fill="auto"/>
        </w:rPr>
        <w:fldChar w:fldCharType="begin"/>
      </w:r>
      <w:r>
        <w:rPr>
          <w:shd w:val="clear" w:color="auto" w:fill="auto"/>
        </w:rPr>
        <w:instrText xml:space="preserve"> HYPERLINK "https://doi.org/10.1186/s12906-017-2008-5" </w:instrText>
      </w:r>
      <w:r>
        <w:rPr>
          <w:shd w:val="clear" w:color="auto" w:fill="auto"/>
        </w:rPr>
        <w:fldChar w:fldCharType="separate"/>
      </w:r>
      <w:r>
        <w:rPr>
          <w:rStyle w:val="11"/>
          <w:shd w:val="clear" w:color="auto" w:fill="auto"/>
        </w:rPr>
        <w:t>https://doi.org/10.1186/s12906-017-2008-5</w:t>
      </w:r>
      <w:r>
        <w:rPr>
          <w:shd w:val="clear" w:color="auto" w:fill="auto"/>
        </w:rPr>
        <w:fldChar w:fldCharType="end"/>
      </w:r>
    </w:p>
    <w:p w14:paraId="1ECF8AB2">
      <w:pPr>
        <w:pStyle w:val="12"/>
        <w:keepNext w:val="0"/>
        <w:keepLines w:val="0"/>
        <w:widowControl/>
        <w:suppressLineNumbers w:val="0"/>
        <w:rPr>
          <w:shd w:val="clear" w:color="auto" w:fill="auto"/>
        </w:rPr>
      </w:pPr>
      <w:r>
        <w:rPr>
          <w:shd w:val="clear" w:color="auto" w:fill="auto"/>
        </w:rPr>
        <w:t xml:space="preserve">Tarcan, T., Choi, H. P., &amp; Azadzoi, K. M. (2022). Molecular regulation of concomitant lower urinary tract symptoms and erectile dysfunction in pelvic ischemia. </w:t>
      </w:r>
      <w:r>
        <w:rPr>
          <w:rStyle w:val="8"/>
          <w:shd w:val="clear" w:color="auto" w:fill="auto"/>
        </w:rPr>
        <w:t>International Journal of Molecular Sciences, 23</w:t>
      </w:r>
      <w:r>
        <w:rPr>
          <w:shd w:val="clear" w:color="auto" w:fill="auto"/>
        </w:rPr>
        <w:t xml:space="preserve">(24), 15988. </w:t>
      </w:r>
      <w:r>
        <w:rPr>
          <w:shd w:val="clear" w:color="auto" w:fill="auto"/>
        </w:rPr>
        <w:fldChar w:fldCharType="begin"/>
      </w:r>
      <w:r>
        <w:rPr>
          <w:shd w:val="clear" w:color="auto" w:fill="auto"/>
        </w:rPr>
        <w:instrText xml:space="preserve"> HYPERLINK "https://www.mdpi.com/1422-0067/23/24/15988" </w:instrText>
      </w:r>
      <w:r>
        <w:rPr>
          <w:shd w:val="clear" w:color="auto" w:fill="auto"/>
        </w:rPr>
        <w:fldChar w:fldCharType="separate"/>
      </w:r>
      <w:r>
        <w:rPr>
          <w:rStyle w:val="11"/>
          <w:shd w:val="clear" w:color="auto" w:fill="auto"/>
        </w:rPr>
        <w:t>https://www.mdpi.com/1422-0067/23/24/15988</w:t>
      </w:r>
      <w:r>
        <w:rPr>
          <w:shd w:val="clear" w:color="auto" w:fill="auto"/>
        </w:rPr>
        <w:fldChar w:fldCharType="end"/>
      </w:r>
    </w:p>
    <w:p w14:paraId="2A0366AE">
      <w:pPr>
        <w:pStyle w:val="12"/>
        <w:keepNext w:val="0"/>
        <w:keepLines w:val="0"/>
        <w:widowControl/>
        <w:suppressLineNumbers w:val="0"/>
        <w:rPr>
          <w:shd w:val="clear" w:color="auto" w:fill="auto"/>
        </w:rPr>
      </w:pPr>
      <w:r>
        <w:rPr>
          <w:shd w:val="clear" w:color="auto" w:fill="auto"/>
        </w:rPr>
        <w:t xml:space="preserve">Tian, Y., Zhou, Q., Li, W., Liu, M., &amp; Chen, Q. (2023). Efficacy of L-arginine and Pycnogenol® in the treatment of male erectile dysfunction: A systematic review and meta-analysis. </w:t>
      </w:r>
      <w:r>
        <w:rPr>
          <w:rStyle w:val="8"/>
          <w:shd w:val="clear" w:color="auto" w:fill="auto"/>
        </w:rPr>
        <w:t>Frontiers in Endocrinology, 14</w:t>
      </w:r>
      <w:r>
        <w:rPr>
          <w:shd w:val="clear" w:color="auto" w:fill="auto"/>
        </w:rPr>
        <w:t xml:space="preserve">, Article 1211720. </w:t>
      </w:r>
      <w:r>
        <w:rPr>
          <w:shd w:val="clear" w:color="auto" w:fill="auto"/>
        </w:rPr>
        <w:fldChar w:fldCharType="begin"/>
      </w:r>
      <w:r>
        <w:rPr>
          <w:shd w:val="clear" w:color="auto" w:fill="auto"/>
        </w:rPr>
        <w:instrText xml:space="preserve"> HYPERLINK "https://www.frontiersin.org/articles/10.3389/fendo.2023.1211720/full" </w:instrText>
      </w:r>
      <w:r>
        <w:rPr>
          <w:shd w:val="clear" w:color="auto" w:fill="auto"/>
        </w:rPr>
        <w:fldChar w:fldCharType="separate"/>
      </w:r>
      <w:r>
        <w:rPr>
          <w:rStyle w:val="11"/>
          <w:shd w:val="clear" w:color="auto" w:fill="auto"/>
        </w:rPr>
        <w:t>https://www.frontiersin.org/articles/10.3389/fendo.2023.1211720/full</w:t>
      </w:r>
      <w:r>
        <w:rPr>
          <w:shd w:val="clear" w:color="auto" w:fill="auto"/>
        </w:rPr>
        <w:fldChar w:fldCharType="end"/>
      </w:r>
    </w:p>
    <w:p w14:paraId="48D2A730">
      <w:pPr>
        <w:pStyle w:val="12"/>
        <w:keepNext w:val="0"/>
        <w:keepLines w:val="0"/>
        <w:widowControl/>
        <w:suppressLineNumbers w:val="0"/>
        <w:rPr>
          <w:shd w:val="clear" w:color="auto" w:fill="auto"/>
        </w:rPr>
      </w:pPr>
      <w:r>
        <w:rPr>
          <w:shd w:val="clear" w:color="auto" w:fill="auto"/>
        </w:rPr>
        <w:t xml:space="preserve">Tuldjanah, M., Yanuarty, R., &amp; Sasdila, S. (2024). Aphrodisiac activity of clove leaves ethanol extract and fractions in Wistar rats. </w:t>
      </w:r>
      <w:r>
        <w:rPr>
          <w:rStyle w:val="8"/>
          <w:shd w:val="clear" w:color="auto" w:fill="auto"/>
        </w:rPr>
        <w:t>Sciences of Phytochemistry</w:t>
      </w:r>
      <w:r>
        <w:rPr>
          <w:shd w:val="clear" w:color="auto" w:fill="auto"/>
        </w:rPr>
        <w:t xml:space="preserve">. </w:t>
      </w:r>
      <w:r>
        <w:rPr>
          <w:shd w:val="clear" w:color="auto" w:fill="auto"/>
        </w:rPr>
        <w:fldChar w:fldCharType="begin"/>
      </w:r>
      <w:r>
        <w:rPr>
          <w:shd w:val="clear" w:color="auto" w:fill="auto"/>
        </w:rPr>
        <w:instrText xml:space="preserve"> HYPERLINK "https://etflin.com/article/183" </w:instrText>
      </w:r>
      <w:r>
        <w:rPr>
          <w:shd w:val="clear" w:color="auto" w:fill="auto"/>
        </w:rPr>
        <w:fldChar w:fldCharType="separate"/>
      </w:r>
      <w:r>
        <w:rPr>
          <w:rStyle w:val="11"/>
          <w:shd w:val="clear" w:color="auto" w:fill="auto"/>
        </w:rPr>
        <w:t>https://etflin.com/article/183</w:t>
      </w:r>
      <w:r>
        <w:rPr>
          <w:shd w:val="clear" w:color="auto" w:fill="auto"/>
        </w:rPr>
        <w:fldChar w:fldCharType="end"/>
      </w:r>
    </w:p>
    <w:p w14:paraId="5CA032B6">
      <w:pPr>
        <w:pStyle w:val="12"/>
        <w:keepNext w:val="0"/>
        <w:keepLines w:val="0"/>
        <w:widowControl/>
        <w:suppressLineNumbers w:val="0"/>
        <w:rPr>
          <w:shd w:val="clear" w:color="auto" w:fill="auto"/>
        </w:rPr>
      </w:pPr>
      <w:r>
        <w:rPr>
          <w:shd w:val="clear" w:color="auto" w:fill="auto"/>
        </w:rPr>
        <w:t xml:space="preserve">Vardi, Y., Appel, B., &amp; Gruenwald, I. (2022). The effect of lifestyle changes on erectile function in obese men. </w:t>
      </w:r>
      <w:r>
        <w:rPr>
          <w:rStyle w:val="8"/>
          <w:shd w:val="clear" w:color="auto" w:fill="auto"/>
        </w:rPr>
        <w:t>Andrology, 10</w:t>
      </w:r>
      <w:r>
        <w:rPr>
          <w:shd w:val="clear" w:color="auto" w:fill="auto"/>
        </w:rPr>
        <w:t xml:space="preserve">(1), 34–42. </w:t>
      </w:r>
      <w:r>
        <w:rPr>
          <w:shd w:val="clear" w:color="auto" w:fill="auto"/>
        </w:rPr>
        <w:fldChar w:fldCharType="begin"/>
      </w:r>
      <w:r>
        <w:rPr>
          <w:shd w:val="clear" w:color="auto" w:fill="auto"/>
        </w:rPr>
        <w:instrText xml:space="preserve"> HYPERLINK "https://doi.org/10.1111/andr.13028" </w:instrText>
      </w:r>
      <w:r>
        <w:rPr>
          <w:shd w:val="clear" w:color="auto" w:fill="auto"/>
        </w:rPr>
        <w:fldChar w:fldCharType="separate"/>
      </w:r>
      <w:r>
        <w:rPr>
          <w:rStyle w:val="11"/>
          <w:shd w:val="clear" w:color="auto" w:fill="auto"/>
        </w:rPr>
        <w:t>https://doi.org/10.1111/andr.13028</w:t>
      </w:r>
      <w:r>
        <w:rPr>
          <w:shd w:val="clear" w:color="auto" w:fill="auto"/>
        </w:rPr>
        <w:fldChar w:fldCharType="end"/>
      </w:r>
    </w:p>
    <w:p w14:paraId="268A404E">
      <w:pPr>
        <w:pStyle w:val="12"/>
        <w:keepNext w:val="0"/>
        <w:keepLines w:val="0"/>
        <w:widowControl/>
        <w:suppressLineNumbers w:val="0"/>
        <w:rPr>
          <w:shd w:val="clear" w:color="auto" w:fill="auto"/>
        </w:rPr>
      </w:pPr>
      <w:r>
        <w:rPr>
          <w:shd w:val="clear" w:color="auto" w:fill="auto"/>
        </w:rPr>
        <w:t xml:space="preserve">Wang, H., &amp; Chung, E. (2025). Revisiting experimental models of erectile dysfunction and their value in drug discovery and development. </w:t>
      </w:r>
      <w:r>
        <w:rPr>
          <w:rStyle w:val="8"/>
          <w:shd w:val="clear" w:color="auto" w:fill="auto"/>
        </w:rPr>
        <w:t>Expert Opinion on Drug Discovery, 20</w:t>
      </w:r>
      <w:r>
        <w:rPr>
          <w:shd w:val="clear" w:color="auto" w:fill="auto"/>
        </w:rPr>
        <w:t xml:space="preserve">(2), 103–114. </w:t>
      </w:r>
      <w:r>
        <w:rPr>
          <w:shd w:val="clear" w:color="auto" w:fill="auto"/>
        </w:rPr>
        <w:fldChar w:fldCharType="begin"/>
      </w:r>
      <w:r>
        <w:rPr>
          <w:shd w:val="clear" w:color="auto" w:fill="auto"/>
        </w:rPr>
        <w:instrText xml:space="preserve"> HYPERLINK "https://doi.org/10.1080/17460441.2025.2482065" </w:instrText>
      </w:r>
      <w:r>
        <w:rPr>
          <w:shd w:val="clear" w:color="auto" w:fill="auto"/>
        </w:rPr>
        <w:fldChar w:fldCharType="separate"/>
      </w:r>
      <w:r>
        <w:rPr>
          <w:rStyle w:val="11"/>
          <w:shd w:val="clear" w:color="auto" w:fill="auto"/>
        </w:rPr>
        <w:t>https://doi.org/10.1080/17460441.2025.2482065</w:t>
      </w:r>
      <w:r>
        <w:rPr>
          <w:shd w:val="clear" w:color="auto" w:fill="auto"/>
        </w:rPr>
        <w:fldChar w:fldCharType="end"/>
      </w:r>
    </w:p>
    <w:p w14:paraId="38F7E0EF">
      <w:pPr>
        <w:pStyle w:val="12"/>
        <w:keepNext w:val="0"/>
        <w:keepLines w:val="0"/>
        <w:widowControl/>
        <w:suppressLineNumbers w:val="0"/>
        <w:rPr>
          <w:shd w:val="clear" w:color="auto" w:fill="auto"/>
        </w:rPr>
      </w:pPr>
      <w:r>
        <w:rPr>
          <w:shd w:val="clear" w:color="auto" w:fill="auto"/>
        </w:rPr>
        <w:t xml:space="preserve">Wang, H., Chang, H., Sun, D., Wang, A., &amp; Yan, B. (2025). Therapeutic challenges of diabetes mellitus-related erectile dysfunction and the potential role of medicinal plants. </w:t>
      </w:r>
      <w:r>
        <w:rPr>
          <w:rStyle w:val="8"/>
          <w:shd w:val="clear" w:color="auto" w:fill="auto"/>
        </w:rPr>
        <w:t>Drug Design, Development and Therapy, 19</w:t>
      </w:r>
      <w:r>
        <w:rPr>
          <w:shd w:val="clear" w:color="auto" w:fill="auto"/>
        </w:rPr>
        <w:t xml:space="preserve">, 233–248. </w:t>
      </w:r>
      <w:r>
        <w:rPr>
          <w:shd w:val="clear" w:color="auto" w:fill="auto"/>
        </w:rPr>
        <w:fldChar w:fldCharType="begin"/>
      </w:r>
      <w:r>
        <w:rPr>
          <w:shd w:val="clear" w:color="auto" w:fill="auto"/>
        </w:rPr>
        <w:instrText xml:space="preserve"> HYPERLINK "https://doi.org/10.2147/DDDT.S515403" </w:instrText>
      </w:r>
      <w:r>
        <w:rPr>
          <w:shd w:val="clear" w:color="auto" w:fill="auto"/>
        </w:rPr>
        <w:fldChar w:fldCharType="separate"/>
      </w:r>
      <w:r>
        <w:rPr>
          <w:rStyle w:val="11"/>
          <w:shd w:val="clear" w:color="auto" w:fill="auto"/>
        </w:rPr>
        <w:t>https://doi.org/10.2147/DDDT.S515403</w:t>
      </w:r>
      <w:r>
        <w:rPr>
          <w:shd w:val="clear" w:color="auto" w:fill="auto"/>
        </w:rPr>
        <w:fldChar w:fldCharType="end"/>
      </w:r>
    </w:p>
    <w:p w14:paraId="03C6D44A">
      <w:pPr>
        <w:pStyle w:val="12"/>
        <w:keepNext w:val="0"/>
        <w:keepLines w:val="0"/>
        <w:widowControl/>
        <w:suppressLineNumbers w:val="0"/>
        <w:rPr>
          <w:shd w:val="clear" w:color="auto" w:fill="auto"/>
        </w:rPr>
      </w:pPr>
      <w:r>
        <w:rPr>
          <w:shd w:val="clear" w:color="auto" w:fill="auto"/>
        </w:rPr>
        <w:t xml:space="preserve">Woo, M. A., Martino, M., Arnaldi, G., &amp; Salvio, G. (2021). Endocrinology of male sexual dysfunction. </w:t>
      </w:r>
      <w:r>
        <w:rPr>
          <w:rStyle w:val="8"/>
          <w:shd w:val="clear" w:color="auto" w:fill="auto"/>
        </w:rPr>
        <w:t>Journal of Clinical Endocrinology</w:t>
      </w:r>
      <w:r>
        <w:rPr>
          <w:shd w:val="clear" w:color="auto" w:fill="auto"/>
        </w:rPr>
        <w:t xml:space="preserve">, 105(3), 458–467. </w:t>
      </w:r>
      <w:r>
        <w:rPr>
          <w:shd w:val="clear" w:color="auto" w:fill="auto"/>
        </w:rPr>
        <w:fldChar w:fldCharType="begin"/>
      </w:r>
      <w:r>
        <w:rPr>
          <w:shd w:val="clear" w:color="auto" w:fill="auto"/>
        </w:rPr>
        <w:instrText xml:space="preserve"> HYPERLINK "https://doi.org/10.1210/jc.2020-04588" </w:instrText>
      </w:r>
      <w:r>
        <w:rPr>
          <w:shd w:val="clear" w:color="auto" w:fill="auto"/>
        </w:rPr>
        <w:fldChar w:fldCharType="separate"/>
      </w:r>
      <w:r>
        <w:rPr>
          <w:rStyle w:val="11"/>
          <w:shd w:val="clear" w:color="auto" w:fill="auto"/>
        </w:rPr>
        <w:t>https://doi.org/10.1210/jc.2020-04588</w:t>
      </w:r>
      <w:r>
        <w:rPr>
          <w:shd w:val="clear" w:color="auto" w:fill="auto"/>
        </w:rPr>
        <w:fldChar w:fldCharType="end"/>
      </w:r>
    </w:p>
    <w:p w14:paraId="233074C6">
      <w:pPr>
        <w:pStyle w:val="12"/>
        <w:keepNext w:val="0"/>
        <w:keepLines w:val="0"/>
        <w:widowControl/>
        <w:suppressLineNumbers w:val="0"/>
        <w:rPr>
          <w:shd w:val="clear" w:color="auto" w:fill="auto"/>
        </w:rPr>
      </w:pPr>
      <w:r>
        <w:rPr>
          <w:shd w:val="clear" w:color="auto" w:fill="auto"/>
        </w:rPr>
        <w:t xml:space="preserve">Xie, Z., Zhang, X., Jia, H., &amp; Zhang, Y. (2025). Efficacy of Chinese herbal medicine in the treatment of anxiety and depression in male sexual dysfunction: A systematic review and meta-analysis protocol. </w:t>
      </w:r>
      <w:r>
        <w:rPr>
          <w:rStyle w:val="8"/>
          <w:shd w:val="clear" w:color="auto" w:fill="auto"/>
        </w:rPr>
        <w:t>Frontiers in Psychiatry</w:t>
      </w:r>
      <w:r>
        <w:rPr>
          <w:shd w:val="clear" w:color="auto" w:fill="auto"/>
        </w:rPr>
        <w:t xml:space="preserve">, 16, 1584306. </w:t>
      </w:r>
      <w:r>
        <w:rPr>
          <w:shd w:val="clear" w:color="auto" w:fill="auto"/>
        </w:rPr>
        <w:fldChar w:fldCharType="begin"/>
      </w:r>
      <w:r>
        <w:rPr>
          <w:shd w:val="clear" w:color="auto" w:fill="auto"/>
        </w:rPr>
        <w:instrText xml:space="preserve"> HYPERLINK "https://www.frontiersin.org/articles/10.3389/fpsyt.2025.1584306/full" </w:instrText>
      </w:r>
      <w:r>
        <w:rPr>
          <w:shd w:val="clear" w:color="auto" w:fill="auto"/>
        </w:rPr>
        <w:fldChar w:fldCharType="separate"/>
      </w:r>
      <w:r>
        <w:rPr>
          <w:rStyle w:val="11"/>
          <w:shd w:val="clear" w:color="auto" w:fill="auto"/>
        </w:rPr>
        <w:t>https://www.frontiersin.org/articles/10.3389/fpsyt.2025.1584306/full</w:t>
      </w:r>
      <w:r>
        <w:rPr>
          <w:shd w:val="clear" w:color="auto" w:fill="auto"/>
        </w:rPr>
        <w:fldChar w:fldCharType="end"/>
      </w:r>
    </w:p>
    <w:p w14:paraId="2A5D376F">
      <w:pPr>
        <w:pStyle w:val="12"/>
        <w:keepNext w:val="0"/>
        <w:keepLines w:val="0"/>
        <w:widowControl/>
        <w:suppressLineNumbers w:val="0"/>
        <w:rPr>
          <w:shd w:val="clear" w:color="auto" w:fill="auto"/>
        </w:rPr>
      </w:pPr>
      <w:r>
        <w:rPr>
          <w:shd w:val="clear" w:color="auto" w:fill="auto"/>
        </w:rPr>
        <w:t xml:space="preserve">Yakubu, M. T., &amp; Jimoh, R. O. (2019). </w:t>
      </w:r>
      <w:r>
        <w:rPr>
          <w:rStyle w:val="8"/>
          <w:shd w:val="clear" w:color="auto" w:fill="auto"/>
        </w:rPr>
        <w:t>Carpolobia lutea</w:t>
      </w:r>
      <w:r>
        <w:rPr>
          <w:shd w:val="clear" w:color="auto" w:fill="auto"/>
        </w:rPr>
        <w:t xml:space="preserve"> roots restore sexual arousal and performance in paroxetine-induced sexually impaired male rats. </w:t>
      </w:r>
      <w:r>
        <w:rPr>
          <w:rStyle w:val="8"/>
          <w:shd w:val="clear" w:color="auto" w:fill="auto"/>
        </w:rPr>
        <w:t>Revista Internacional de Andrología</w:t>
      </w:r>
      <w:r>
        <w:rPr>
          <w:shd w:val="clear" w:color="auto" w:fill="auto"/>
        </w:rPr>
        <w:t xml:space="preserve">, 17(1), 10–18. </w:t>
      </w:r>
      <w:r>
        <w:rPr>
          <w:shd w:val="clear" w:color="auto" w:fill="auto"/>
        </w:rPr>
        <w:fldChar w:fldCharType="begin"/>
      </w:r>
      <w:r>
        <w:rPr>
          <w:shd w:val="clear" w:color="auto" w:fill="auto"/>
        </w:rPr>
        <w:instrText xml:space="preserve"> HYPERLINK "https://dialnet.unirioja.es/servlet/articulo?codigo=4762193" </w:instrText>
      </w:r>
      <w:r>
        <w:rPr>
          <w:shd w:val="clear" w:color="auto" w:fill="auto"/>
        </w:rPr>
        <w:fldChar w:fldCharType="separate"/>
      </w:r>
      <w:r>
        <w:rPr>
          <w:rStyle w:val="11"/>
          <w:shd w:val="clear" w:color="auto" w:fill="auto"/>
        </w:rPr>
        <w:t>https://dialnet.unirioja.es/servlet/articulo?codigo=4762193</w:t>
      </w:r>
      <w:r>
        <w:rPr>
          <w:shd w:val="clear" w:color="auto" w:fill="auto"/>
        </w:rPr>
        <w:fldChar w:fldCharType="end"/>
      </w:r>
    </w:p>
    <w:p w14:paraId="0CBBD24D">
      <w:pPr>
        <w:pStyle w:val="12"/>
        <w:keepNext w:val="0"/>
        <w:keepLines w:val="0"/>
        <w:widowControl/>
        <w:suppressLineNumbers w:val="0"/>
        <w:rPr>
          <w:shd w:val="clear" w:color="auto" w:fill="auto"/>
        </w:rPr>
      </w:pPr>
      <w:r>
        <w:rPr>
          <w:shd w:val="clear" w:color="auto" w:fill="auto"/>
        </w:rPr>
        <w:t xml:space="preserve">Yanuarty, R., Tuldjanah, M., &amp; Wulandari, A. (2024). Determination of secondary metabolite levels in clove leaves using LC-HRMS methods. </w:t>
      </w:r>
      <w:r>
        <w:rPr>
          <w:rStyle w:val="8"/>
          <w:shd w:val="clear" w:color="auto" w:fill="auto"/>
        </w:rPr>
        <w:t>Jurnal Biologi Tropis</w:t>
      </w:r>
      <w:r>
        <w:rPr>
          <w:shd w:val="clear" w:color="auto" w:fill="auto"/>
        </w:rPr>
        <w:t xml:space="preserve">, 24(1). </w:t>
      </w:r>
      <w:r>
        <w:rPr>
          <w:shd w:val="clear" w:color="auto" w:fill="auto"/>
        </w:rPr>
        <w:fldChar w:fldCharType="begin"/>
      </w:r>
      <w:r>
        <w:rPr>
          <w:shd w:val="clear" w:color="auto" w:fill="auto"/>
        </w:rPr>
        <w:instrText xml:space="preserve"> HYPERLINK "https://jurnalfkip.unram.ac.id/index.php/JBT/article/view/7975" </w:instrText>
      </w:r>
      <w:r>
        <w:rPr>
          <w:shd w:val="clear" w:color="auto" w:fill="auto"/>
        </w:rPr>
        <w:fldChar w:fldCharType="separate"/>
      </w:r>
      <w:r>
        <w:rPr>
          <w:rStyle w:val="11"/>
          <w:shd w:val="clear" w:color="auto" w:fill="auto"/>
        </w:rPr>
        <w:t>https://jurnalfkip.unram.ac.id/index.php/JBT/article/view/7975</w:t>
      </w:r>
      <w:r>
        <w:rPr>
          <w:shd w:val="clear" w:color="auto" w:fill="auto"/>
        </w:rPr>
        <w:fldChar w:fldCharType="end"/>
      </w:r>
    </w:p>
    <w:p w14:paraId="1ABFEF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14:paraId="0B75F9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14:paraId="52247554">
      <w:pPr>
        <w:pStyle w:val="12"/>
        <w:keepNext w:val="0"/>
        <w:keepLines w:val="0"/>
        <w:widowControl/>
        <w:suppressLineNumbers w:val="0"/>
        <w:rPr>
          <w:shd w:val="clear" w:color="auto" w:fill="auto"/>
        </w:rPr>
      </w:pPr>
      <w:r>
        <w:rPr>
          <w:shd w:val="clear" w:color="auto" w:fill="auto"/>
        </w:rPr>
        <w:t xml:space="preserve">Zachariou, A., Sofikitis, N., Dimitriadis, F., &amp; Kaltsas, A. (2025). Future perspectives for PDE5 inhibitors bridging the gap between cardiovascular health and psychological status. </w:t>
      </w:r>
      <w:r>
        <w:rPr>
          <w:rStyle w:val="8"/>
          <w:shd w:val="clear" w:color="auto" w:fill="auto"/>
        </w:rPr>
        <w:t>Basic and Clinical Andrology, 35</w:t>
      </w:r>
      <w:r>
        <w:rPr>
          <w:shd w:val="clear" w:color="auto" w:fill="auto"/>
        </w:rPr>
        <w:t xml:space="preserve">(1), 23. </w:t>
      </w:r>
      <w:r>
        <w:rPr>
          <w:shd w:val="clear" w:color="auto" w:fill="auto"/>
        </w:rPr>
        <w:fldChar w:fldCharType="begin"/>
      </w:r>
      <w:r>
        <w:rPr>
          <w:shd w:val="clear" w:color="auto" w:fill="auto"/>
        </w:rPr>
        <w:instrText xml:space="preserve"> HYPERLINK "https://link.springer.com/article/10.1186/s12610-024-00245-y" </w:instrText>
      </w:r>
      <w:r>
        <w:rPr>
          <w:shd w:val="clear" w:color="auto" w:fill="auto"/>
        </w:rPr>
        <w:fldChar w:fldCharType="separate"/>
      </w:r>
      <w:r>
        <w:rPr>
          <w:rStyle w:val="11"/>
          <w:shd w:val="clear" w:color="auto" w:fill="auto"/>
        </w:rPr>
        <w:t>https://link.springer.com/article/10.1186/s12610-024-00245-y</w:t>
      </w:r>
      <w:r>
        <w:rPr>
          <w:shd w:val="clear" w:color="auto" w:fill="auto"/>
        </w:rPr>
        <w:fldChar w:fldCharType="end"/>
      </w:r>
    </w:p>
    <w:p w14:paraId="14FD35E7">
      <w:pPr>
        <w:pStyle w:val="12"/>
        <w:keepNext w:val="0"/>
        <w:keepLines w:val="0"/>
        <w:widowControl/>
        <w:suppressLineNumbers w:val="0"/>
        <w:rPr>
          <w:shd w:val="clear" w:color="auto" w:fill="auto"/>
        </w:rPr>
      </w:pPr>
      <w:r>
        <w:rPr>
          <w:shd w:val="clear" w:color="auto" w:fill="auto"/>
        </w:rPr>
        <w:t xml:space="preserve">Zhu, D., Pham, Q. M., Wang, C., Colonnello, E., &amp; Facio, F. (2025). Erectile dysfunction and oxidative stress: A narrative review. </w:t>
      </w:r>
      <w:r>
        <w:rPr>
          <w:rStyle w:val="8"/>
          <w:shd w:val="clear" w:color="auto" w:fill="auto"/>
        </w:rPr>
        <w:t>International Journal of Molecular Sciences</w:t>
      </w:r>
      <w:r>
        <w:rPr>
          <w:shd w:val="clear" w:color="auto" w:fill="auto"/>
        </w:rPr>
        <w:t xml:space="preserve">, 26(7), 3073. </w:t>
      </w:r>
      <w:r>
        <w:rPr>
          <w:shd w:val="clear" w:color="auto" w:fill="auto"/>
        </w:rPr>
        <w:fldChar w:fldCharType="begin"/>
      </w:r>
      <w:r>
        <w:rPr>
          <w:shd w:val="clear" w:color="auto" w:fill="auto"/>
        </w:rPr>
        <w:instrText xml:space="preserve"> HYPERLINK "https://www.mdpi.com/1422-0067/26/7/3073" </w:instrText>
      </w:r>
      <w:r>
        <w:rPr>
          <w:shd w:val="clear" w:color="auto" w:fill="auto"/>
        </w:rPr>
        <w:fldChar w:fldCharType="separate"/>
      </w:r>
      <w:r>
        <w:rPr>
          <w:rStyle w:val="11"/>
          <w:shd w:val="clear" w:color="auto" w:fill="auto"/>
        </w:rPr>
        <w:t>https://www.mdpi.com/1422-0067/26/7/3073</w:t>
      </w:r>
      <w:r>
        <w:rPr>
          <w:shd w:val="clear" w:color="auto" w:fill="auto"/>
        </w:rPr>
        <w:fldChar w:fldCharType="end"/>
      </w:r>
    </w:p>
    <w:p w14:paraId="5927E7FA">
      <w:pPr>
        <w:pStyle w:val="12"/>
        <w:keepNext w:val="0"/>
        <w:keepLines w:val="0"/>
        <w:widowControl/>
        <w:suppressLineNumbers w:val="0"/>
        <w:rPr>
          <w:shd w:val="clear" w:color="auto" w:fill="auto"/>
        </w:rPr>
      </w:pPr>
      <w:r>
        <w:rPr>
          <w:shd w:val="clear" w:color="auto" w:fill="auto"/>
        </w:rPr>
        <w:t xml:space="preserve">Ziapour, A., Kazeminia, M., &amp; Bakhshi, S. (2024). Global prevalence of sexual dysfunction in cardiovascular patients: A systematic review and meta-analysis. </w:t>
      </w:r>
      <w:r>
        <w:rPr>
          <w:rStyle w:val="8"/>
          <w:shd w:val="clear" w:color="auto" w:fill="auto"/>
        </w:rPr>
        <w:t>Systematic Reviews</w:t>
      </w:r>
      <w:r>
        <w:rPr>
          <w:shd w:val="clear" w:color="auto" w:fill="auto"/>
        </w:rPr>
        <w:t xml:space="preserve">, 13(1), 32–45. </w:t>
      </w:r>
      <w:r>
        <w:rPr>
          <w:shd w:val="clear" w:color="auto" w:fill="auto"/>
        </w:rPr>
        <w:fldChar w:fldCharType="begin"/>
      </w:r>
      <w:r>
        <w:rPr>
          <w:shd w:val="clear" w:color="auto" w:fill="auto"/>
        </w:rPr>
        <w:instrText xml:space="preserve"> HYPERLINK "https://link.springer.com/article/10.1186/s13643-024-02525-0" </w:instrText>
      </w:r>
      <w:r>
        <w:rPr>
          <w:shd w:val="clear" w:color="auto" w:fill="auto"/>
        </w:rPr>
        <w:fldChar w:fldCharType="separate"/>
      </w:r>
      <w:r>
        <w:rPr>
          <w:rStyle w:val="11"/>
          <w:shd w:val="clear" w:color="auto" w:fill="auto"/>
        </w:rPr>
        <w:t>https://link.springer.com/article/10.1186/s13643-024-02525-0</w:t>
      </w:r>
      <w:r>
        <w:rPr>
          <w:shd w:val="clear" w:color="auto" w:fill="auto"/>
        </w:rPr>
        <w:fldChar w:fldCharType="end"/>
      </w:r>
    </w:p>
    <w:p w14:paraId="20EC666F">
      <w:pPr>
        <w:rPr>
          <w:rFonts w:hint="default" w:ascii="Times New Roman" w:hAnsi="Times New Roman" w:cs="Times New Roman"/>
          <w:b w:val="0"/>
          <w:bCs w:val="0"/>
          <w:sz w:val="24"/>
          <w:szCs w:val="24"/>
        </w:rPr>
      </w:pPr>
    </w:p>
    <w:sectPr>
      <w:footerReference r:id="rId5" w:type="default"/>
      <w:pgSz w:w="11906" w:h="16838"/>
      <w:pgMar w:top="1440" w:right="1080" w:bottom="1440" w:left="108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86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6BF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9C7DE">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9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CF1A"/>
    <w:multiLevelType w:val="singleLevel"/>
    <w:tmpl w:val="CEC4CF1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AE16CBA"/>
    <w:multiLevelType w:val="multilevel"/>
    <w:tmpl w:val="1AE16C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0C83"/>
    <w:rsid w:val="07204EBB"/>
    <w:rsid w:val="0D12430E"/>
    <w:rsid w:val="0DD3237C"/>
    <w:rsid w:val="29020C83"/>
    <w:rsid w:val="2D3703BB"/>
    <w:rsid w:val="31D037C4"/>
    <w:rsid w:val="3864176A"/>
    <w:rsid w:val="3998390E"/>
    <w:rsid w:val="47CA4F1C"/>
    <w:rsid w:val="5ACC3978"/>
    <w:rsid w:val="5BFF5C98"/>
    <w:rsid w:val="60FB79F7"/>
    <w:rsid w:val="620C6FD1"/>
    <w:rsid w:val="62B75E18"/>
    <w:rsid w:val="6A5B159C"/>
    <w:rsid w:val="6B30091C"/>
    <w:rsid w:val="6CEF4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 w:type="paragraph" w:styleId="14">
    <w:name w:val="List Paragraph"/>
    <w:basedOn w:val="1"/>
    <w:unhideWhenUsed/>
    <w:qFormat/>
    <w:uiPriority w:val="99"/>
    <w:pPr>
      <w:ind w:left="720"/>
      <w:contextualSpacing/>
    </w:p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2</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2025-07-12T14:25:00Z</dcterms:created>
  <dc:creator>A</dc:creator>
  <cp:lastModifiedBy>A</cp:lastModifiedBy>
  <dcterms:modified xsi:type="dcterms:W3CDTF">2025-07-12T21:51:39Z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FCF6E579D0F143B5BB16294CE5C07A83_13</vt:lpwstr>
  </property>
</Properties>
</file>