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CC9" w:rsidRPr="00A82ABA" w:rsidRDefault="00527CC9" w:rsidP="00527CC9">
      <w:pPr>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3B5479" w:rsidRDefault="003B5479" w:rsidP="0066431E">
      <w:pPr>
        <w:pStyle w:val="NormalWeb"/>
        <w:spacing w:after="150" w:afterAutospacing="0" w:line="18" w:lineRule="atLeast"/>
        <w:jc w:val="center"/>
        <w:rPr>
          <w:rFonts w:eastAsiaTheme="minorHAnsi"/>
          <w:b/>
          <w:bCs/>
          <w:color w:val="000000" w:themeColor="text1"/>
          <w:sz w:val="28"/>
          <w:szCs w:val="28"/>
        </w:rPr>
      </w:pPr>
      <w:r w:rsidRPr="003B5479">
        <w:rPr>
          <w:rFonts w:eastAsiaTheme="minorHAnsi"/>
          <w:b/>
          <w:bCs/>
          <w:color w:val="000000" w:themeColor="text1"/>
          <w:sz w:val="28"/>
          <w:szCs w:val="28"/>
        </w:rPr>
        <w:t xml:space="preserve">ABDULSALAM SHUKUROH </w:t>
      </w:r>
      <w:r>
        <w:rPr>
          <w:rFonts w:eastAsiaTheme="minorHAnsi"/>
          <w:b/>
          <w:bCs/>
          <w:color w:val="000000" w:themeColor="text1"/>
          <w:sz w:val="28"/>
          <w:szCs w:val="28"/>
        </w:rPr>
        <w:t xml:space="preserve">ADEBISI </w:t>
      </w:r>
    </w:p>
    <w:p w:rsidR="0066431E" w:rsidRDefault="003B5479" w:rsidP="0066431E">
      <w:pPr>
        <w:pStyle w:val="NormalWeb"/>
        <w:spacing w:after="150" w:afterAutospacing="0" w:line="18" w:lineRule="atLeast"/>
        <w:jc w:val="center"/>
        <w:rPr>
          <w:rFonts w:eastAsiaTheme="minorHAnsi"/>
          <w:b/>
          <w:bCs/>
          <w:color w:val="000000" w:themeColor="text1"/>
          <w:sz w:val="28"/>
          <w:szCs w:val="28"/>
        </w:rPr>
      </w:pPr>
      <w:bookmarkStart w:id="0" w:name="_GoBack"/>
      <w:r w:rsidRPr="003B5479">
        <w:rPr>
          <w:rFonts w:eastAsiaTheme="minorHAnsi"/>
          <w:b/>
          <w:bCs/>
          <w:color w:val="000000" w:themeColor="text1"/>
          <w:sz w:val="28"/>
          <w:szCs w:val="28"/>
        </w:rPr>
        <w:t>HND/23/SLT/FT/0035</w:t>
      </w:r>
      <w:bookmarkEnd w:id="0"/>
    </w:p>
    <w:p w:rsidR="003B5479" w:rsidRPr="00A82ABA" w:rsidRDefault="003B5479" w:rsidP="0066431E">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w:t>
      </w:r>
      <w:r w:rsidR="009C0A85">
        <w:rPr>
          <w:b/>
          <w:color w:val="000000" w:themeColor="text1"/>
          <w:sz w:val="28"/>
          <w:szCs w:val="28"/>
        </w:rPr>
        <w:t xml:space="preserve"> </w:t>
      </w:r>
      <w:r w:rsidRPr="00A82ABA">
        <w:rPr>
          <w:b/>
          <w:color w:val="000000" w:themeColor="text1"/>
          <w:sz w:val="28"/>
          <w:szCs w:val="28"/>
        </w:rPr>
        <w:t>INSTITUTE OF APPLIED SCIENCES (IAS),</w:t>
      </w:r>
      <w:r w:rsidR="009C0A85">
        <w:rPr>
          <w:b/>
          <w:color w:val="000000" w:themeColor="text1"/>
          <w:sz w:val="28"/>
          <w:szCs w:val="28"/>
        </w:rPr>
        <w:t xml:space="preserve"> </w:t>
      </w:r>
      <w:r w:rsidRPr="00A82ABA">
        <w:rPr>
          <w:b/>
          <w:color w:val="000000" w:themeColor="text1"/>
          <w:sz w:val="28"/>
          <w:szCs w:val="28"/>
        </w:rPr>
        <w:t>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527CC9" w:rsidRPr="00581C7A" w:rsidRDefault="00527CC9" w:rsidP="00581C7A">
      <w:pPr>
        <w:spacing w:after="0"/>
        <w:jc w:val="both"/>
        <w:rPr>
          <w:rFonts w:ascii="Times New Roman" w:hAnsi="Times New Roman" w:cs="Times New Roman"/>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092D09" w:rsidRPr="00092D09">
        <w:rPr>
          <w:rFonts w:ascii="Times New Roman" w:hAnsi="Times New Roman" w:cs="Times New Roman"/>
          <w:b/>
          <w:bCs/>
          <w:color w:val="000000" w:themeColor="text1"/>
          <w:sz w:val="28"/>
          <w:szCs w:val="28"/>
        </w:rPr>
        <w:t>MOHAMMED KAFAYAT KOFOWOROLA</w:t>
      </w:r>
      <w:r w:rsidR="00581C7A">
        <w:rPr>
          <w:rFonts w:ascii="Times New Roman" w:hAnsi="Times New Roman" w:cs="Times New Roman"/>
          <w:b/>
          <w:bCs/>
          <w:color w:val="000000" w:themeColor="text1"/>
          <w:sz w:val="28"/>
          <w:szCs w:val="28"/>
        </w:rPr>
        <w:t xml:space="preserve"> </w:t>
      </w:r>
      <w:r w:rsidR="00581C7A" w:rsidRPr="00581C7A">
        <w:rPr>
          <w:rFonts w:ascii="Times New Roman" w:hAnsi="Times New Roman" w:cs="Times New Roman"/>
          <w:bCs/>
          <w:color w:val="000000" w:themeColor="text1"/>
          <w:sz w:val="28"/>
          <w:szCs w:val="28"/>
        </w:rPr>
        <w:t>with matric no</w:t>
      </w:r>
      <w:r w:rsidR="00581C7A">
        <w:rPr>
          <w:rFonts w:ascii="Times New Roman" w:hAnsi="Times New Roman" w:cs="Times New Roman"/>
          <w:b/>
          <w:bCs/>
          <w:color w:val="000000" w:themeColor="text1"/>
          <w:sz w:val="28"/>
          <w:szCs w:val="28"/>
        </w:rPr>
        <w:t xml:space="preserve"> </w:t>
      </w:r>
      <w:r w:rsidR="003B5479">
        <w:rPr>
          <w:rFonts w:ascii="Times New Roman" w:hAnsi="Times New Roman" w:cs="Times New Roman"/>
          <w:b/>
          <w:bCs/>
          <w:color w:val="000000" w:themeColor="text1"/>
          <w:sz w:val="28"/>
          <w:szCs w:val="28"/>
        </w:rPr>
        <w:t>HND/23/SLT/FT/0035</w:t>
      </w:r>
      <w:r w:rsidRPr="00A82ABA">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527CC9" w:rsidRPr="00AA415C" w:rsidRDefault="003B5479" w:rsidP="00AA415C">
      <w:pPr>
        <w:spacing w:after="0" w:line="48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work is dedicated to: </w:t>
      </w:r>
      <w:r w:rsidR="00AA415C">
        <w:rPr>
          <w:rFonts w:ascii="Times New Roman" w:hAnsi="Times New Roman" w:cs="Times New Roman"/>
          <w:color w:val="000000" w:themeColor="text1"/>
          <w:sz w:val="28"/>
          <w:szCs w:val="28"/>
        </w:rPr>
        <w:t>Almighty Allah</w:t>
      </w:r>
      <w:r w:rsidRPr="003B5479">
        <w:rPr>
          <w:rFonts w:ascii="Times New Roman" w:hAnsi="Times New Roman" w:cs="Times New Roman"/>
          <w:color w:val="000000" w:themeColor="text1"/>
          <w:sz w:val="28"/>
          <w:szCs w:val="28"/>
        </w:rPr>
        <w:t>, the</w:t>
      </w:r>
      <w:r>
        <w:rPr>
          <w:rFonts w:ascii="Times New Roman" w:hAnsi="Times New Roman" w:cs="Times New Roman"/>
          <w:color w:val="000000" w:themeColor="text1"/>
          <w:sz w:val="28"/>
          <w:szCs w:val="28"/>
        </w:rPr>
        <w:t xml:space="preserve"> creator, the merciful </w:t>
      </w:r>
      <w:r w:rsidRPr="003B5479">
        <w:rPr>
          <w:rFonts w:ascii="Times New Roman" w:hAnsi="Times New Roman" w:cs="Times New Roman"/>
          <w:color w:val="000000" w:themeColor="text1"/>
          <w:sz w:val="28"/>
          <w:szCs w:val="28"/>
        </w:rPr>
        <w:t>And to my parent who have never failed to rive me financial and moral support. for giving all my needs always and for teaching me th</w:t>
      </w:r>
      <w:r w:rsidR="00AA415C">
        <w:rPr>
          <w:rFonts w:ascii="Times New Roman" w:hAnsi="Times New Roman" w:cs="Times New Roman"/>
          <w:color w:val="000000" w:themeColor="text1"/>
          <w:sz w:val="28"/>
          <w:szCs w:val="28"/>
        </w:rPr>
        <w:t xml:space="preserve">at even the largest task can be </w:t>
      </w:r>
      <w:r w:rsidRPr="003B5479">
        <w:rPr>
          <w:rFonts w:ascii="Times New Roman" w:hAnsi="Times New Roman" w:cs="Times New Roman"/>
          <w:color w:val="000000" w:themeColor="text1"/>
          <w:sz w:val="28"/>
          <w:szCs w:val="28"/>
        </w:rPr>
        <w:t>accomplished if</w:t>
      </w:r>
      <w:r w:rsidR="00AA415C">
        <w:rPr>
          <w:rFonts w:ascii="Times New Roman" w:hAnsi="Times New Roman" w:cs="Times New Roman"/>
          <w:color w:val="000000" w:themeColor="text1"/>
          <w:sz w:val="28"/>
          <w:szCs w:val="28"/>
        </w:rPr>
        <w:t xml:space="preserve"> it is done one step at a time. </w:t>
      </w:r>
      <w:r w:rsidRPr="003B5479">
        <w:rPr>
          <w:rFonts w:ascii="Times New Roman" w:hAnsi="Times New Roman" w:cs="Times New Roman"/>
          <w:color w:val="000000" w:themeColor="text1"/>
          <w:sz w:val="28"/>
          <w:szCs w:val="28"/>
        </w:rPr>
        <w:t>I also dedicate this Project to my group leader and group members who have worked hard to help us complete this</w:t>
      </w:r>
      <w:r w:rsidR="00AA415C">
        <w:rPr>
          <w:rFonts w:ascii="Times New Roman" w:hAnsi="Times New Roman" w:cs="Times New Roman"/>
          <w:color w:val="000000" w:themeColor="text1"/>
          <w:sz w:val="28"/>
          <w:szCs w:val="28"/>
        </w:rPr>
        <w:t xml:space="preserve"> </w:t>
      </w:r>
      <w:r w:rsidRPr="003B5479">
        <w:rPr>
          <w:rFonts w:ascii="Times New Roman" w:hAnsi="Times New Roman" w:cs="Times New Roman"/>
          <w:color w:val="000000" w:themeColor="text1"/>
          <w:sz w:val="28"/>
          <w:szCs w:val="28"/>
        </w:rPr>
        <w:t>project.</w:t>
      </w:r>
    </w:p>
    <w:p w:rsidR="00527CC9" w:rsidRPr="00A82ABA" w:rsidRDefault="00527CC9" w:rsidP="00527CC9">
      <w:pPr>
        <w:spacing w:after="0" w:line="480" w:lineRule="auto"/>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8B7246" w:rsidRDefault="008B7246"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8B7246" w:rsidRDefault="00AA415C" w:rsidP="00AA415C">
      <w:pPr>
        <w:spacing w:line="480" w:lineRule="auto"/>
        <w:jc w:val="both"/>
        <w:rPr>
          <w:rFonts w:ascii="Times New Roman" w:hAnsi="Times New Roman" w:cs="Times New Roman"/>
          <w:color w:val="000000" w:themeColor="text1"/>
          <w:sz w:val="28"/>
          <w:szCs w:val="28"/>
        </w:rPr>
      </w:pPr>
      <w:r w:rsidRPr="00AA415C">
        <w:rPr>
          <w:rFonts w:ascii="Times New Roman" w:hAnsi="Times New Roman" w:cs="Times New Roman"/>
          <w:color w:val="000000" w:themeColor="text1"/>
          <w:sz w:val="28"/>
          <w:szCs w:val="28"/>
        </w:rPr>
        <w:t xml:space="preserve">Thank you to my supervisor, Mrs Adeboye T. Olamide. for your patience, guidance, and support. I have benefited greatly from your wealth of knowledge and meticulous editing, I am extremely grateful that you took me on as a student and </w:t>
      </w:r>
      <w:r>
        <w:rPr>
          <w:rFonts w:ascii="Times New Roman" w:hAnsi="Times New Roman" w:cs="Times New Roman"/>
          <w:color w:val="000000" w:themeColor="text1"/>
          <w:sz w:val="28"/>
          <w:szCs w:val="28"/>
        </w:rPr>
        <w:t>continued to have faith in me. A</w:t>
      </w:r>
      <w:r w:rsidRPr="00AA415C">
        <w:rPr>
          <w:rFonts w:ascii="Times New Roman" w:hAnsi="Times New Roman" w:cs="Times New Roman"/>
          <w:color w:val="000000" w:themeColor="text1"/>
          <w:sz w:val="28"/>
          <w:szCs w:val="28"/>
        </w:rPr>
        <w:t>lso thankful to my</w:t>
      </w:r>
      <w:r>
        <w:rPr>
          <w:rFonts w:ascii="Times New Roman" w:hAnsi="Times New Roman" w:cs="Times New Roman"/>
          <w:color w:val="000000" w:themeColor="text1"/>
          <w:sz w:val="28"/>
          <w:szCs w:val="28"/>
        </w:rPr>
        <w:t xml:space="preserve"> parent, without their love and </w:t>
      </w:r>
      <w:r w:rsidRPr="00AA415C">
        <w:rPr>
          <w:rFonts w:ascii="Times New Roman" w:hAnsi="Times New Roman" w:cs="Times New Roman"/>
          <w:color w:val="000000" w:themeColor="text1"/>
          <w:sz w:val="28"/>
          <w:szCs w:val="28"/>
        </w:rPr>
        <w:t>encouragement it was not possible for us to complete our project.</w:t>
      </w: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AA415C" w:rsidRDefault="00AA415C" w:rsidP="00092D09">
      <w:pPr>
        <w:spacing w:line="480" w:lineRule="auto"/>
        <w:jc w:val="both"/>
        <w:rPr>
          <w:rFonts w:ascii="Times New Roman" w:hAnsi="Times New Roman" w:cs="Times New Roman"/>
          <w:color w:val="000000" w:themeColor="text1"/>
          <w:sz w:val="28"/>
          <w:szCs w:val="28"/>
        </w:rPr>
      </w:pPr>
    </w:p>
    <w:p w:rsidR="00AA415C" w:rsidRDefault="00AA415C" w:rsidP="00092D09">
      <w:pPr>
        <w:spacing w:line="480" w:lineRule="auto"/>
        <w:jc w:val="both"/>
        <w:rPr>
          <w:rFonts w:ascii="Times New Roman" w:hAnsi="Times New Roman" w:cs="Times New Roman"/>
          <w:color w:val="000000" w:themeColor="text1"/>
          <w:sz w:val="28"/>
          <w:szCs w:val="28"/>
        </w:rPr>
      </w:pPr>
    </w:p>
    <w:p w:rsidR="00AA415C" w:rsidRDefault="00AA415C" w:rsidP="00092D09">
      <w:pPr>
        <w:spacing w:line="480" w:lineRule="auto"/>
        <w:jc w:val="both"/>
        <w:rPr>
          <w:rFonts w:ascii="Times New Roman" w:hAnsi="Times New Roman" w:cs="Times New Roman"/>
          <w:color w:val="000000" w:themeColor="text1"/>
          <w:sz w:val="28"/>
          <w:szCs w:val="28"/>
        </w:rPr>
      </w:pPr>
    </w:p>
    <w:p w:rsidR="00AA415C" w:rsidRDefault="00AA415C" w:rsidP="00092D09">
      <w:pPr>
        <w:spacing w:line="480" w:lineRule="auto"/>
        <w:jc w:val="both"/>
        <w:rPr>
          <w:rFonts w:ascii="Times New Roman" w:hAnsi="Times New Roman" w:cs="Times New Roman"/>
          <w:color w:val="000000" w:themeColor="text1"/>
          <w:sz w:val="28"/>
          <w:szCs w:val="28"/>
        </w:rPr>
      </w:pPr>
    </w:p>
    <w:p w:rsidR="00AA415C" w:rsidRDefault="00AA415C" w:rsidP="00092D09">
      <w:pPr>
        <w:spacing w:line="480" w:lineRule="auto"/>
        <w:jc w:val="both"/>
        <w:rPr>
          <w:rFonts w:ascii="Times New Roman" w:hAnsi="Times New Roman" w:cs="Times New Roman"/>
          <w:color w:val="000000" w:themeColor="text1"/>
          <w:sz w:val="28"/>
          <w:szCs w:val="28"/>
        </w:rPr>
      </w:pPr>
    </w:p>
    <w:p w:rsidR="00AA415C" w:rsidRPr="008B7246" w:rsidRDefault="00AA415C" w:rsidP="00092D09">
      <w:pPr>
        <w:spacing w:line="480" w:lineRule="auto"/>
        <w:jc w:val="both"/>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t>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t>iv</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977D09">
          <w:pPr>
            <w:pStyle w:val="TOC1"/>
            <w:tabs>
              <w:tab w:val="right" w:leader="dot" w:pos="9350"/>
            </w:tabs>
            <w:rPr>
              <w:rFonts w:ascii="Times New Roman" w:eastAsiaTheme="minorEastAsia" w:hAnsi="Times New Roman" w:cs="Times New Roman"/>
              <w:noProof/>
              <w:sz w:val="28"/>
              <w:szCs w:val="28"/>
            </w:rPr>
          </w:pPr>
          <w:r w:rsidRPr="00F44DF6">
            <w:rPr>
              <w:rFonts w:ascii="Times New Roman" w:hAnsi="Times New Roman" w:cs="Times New Roman"/>
              <w:sz w:val="28"/>
              <w:szCs w:val="28"/>
            </w:rPr>
            <w:fldChar w:fldCharType="begin"/>
          </w:r>
          <w:r w:rsidRPr="00F44DF6">
            <w:rPr>
              <w:rFonts w:ascii="Times New Roman" w:hAnsi="Times New Roman" w:cs="Times New Roman"/>
              <w:sz w:val="28"/>
              <w:szCs w:val="28"/>
            </w:rPr>
            <w:instrText xml:space="preserve"> TOC \o "1-3" \h \z \u </w:instrText>
          </w:r>
          <w:r w:rsidRPr="00F44DF6">
            <w:rPr>
              <w:rFonts w:ascii="Times New Roman" w:hAnsi="Times New Roman" w:cs="Times New Roman"/>
              <w:sz w:val="28"/>
              <w:szCs w:val="28"/>
            </w:rPr>
            <w:fldChar w:fldCharType="separate"/>
          </w:r>
          <w:hyperlink w:anchor="_Toc203047642" w:history="1">
            <w:r w:rsidRPr="00F44DF6">
              <w:rPr>
                <w:rStyle w:val="Hyperlink"/>
                <w:rFonts w:ascii="Times New Roman" w:hAnsi="Times New Roman" w:cs="Times New Roman"/>
                <w:b/>
                <w:noProof/>
                <w:sz w:val="28"/>
                <w:szCs w:val="28"/>
              </w:rPr>
              <w:t>CHAPTER ONE</w:t>
            </w:r>
            <w:r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44</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46</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48</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_Toc203047662 \h </w:instrText>
            </w:r>
            <w:r w:rsidR="00977D09" w:rsidRPr="009C0A85">
              <w:rPr>
                <w:b w:val="0"/>
                <w:webHidden/>
              </w:rPr>
            </w:r>
            <w:r w:rsidR="00977D09" w:rsidRPr="009C0A85">
              <w:rPr>
                <w:b w:val="0"/>
                <w:webHidden/>
              </w:rPr>
              <w:fldChar w:fldCharType="separate"/>
            </w:r>
            <w:r w:rsidR="00BB744F">
              <w:rPr>
                <w:b w:val="0"/>
                <w:webHidden/>
              </w:rPr>
              <w:t>49</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_Toc203047663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_Toc203047664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_Toc203047665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51</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_Toc203047667 \h </w:instrText>
            </w:r>
            <w:r w:rsidR="00977D09" w:rsidRPr="009C0A85">
              <w:rPr>
                <w:b w:val="0"/>
                <w:webHidden/>
              </w:rPr>
            </w:r>
            <w:r w:rsidR="00977D09" w:rsidRPr="009C0A85">
              <w:rPr>
                <w:b w:val="0"/>
                <w:webHidden/>
              </w:rPr>
              <w:fldChar w:fldCharType="separate"/>
            </w:r>
            <w:r w:rsidR="00BB744F">
              <w:rPr>
                <w:b w:val="0"/>
                <w:webHidden/>
              </w:rPr>
              <w:t>52</w:t>
            </w:r>
            <w:r w:rsidR="00977D09" w:rsidRPr="009C0A85">
              <w:rPr>
                <w:b w:val="0"/>
                <w:webHidden/>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_Toc203047671 \h </w:instrText>
            </w:r>
            <w:r w:rsidR="00977D09" w:rsidRPr="009C0A85">
              <w:rPr>
                <w:b w:val="0"/>
                <w:webHidden/>
              </w:rPr>
            </w:r>
            <w:r w:rsidR="00977D09" w:rsidRPr="009C0A85">
              <w:rPr>
                <w:b w:val="0"/>
                <w:webHidden/>
              </w:rPr>
              <w:fldChar w:fldCharType="separate"/>
            </w:r>
            <w:r w:rsidR="00BB744F">
              <w:rPr>
                <w:b w:val="0"/>
                <w:webHidden/>
              </w:rPr>
              <w:t>53</w:t>
            </w:r>
            <w:r w:rsidR="00977D09" w:rsidRPr="009C0A85">
              <w:rPr>
                <w:b w:val="0"/>
                <w:webHidden/>
              </w:rPr>
              <w:fldChar w:fldCharType="end"/>
            </w:r>
          </w:hyperlink>
        </w:p>
        <w:p w:rsidR="00977D09" w:rsidRPr="009C0A85" w:rsidRDefault="003B5479">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_Toc203047674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_Toc203047675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3B5479">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61</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_Toc203047677 \h </w:instrText>
            </w:r>
            <w:r w:rsidR="00977D09" w:rsidRPr="009C0A85">
              <w:rPr>
                <w:b w:val="0"/>
                <w:webHidden/>
              </w:rPr>
            </w:r>
            <w:r w:rsidR="00977D09" w:rsidRPr="009C0A85">
              <w:rPr>
                <w:b w:val="0"/>
                <w:webHidden/>
              </w:rPr>
              <w:fldChar w:fldCharType="separate"/>
            </w:r>
            <w:r w:rsidR="00BB744F">
              <w:rPr>
                <w:b w:val="0"/>
                <w:webHidden/>
              </w:rPr>
              <w:t>62</w:t>
            </w:r>
            <w:r w:rsidR="00977D09" w:rsidRPr="009C0A85">
              <w:rPr>
                <w:b w:val="0"/>
                <w:webHidden/>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_Toc203047681 \h </w:instrText>
            </w:r>
            <w:r w:rsidR="00977D09" w:rsidRPr="009C0A85">
              <w:rPr>
                <w:b w:val="0"/>
                <w:webHidden/>
              </w:rPr>
            </w:r>
            <w:r w:rsidR="00977D09" w:rsidRPr="009C0A85">
              <w:rPr>
                <w:b w:val="0"/>
                <w:webHidden/>
              </w:rPr>
              <w:fldChar w:fldCharType="separate"/>
            </w:r>
            <w:r w:rsidR="00BB744F">
              <w:rPr>
                <w:b w:val="0"/>
                <w:webHidden/>
              </w:rPr>
              <w:t>64</w:t>
            </w:r>
            <w:r w:rsidR="00977D09" w:rsidRPr="009C0A85">
              <w:rPr>
                <w:b w:val="0"/>
                <w:webHidden/>
              </w:rPr>
              <w:fldChar w:fldCharType="end"/>
            </w:r>
          </w:hyperlink>
        </w:p>
        <w:p w:rsidR="00977D09" w:rsidRPr="00F44DF6" w:rsidRDefault="003B5479">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F44DF6">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_Toc203047689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_Toc203047690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_Toc203047691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_Toc203047692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_Toc203047693 \h </w:instrText>
            </w:r>
            <w:r w:rsidR="00977D09" w:rsidRPr="009C0A85">
              <w:rPr>
                <w:b w:val="0"/>
                <w:webHidden/>
              </w:rPr>
            </w:r>
            <w:r w:rsidR="00977D09" w:rsidRPr="009C0A85">
              <w:rPr>
                <w:b w:val="0"/>
                <w:webHidden/>
              </w:rPr>
              <w:fldChar w:fldCharType="separate"/>
            </w:r>
            <w:r w:rsidR="00BB744F">
              <w:rPr>
                <w:b w:val="0"/>
                <w:webHidden/>
              </w:rPr>
              <w:t>68</w:t>
            </w:r>
            <w:r w:rsidR="00977D09" w:rsidRPr="009C0A85">
              <w:rPr>
                <w:b w:val="0"/>
                <w:webHidden/>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68</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_Toc203047695 \h </w:instrText>
            </w:r>
            <w:r w:rsidR="00977D09" w:rsidRPr="009C0A85">
              <w:rPr>
                <w:b w:val="0"/>
                <w:webHidden/>
              </w:rPr>
            </w:r>
            <w:r w:rsidR="00977D09" w:rsidRPr="009C0A85">
              <w:rPr>
                <w:b w:val="0"/>
                <w:webHidden/>
              </w:rPr>
              <w:fldChar w:fldCharType="separate"/>
            </w:r>
            <w:r w:rsidR="00BB744F">
              <w:rPr>
                <w:b w:val="0"/>
                <w:webHidden/>
              </w:rPr>
              <w:t>70</w:t>
            </w:r>
            <w:r w:rsidR="00977D09" w:rsidRPr="009C0A85">
              <w:rPr>
                <w:b w:val="0"/>
                <w:webHidden/>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72</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74</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75</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78</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79</w:t>
            </w:r>
            <w:r w:rsidR="00977D09" w:rsidRPr="009C0A85">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83</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84</w:t>
            </w:r>
            <w:r w:rsidR="00977D09" w:rsidRPr="00F44DF6">
              <w:rPr>
                <w:rFonts w:ascii="Times New Roman" w:hAnsi="Times New Roman" w:cs="Times New Roman"/>
                <w:noProof/>
                <w:webHidden/>
                <w:sz w:val="28"/>
                <w:szCs w:val="28"/>
              </w:rPr>
              <w:fldChar w:fldCharType="end"/>
            </w:r>
          </w:hyperlink>
        </w:p>
        <w:p w:rsidR="00977D09" w:rsidRDefault="00977D09">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Fig. 2:</w:t>
      </w:r>
      <w:r>
        <w:rPr>
          <w:b/>
          <w:sz w:val="28"/>
          <w:szCs w:val="28"/>
        </w:rPr>
        <w:t xml:space="preserve"> </w:t>
      </w:r>
      <w:r w:rsidRPr="00F44DF6">
        <w:rPr>
          <w:b/>
          <w:sz w:val="28"/>
          <w:szCs w:val="28"/>
        </w:rPr>
        <w:t xml:space="preserve">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sz w:val="28"/>
          <w:szCs w:val="28"/>
        </w:rPr>
        <w:t>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4: Preparation of ogi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Fig.5:Traditional preparation of Ogi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8"/>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r w:rsidRPr="009C0A85">
        <w:rPr>
          <w:rFonts w:ascii="Times New Roman" w:eastAsia="Times New Roman" w:hAnsi="Times New Roman" w:cs="Times New Roman"/>
          <w:i/>
          <w:iCs/>
          <w:color w:val="000000" w:themeColor="text1"/>
          <w:sz w:val="28"/>
          <w:szCs w:val="28"/>
        </w:rPr>
        <w:t>Vernonia amygdalina</w:t>
      </w:r>
      <w:r w:rsidRPr="009C0A85">
        <w:rPr>
          <w:rFonts w:ascii="Times New Roman" w:eastAsia="Times New Roman" w:hAnsi="Times New Roman" w:cs="Times New Roman"/>
          <w:color w:val="000000" w:themeColor="text1"/>
          <w:sz w:val="28"/>
          <w:szCs w:val="28"/>
        </w:rPr>
        <w:t xml:space="preserve">) into ogi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ogi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V. amygdalina</w:t>
      </w:r>
      <w:r w:rsidRPr="009C0A85">
        <w:rPr>
          <w:rFonts w:ascii="Times New Roman" w:eastAsia="Times New Roman" w:hAnsi="Times New Roman" w:cs="Times New Roman"/>
          <w:color w:val="000000" w:themeColor="text1"/>
          <w:sz w:val="28"/>
          <w:szCs w:val="28"/>
        </w:rPr>
        <w:t xml:space="preserve">. Sensory evaluation revealed improved acceptability in terms of taste, odour, appearance, and general preference, particularly in BLC3-. Nutritional analysis indicated higher crude protein and lower moisture content in the fortified samples, suggesting better nutritional quality and shelf stability. Titratable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Staphylococcus aureus</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Pseudomonas aeruginosa</w:t>
      </w:r>
      <w:r w:rsidRPr="009C0A85">
        <w:rPr>
          <w:rFonts w:ascii="Times New Roman" w:eastAsia="Times New Roman" w:hAnsi="Times New Roman" w:cs="Times New Roman"/>
          <w:color w:val="000000" w:themeColor="text1"/>
          <w:sz w:val="28"/>
          <w:szCs w:val="28"/>
        </w:rPr>
        <w:t xml:space="preserve"> were found in controls. Fungal isolates like </w:t>
      </w:r>
      <w:r w:rsidRPr="009C0A85">
        <w:rPr>
          <w:rFonts w:ascii="Times New Roman" w:eastAsia="Times New Roman" w:hAnsi="Times New Roman" w:cs="Times New Roman"/>
          <w:i/>
          <w:iCs/>
          <w:color w:val="000000" w:themeColor="text1"/>
          <w:sz w:val="28"/>
          <w:szCs w:val="28"/>
        </w:rPr>
        <w:t>Aspergillus niger</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Candida krusei</w:t>
      </w:r>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ogi.</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lastRenderedPageBreak/>
        <w:t>CHAPTER ONE</w:t>
      </w:r>
      <w:bookmarkEnd w:id="1"/>
    </w:p>
    <w:p w:rsidR="00AA6098" w:rsidRPr="00F44DF6" w:rsidRDefault="00AB04FC" w:rsidP="00F44DF6">
      <w:pPr>
        <w:pStyle w:val="Heading1"/>
        <w:spacing w:line="480" w:lineRule="auto"/>
        <w:rPr>
          <w:rFonts w:ascii="Times New Roman" w:hAnsi="Times New Roman" w:cs="Times New Roman"/>
          <w:b/>
          <w:color w:val="auto"/>
          <w:sz w:val="28"/>
          <w:szCs w:val="28"/>
        </w:rPr>
      </w:pPr>
      <w:r w:rsidRPr="00F44DF6">
        <w:rPr>
          <w:rFonts w:ascii="Times New Roman" w:hAnsi="Times New Roman" w:cs="Times New Roman"/>
          <w:b/>
          <w:color w:val="auto"/>
          <w:sz w:val="28"/>
          <w:szCs w:val="28"/>
        </w:rPr>
        <w:t xml:space="preserve"> </w:t>
      </w:r>
      <w:bookmarkStart w:id="2" w:name="_Toc203047643"/>
      <w:r w:rsidR="00527CC9"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r w:rsidRPr="00F44DF6">
        <w:rPr>
          <w:rFonts w:ascii="Times New Roman" w:eastAsia="Times New Roman" w:hAnsi="Times New Roman" w:cs="Times New Roman"/>
          <w:bCs/>
          <w:i/>
          <w:iCs/>
          <w:sz w:val="28"/>
          <w:szCs w:val="28"/>
        </w:rPr>
        <w:t>Vernonia amygdalina</w:t>
      </w:r>
      <w:r w:rsidRPr="00F44DF6">
        <w:rPr>
          <w:rFonts w:ascii="Times New Roman" w:eastAsia="Times New Roman" w:hAnsi="Times New Roman" w:cs="Times New Roman"/>
          <w:sz w:val="28"/>
          <w:szCs w:val="28"/>
        </w:rPr>
        <w:t xml:space="preserve">, a member of the Asteraceae family. This plant is widely distributed in tropical Africa and is well recognized for its characteristic bitter taste and broad ethnobotanical applications. The genus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the most extensively studied in terms of medicinal, nutritional, and industrial applications (Omoregie &amp; Folashade,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Vernonia amygdalina, widely recognized in African traditional medicine, has undergone taxonomic revisions and is now firmly classified under the Asteraceae family, supported by molecular tools like DNA barcoding (Chukwuma et al., 2022). Accurate scientific naming is essential for distinguishing it from other Vernonia species with differing phytochemical profiles and ensures consistency in food, pharmacological, and microbiological research (Ekpenyong et al., 2021; Ibrahim et al., 2021). The species name 'amygdalina' reflects the bitter taste of its leaves, </w:t>
      </w:r>
      <w:r w:rsidRPr="00F44DF6">
        <w:rPr>
          <w:rFonts w:ascii="Times New Roman" w:eastAsia="Times New Roman" w:hAnsi="Times New Roman" w:cs="Times New Roman"/>
          <w:sz w:val="28"/>
          <w:szCs w:val="28"/>
        </w:rPr>
        <w:lastRenderedPageBreak/>
        <w:t>attributed to compounds such as vernodalin and vernomygdin (Abbah et al., 2020). Its identification supports standardization in experimental protocols, facilitates international research collaboration, and underpins its inclusion in pharmacopeias and global regulatory frameworks (Ezekwesili et al., 2023). In food science, particularly studies involving sorghum processing and preservation, the correct naming allows reproducibility and traceability of results, linking antimicrobial and antioxidant effects to the plant’s validated bioactive profile (Nkongho et al., 2021; Adedayo et al., 2022). Overall, the taxonomy of V. amygdalina is central to its application in ethnobotany,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r w:rsidRPr="00F44DF6">
        <w:rPr>
          <w:rFonts w:ascii="Times New Roman" w:eastAsia="Times New Roman" w:hAnsi="Times New Roman" w:cs="Times New Roman"/>
          <w:b/>
          <w:sz w:val="28"/>
          <w:szCs w:val="28"/>
        </w:rPr>
        <w:t xml:space="preserve"> </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51C04761" wp14:editId="587F2D07">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(Ekpenyong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br w:type="page"/>
      </w:r>
      <w:r w:rsidRPr="00F44DF6">
        <w:rPr>
          <w:rStyle w:val="Strong"/>
          <w:rFonts w:ascii="Times New Roman" w:hAnsi="Times New Roman" w:cs="Times New Roman"/>
          <w:sz w:val="28"/>
          <w:szCs w:val="28"/>
        </w:rPr>
        <w:lastRenderedPageBreak/>
        <w:t xml:space="preserve">Varieties of Bitter Leaf </w:t>
      </w:r>
    </w:p>
    <w:p w:rsidR="004F43F0" w:rsidRPr="00F44DF6" w:rsidRDefault="004F43F0" w:rsidP="00AB04FC">
      <w:pPr>
        <w:pStyle w:val="NormalWeb"/>
        <w:spacing w:line="480" w:lineRule="auto"/>
        <w:jc w:val="both"/>
        <w:rPr>
          <w:sz w:val="28"/>
          <w:szCs w:val="28"/>
        </w:rPr>
      </w:pPr>
      <w:r w:rsidRPr="00F44DF6">
        <w:rPr>
          <w:rStyle w:val="Emphasis"/>
          <w:sz w:val="28"/>
          <w:szCs w:val="28"/>
        </w:rPr>
        <w:t>Vernonia amygdalina</w:t>
      </w:r>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V. amygdalina</w:t>
      </w:r>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(Afolabi et al., 2020). These differences are largely influenced by </w:t>
      </w:r>
      <w:r w:rsidRPr="00F44DF6">
        <w:rPr>
          <w:rStyle w:val="Strong"/>
          <w:b w:val="0"/>
          <w:sz w:val="28"/>
          <w:szCs w:val="28"/>
        </w:rPr>
        <w:t>environmental conditions</w:t>
      </w:r>
      <w:r w:rsidRPr="00F44DF6">
        <w:rPr>
          <w:b/>
          <w:sz w:val="28"/>
          <w:szCs w:val="28"/>
        </w:rPr>
        <w:t xml:space="preserve"> </w:t>
      </w:r>
      <w:r w:rsidRPr="00F44DF6">
        <w:rPr>
          <w:sz w:val="28"/>
          <w:szCs w:val="28"/>
        </w:rPr>
        <w:t>and</w:t>
      </w:r>
      <w:r w:rsidRPr="00F44DF6">
        <w:rPr>
          <w:b/>
          <w:sz w:val="28"/>
          <w:szCs w:val="28"/>
        </w:rPr>
        <w:t xml:space="preserve"> </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(Ogundele et al., 2021). The absence of formal varietal registration presents a challenge to standardization and commercial-scale production. Nonetheless, morphological differences are well-documented, and efforts are being made to characterize these variations genetically (Nwafor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V. amygdalina</w:t>
      </w:r>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w:t>
      </w:r>
      <w:r w:rsidRPr="00F44DF6">
        <w:rPr>
          <w:sz w:val="28"/>
          <w:szCs w:val="28"/>
        </w:rPr>
        <w:lastRenderedPageBreak/>
        <w:t xml:space="preserve">medicinal applications. According to Ayoade et al. (2021), two common field types 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w:t>
      </w:r>
      <w:r w:rsidRPr="00F44DF6">
        <w:rPr>
          <w:rStyle w:val="Strong"/>
          <w:sz w:val="28"/>
          <w:szCs w:val="28"/>
        </w:rPr>
        <w:t xml:space="preserve"> </w:t>
      </w:r>
      <w:r w:rsidRPr="00F44DF6">
        <w:rPr>
          <w:rStyle w:val="Strong"/>
          <w:b w:val="0"/>
          <w:sz w:val="28"/>
          <w:szCs w:val="28"/>
        </w:rPr>
        <w:t>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14:anchorId="21EF48C0" wp14:editId="73C6B41B">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(Ayoade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saponins. In contrast, </w:t>
      </w:r>
      <w:r w:rsidRPr="00F44DF6">
        <w:rPr>
          <w:sz w:val="28"/>
          <w:szCs w:val="28"/>
        </w:rPr>
        <w:lastRenderedPageBreak/>
        <w:t xml:space="preserve">the domesticated version is usually propagated through stem cuttings and is 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ethnobotanical surveys have identified </w:t>
      </w:r>
      <w:r w:rsidRPr="00F44DF6">
        <w:rPr>
          <w:rStyle w:val="Strong"/>
          <w:b w:val="0"/>
          <w:sz w:val="28"/>
          <w:szCs w:val="28"/>
        </w:rPr>
        <w:t>region-specific types</w:t>
      </w:r>
      <w:r w:rsidRPr="00F44DF6">
        <w:rPr>
          <w:sz w:val="28"/>
          <w:szCs w:val="28"/>
        </w:rPr>
        <w:t xml:space="preserve"> of </w:t>
      </w:r>
      <w:r w:rsidRPr="00F44DF6">
        <w:rPr>
          <w:rStyle w:val="Emphasis"/>
          <w:sz w:val="28"/>
          <w:szCs w:val="28"/>
        </w:rPr>
        <w:t>Vernonia amygdalina</w:t>
      </w:r>
      <w:r w:rsidRPr="00F44DF6">
        <w:rPr>
          <w:sz w:val="28"/>
          <w:szCs w:val="28"/>
        </w:rPr>
        <w:t xml:space="preserve"> used differently based on cultural preferences (Mbanya et al., 2020). In these regions, the plant may be known by names like “ndolé” or “mubirizi,”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Ethnopharmacological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shelf-life extension. As bitter leaf </w:t>
      </w:r>
      <w:r w:rsidRPr="00F44DF6">
        <w:rPr>
          <w:sz w:val="28"/>
          <w:szCs w:val="28"/>
        </w:rPr>
        <w:lastRenderedPageBreak/>
        <w:t xml:space="preserve">becomes increasingly commercialized, researchers and agricultural extension officers are calling for the establishment of </w:t>
      </w:r>
      <w:r w:rsidRPr="00F44DF6">
        <w:rPr>
          <w:rStyle w:val="Strong"/>
          <w:b w:val="0"/>
          <w:sz w:val="28"/>
          <w:szCs w:val="28"/>
        </w:rPr>
        <w:t>varietal banks and germplasm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V. amygdalina</w:t>
      </w:r>
      <w:r w:rsidRPr="00F44DF6">
        <w:rPr>
          <w:sz w:val="28"/>
          <w:szCs w:val="28"/>
        </w:rPr>
        <w:t xml:space="preserve"> grown in different ecological zones (Chikezie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lastRenderedPageBreak/>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V. amygdalina</w:t>
      </w:r>
      <w:r w:rsidRPr="00F44DF6">
        <w:rPr>
          <w:sz w:val="28"/>
          <w:szCs w:val="28"/>
        </w:rPr>
        <w:t xml:space="preserve"> across Africa reflect its </w:t>
      </w:r>
      <w:r w:rsidRPr="00F44DF6">
        <w:rPr>
          <w:rStyle w:val="Strong"/>
          <w:b w:val="0"/>
          <w:sz w:val="28"/>
          <w:szCs w:val="28"/>
        </w:rPr>
        <w:t>agroecological</w:t>
      </w:r>
      <w:r w:rsidRPr="00F44DF6">
        <w:rPr>
          <w:rStyle w:val="Strong"/>
          <w:sz w:val="28"/>
          <w:szCs w:val="28"/>
        </w:rPr>
        <w:t xml:space="preserve"> </w:t>
      </w:r>
      <w:r w:rsidRPr="00F44DF6">
        <w:rPr>
          <w:rStyle w:val="Strong"/>
          <w:b w:val="0"/>
          <w:sz w:val="28"/>
          <w:szCs w:val="28"/>
        </w:rPr>
        <w:t>adaptability and versatility</w:t>
      </w:r>
      <w:r w:rsidRPr="00F44DF6">
        <w:rPr>
          <w:sz w:val="28"/>
          <w:szCs w:val="28"/>
        </w:rPr>
        <w:t xml:space="preserve">. For food-based research, this informal 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(Uche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xml:space="preserve">, with Nigeria, Cameroon, and Ghana being major areas of natural occurrence and usage (Okoye et al., 2021). It </w:t>
      </w:r>
      <w:r w:rsidRPr="00F44DF6">
        <w:rPr>
          <w:sz w:val="28"/>
          <w:szCs w:val="28"/>
        </w:rPr>
        <w:lastRenderedPageBreak/>
        <w:t xml:space="preserve">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(Oladipo et al., 2020). Ethnobotanical evidence supports its long-standing use in 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V. amygdalina</w:t>
      </w:r>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r w:rsidRPr="00F44DF6">
        <w:rPr>
          <w:rStyle w:val="Strong"/>
          <w:b w:val="0"/>
          <w:sz w:val="28"/>
          <w:szCs w:val="28"/>
        </w:rPr>
        <w:t>nutraceutical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 xml:space="preserve">but is highly tolerant to a variety of soil types, including sandy or lateritic soils (Ndukwu &amp; Omaliko,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reaches </w:t>
      </w:r>
      <w:r w:rsidRPr="00F44DF6">
        <w:rPr>
          <w:rStyle w:val="Strong"/>
          <w:b w:val="0"/>
          <w:sz w:val="28"/>
          <w:szCs w:val="28"/>
        </w:rPr>
        <w:t>2–5 meters in height</w:t>
      </w:r>
      <w:r w:rsidRPr="00F44DF6">
        <w:rPr>
          <w:sz w:val="28"/>
          <w:szCs w:val="28"/>
        </w:rPr>
        <w:t xml:space="preserve"> and can be harvested multiple times throughout the year. Leaves are plucked </w:t>
      </w:r>
      <w:r w:rsidRPr="00F44DF6">
        <w:rPr>
          <w:sz w:val="28"/>
          <w:szCs w:val="28"/>
        </w:rPr>
        <w:lastRenderedPageBreak/>
        <w:t xml:space="preserve">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r w:rsidRPr="00F44DF6">
        <w:rPr>
          <w:rStyle w:val="Emphasis"/>
          <w:sz w:val="28"/>
          <w:szCs w:val="28"/>
        </w:rPr>
        <w:t>Vernonia amygdalina</w:t>
      </w:r>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to encourage leafy biomass production. Farmers often intercrop bitter leaf with maize, cassava, or okra to maximize land use efficiency (Ezeokoli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processed into powders, extracts, and herbal teas. Women play a major role in the cultivation and processing of bitter leaf, especially in subsistence farming systems </w:t>
      </w:r>
      <w:r w:rsidRPr="00F44DF6">
        <w:rPr>
          <w:sz w:val="28"/>
          <w:szCs w:val="28"/>
        </w:rPr>
        <w:lastRenderedPageBreak/>
        <w:t xml:space="preserve">(Abah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peri-urban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r w:rsidRPr="00F44DF6">
        <w:rPr>
          <w:rStyle w:val="Strong"/>
          <w:b w:val="0"/>
          <w:sz w:val="28"/>
          <w:szCs w:val="28"/>
        </w:rPr>
        <w:t>nutraceuticals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Bitter leaf (Vernonia amygdalina) is widely studied for its rich phytochemical profile, which contributes to its bitter taste and numerous therapeutic benefits. The leaf contains a variety of bioactive compounds including alkaloids, flavonoids, tannins, saponins, terpenoids, and phenolic compounds (Ezeokoli et al., 2021). These phytochemicals are known to exhibit antioxidant, anti-inflammatory, antimicrobial, and antimalarial activities. Flavonoids and phenolic acids in particular play a key role in scavenging free radicals, thereby protecting cells from oxidative damage. The bitter taste is primarily attributed to sesquiterpene lactones, which are also responsible for the plant’s antimicrobial and antimalarial effects (Adamu et al., </w:t>
      </w:r>
      <w:r w:rsidRPr="00F44DF6">
        <w:rPr>
          <w:rFonts w:ascii="Times New Roman" w:hAnsi="Times New Roman" w:cs="Times New Roman"/>
          <w:sz w:val="28"/>
          <w:szCs w:val="28"/>
        </w:rPr>
        <w:lastRenderedPageBreak/>
        <w:t>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Studies have demonstrated that bitter leaf extracts contain high levels of polyphenols and flavonoids, which contribute significantly to its strong antioxidant capacity (Nworu et al., 2022). These antioxidants help neutralize reactive oxygen species (ROS), reducing oxidative stress linked to chronic diseases. The leaf also contains alkaloids and saponins that exhibit potent antimicrobial activities against a broad spectrum of bacteria and fungi (Abdullahi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 xml:space="preserve">The phytochemical content in bitter leaf varies depending on factors such as geographical location, soil quality, harvesting time, and extraction method (Ogundipe et al., 2021). For instance, leaves harvested during the rainy season tend to have higher flavonoid and phenolic contents due to increased plant metabolism. Different solvents used in extraction (water, ethanol, methanol) also influence the type and concentration of phytochemicals obtained, affecting their bioactivity (Umechuruba &amp; Nwosu, 2023). Water and ethanol extracts are most commonly </w:t>
      </w:r>
      <w:r w:rsidRPr="00F44DF6">
        <w:rPr>
          <w:rFonts w:ascii="Times New Roman" w:hAnsi="Times New Roman" w:cs="Times New Roman"/>
          <w:sz w:val="28"/>
          <w:szCs w:val="28"/>
        </w:rPr>
        <w:lastRenderedPageBreak/>
        <w:t>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vitamins, bitter leaf is an excellent source of minerals crucial for various physiological functions. Studies have shown that it contains appreciable amounts of calcium, potassium, magnesium, and iron (Ogunlade et al., 2020). Calcium and magnesium are vital for bone health, while potassium plays a key role </w:t>
      </w:r>
      <w:r w:rsidRPr="00F44DF6">
        <w:rPr>
          <w:sz w:val="28"/>
          <w:szCs w:val="28"/>
        </w:rPr>
        <w:lastRenderedPageBreak/>
        <w:t>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t>T</w:t>
      </w:r>
      <w:r w:rsidR="00A871E2" w:rsidRPr="00F44DF6">
        <w:rPr>
          <w:sz w:val="28"/>
          <w:szCs w:val="28"/>
        </w:rPr>
        <w:t>he nutritional composition of bitter leaf varies depending on environmental factors, maturity stage, and processing methods. Fresh leaves tend to have higher vitamin C levels, which can decrease upon drying or cooking due to heat sensitivity (Ijeh &amp; Ejike, 2022). However, processing techniques like blanching and fermentation can enhance the bioavailability of some nutrients while reducing antinutritional factors such as oxalates and phytates. These antinutrients, if consumed in excess, may interfere with mineral absorption. Hence, proper preparation of bitter leaf not only improves taste but also optimizes its nutritional benefits. Overall, the diverse nutrient content and health-promoting compounds in 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lastRenderedPageBreak/>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r w:rsidRPr="00F44DF6">
        <w:rPr>
          <w:rFonts w:ascii="Times New Roman" w:eastAsia="Times New Roman" w:hAnsi="Times New Roman" w:cs="Times New Roman"/>
          <w:b/>
          <w:bCs/>
          <w:i/>
          <w:iCs/>
          <w:sz w:val="28"/>
          <w:szCs w:val="28"/>
        </w:rPr>
        <w:t>Vernonia amygdalina</w:t>
      </w:r>
      <w:r w:rsidRPr="00F44DF6">
        <w:rPr>
          <w:rFonts w:ascii="Times New Roman" w:eastAsia="Times New Roman" w:hAnsi="Times New Roman" w:cs="Times New Roman"/>
          <w:b/>
          <w:bCs/>
          <w:sz w:val="28"/>
          <w:szCs w:val="28"/>
        </w:rPr>
        <w:t>)</w:t>
      </w:r>
      <w:bookmarkEnd w:id="4"/>
    </w:p>
    <w:tbl>
      <w:tblPr>
        <w:tblStyle w:val="ListTable6Colorful"/>
        <w:tblW w:w="0" w:type="auto"/>
        <w:tblLook w:val="04A0" w:firstRow="1" w:lastRow="0" w:firstColumn="1" w:lastColumn="0" w:noHBand="0" w:noVBand="1"/>
      </w:tblPr>
      <w:tblGrid>
        <w:gridCol w:w="2411"/>
        <w:gridCol w:w="3330"/>
        <w:gridCol w:w="3619"/>
      </w:tblGrid>
      <w:tr w:rsidR="00F44DF6" w:rsidRPr="00F44DF6" w:rsidTr="00EC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(Ijeh &amp; Ejike,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lastRenderedPageBreak/>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Bitter leaf is widely used in traditional African medicine for its broad range of therapeutic properties. One of its most prominent uses is in the management of malaria and fever. The leaf extract contains bioactive compounds such as flavonoids, saponins, alkaloids, and sesquiterpene lactones like vernodalin and vernomygdin,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 xml:space="preserve">Bitter leaf also contributes to cardiovascular and liver health. Its rich content of vitamins A, C, and E, along with minerals like potassium and magnesium, helps </w:t>
      </w:r>
      <w:r w:rsidRPr="00F44DF6">
        <w:rPr>
          <w:sz w:val="28"/>
          <w:szCs w:val="28"/>
        </w:rPr>
        <w:lastRenderedPageBreak/>
        <w:t>regulate blood pressure and supports heart function. The hepatoprotective properties 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holds significant advantages in food-related research due to its rich nutritional and bioactive compound profile. Its leaves are known to contain essential vitamins, minerals, and phytochemicals such as flavonoids, alkaloids, tannins, and saponins, which contribute to its antioxidant and antimicrobial properties (Adeyemo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its preservative qualities, bitter leaf exhibits strong antioxidant activity that helps reduce oxidative spoilage in food matrices. Lipid oxidation is a primary </w:t>
      </w:r>
      <w:r w:rsidRPr="00F44DF6">
        <w:rPr>
          <w:sz w:val="28"/>
          <w:szCs w:val="28"/>
        </w:rPr>
        <w:lastRenderedPageBreak/>
        <w:t>cause of rancidity in many food products, leading to off-flavors and reduced nutritional value. Extracts from bitter leaf have been shown to scavenge free radicals effectively, which can mitigate oxidative degradation during food storage (Okoye &amp; Chukwu,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(Ezeokoli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biofortifying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t xml:space="preserve">Bitter leaf also demonstrates antimicrobial effects against several foodborne pathogens and spoilage microorganisms, which can help in reducing foodborne </w:t>
      </w:r>
      <w:r w:rsidRPr="00F44DF6">
        <w:rPr>
          <w:sz w:val="28"/>
          <w:szCs w:val="28"/>
        </w:rPr>
        <w:lastRenderedPageBreak/>
        <w:t xml:space="preserve">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Staphylococcus aureus</w:t>
      </w:r>
      <w:r w:rsidRPr="00F44DF6">
        <w:rPr>
          <w:sz w:val="28"/>
          <w:szCs w:val="28"/>
        </w:rPr>
        <w:t xml:space="preserve">, and </w:t>
      </w:r>
      <w:r w:rsidRPr="00F44DF6">
        <w:rPr>
          <w:rStyle w:val="Emphasis"/>
          <w:sz w:val="28"/>
          <w:szCs w:val="28"/>
        </w:rPr>
        <w:t>Salmonella</w:t>
      </w:r>
      <w:r w:rsidRPr="00F44DF6">
        <w:rPr>
          <w:sz w:val="28"/>
          <w:szCs w:val="28"/>
        </w:rPr>
        <w:t xml:space="preserve"> spp. (Ndukwu &amp; Okeke, 2020). This antimicrobial property makes it a 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 xml:space="preserve">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(Abah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lastRenderedPageBreak/>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r w:rsidRPr="00F44DF6">
        <w:rPr>
          <w:rStyle w:val="Emphasis"/>
          <w:sz w:val="28"/>
          <w:szCs w:val="28"/>
        </w:rPr>
        <w:t>Vernonia amygdalina</w:t>
      </w:r>
      <w:r w:rsidRPr="00F44DF6">
        <w:rPr>
          <w:sz w:val="28"/>
          <w:szCs w:val="28"/>
        </w:rPr>
        <w:t>) in sorghum processing presents promising opportunities for enhancing both the nutritional quality and shelf life of sorghum-based products. Sorghum is a staple cereal crop in many parts of Africa but is often limited by its relatively low nutrient content and susceptibility to rapid spoilage, especially in wet-milled forms (Adeyemi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 xml:space="preserve">From a preservation perspective, bitter leaf contains natural phytochemicals such as flavonoids, phenolic acids, and sesquiterpene lactones, which exhibit strong antimicrobial and antioxidant properties (Chukwuemeka et al., 2022). These compounds can inhibit microbial growth and oxidative degradation that typically cause spoilage in wet-milled sorghum. Incorporating bitter leaf extracts or powders into sorghum batter may delay fermentation, reduce mold growth, and extend shelf life without the need for synthetic preservatives. This is particularly valuable in </w:t>
      </w:r>
      <w:r w:rsidRPr="00F44DF6">
        <w:rPr>
          <w:sz w:val="28"/>
          <w:szCs w:val="28"/>
        </w:rPr>
        <w:lastRenderedPageBreak/>
        <w:t>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In sorghum processing, bitter leaf can also improve sensory qualities such as taste and aroma. While the inherent bitterness of the leaf may be a challenge, careful processing and dosage optimization can balance flavor profiles to enhance consumer 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 xml:space="preserve">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(Nkwocha et al., 2023). Such applications align with the increasing global demand for clean-label, environmentally friendly food preservation methods. By harnessing bitter leaf’s bioactive compounds, sorghum processors and farmers could reduce spoilage rates, </w:t>
      </w:r>
      <w:r w:rsidRPr="00F44DF6">
        <w:rPr>
          <w:sz w:val="28"/>
          <w:szCs w:val="28"/>
        </w:rPr>
        <w:lastRenderedPageBreak/>
        <w:t>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Moench. It belongs to the family </w:t>
      </w:r>
      <w:r w:rsidRPr="00F44DF6">
        <w:rPr>
          <w:rFonts w:ascii="Times New Roman" w:eastAsia="Times New Roman" w:hAnsi="Times New Roman" w:cs="Times New Roman"/>
          <w:i/>
          <w:iCs/>
          <w:sz w:val="28"/>
          <w:szCs w:val="28"/>
        </w:rPr>
        <w:t>Poaceae</w:t>
      </w:r>
      <w:r w:rsidRPr="00F44DF6">
        <w:rPr>
          <w:rFonts w:ascii="Times New Roman" w:eastAsia="Times New Roman" w:hAnsi="Times New Roman" w:cs="Times New Roman"/>
          <w:sz w:val="28"/>
          <w:szCs w:val="28"/>
        </w:rPr>
        <w:t xml:space="preserve"> (also known as Gramineae),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Willdenow and later modified by Conrad Moench.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highly productive under high temperatures and low water availability (Zhao et al., </w:t>
      </w:r>
      <w:r w:rsidRPr="00F44DF6">
        <w:rPr>
          <w:rFonts w:ascii="Times New Roman" w:eastAsia="Times New Roman" w:hAnsi="Times New Roman" w:cs="Times New Roman"/>
          <w:sz w:val="28"/>
          <w:szCs w:val="28"/>
        </w:rPr>
        <w:lastRenderedPageBreak/>
        <w:t xml:space="preserve">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Sorghum halepense</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Sorghum propinquum</w:t>
      </w:r>
      <w:r w:rsidRPr="00F44DF6">
        <w:rPr>
          <w:rFonts w:ascii="Times New Roman" w:eastAsia="Times New Roman" w:hAnsi="Times New Roman" w:cs="Times New Roman"/>
          <w:sz w:val="28"/>
          <w:szCs w:val="28"/>
        </w:rPr>
        <w:t xml:space="preserve"> often compare them 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GenBank and GRIN. The species is known for its significance in bioenergy production, where it is utilized for ethanol and biomass fuel due to its high sugar content and drought tolerance (Farré et al., 2022). Proper identification prevents the misapplication of findings to unrelated grass species. It ensures that cultivars developed for dry zones, for example, are not confused with species suited for wet environments. The 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w:t>
      </w:r>
      <w:r w:rsidR="00876C68" w:rsidRPr="00F44DF6">
        <w:rPr>
          <w:rFonts w:ascii="Times New Roman" w:eastAsia="Times New Roman" w:hAnsi="Times New Roman" w:cs="Times New Roman"/>
          <w:sz w:val="28"/>
          <w:szCs w:val="28"/>
        </w:rPr>
        <w:lastRenderedPageBreak/>
        <w:t>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exhibits significant genetic diversity and is broadly classified into five major races based on spikelet and panicle characteristics: bicolor, guinea, caudatum, kafir, and durra. Each race has unique traits and regional adaptations. For instance, the guinea race is common in West Africa and is known for its open panicles, while the kafir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xml:space="preserve">, each influencing its nutritional profile and application. White sorghum, such as the variety ‘SAMSORG 17’, is preferred for human consumption due to its mild flavor and low tannin content (Farré </w:t>
      </w:r>
      <w:r w:rsidRPr="00F44DF6">
        <w:rPr>
          <w:rFonts w:ascii="Times New Roman" w:eastAsia="Times New Roman" w:hAnsi="Times New Roman" w:cs="Times New Roman"/>
          <w:sz w:val="28"/>
          <w:szCs w:val="28"/>
        </w:rPr>
        <w:lastRenderedPageBreak/>
        <w:t>et al., 2022). Red and brown sorghums, such as ‘KSV8’ and ‘CSH 14’, contain higher levels of phenolic compounds and tannins, making them more suitable for brewing and animal feed. Black sorghum is rare but valued for its high antioxidant content due to anthocyanins.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sidR="004F38C8" w:rsidRPr="00F44DF6">
        <w:rPr>
          <w:rFonts w:ascii="Times New Roman" w:eastAsia="Times New Roman" w:hAnsi="Times New Roman" w:cs="Times New Roman"/>
          <w:b/>
          <w:sz w:val="28"/>
          <w:szCs w:val="28"/>
        </w:rPr>
        <w:t xml:space="preserve"> </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8F85F27" wp14:editId="5B673202">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Modern breeding has led to the development of hybrid sorghum varieties that combine favorable traits from different types. For example, dual-purpose varieties like ‘Macia’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xml:space="preserve">) originated in northeastern Africa, particularly in the region encompassing present-day Ethiopia and Sudan, where it was first domesticated over 5,000 years ago. It later spread to other parts of Africa and Asia through human migration and trade routes. As an indigenous crop of Africa, sorghum played a central role in early agricultural systems due to its adaptability to </w:t>
      </w:r>
      <w:r w:rsidRPr="00F44DF6">
        <w:rPr>
          <w:sz w:val="28"/>
          <w:szCs w:val="28"/>
        </w:rPr>
        <w:lastRenderedPageBreak/>
        <w:t>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t xml:space="preserve">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relatively low maintenance compared to other cereals. It is generally grown as a rainfed crop but can also thrive under irrigation. Fertilizer application, spacing, and </w:t>
      </w:r>
      <w:r w:rsidRPr="00F44DF6">
        <w:rPr>
          <w:sz w:val="28"/>
          <w:szCs w:val="28"/>
        </w:rPr>
        <w:lastRenderedPageBreak/>
        <w:t>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(Farré et al., 2022). Additionally, international organizations have 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lastRenderedPageBreak/>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contains a rich profile of phytochemicals, particularly phenolic compounds such as tannins, flavonoids, and phenolic acids. These compounds are primarily concentrated in the outer layers of the grain, especially in pigmented varieties like red and black sorghum (Awika &amp; Rooney, 2021). The most notable class of phytochemicals in sorghum are 3-deoxyanthocyanidins, unique flavonoids not commonly found in other cereals. These compounds exhibit strong antioxidant, anti-inflammatory, and antimicrobial properties. In addition, sorghum contains phytosterols and lignans, which contribute to cardiovascular and hormonal health. The antioxidant potential of sorghum is comparable to that of fruits and vegetables, making it a promising functional food ingredient. The phytochemical 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food research, sorghum phytochemicals have attracted attention due to their therapeutic benefits. Phenolic compounds in sorghum have shown inhibitory activity against enzymes linked to diabetes, cancer, and cardiovascular diseases </w:t>
      </w:r>
      <w:r w:rsidRPr="00F44DF6">
        <w:rPr>
          <w:rFonts w:ascii="Times New Roman" w:eastAsia="Times New Roman" w:hAnsi="Times New Roman" w:cs="Times New Roman"/>
          <w:sz w:val="28"/>
          <w:szCs w:val="28"/>
        </w:rPr>
        <w:lastRenderedPageBreak/>
        <w:t>(Mukurumbira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nutraceuticals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(Farré et al., 2022). Moreover, these compounds contribute to sorghum's drought tolerance by regulating osmotic stress. The plant’s phytochemicals also interact with soil microbiota, influencing nutrient availability and plant health. In food systems, the color and astringency of sorghum products are directly linked to </w:t>
      </w:r>
      <w:r w:rsidRPr="00F44DF6">
        <w:rPr>
          <w:rFonts w:ascii="Times New Roman" w:eastAsia="Times New Roman" w:hAnsi="Times New Roman" w:cs="Times New Roman"/>
          <w:sz w:val="28"/>
          <w:szCs w:val="28"/>
        </w:rPr>
        <w:lastRenderedPageBreak/>
        <w:t>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is a nutrient-dense cereal, offering an excellent source of energy, dietary fiber, protein, and essential minerals. The average composition of whole grain sorghum includes approximately 70–75% carbohydrates, 10–12% protein, 3–5% fat, and 1–3% ash (Olagunju et al., 2020). It is also rich in micronutrients such as iron, phosphorus, magnesium, potassium, and zinc. Unlike wheat and barley, sorghum is gluten-free, making it suitable for individuals with celiac disease or gluten intolerance. Its protein is mainly composed of kafirins, which are prolamins specific to sorghum. Though kafirins are less digestible than other cereal proteins, processing techniques like germination and fermentation can improve their bioavailability. Sorghum also contains B vitamins, including niacin, thiamine, and riboflavin. Its nutritional profile supports sustained energy release and digestive health due to its </w:t>
      </w:r>
      <w:r w:rsidRPr="00F44DF6">
        <w:rPr>
          <w:rFonts w:ascii="Times New Roman" w:eastAsia="Times New Roman" w:hAnsi="Times New Roman" w:cs="Times New Roman"/>
          <w:sz w:val="28"/>
          <w:szCs w:val="28"/>
        </w:rPr>
        <w:lastRenderedPageBreak/>
        <w:t>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4F38C8" w:rsidRPr="00F44DF6">
        <w:rPr>
          <w:rFonts w:ascii="Times New Roman" w:eastAsia="Times New Roman" w:hAnsi="Times New Roman" w:cs="Times New Roman"/>
          <w:sz w:val="28"/>
          <w:szCs w:val="28"/>
        </w:rPr>
        <w:t xml:space="preserve">he nutritional quality of sorghum varies with genotype, soil condition, and processing methods. Brown and red sorghum varieties often contain more antioxidants and fiber than white varieties, which are commonly used in porridges </w:t>
      </w:r>
      <w:r w:rsidR="004F38C8" w:rsidRPr="00F44DF6">
        <w:rPr>
          <w:rFonts w:ascii="Times New Roman" w:eastAsia="Times New Roman" w:hAnsi="Times New Roman" w:cs="Times New Roman"/>
          <w:sz w:val="28"/>
          <w:szCs w:val="28"/>
        </w:rPr>
        <w:lastRenderedPageBreak/>
        <w:t>and beverages (de Morais Cardoso et al., 2021). Processing methods such as decortication, cooking, fermentation, and malting influence the retention and availability of nutrients. While decortication removes fiber and phytochemicals, fermentation improves mineral bioavailability by reducing phytates.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lastRenderedPageBreak/>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firstRow="1" w:lastRow="0" w:firstColumn="1" w:lastColumn="0" w:noHBand="0" w:noVBand="1"/>
      </w:tblPr>
      <w:tblGrid>
        <w:gridCol w:w="2040"/>
        <w:gridCol w:w="2306"/>
        <w:gridCol w:w="5014"/>
      </w:tblGrid>
      <w:tr w:rsidR="00F44DF6" w:rsidRPr="00F44DF6" w:rsidTr="00904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Contains kafirins; supports growth and repair</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(Olagunju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(Awika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(Olagunju et al., 2020). Sorghum’s potential as a functional ingredient in composite flours and as a carrier of bioactive compounds also supports its role in developing nutraceuticals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Wet milled Soghurm(Ogi)</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production process begins with sorting and cleaning of maize grains to remove impurities such as dirt, stones, and damaged kernels, ensuring the quality of the final product. After cleaning, the maize undergoes dehulling fig. 4, where the outer husk or bran is removed to reduce fiber content and enhance fermentation. The dehulled maize is then subjected to wet milling, where it is ground into a fine slurry called ogi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sedimented slurry is then allowed to ferment naturally. During fermentation, naturally occurring microorganisms, primarily lactic acid bacteria (LAB) and some yeasts, proliferate in the ogi slurry (Olagunju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about 10⁹ colony-forming units per gram (cfu/g) is performed to ensure consistent and rapid fermentation, improve safety, and reduce spoilage by unwanted microbes. In addition, parboiling may be applied to the ogi </w:t>
      </w:r>
      <w:r w:rsidRPr="00F44DF6">
        <w:rPr>
          <w:rFonts w:ascii="Times New Roman" w:eastAsia="Times New Roman" w:hAnsi="Times New Roman" w:cs="Times New Roman"/>
          <w:sz w:val="28"/>
          <w:szCs w:val="28"/>
        </w:rPr>
        <w:lastRenderedPageBreak/>
        <w:t xml:space="preserve">slurry after fermentation to gelatinize starches, improve digestibility, and extend shelf life. The microbiological dynamics during fermentation depend on the duration, typically ranging from 48 to 96 hours, and environmental conditions such as temperature and oxygen availability. Proper microbial balance and control during these stages are crucial for producing high-quality ogi with desirable taste, texture, and shelf stability </w:t>
      </w:r>
      <w:r w:rsidR="00904A45" w:rsidRPr="00F44DF6">
        <w:rPr>
          <w:rFonts w:ascii="Times New Roman" w:eastAsia="Times New Roman" w:hAnsi="Times New Roman" w:cs="Times New Roman"/>
          <w:sz w:val="28"/>
          <w:szCs w:val="28"/>
        </w:rPr>
        <w:t>(Farré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Preparation of ogi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0F66493" wp14:editId="277D19D2">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(Olagunju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Traditional preparation of Ogi</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drawing>
          <wp:inline distT="0" distB="0" distL="0" distR="0" wp14:anchorId="05544C88" wp14:editId="0E08BC93">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most commonly used grains for ogi preparation are maize (corn), sorghum, and millet. Maize ogi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ogi product (Onabanjo et al., 2020). Maize is nutritionally rich in carbohydrates and provides a good energy source, but it is relatively low in protein content, which has led to the inclusion of other grains in ogi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ogi preparation, especially in regions where maize is less accessible or during maize shortages. Sorghum ogi tends to have a stronger flavor and darker color due to the presence of tannins and phenolic compounds in the grain. This variety of ogi is prized for its higher antioxidant content and improved nutritional profile compared to maize ogi (Ogunremi et al., 2021). </w:t>
      </w:r>
      <w:r w:rsidR="002A21D5" w:rsidRPr="00F44DF6">
        <w:rPr>
          <w:rFonts w:ascii="Times New Roman" w:eastAsia="Times New Roman" w:hAnsi="Times New Roman" w:cs="Times New Roman"/>
          <w:sz w:val="28"/>
          <w:szCs w:val="28"/>
        </w:rPr>
        <w:t>Millet ogi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Both sorghum and millet ogi require a longer fermentation time, which enhances their probiotic benefits and improves digestibility by reducing anti-nutritional factors such as phytates.</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In addition to maize, sorghum, and millet, other grains such as guinea corn and even rice have been experimented with in ogi production. Guinea corn, a variety of sorghum, shares similar characteristics with sorghum and is used in certain localities to produce ogi with a distinct taste and nutritional benefits. Rice ogi, though less traditional, has gained popularity as a gluten-free alternative, particularly for individuals with celiac disease or gluten intolerance (Akinola et al., 2020). Each grain imparts unique sensory, nutritional, and functional properties to ogi,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 for preservation of ogi</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Traditionally, ogi is highly perishable due to its high moisture content and active microbial population, which promote spoilage by unwanted bacteria, yeasts, and molds. One common preservation method involves refrigeration. Freshly prepared ogi is stored at low temperatures (around 4°C) to slow down microbial activity and enzymatic reactions that cause spoilage. Refrigeration can extend ogi’s shelf life 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Another effective preservation technique is drying or dehydration, which reduces the moisture content significantly, thereby limiting microbial growth. Dried ogi can 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ogi preserves most of its nutritional and probiotic qualities, though some loss of heat-sensitive vitamins may occur (Adeyemi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modern food processing, packaging innovations also play a key role in preserving ogi. Vacuum packaging or using oxygen-impermeable films can protect ogi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ogi. These methods help in maintaining the sensory properties and improving safety, thereby making ogi more acceptable for wider commercial distribution (Ojo et al., 2022). Overall, integrating traditional and modern preservation techniques is essential to maintain ogi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(Adeyemi &amp; Oluwole,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issue with conventional preservation methods is the relatively short shelf life they provide compared to modern techniques. Fermented products like ogi, if not properly stored, can spoil quickly due to the growth of undesirable 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w:t>
      </w:r>
      <w:r w:rsidRPr="00F44DF6">
        <w:rPr>
          <w:rFonts w:ascii="Times New Roman" w:eastAsia="Times New Roman" w:hAnsi="Times New Roman" w:cs="Times New Roman"/>
          <w:sz w:val="28"/>
          <w:szCs w:val="28"/>
        </w:rPr>
        <w:lastRenderedPageBreak/>
        <w:t>polycyclic aromatic hydrocarbons, posing potential health risks if consumed frequently (Onyango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 preservation methods also often require labor-intensive and time-consuming processes that are less efficient for large-scale production. For instance, manual sorting, washing, soaking, and fermentation steps in traditional ogi preparation may vary widely between households, affecting uniformity and scalability (Akinola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incorporation of bitter leaf (Vernonia amygdalina) into wet-milled sorghum has been shown to positively influence its nutritional composition. Bitter leaf is rich in essential nutrients such as vitamins (A, C, and E), minerals (calcium, iron, and </w:t>
      </w:r>
      <w:r w:rsidRPr="00F44DF6">
        <w:rPr>
          <w:rFonts w:ascii="Times New Roman" w:eastAsia="Times New Roman" w:hAnsi="Times New Roman" w:cs="Times New Roman"/>
          <w:sz w:val="28"/>
          <w:szCs w:val="28"/>
        </w:rPr>
        <w:lastRenderedPageBreak/>
        <w:t>potassium), and bioactive phytochemicals like flavonoids, saponins, and phenolic compounds (Okafor et al., 2021). When added to sorghum during wet milling, these 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(Ezeonu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However, the addition of bitter leaf may also influence sensory properties, such as taste and color, of the wet-milled sorghum. The characteristic bitter taste of Vernonia amygdalina can alter the flavor profile, potentially affecting consumer acceptability if not balanced properly (Ugbogu &amp; Obiakor, 2022). Despite this, processing </w:t>
      </w:r>
      <w:r w:rsidRPr="00F44DF6">
        <w:rPr>
          <w:rFonts w:ascii="Times New Roman" w:eastAsia="Times New Roman" w:hAnsi="Times New Roman" w:cs="Times New Roman"/>
          <w:sz w:val="28"/>
          <w:szCs w:val="28"/>
        </w:rPr>
        <w:lastRenderedPageBreak/>
        <w:t>techniques such as blanching or controlled extraction of bitter compounds can help mitigate excessive bitterness while retaining the nutritional and preservative benefits. Overall, the effect of bitter leaf on wet-milled sorghum is promising for 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(Syzygium aromaticum) powder addition on fermented maize pap. Their research demonstrated that incorporating clove not only extended the shelf life by inhibiting microbial spoilage but also enriched the antioxidant capacity of the pap. Cloves contain eugenol,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and Akinola (2022) evaluated the incorporation of bitter leaf (Vernonia amygdalina) extract into millet-based ogi.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ogi </w:t>
      </w:r>
      <w:r w:rsidRPr="00F44DF6">
        <w:rPr>
          <w:rFonts w:ascii="Times New Roman" w:eastAsia="Times New Roman" w:hAnsi="Times New Roman" w:cs="Times New Roman"/>
          <w:sz w:val="28"/>
          <w:szCs w:val="28"/>
        </w:rPr>
        <w:lastRenderedPageBreak/>
        <w:t>showed reduced total viable bacterial counts over a 7-day refrigerated storage period. The researchers attributed this to the high concentration of flavonoids, alkaloids, and other phytochemicals present in bitter leaf, which possess broad-spectrum 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Similarly, research by Nwokocha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aureus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study by Eze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w:t>
      </w:r>
      <w:r w:rsidRPr="00F44DF6">
        <w:rPr>
          <w:rFonts w:ascii="Times New Roman" w:eastAsia="Times New Roman" w:hAnsi="Times New Roman" w:cs="Times New Roman"/>
          <w:sz w:val="28"/>
          <w:szCs w:val="28"/>
        </w:rPr>
        <w:lastRenderedPageBreak/>
        <w:t>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Adekunle and Oladipo (2021) reviewed various traditional spices including cloves, bitter leaf, and black pepper for their roles in fortifying ogi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Ogi,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ogi during storage reduces its safety and acceptability, while its low protein and micronutrient </w:t>
      </w:r>
      <w:r w:rsidRPr="00F44DF6">
        <w:rPr>
          <w:rFonts w:ascii="Times New Roman" w:hAnsi="Times New Roman" w:cs="Times New Roman"/>
          <w:sz w:val="28"/>
          <w:szCs w:val="28"/>
        </w:rPr>
        <w:lastRenderedPageBreak/>
        <w:t>content raises concerns about its ability to meet dietary needs. Recent studies have explored natural additives to improve food quality and preservation, with bitter leaf (</w:t>
      </w:r>
      <w:r w:rsidRPr="00F44DF6">
        <w:rPr>
          <w:rFonts w:ascii="Times New Roman" w:hAnsi="Times New Roman" w:cs="Times New Roman"/>
          <w:i/>
          <w:iCs/>
          <w:sz w:val="28"/>
          <w:szCs w:val="28"/>
        </w:rPr>
        <w:t>Vernonia amygdalina</w:t>
      </w:r>
      <w:r w:rsidRPr="00F44DF6">
        <w:rPr>
          <w:rFonts w:ascii="Times New Roman" w:hAnsi="Times New Roman" w:cs="Times New Roman"/>
          <w:sz w:val="28"/>
          <w:szCs w:val="28"/>
        </w:rPr>
        <w:t>) showing promise due to its antimicrobial and nutritional properties (Ezekwesili et al., 2020). Despite this, there is limited research on its incorporation into ogi to enhance both shelf life and nutritional value. This study, therefore, seeks to investigate the effect of bitter leaf on the nutritional composition and microbial stability of wet-milled sorghum (ogi).</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supplementation on the nutritional composition and shelf life of wet-milled sorghum (ogi),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(ogi).</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To evaluate the sensory properties and consumer acceptability of ogi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lastRenderedPageBreak/>
        <w:t xml:space="preserve"> </w:t>
      </w:r>
      <w:bookmarkStart w:id="14" w:name="_Toc203047655"/>
      <w:r w:rsidRPr="00F44DF6">
        <w:rPr>
          <w:rFonts w:ascii="Times New Roman" w:eastAsia="Times New Roman" w:hAnsi="Times New Roman" w:cs="Times New Roman"/>
          <w:bCs/>
          <w:sz w:val="28"/>
          <w:szCs w:val="28"/>
        </w:rPr>
        <w:t>To determine the total titratable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t>1.5 Justification of Study</w:t>
      </w:r>
      <w:bookmarkEnd w:id="16"/>
      <w:r w:rsidR="00984A29" w:rsidRPr="00F44DF6">
        <w:rPr>
          <w:rFonts w:ascii="Times New Roman" w:eastAsia="Times New Roman" w:hAnsi="Times New Roman" w:cs="Times New Roman"/>
          <w:b/>
          <w:color w:val="auto"/>
          <w:sz w:val="28"/>
          <w:szCs w:val="28"/>
        </w:rPr>
        <w:t xml:space="preserve"> </w:t>
      </w:r>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lastRenderedPageBreak/>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r w:rsidRPr="00F44DF6">
        <w:rPr>
          <w:rFonts w:ascii="Times New Roman" w:eastAsia="Times New Roman" w:hAnsi="Times New Roman" w:cs="Times New Roman"/>
          <w:sz w:val="28"/>
          <w:szCs w:val="28"/>
        </w:rPr>
        <w:t>Oke oyi kwara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r w:rsidRPr="00F44DF6">
        <w:rPr>
          <w:rFonts w:ascii="Times New Roman" w:eastAsia="Times New Roman" w:hAnsi="Times New Roman" w:cs="Times New Roman"/>
          <w:i/>
          <w:sz w:val="28"/>
          <w:szCs w:val="28"/>
        </w:rPr>
        <w:t>Vernonia amygdalina</w:t>
      </w:r>
      <w:r w:rsidRPr="00F44DF6">
        <w:rPr>
          <w:rFonts w:ascii="Times New Roman" w:eastAsia="Times New Roman" w:hAnsi="Times New Roman" w:cs="Times New Roman"/>
          <w:sz w:val="28"/>
          <w:szCs w:val="28"/>
        </w:rPr>
        <w:t>) was sourced from Odo ota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lastRenderedPageBreak/>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w:t>
      </w:r>
      <w:r w:rsidRPr="00F44DF6">
        <w:rPr>
          <w:rFonts w:ascii="Times New Roman" w:eastAsia="Times New Roman" w:hAnsi="Times New Roman" w:cs="Times New Roman"/>
          <w:sz w:val="28"/>
          <w:szCs w:val="28"/>
        </w:rPr>
        <w:lastRenderedPageBreak/>
        <w:t>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308.5 g of sorghum + 0.7g ofbitter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307.5 g of sorghum + 1.25 gof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lastRenderedPageBreak/>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lastRenderedPageBreak/>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r w:rsidR="00783B08" w:rsidRPr="00F44DF6">
        <w:rPr>
          <w:sz w:val="28"/>
          <w:szCs w:val="28"/>
        </w:rPr>
        <w:t xml:space="preserve"> </w:t>
      </w:r>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t>
      </w:r>
      <w:r w:rsidRPr="00F44DF6">
        <w:rPr>
          <w:rFonts w:ascii="Times New Roman" w:eastAsia="Times New Roman" w:hAnsi="Times New Roman" w:cs="Times New Roman"/>
          <w:sz w:val="28"/>
          <w:szCs w:val="28"/>
        </w:rPr>
        <w:lastRenderedPageBreak/>
        <w:t>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r w:rsidR="00783B08" w:rsidRPr="00F44DF6">
        <w:rPr>
          <w:rFonts w:ascii="Times New Roman" w:eastAsia="Times New Roman" w:hAnsi="Times New Roman" w:cs="Times New Roman"/>
          <w:b/>
          <w:color w:val="auto"/>
          <w:sz w:val="28"/>
          <w:szCs w:val="28"/>
        </w:rPr>
        <w:t xml:space="preserve">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Bacterial isolates were characterized based on their colonial morphology, cellular morphology. The isolates were obtained from Nutrient Agar (NA) and MRS Agar plates and purified through repeated subculturing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lobate)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Colour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safranin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lastRenderedPageBreak/>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bacterial smear was prepared, heat-fixed, and covered with malachite green. The slide was steamed over boiling water for 5 minutes. It was rinsed with water and counterstained with safranin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c.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amount of bacterial colony was trans ferred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Indole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peptone water tubes were inoculated with the bacterial broth culture using a sterile needle technique, while an uninoculated tube was maintained as a control. </w:t>
      </w:r>
      <w:r w:rsidRPr="00F44DF6">
        <w:rPr>
          <w:rFonts w:ascii="Times New Roman" w:eastAsia="Times New Roman" w:hAnsi="Times New Roman" w:cs="Times New Roman"/>
          <w:sz w:val="28"/>
          <w:szCs w:val="28"/>
        </w:rPr>
        <w:lastRenderedPageBreak/>
        <w:t>Both the inoculated and control tubes were incubated at 37C for 24 to 48 hours. After incubation, 1 ml of Kovac's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Voges-Proskauer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techniquc,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means of loop inoculation, wvhile one tube was kept uninoculated as a control. The tubes were incubated at 37°C for 24 to 48 hours. After incubation, approximately 3 ml of Barrett's reagent A and 1 ml of Barrett's reagent B were added to both tubes, </w:t>
      </w:r>
      <w:r w:rsidRPr="00F44DF6">
        <w:rPr>
          <w:rFonts w:ascii="Times New Roman" w:eastAsia="Times New Roman" w:hAnsi="Times New Roman" w:cs="Times New Roman"/>
          <w:sz w:val="28"/>
          <w:szCs w:val="28"/>
        </w:rPr>
        <w:lastRenderedPageBreak/>
        <w:t>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s ere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organism by means of a stab and streak inoculation. An uninoculated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inoculation. An uninoculated tube was maintained as a control. The tubes were incubated</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Thioglycollate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Colony Colour: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Shape and Edge: Circular or irregular with entire or lobate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Lactophenol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fragment of fungal mycelium was picked with a sterile needle or blade. It was placed on a clean slide with a drop of lactophenol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palatability and consumer acceptability of the ogi samples, 150ml of distilled water was boiled on a gas cooker, and a tablespoo</w:t>
      </w:r>
      <w:r w:rsidR="00B739B4" w:rsidRPr="00F44DF6">
        <w:rPr>
          <w:rFonts w:ascii="Times New Roman" w:eastAsia="Times New Roman" w:hAnsi="Times New Roman" w:cs="Times New Roman"/>
          <w:sz w:val="28"/>
          <w:szCs w:val="28"/>
        </w:rPr>
        <w:t>n of each fermented paste (BLC1-, BLC2-, BLC3-</w:t>
      </w:r>
      <w:r w:rsidRPr="00F44DF6">
        <w:rPr>
          <w:rFonts w:ascii="Times New Roman" w:eastAsia="Times New Roman" w:hAnsi="Times New Roman" w:cs="Times New Roman"/>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lastRenderedPageBreak/>
        <w:t>2.</w:t>
      </w:r>
      <w:r w:rsidR="00093650" w:rsidRPr="00F44DF6">
        <w:rPr>
          <w:rFonts w:ascii="Times New Roman" w:eastAsia="Times New Roman" w:hAnsi="Times New Roman" w:cs="Times New Roman"/>
          <w:b/>
          <w:color w:val="auto"/>
          <w:sz w:val="28"/>
          <w:szCs w:val="28"/>
        </w:rPr>
        <w:t>7</w:t>
      </w:r>
      <w:r w:rsidRPr="00F44DF6">
        <w:rPr>
          <w:rFonts w:ascii="Times New Roman" w:eastAsia="Times New Roman" w:hAnsi="Times New Roman" w:cs="Times New Roman"/>
          <w:b/>
          <w:color w:val="auto"/>
          <w:sz w:val="28"/>
          <w:szCs w:val="28"/>
        </w:rPr>
        <w:t xml:space="preserve"> </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organism were purified using repeated subculturing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F44DF6">
        <w:rPr>
          <w:rFonts w:ascii="Times New Roman" w:eastAsia="Times New Roman" w:hAnsi="Times New Roman" w:cs="Times New Roman"/>
          <w:bCs/>
          <w:sz w:val="28"/>
          <w:szCs w:val="28"/>
        </w:rPr>
        <w:t>Total Titratable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w:t>
      </w:r>
      <w:r w:rsidRPr="00F44DF6">
        <w:rPr>
          <w:rFonts w:ascii="Times New Roman" w:eastAsia="Times New Roman" w:hAnsi="Times New Roman" w:cs="Times New Roman"/>
          <w:sz w:val="28"/>
          <w:szCs w:val="28"/>
        </w:rPr>
        <w:lastRenderedPageBreak/>
        <w:t>as appropriate. The aim was to determine whether the inclusion of bitter leaf at various concentrations had any effect on the nutritional profile of the fermented ogi.</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r w:rsidR="00783B08" w:rsidRPr="00F44DF6">
        <w:rPr>
          <w:rStyle w:val="Strong"/>
          <w:b/>
          <w:bCs/>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desicator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lastRenderedPageBreak/>
        <w:t>2.9</w:t>
      </w:r>
      <w:r w:rsidR="00783B08" w:rsidRPr="00F44DF6">
        <w:rPr>
          <w:rStyle w:val="Strong"/>
          <w:b/>
          <w:sz w:val="28"/>
          <w:szCs w:val="28"/>
        </w:rPr>
        <w:t>.1.3 Crude Protein</w:t>
      </w:r>
      <w:bookmarkEnd w:id="43"/>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t>2.9</w:t>
      </w:r>
      <w:r w:rsidR="00783B08" w:rsidRPr="00F44DF6">
        <w:rPr>
          <w:rStyle w:val="Strong"/>
          <w:b/>
          <w:sz w:val="28"/>
          <w:szCs w:val="28"/>
        </w:rPr>
        <w:t>.1.4 Crude Fat</w:t>
      </w:r>
      <w:bookmarkEnd w:id="44"/>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2g of sample will be weighed using an analytical weighing balance and extracted using petroleum ether for 4 hours in a Soxhlet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lastRenderedPageBreak/>
        <w:t>2.9</w:t>
      </w:r>
      <w:r w:rsidR="00783B08" w:rsidRPr="00F44DF6">
        <w:rPr>
          <w:rStyle w:val="Strong"/>
          <w:b/>
          <w:sz w:val="28"/>
          <w:szCs w:val="28"/>
        </w:rPr>
        <w:t>.1.5 Crude Fibre</w:t>
      </w:r>
      <w:bookmarkEnd w:id="45"/>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sample will be defatted and digested with 1.25% sulphuric acid and then 1.25% NaOH under reflux. The residue will be filtered, dried and weighed. The residue will ashed at 550</w:t>
      </w:r>
      <w:r w:rsidRPr="00F44DF6">
        <w:rPr>
          <w:rStyle w:val="Strong"/>
          <w:b w:val="0"/>
          <w:sz w:val="28"/>
          <w:szCs w:val="28"/>
          <w:vertAlign w:val="superscript"/>
        </w:rPr>
        <w:t>o</w:t>
      </w:r>
      <w:r w:rsidRPr="00F44DF6">
        <w:rPr>
          <w:rStyle w:val="Strong"/>
          <w:b w:val="0"/>
          <w:sz w:val="28"/>
          <w:szCs w:val="28"/>
        </w:rPr>
        <w:t xml:space="preserve">C and subtracted from the initial fibre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fibre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NFE (%) = 100 – (Moisture + Ash + Crude protein + Crude fat + Crude fibre)</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Smear was prepared and sequentially stained with crystal violet, iodine, alcohol, and safranin.</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safranin).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093650" w:rsidRPr="00F44DF6">
        <w:rPr>
          <w:rFonts w:ascii="Times New Roman" w:eastAsia="Times New Roman" w:hAnsi="Times New Roman" w:cs="Times New Roman"/>
          <w:sz w:val="28"/>
          <w:szCs w:val="28"/>
        </w:rPr>
        <w:t xml:space="preserve">um pH of a produet is below 4.0. </w:t>
      </w:r>
      <w:r w:rsidRPr="00F44DF6">
        <w:rPr>
          <w:rFonts w:ascii="Times New Roman" w:eastAsia="Times New Roman" w:hAnsi="Times New Roman" w:cs="Times New Roman"/>
          <w:sz w:val="28"/>
          <w:szCs w:val="28"/>
        </w:rPr>
        <w:t xml:space="preserve">Even if pH measurements with a pH meter are routinely done, titratable acidity is an important analytical method to assure that ingredients contain the expected, amount of acid. Final products may have too much, as well as too little, acid present. </w:t>
      </w:r>
      <w:r w:rsidRPr="00F44DF6">
        <w:rPr>
          <w:rFonts w:ascii="Times New Roman" w:eastAsia="Times New Roman" w:hAnsi="Times New Roman" w:cs="Times New Roman"/>
          <w:sz w:val="28"/>
          <w:szCs w:val="28"/>
        </w:rPr>
        <w:lastRenderedPageBreak/>
        <w:t>Both situations may indicate a problem with product quality. Measurement of titratable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While the sample was being stirred with a magnetic stirring bar, standard NaOH solution was added from a burette calibrated in milliliters. When the endpoint of the titration was reached, the volume of NaOH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lastRenderedPageBreak/>
        <w:t>2.11.1</w:t>
      </w:r>
      <w:r w:rsidR="00783B08" w:rsidRPr="00F44DF6">
        <w:rPr>
          <w:rFonts w:ascii="Times New Roman" w:eastAsia="Times New Roman" w:hAnsi="Times New Roman" w:cs="Times New Roman"/>
          <w:b/>
          <w:color w:val="auto"/>
          <w:sz w:val="28"/>
          <w:szCs w:val="28"/>
        </w:rPr>
        <w:t xml:space="preserve"> Calculation of Titratable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percent (%) acid in a sample is calculated predominant acid per 100 grams or 100 milliliters. The equation to calculate titratable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r w:rsidR="001C312A" w:rsidRPr="00F44DF6">
        <w:rPr>
          <w:rFonts w:ascii="Times New Roman" w:eastAsia="Times New Roman" w:hAnsi="Times New Roman" w:cs="Times New Roman"/>
          <w:b/>
          <w:sz w:val="28"/>
          <w:szCs w:val="28"/>
        </w:rPr>
        <w:t>=(NxVxM)/Sx10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 = Normality of standard NaOH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V = Volume of standard NaOH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lastRenderedPageBreak/>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Cfu/ml</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eastAsia="Times New Roman" w:hAnsi="Times New Roman" w:cs="Times New Roman"/>
          <w:b/>
          <w:color w:val="auto"/>
          <w:sz w:val="28"/>
          <w:szCs w:val="28"/>
        </w:rPr>
        <w:t xml:space="preserve"> </w:t>
      </w:r>
      <w:r w:rsidRPr="00F44DF6">
        <w:rPr>
          <w:rFonts w:ascii="Times New Roman" w:hAnsi="Times New Roman" w:cs="Times New Roman"/>
          <w:b/>
          <w:color w:val="auto"/>
          <w:sz w:val="28"/>
          <w:szCs w:val="28"/>
        </w:rPr>
        <w:t>SENSORY EVALUATION</w:t>
      </w:r>
      <w:bookmarkEnd w:id="58"/>
      <w:r w:rsidRPr="00F44DF6">
        <w:rPr>
          <w:rFonts w:ascii="Times New Roman" w:hAnsi="Times New Roman" w:cs="Times New Roman"/>
          <w:b/>
          <w:color w:val="auto"/>
          <w:sz w:val="28"/>
          <w:szCs w:val="28"/>
        </w:rPr>
        <w:t xml:space="preserve"> </w:t>
      </w:r>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F44DF6"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Odour</w:t>
            </w:r>
          </w:p>
        </w:tc>
        <w:tc>
          <w:tcPr>
            <w:tcW w:w="1456"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Colour</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C. Dw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C. N</w:t>
      </w:r>
      <w:r w:rsidR="00783B08" w:rsidRPr="00F44DF6">
        <w:rPr>
          <w:rFonts w:ascii="Times New Roman" w:hAnsi="Times New Roman" w:cs="Times New Roman"/>
          <w:b/>
          <w:sz w:val="28"/>
          <w:szCs w:val="28"/>
        </w:rPr>
        <w:t>w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lastRenderedPageBreak/>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firstRow="1" w:lastRow="0" w:firstColumn="1" w:lastColumn="0" w:noHBand="0" w:noVBand="1"/>
      </w:tblPr>
      <w:tblGrid>
        <w:gridCol w:w="1620"/>
        <w:gridCol w:w="1170"/>
        <w:gridCol w:w="1177"/>
        <w:gridCol w:w="1559"/>
        <w:gridCol w:w="993"/>
        <w:gridCol w:w="1041"/>
        <w:gridCol w:w="1170"/>
        <w:gridCol w:w="1260"/>
        <w:gridCol w:w="1890"/>
      </w:tblGrid>
      <w:tr w:rsidR="00B76A0D" w:rsidRPr="00F44DF6" w:rsidTr="009E344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Colour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lastRenderedPageBreak/>
        <w:t xml:space="preserve">3.4 </w:t>
      </w:r>
      <w:r w:rsidRPr="009E3445">
        <w:rPr>
          <w:rFonts w:ascii="Times New Roman" w:hAnsi="Times New Roman" w:cs="Times New Roman"/>
          <w:b/>
          <w:sz w:val="28"/>
          <w:szCs w:val="28"/>
          <w:shd w:val="clear" w:color="auto" w:fill="FFFFFF"/>
        </w:rPr>
        <w:t>IDENTIFICATION OF BACTERIA ISOLATES</w:t>
      </w:r>
      <w:bookmarkEnd w:id="60"/>
      <w:r w:rsidRPr="009E3445">
        <w:rPr>
          <w:rFonts w:ascii="Times New Roman" w:hAnsi="Times New Roman" w:cs="Times New Roman"/>
          <w:b/>
          <w:sz w:val="28"/>
          <w:szCs w:val="28"/>
          <w:shd w:val="clear" w:color="auto" w:fill="FFFFFF"/>
        </w:rPr>
        <w:t xml:space="preserve"> </w:t>
      </w:r>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B76A0D" w:rsidRPr="00F44DF6" w:rsidTr="0045531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Cellular Morphology</w:t>
            </w:r>
          </w:p>
        </w:tc>
        <w:tc>
          <w:tcPr>
            <w:tcW w:w="2880" w:type="dxa"/>
            <w:vMerge w:val="restart"/>
            <w:shd w:val="clear" w:color="auto" w:fill="auto"/>
          </w:tcPr>
          <w:p w:rsidR="00B76A0D" w:rsidRPr="00F44DF6" w:rsidRDefault="00B76A0D" w:rsidP="0045531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r w:rsidRPr="00F44DF6">
              <w:rPr>
                <w:rFonts w:ascii="Times New Roman" w:hAnsi="Times New Roman" w:cs="Times New Roman"/>
                <w:color w:val="auto"/>
                <w:sz w:val="28"/>
                <w:szCs w:val="28"/>
                <w:shd w:val="clear" w:color="auto" w:fill="FFFFFF"/>
              </w:rPr>
              <w:t xml:space="preserve">sp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aureus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subtilis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aeruginosa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Cocci </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Indole</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firstRow="1" w:lastRow="0" w:firstColumn="1" w:lastColumn="0" w:noHBand="0" w:noVBand="1"/>
      </w:tblPr>
      <w:tblGrid>
        <w:gridCol w:w="3117"/>
        <w:gridCol w:w="3117"/>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B. subtilus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S. aureus</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aeruginosa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r w:rsidR="004F7DD7" w:rsidRPr="00F44DF6">
        <w:rPr>
          <w:rFonts w:ascii="Times New Roman" w:hAnsi="Times New Roman" w:cs="Times New Roman"/>
          <w:b/>
          <w:color w:val="auto"/>
          <w:sz w:val="28"/>
          <w:szCs w:val="28"/>
        </w:rPr>
        <w:t xml:space="preserve"> </w:t>
      </w:r>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firstRow="1" w:lastRow="0" w:firstColumn="1" w:lastColumn="0" w:noHBand="0" w:noVBand="1"/>
      </w:tblPr>
      <w:tblGrid>
        <w:gridCol w:w="1260"/>
        <w:gridCol w:w="1562"/>
        <w:gridCol w:w="1138"/>
        <w:gridCol w:w="1440"/>
        <w:gridCol w:w="1249"/>
        <w:gridCol w:w="1134"/>
        <w:gridCol w:w="1487"/>
        <w:gridCol w:w="1440"/>
        <w:gridCol w:w="1260"/>
      </w:tblGrid>
      <w:tr w:rsidR="00F44DF6" w:rsidRPr="00F44DF6" w:rsidTr="009E3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flavus </w:t>
            </w:r>
            <w:r w:rsidRPr="00F44DF6">
              <w:rPr>
                <w:rFonts w:ascii="Times New Roman" w:hAnsi="Times New Roman" w:cs="Times New Roman"/>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niger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Globose,</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centre with whith margin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kudriavzevii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Uniseriate sterigmata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krusei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Uniseriate sterigmata</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firstRow="1" w:lastRow="0" w:firstColumn="1" w:lastColumn="0" w:noHBand="0" w:noVBand="1"/>
      </w:tblPr>
      <w:tblGrid>
        <w:gridCol w:w="1984"/>
        <w:gridCol w:w="4984"/>
      </w:tblGrid>
      <w:tr w:rsidR="004F7DD7"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Aspergillus niger </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Aspergillus flavus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Aspergillus niger</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r w:rsidR="004F7DD7" w:rsidRPr="00F44DF6">
              <w:rPr>
                <w:rFonts w:ascii="Times New Roman" w:hAnsi="Times New Roman" w:cs="Times New Roman"/>
                <w:color w:val="auto"/>
                <w:sz w:val="28"/>
                <w:szCs w:val="28"/>
              </w:rPr>
              <w:t xml:space="preserve"> </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P. kudriavzevii</w:t>
            </w:r>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lastRenderedPageBreak/>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firstRow="1" w:lastRow="0" w:firstColumn="1" w:lastColumn="0" w:noHBand="0" w:noVBand="1"/>
      </w:tblPr>
      <w:tblGrid>
        <w:gridCol w:w="1057"/>
        <w:gridCol w:w="1312"/>
        <w:gridCol w:w="1438"/>
        <w:gridCol w:w="1380"/>
        <w:gridCol w:w="1230"/>
        <w:gridCol w:w="1453"/>
        <w:gridCol w:w="1388"/>
        <w:gridCol w:w="1740"/>
      </w:tblGrid>
      <w:tr w:rsidR="00F44DF6" w:rsidRPr="00F44DF6" w:rsidTr="0045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lastRenderedPageBreak/>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Table 8: Titratable Results</w:t>
      </w:r>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Titre value(ml)</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Titre value(ml)</w:t>
            </w:r>
          </w:p>
        </w:tc>
        <w:tc>
          <w:tcPr>
            <w:tcW w:w="157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Average Titre value (ml)</w:t>
            </w:r>
          </w:p>
        </w:tc>
        <w:tc>
          <w:tcPr>
            <w:tcW w:w="1550"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Nw </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lastRenderedPageBreak/>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r w:rsidR="00236555" w:rsidRPr="00F44DF6">
        <w:rPr>
          <w:rFonts w:ascii="Times New Roman" w:eastAsia="Times New Roman" w:hAnsi="Times New Roman" w:cs="Times New Roman"/>
          <w:b/>
          <w:color w:val="auto"/>
          <w:sz w:val="28"/>
          <w:szCs w:val="28"/>
        </w:rPr>
        <w:t xml:space="preserve"> </w:t>
      </w:r>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r w:rsidRPr="00F44DF6">
        <w:rPr>
          <w:rFonts w:ascii="Times New Roman" w:eastAsia="Times New Roman" w:hAnsi="Times New Roman" w:cs="Times New Roman"/>
          <w:bCs/>
          <w:i/>
          <w:sz w:val="28"/>
          <w:szCs w:val="28"/>
        </w:rPr>
        <w:t>Vernonia amygdalina</w:t>
      </w:r>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ogi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r w:rsidRPr="00F44DF6">
        <w:rPr>
          <w:rFonts w:ascii="Times New Roman" w:eastAsia="Times New Roman" w:hAnsi="Times New Roman" w:cs="Times New Roman"/>
          <w:bCs/>
          <w:sz w:val="28"/>
          <w:szCs w:val="28"/>
        </w:rPr>
        <w:t>Olowolafe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MacConkey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r w:rsidRPr="00F44DF6">
        <w:rPr>
          <w:rFonts w:ascii="Times New Roman" w:eastAsia="Times New Roman" w:hAnsi="Times New Roman" w:cs="Times New Roman"/>
          <w:bCs/>
          <w:sz w:val="28"/>
          <w:szCs w:val="28"/>
        </w:rPr>
        <w:t>Chukwu et al. (2022)</w:t>
      </w:r>
      <w:r w:rsidRPr="00F44DF6">
        <w:rPr>
          <w:rFonts w:ascii="Times New Roman" w:eastAsia="Times New Roman" w:hAnsi="Times New Roman" w:cs="Times New Roman"/>
          <w:sz w:val="28"/>
          <w:szCs w:val="28"/>
        </w:rPr>
        <w:t>, who identified bioactive compounds in bitter leaf with fungistatic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lastRenderedPageBreak/>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ogi across various parameters. On Day 7, BLC3- scored highest in tasting (8) and general acceptability (9), compared to the control (C. NW) which scored 5 and 4 respectively. Notably, on Day 14, BLC1- maintained high scores in odour (8) and appearance (8), suggesting that the inclusion of bitter leaf improved or maintained the sensory appeal of ogi over time. These observations agree with the findings of </w:t>
      </w:r>
      <w:r w:rsidRPr="00F44DF6">
        <w:rPr>
          <w:rFonts w:ascii="Times New Roman" w:eastAsia="Times New Roman" w:hAnsi="Times New Roman" w:cs="Times New Roman"/>
          <w:bCs/>
          <w:sz w:val="28"/>
          <w:szCs w:val="28"/>
        </w:rPr>
        <w:t>Adegboye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Staphylococcus aureus</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Pseudomonas aeruginosa</w:t>
      </w:r>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r w:rsidRPr="00F44DF6">
        <w:rPr>
          <w:rFonts w:ascii="Times New Roman" w:eastAsia="Times New Roman" w:hAnsi="Times New Roman" w:cs="Times New Roman"/>
          <w:bCs/>
          <w:sz w:val="28"/>
          <w:szCs w:val="28"/>
        </w:rPr>
        <w:t>Akinbode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Fungal isolates (Tables 5 and 6) revealed the presence of </w:t>
      </w:r>
      <w:r w:rsidRPr="00F44DF6">
        <w:rPr>
          <w:rFonts w:ascii="Times New Roman" w:eastAsia="Times New Roman" w:hAnsi="Times New Roman" w:cs="Times New Roman"/>
          <w:bCs/>
          <w:sz w:val="28"/>
          <w:szCs w:val="28"/>
        </w:rPr>
        <w:t>Aspergillus flavus</w:t>
      </w:r>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Candida krusei</w:t>
      </w:r>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w:t>
      </w:r>
      <w:r w:rsidRPr="00F44DF6">
        <w:rPr>
          <w:rFonts w:ascii="Times New Roman" w:eastAsia="Times New Roman" w:hAnsi="Times New Roman" w:cs="Times New Roman"/>
          <w:sz w:val="28"/>
          <w:szCs w:val="28"/>
        </w:rPr>
        <w:lastRenderedPageBreak/>
        <w:t xml:space="preserve">antifungal potential. The reduction of harmful fungi is consistent with the findings of </w:t>
      </w:r>
      <w:r w:rsidRPr="00F44DF6">
        <w:rPr>
          <w:rFonts w:ascii="Times New Roman" w:eastAsia="Times New Roman" w:hAnsi="Times New Roman" w:cs="Times New Roman"/>
          <w:bCs/>
          <w:sz w:val="28"/>
          <w:szCs w:val="28"/>
        </w:rPr>
        <w:t>Iwuala et al. (2022)</w:t>
      </w:r>
      <w:r w:rsidRPr="00F44DF6">
        <w:rPr>
          <w:rFonts w:ascii="Times New Roman" w:eastAsia="Times New Roman" w:hAnsi="Times New Roman" w:cs="Times New Roman"/>
          <w:sz w:val="28"/>
          <w:szCs w:val="28"/>
        </w:rPr>
        <w:t>, who showed that plant-based matrices containing antifungal secondary metabolites reduce fungal contamination in ogi.</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ogi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r w:rsidRPr="00F44DF6">
        <w:rPr>
          <w:rFonts w:ascii="Times New Roman" w:eastAsia="Times New Roman" w:hAnsi="Times New Roman" w:cs="Times New Roman"/>
          <w:bCs/>
          <w:sz w:val="28"/>
          <w:szCs w:val="28"/>
        </w:rPr>
        <w:t>Onifade et al. (2022)</w:t>
      </w:r>
      <w:r w:rsidRPr="00F44DF6">
        <w:rPr>
          <w:rFonts w:ascii="Times New Roman" w:eastAsia="Times New Roman" w:hAnsi="Times New Roman" w:cs="Times New Roman"/>
          <w:sz w:val="28"/>
          <w:szCs w:val="28"/>
        </w:rPr>
        <w:t xml:space="preserve"> on moisture control and shelf stability in fortified ogi.</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titratable acidity (TTA) results presented in Table 8 illustrate the progressive increase in acidity of ogi samples over the 28-day storage period, indicating ongoing fermentation activity. At Day 7, the TTA values of the bitter leaf-fortified samples (BLC1-, BLC2-, and BLC3-) were slightly higher than those of the control samples (C. Nw and C. Dw), with BLC1- recording the highest TTA among the test samples (0.369%) and C. Nw the lowest overall (0.211%). By Day 14, a significant rise in </w:t>
      </w:r>
      <w:r w:rsidRPr="00F44DF6">
        <w:rPr>
          <w:rFonts w:ascii="Times New Roman" w:eastAsia="Times New Roman" w:hAnsi="Times New Roman" w:cs="Times New Roman"/>
          <w:sz w:val="28"/>
          <w:szCs w:val="28"/>
        </w:rPr>
        <w:lastRenderedPageBreak/>
        <w:t>TTA was observed across all samples, with control samples, particularly C. Dw (1.64%), showing a sharper increase than most fortified samples, suggesting accelerated fermentation and potential spoilage. At Day 28, this trend continued, with C. Dw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ogi's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ogi. These findings reinforce the conclusions of previous researchers such as </w:t>
      </w:r>
      <w:r w:rsidRPr="00F44DF6">
        <w:rPr>
          <w:rFonts w:ascii="Times New Roman" w:eastAsia="Times New Roman" w:hAnsi="Times New Roman" w:cs="Times New Roman"/>
          <w:bCs/>
          <w:sz w:val="28"/>
          <w:szCs w:val="28"/>
        </w:rPr>
        <w:t>Adegboye et al. (2022), Olowolafe et al. (2022), Akinbode et al. (2022), Bello et al. (2022), Iwuala et al. (2022), Chukwu et al. (2022), and Onifade et al. (2022)</w:t>
      </w:r>
      <w:r w:rsidRPr="00F44DF6">
        <w:rPr>
          <w:rFonts w:ascii="Times New Roman" w:eastAsia="Times New Roman" w:hAnsi="Times New Roman" w:cs="Times New Roman"/>
          <w:sz w:val="28"/>
          <w:szCs w:val="28"/>
        </w:rPr>
        <w:t xml:space="preserve">, emphasizing the potential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into ogi significantly improved its microbial safety, sensory quality, and nutritional composition over a 28-day storage period. The fortified samples (BLC1-, BLC2-, and BLC3-) </w:t>
      </w:r>
      <w:r w:rsidRPr="00F44DF6">
        <w:rPr>
          <w:rFonts w:ascii="Times New Roman" w:eastAsia="Times New Roman" w:hAnsi="Times New Roman" w:cs="Times New Roman"/>
          <w:sz w:val="28"/>
          <w:szCs w:val="28"/>
        </w:rPr>
        <w:lastRenderedPageBreak/>
        <w:t xml:space="preserve">consistently demonstrated lower bacterial and fungal counts, enhanced protein content, reduced moisture levels, and better overall acceptability compared to the control samples. These effects are attributable to the antimicrobial and nutritive 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ogi.</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r w:rsidRPr="00F44DF6">
        <w:rPr>
          <w:rStyle w:val="Emphasis"/>
          <w:sz w:val="28"/>
          <w:szCs w:val="28"/>
        </w:rPr>
        <w:t>Vernonia amygdalina</w:t>
      </w:r>
      <w:r w:rsidRPr="00F44DF6">
        <w:rPr>
          <w:sz w:val="28"/>
          <w:szCs w:val="28"/>
        </w:rPr>
        <w:t xml:space="preserve"> (bitter leaf) in ogi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ogi under </w:t>
      </w:r>
      <w:r w:rsidRPr="00F44DF6">
        <w:rPr>
          <w:sz w:val="28"/>
          <w:szCs w:val="28"/>
        </w:rPr>
        <w:lastRenderedPageBreak/>
        <w:t>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antinutritional factors should be assessed further to ensure safety, especially for infants and the elderly, who are primary consumers of ogi.</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ogi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Further Biochemical Profiling:</w:t>
      </w:r>
      <w:r w:rsidRPr="00F44DF6">
        <w:rPr>
          <w:sz w:val="28"/>
          <w:szCs w:val="28"/>
        </w:rPr>
        <w:t xml:space="preserve"> Future studies should include detailed phytochemical and antioxidant profiling of bitter leaf-fortified ogi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lastRenderedPageBreak/>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Abah, C. O., Eze, S. O., &amp; Okonkwo,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Abbah, J., Onwuliri, C. D., &amp; Ogunleye, A. O. (2020). Phytochemistry and nutritional composition of </w:t>
      </w:r>
      <w:r w:rsidRPr="00F44DF6">
        <w:rPr>
          <w:i/>
          <w:iCs/>
          <w:sz w:val="28"/>
          <w:szCs w:val="28"/>
        </w:rPr>
        <w:t>Vernonia amygdalina</w:t>
      </w:r>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Abdullahi, M. L., Ibrahim, S., &amp; Musa, A. (2020). Antimicrobial properties of </w:t>
      </w:r>
      <w:r w:rsidRPr="00F44DF6">
        <w:rPr>
          <w:rStyle w:val="Emphasis"/>
          <w:sz w:val="28"/>
          <w:szCs w:val="28"/>
        </w:rPr>
        <w:t>Vernonia amygdalina</w:t>
      </w:r>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4"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Adamu, A. M., Suleiman, M., &amp; Abubakar, M. B. (2020). Sesquiterpene lactones in </w:t>
      </w:r>
      <w:r w:rsidRPr="00F44DF6">
        <w:rPr>
          <w:rStyle w:val="Emphasis"/>
          <w:sz w:val="28"/>
          <w:szCs w:val="28"/>
        </w:rPr>
        <w:t>Vernonia amygdalina</w:t>
      </w:r>
      <w:r w:rsidRPr="00F44DF6">
        <w:rPr>
          <w:sz w:val="28"/>
          <w:szCs w:val="28"/>
        </w:rPr>
        <w:t xml:space="preserve"> and their bioactivities: A review. </w:t>
      </w:r>
      <w:r w:rsidRPr="00F44DF6">
        <w:rPr>
          <w:rStyle w:val="Emphasis"/>
          <w:sz w:val="28"/>
          <w:szCs w:val="28"/>
        </w:rPr>
        <w:t>Phytochemistry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Olanipekun, B. F., &amp; Adeyemi, A. A. (2021). Nutritional and phytochemical evaluation of </w:t>
      </w:r>
      <w:r w:rsidRPr="00F44DF6">
        <w:rPr>
          <w:rStyle w:val="Emphasis"/>
          <w:sz w:val="28"/>
          <w:szCs w:val="28"/>
        </w:rPr>
        <w:t>Vernonia amygdalina</w:t>
      </w:r>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Adedayo, O. S., Ajayi, O. E., &amp; Oyinloye, T. M. (2022). Antioxidant and antimicrobial potential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Adegboye, R. A., Yusuf, M. O., &amp; Ayeni,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Adekunle, O. A., &amp; Oladipo, O. (2021). Role of traditional spices in improving nutritional quality and shelf life of ogi: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&amp; Oluwole,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Adeyemi, I. A., Ojo, O. T., &amp; Eze,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Adeyemi, I. A., Oluwole, O. B., &amp; Adebayo, O. A. (2020). Drying and storage effects on nutritional quality of ogi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Afolabi, C. A., Adewale, D. A., &amp; Olorunfemi, A. A. (2020). Morphological and biochemical diversity in </w:t>
      </w:r>
      <w:r w:rsidRPr="00F44DF6">
        <w:rPr>
          <w:rStyle w:val="Emphasis"/>
          <w:sz w:val="28"/>
          <w:szCs w:val="28"/>
        </w:rPr>
        <w:t>Vernonia amygdalina</w:t>
      </w:r>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5"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Akinbode, O. A., Kolawole, A. O., &amp; Omole, R. E. (2022). Influence of leafy vegetable extracts on microbial profile and probiotic viability in ogi.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Akinola, S. A., Oyedele, D. J., &amp; Ajiboye, A. O. (2020). Limitations of traditional methods in ogi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6"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Awika, J. M., &amp; Rooney, L. W. (2021). Sorghum phytochemicals and their potential impact on human health. </w:t>
      </w:r>
      <w:r w:rsidRPr="00F44DF6">
        <w:rPr>
          <w:rFonts w:ascii="Times New Roman" w:eastAsia="Times New Roman" w:hAnsi="Times New Roman" w:cs="Times New Roman"/>
          <w:i/>
          <w:iCs/>
          <w:sz w:val="28"/>
          <w:szCs w:val="28"/>
        </w:rPr>
        <w:t>Phytochemistry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Ayoade, J. A., Ogundipe, O. T., &amp; Akinwande, B. A. (2021). Ethnobotanical and morphological analysis of field variants of </w:t>
      </w:r>
      <w:r w:rsidRPr="00F44DF6">
        <w:rPr>
          <w:rStyle w:val="Emphasis"/>
          <w:sz w:val="28"/>
          <w:szCs w:val="28"/>
        </w:rPr>
        <w:t>Vernonia amygdalina</w:t>
      </w:r>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7"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Bello, T. M., Ogunbona, F. A., &amp; Oladokun,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Chikezie, C. O., Ezema, K. A., &amp; Ugwu, J. A. (2023). Molecular characterization of </w:t>
      </w:r>
      <w:r w:rsidRPr="00F44DF6">
        <w:rPr>
          <w:rStyle w:val="Emphasis"/>
          <w:sz w:val="28"/>
          <w:szCs w:val="28"/>
        </w:rPr>
        <w:t>Vernonia amygdalina</w:t>
      </w:r>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18"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Chukwu, I. D., Nwachukwu, C. A., &amp; Eze,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Chukwuemeka, I., Onyeka, I., &amp; Uche, N. (2022). Antimicrobial and antioxidant properties of </w:t>
      </w:r>
      <w:r w:rsidRPr="00F44DF6">
        <w:rPr>
          <w:rStyle w:val="Emphasis"/>
          <w:sz w:val="28"/>
          <w:szCs w:val="28"/>
        </w:rPr>
        <w:t>Vernonia amygdalina</w:t>
      </w:r>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Chukwuma, E. C., Ugwu, O. P., &amp; Ojukwu, M. (2022). DNA barcoding and taxonomic validation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de Morais Cardoso, L., Pinheiro, S. S., Martino, H. S. D., &amp; Pinheiro-Sant’Ana, H. M. (2021). Sorghum: Nutritional composition, antioxidant capacity, and 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Ekpenyong, C. E., Akpan, E. E., &amp; Udoh, A. E. (2021). Phytochemical analysis and botanical classification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Ethnopharmacology</w:t>
      </w:r>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 C. U., Nnamani, C. V., &amp; Ibe,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Ezekwesili, C. N., Nnadi, C. C., &amp; Eze, I. C. (2023). Regulatory perspectives on the use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Regulatory 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Ezeokoli, O. T., Amadi, B. A., &amp; Okeke, C. O. (2021). Phytochemical screening and antioxidant activities of </w:t>
      </w:r>
      <w:r w:rsidRPr="00F44DF6">
        <w:rPr>
          <w:rStyle w:val="Emphasis"/>
          <w:sz w:val="28"/>
          <w:szCs w:val="28"/>
        </w:rPr>
        <w:t>Vernonia amygdalina</w:t>
      </w:r>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Ezeonu, C. S., Onwubuya, E. S., &amp; Udeh, L. E. (2020). Antimicrobial properties of bitter leaf (Vernonia amygdalina) in food preservation: A review. </w:t>
      </w:r>
      <w:r w:rsidRPr="00F44DF6">
        <w:rPr>
          <w:rFonts w:ascii="Times New Roman" w:eastAsia="Times New Roman" w:hAnsi="Times New Roman" w:cs="Times New Roman"/>
          <w:i/>
          <w:iCs/>
          <w:sz w:val="28"/>
          <w:szCs w:val="28"/>
        </w:rPr>
        <w:t>African 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Ezeonu, I. M., Njoku, C. O., &amp; Ibe,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Farré, A., Sreenivasulu,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Abdullahi, S. M. (2020). Sensory evaluation of sorghum products supplemented with bitter leaf powder. </w:t>
      </w:r>
      <w:r w:rsidRPr="00F44DF6">
        <w:rPr>
          <w:rStyle w:val="Emphasis"/>
          <w:sz w:val="28"/>
          <w:szCs w:val="28"/>
        </w:rPr>
        <w:t>International 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Ibrahim, A., Danladi, A. I., &amp; Mohammed, H. A. (2021). Comparative phytochemical screening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Emphasis on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Ijeh, I. I., &amp; Ejike, C. E. C. C. (2022). Effect of processing on the nutritional and antinutritional components of </w:t>
      </w:r>
      <w:r w:rsidRPr="00F44DF6">
        <w:rPr>
          <w:rStyle w:val="Emphasis"/>
          <w:sz w:val="28"/>
          <w:szCs w:val="28"/>
        </w:rPr>
        <w:t>Vernonia amygdalina</w:t>
      </w:r>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Iwuala, H. O., Okonkwo, C. N., &amp; Nduka, O. J. (2022). Effect of plant extracts on the microbial and sensory quality of ogi.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Mace, E. S., Tai, S., Gilding, E. K., Li, Y., Prentis, P. J., Bian, L., ... &amp; Jordan, D. R. (2021). Whole-genome sequencing reveals untapped genetic potential in 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Mbanya, N., Tchinda, R. A., &amp; Nono, T. (2020). Ethnobotanical study of bitter leaf (</w:t>
      </w:r>
      <w:r w:rsidRPr="00F44DF6">
        <w:rPr>
          <w:rStyle w:val="Emphasis"/>
          <w:sz w:val="28"/>
          <w:szCs w:val="28"/>
        </w:rPr>
        <w:t>Vernonia amygdalina</w:t>
      </w:r>
      <w:r w:rsidRPr="00F44DF6">
        <w:rPr>
          <w:sz w:val="28"/>
          <w:szCs w:val="28"/>
        </w:rPr>
        <w:t xml:space="preserve">) varieties used in Cameroon: Cultural insights and classification. </w:t>
      </w:r>
      <w:r w:rsidRPr="00F44DF6">
        <w:rPr>
          <w:rStyle w:val="Emphasis"/>
          <w:sz w:val="28"/>
          <w:szCs w:val="28"/>
        </w:rPr>
        <w:t>Journal of Ethnobiology and Ethnomedicine</w:t>
      </w:r>
      <w:r w:rsidRPr="00F44DF6">
        <w:rPr>
          <w:sz w:val="28"/>
          <w:szCs w:val="28"/>
        </w:rPr>
        <w:t xml:space="preserve">, 16, 55. </w:t>
      </w:r>
      <w:hyperlink r:id="rId19"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Mukurumbira, A. R., Nyoni, H., &amp; Aremu, A. O. (2021). Polyphenolic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Ndukwu, B. C., &amp; Omaliko, C. P. E. (2022). Soil and climatic adaptation of </w:t>
      </w:r>
      <w:r w:rsidRPr="00F44DF6">
        <w:rPr>
          <w:rStyle w:val="Emphasis"/>
          <w:sz w:val="28"/>
          <w:szCs w:val="28"/>
        </w:rPr>
        <w:t>Vernonia amygdalina</w:t>
      </w:r>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Nkongho, R. N., Ndam, L. M., &amp; Tata, E. S. (2021). Taxonomic classification and utilization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Nkwocha, M. C., Obasi, S. O., &amp; Eze,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lastRenderedPageBreak/>
        <w:t xml:space="preserve">Nwachukwu, I. N., Okorie, N. C., &amp; Agu,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Nwafor, E. C., Nnamani, C. V., &amp; Eze,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0"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Nwokocha, L. U., Eze, J. I., &amp; Okeke,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Nworu, C. S., Nwachukwu, I. N., &amp; Orji, K. C. (2022). Antioxidant potential of </w:t>
      </w:r>
      <w:r w:rsidRPr="00F44DF6">
        <w:rPr>
          <w:rStyle w:val="Emphasis"/>
          <w:sz w:val="28"/>
          <w:szCs w:val="28"/>
        </w:rPr>
        <w:t>Vernonia amygdalina</w:t>
      </w:r>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Ogundele, F. G., Adewoyin, A. T., &amp; Akintobi, O. A. (2021). Traditional knowledge and naming systems of </w:t>
      </w:r>
      <w:r w:rsidRPr="00F44DF6">
        <w:rPr>
          <w:rStyle w:val="Emphasis"/>
          <w:sz w:val="28"/>
          <w:szCs w:val="28"/>
        </w:rPr>
        <w:t>Vernonia amygdalina</w:t>
      </w:r>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Ogundipe, O. O., Olaleye, T. M., &amp; Akintoye, O. A. (2021). Influence of harvest season on phytochemical content of </w:t>
      </w:r>
      <w:r w:rsidRPr="00F44DF6">
        <w:rPr>
          <w:rStyle w:val="Emphasis"/>
          <w:sz w:val="28"/>
          <w:szCs w:val="28"/>
        </w:rPr>
        <w:t>Vernonia amygdalina</w:t>
      </w:r>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r w:rsidRPr="00F44DF6">
        <w:rPr>
          <w:sz w:val="28"/>
          <w:szCs w:val="28"/>
        </w:rPr>
        <w:t>Ogunlade, O. T., Ojo, D. O., &amp; Oladipo, S. T. (2020). Mineral composition and nutritional quality of bitter leaf (</w:t>
      </w:r>
      <w:r w:rsidRPr="00F44DF6">
        <w:rPr>
          <w:rStyle w:val="Emphasis"/>
          <w:sz w:val="28"/>
          <w:szCs w:val="28"/>
        </w:rPr>
        <w:t>Vernonia amygdalina</w:t>
      </w:r>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Ogunremi, O. R., Adebo, O. A., &amp; Kayitesi, E. (2021). Nutritional, sensory, and probiotic properties of fermented sorghum ogi.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Ogunyemi, O. M., Afolabi, C. A., &amp; Ayeni, A. O. (2020). Genomic insights into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Ojo, O. O., Olayanju, T. M., &amp; Ajayi,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Okafor, J. I., Nwosu, P. N., &amp; Onyekachi, C. U. (2021). Nutritional enhancement of sorghum flour using Vernonia amygdalina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r w:rsidRPr="00F44DF6">
        <w:rPr>
          <w:sz w:val="28"/>
          <w:szCs w:val="28"/>
        </w:rPr>
        <w:t>Okoye, I. M., Uzochukwu, S. C., &amp; Ukaoma, A. A. (2021). Historical and ethnobotanical perspective of bitter leaf (</w:t>
      </w:r>
      <w:r w:rsidRPr="00F44DF6">
        <w:rPr>
          <w:rStyle w:val="Emphasis"/>
          <w:sz w:val="28"/>
          <w:szCs w:val="28"/>
        </w:rPr>
        <w:t>Vernonia amygdalina</w:t>
      </w:r>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Oladipo, M. O., Salami, A. T., &amp; Ajani, O. E. (2020). The geographical spread and utilization of </w:t>
      </w:r>
      <w:r w:rsidRPr="00F44DF6">
        <w:rPr>
          <w:rStyle w:val="Emphasis"/>
          <w:sz w:val="28"/>
          <w:szCs w:val="28"/>
        </w:rPr>
        <w:t>Vernonia amygdalina</w:t>
      </w:r>
      <w:r w:rsidRPr="00F44DF6">
        <w:rPr>
          <w:sz w:val="28"/>
          <w:szCs w:val="28"/>
        </w:rPr>
        <w:t xml:space="preserve"> in Sub-Saharan Africa. </w:t>
      </w:r>
      <w:r w:rsidRPr="00F44DF6">
        <w:rPr>
          <w:rStyle w:val="Emphasis"/>
          <w:sz w:val="28"/>
          <w:szCs w:val="28"/>
        </w:rPr>
        <w:t>Journal of Ethnobiology and Ethnomedicine</w:t>
      </w:r>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Olagunju, A. I., Ogunbunmi, M. O., &amp; Omoba, O. S. (2020). Effect of malting and fermentation on physicochemical properties of sorghum flour and phenolic 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O. O., &amp; Akinola, S. A. (2022). Nutritional and antimicrobial enhancement of millet ogi supplemented with Vernonia amygdalina extract. </w:t>
      </w:r>
      <w:r w:rsidRPr="00F44DF6">
        <w:rPr>
          <w:rFonts w:ascii="Times New Roman" w:eastAsia="Times New Roman" w:hAnsi="Times New Roman" w:cs="Times New Roman"/>
          <w:i/>
          <w:iCs/>
          <w:sz w:val="28"/>
          <w:szCs w:val="28"/>
        </w:rPr>
        <w:lastRenderedPageBreak/>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Olowolafe, T. A., Balogun, M. E., &amp; Sadiq,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Onabanjo, O. O., Oluwole, O. B., &amp; Adebo, O. A. (2020). Fermentation characteristics and quality attributes of ogi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Onifade, A. O., Salami, T. O., &amp; Adeniyi, M. A. (2022). Role of moisture content in the shelf stability of fortified ogi.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Onyango, C., Onyango, E. M., &amp; Wangoh,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Uche, C. N., Agbo, E. B., &amp; Okonkwo, C. C. (2021). Impact of bitter leaf extracts on the nutritional and microbial quality of fermented sorghum. </w:t>
      </w:r>
      <w:r w:rsidRPr="00F44DF6">
        <w:rPr>
          <w:rStyle w:val="Emphasis"/>
          <w:sz w:val="28"/>
          <w:szCs w:val="28"/>
        </w:rPr>
        <w:t>Journal of Food Science and Technology</w:t>
      </w:r>
      <w:r w:rsidRPr="00F44DF6">
        <w:rPr>
          <w:sz w:val="28"/>
          <w:szCs w:val="28"/>
        </w:rPr>
        <w:t xml:space="preserve">, 58(11), 4025–4032. </w:t>
      </w:r>
      <w:hyperlink r:id="rId21"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Ugbogu, E. A., &amp; Obiakor, M. C. (2022). Effects of Vernonia amygdalina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Umechuruba, C. D., &amp; Nwosu, M. O. (2023). Comparative analysis of extraction solvents on phytochemical yield from </w:t>
      </w:r>
      <w:r w:rsidRPr="00F44DF6">
        <w:rPr>
          <w:rStyle w:val="Emphasis"/>
          <w:sz w:val="28"/>
          <w:szCs w:val="28"/>
        </w:rPr>
        <w:t>Vernonia amygdalina</w:t>
      </w:r>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741" w:rsidRDefault="00356741" w:rsidP="004F7DD7">
      <w:pPr>
        <w:spacing w:after="0" w:line="240" w:lineRule="auto"/>
      </w:pPr>
      <w:r>
        <w:separator/>
      </w:r>
    </w:p>
  </w:endnote>
  <w:endnote w:type="continuationSeparator" w:id="0">
    <w:p w:rsidR="00356741" w:rsidRDefault="00356741" w:rsidP="004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315416"/>
      <w:docPartObj>
        <w:docPartGallery w:val="Page Numbers (Bottom of Page)"/>
        <w:docPartUnique/>
      </w:docPartObj>
    </w:sdtPr>
    <w:sdtEndPr>
      <w:rPr>
        <w:noProof/>
      </w:rPr>
    </w:sdtEndPr>
    <w:sdtContent>
      <w:p w:rsidR="003B5479" w:rsidRDefault="003B5479">
        <w:pPr>
          <w:pStyle w:val="Footer"/>
          <w:jc w:val="center"/>
        </w:pPr>
        <w:r>
          <w:fldChar w:fldCharType="begin"/>
        </w:r>
        <w:r>
          <w:instrText xml:space="preserve"> PAGE   \* MERGEFORMAT </w:instrText>
        </w:r>
        <w:r>
          <w:fldChar w:fldCharType="separate"/>
        </w:r>
        <w:r w:rsidR="00AA415C">
          <w:rPr>
            <w:noProof/>
          </w:rPr>
          <w:t>i</w:t>
        </w:r>
        <w:r>
          <w:rPr>
            <w:noProof/>
          </w:rPr>
          <w:fldChar w:fldCharType="end"/>
        </w:r>
      </w:p>
    </w:sdtContent>
  </w:sdt>
  <w:p w:rsidR="003B5479" w:rsidRDefault="003B54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741" w:rsidRDefault="00356741" w:rsidP="004F7DD7">
      <w:pPr>
        <w:spacing w:after="0" w:line="240" w:lineRule="auto"/>
      </w:pPr>
      <w:r>
        <w:separator/>
      </w:r>
    </w:p>
  </w:footnote>
  <w:footnote w:type="continuationSeparator" w:id="0">
    <w:p w:rsidR="00356741" w:rsidRDefault="00356741" w:rsidP="004F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098"/>
    <w:rsid w:val="00002DBD"/>
    <w:rsid w:val="00006D72"/>
    <w:rsid w:val="00024861"/>
    <w:rsid w:val="00092D09"/>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E2552"/>
    <w:rsid w:val="003277FB"/>
    <w:rsid w:val="003435E2"/>
    <w:rsid w:val="003437E9"/>
    <w:rsid w:val="00356741"/>
    <w:rsid w:val="00363D84"/>
    <w:rsid w:val="003752B9"/>
    <w:rsid w:val="0039067E"/>
    <w:rsid w:val="003B5479"/>
    <w:rsid w:val="003F4AC8"/>
    <w:rsid w:val="003F6E21"/>
    <w:rsid w:val="00417501"/>
    <w:rsid w:val="0043487F"/>
    <w:rsid w:val="00447804"/>
    <w:rsid w:val="00455312"/>
    <w:rsid w:val="00480D00"/>
    <w:rsid w:val="004B0F21"/>
    <w:rsid w:val="004B25EF"/>
    <w:rsid w:val="004C231E"/>
    <w:rsid w:val="004C30C5"/>
    <w:rsid w:val="004C534B"/>
    <w:rsid w:val="004F38C8"/>
    <w:rsid w:val="004F43F0"/>
    <w:rsid w:val="004F7DD7"/>
    <w:rsid w:val="00527CC9"/>
    <w:rsid w:val="00536042"/>
    <w:rsid w:val="00543CCF"/>
    <w:rsid w:val="00561A2E"/>
    <w:rsid w:val="00581C7A"/>
    <w:rsid w:val="00637EE4"/>
    <w:rsid w:val="00645FF4"/>
    <w:rsid w:val="0066431E"/>
    <w:rsid w:val="006778C2"/>
    <w:rsid w:val="006808AE"/>
    <w:rsid w:val="00691A88"/>
    <w:rsid w:val="006F022C"/>
    <w:rsid w:val="00722709"/>
    <w:rsid w:val="00783B08"/>
    <w:rsid w:val="0078606D"/>
    <w:rsid w:val="007A5C16"/>
    <w:rsid w:val="007A6ED2"/>
    <w:rsid w:val="007B483F"/>
    <w:rsid w:val="007B6009"/>
    <w:rsid w:val="00826D75"/>
    <w:rsid w:val="0085572E"/>
    <w:rsid w:val="0087644F"/>
    <w:rsid w:val="00876C68"/>
    <w:rsid w:val="00885E95"/>
    <w:rsid w:val="008A450D"/>
    <w:rsid w:val="008B7246"/>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5C"/>
    <w:rsid w:val="00AA4174"/>
    <w:rsid w:val="00AA5E60"/>
    <w:rsid w:val="00AA6098"/>
    <w:rsid w:val="00AB04FC"/>
    <w:rsid w:val="00AE2453"/>
    <w:rsid w:val="00B378A0"/>
    <w:rsid w:val="00B453D4"/>
    <w:rsid w:val="00B5228B"/>
    <w:rsid w:val="00B52347"/>
    <w:rsid w:val="00B64240"/>
    <w:rsid w:val="00B739B4"/>
    <w:rsid w:val="00B76A0D"/>
    <w:rsid w:val="00BA1987"/>
    <w:rsid w:val="00BB744F"/>
    <w:rsid w:val="00C550C4"/>
    <w:rsid w:val="00C70A06"/>
    <w:rsid w:val="00C77AD7"/>
    <w:rsid w:val="00C878E8"/>
    <w:rsid w:val="00D118DD"/>
    <w:rsid w:val="00D27252"/>
    <w:rsid w:val="00D31903"/>
    <w:rsid w:val="00D415F8"/>
    <w:rsid w:val="00D52727"/>
    <w:rsid w:val="00D7069A"/>
    <w:rsid w:val="00DA0F41"/>
    <w:rsid w:val="00DB7693"/>
    <w:rsid w:val="00E13BCF"/>
    <w:rsid w:val="00E20C98"/>
    <w:rsid w:val="00E71726"/>
    <w:rsid w:val="00EC360A"/>
    <w:rsid w:val="00F157B5"/>
    <w:rsid w:val="00F44DF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D0BE2D-2127-4D14-8047-0652023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7DD7"/>
    <w:pPr>
      <w:spacing w:after="0" w:line="240" w:lineRule="auto"/>
    </w:pPr>
  </w:style>
  <w:style w:type="table" w:styleId="ListTable2">
    <w:name w:val="List Table 2"/>
    <w:basedOn w:val="TableNormal"/>
    <w:uiPriority w:val="47"/>
    <w:rsid w:val="00826D7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6D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5897/AJB2022.17456" TargetMode="External"/><Relationship Id="rId3" Type="http://schemas.openxmlformats.org/officeDocument/2006/relationships/styles" Target="styles.xml"/><Relationship Id="rId21" Type="http://schemas.openxmlformats.org/officeDocument/2006/relationships/hyperlink" Target="https://doi.org/10.1007/s13197-021-05044-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4314/njb.v34i2.5" TargetMode="External"/><Relationship Id="rId2" Type="http://schemas.openxmlformats.org/officeDocument/2006/relationships/numbering" Target="numbering.xml"/><Relationship Id="rId16" Type="http://schemas.openxmlformats.org/officeDocument/2006/relationships/hyperlink" Target="https://doi.org/10.1155/2020/8876543" TargetMode="External"/><Relationship Id="rId20" Type="http://schemas.openxmlformats.org/officeDocument/2006/relationships/hyperlink" Target="https://doi.org/10.5539/jps.v11n1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1016/j.sciaf.2020.e00423"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86/s13002-020-00394-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5897/JMPR2020.668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EA930-F3D8-47F5-A460-60B3B2AA6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18655</Words>
  <Characters>106336</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2025-07-11T11:16:00Z</cp:lastPrinted>
  <dcterms:created xsi:type="dcterms:W3CDTF">2025-07-12T22:23:00Z</dcterms:created>
  <dcterms:modified xsi:type="dcterms:W3CDTF">2025-07-12T22:23:00Z</dcterms:modified>
</cp:coreProperties>
</file>