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BA9D3">
      <w:pPr>
        <w:spacing w:after="0"/>
        <w:jc w:val="center"/>
        <w:rPr>
          <w:rFonts w:cs="Tahoma" w:asciiTheme="majorHAnsi" w:hAnsiTheme="majorHAnsi"/>
          <w:b/>
          <w:sz w:val="32"/>
          <w:szCs w:val="40"/>
        </w:rPr>
      </w:pPr>
      <w:r>
        <w:rPr>
          <w:b/>
          <w:sz w:val="32"/>
          <w:szCs w:val="32"/>
          <w:lang w:val="en-US" w:eastAsia="en-US"/>
        </w:rPr>
        <w:drawing>
          <wp:inline distT="0" distB="0" distL="0" distR="0">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04850" cy="666750"/>
                    </a:xfrm>
                    <a:prstGeom prst="rect">
                      <a:avLst/>
                    </a:prstGeom>
                    <a:noFill/>
                    <a:ln>
                      <a:noFill/>
                    </a:ln>
                  </pic:spPr>
                </pic:pic>
              </a:graphicData>
            </a:graphic>
          </wp:inline>
        </w:drawing>
      </w:r>
    </w:p>
    <w:p w14:paraId="42DC3312">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14:paraId="6C6FB6A7">
      <w:pPr>
        <w:spacing w:after="0" w:line="240" w:lineRule="auto"/>
        <w:jc w:val="center"/>
        <w:rPr>
          <w:rFonts w:ascii="Calisto MT" w:hAnsi="Calisto MT" w:cs="Tahoma"/>
          <w:b/>
          <w:sz w:val="14"/>
          <w:szCs w:val="28"/>
        </w:rPr>
      </w:pPr>
    </w:p>
    <w:p w14:paraId="35F85469">
      <w:pPr>
        <w:spacing w:after="0" w:line="240" w:lineRule="auto"/>
        <w:jc w:val="center"/>
        <w:rPr>
          <w:rFonts w:ascii="Calisto MT" w:hAnsi="Calisto MT" w:cs="Tahoma"/>
          <w:b/>
          <w:sz w:val="28"/>
          <w:szCs w:val="28"/>
        </w:rPr>
      </w:pPr>
      <w:r>
        <w:rPr>
          <w:rFonts w:ascii="Calisto MT" w:hAnsi="Calisto MT" w:cs="Tahoma"/>
          <w:b/>
          <w:sz w:val="28"/>
          <w:szCs w:val="28"/>
        </w:rPr>
        <w:t xml:space="preserve">COMPARATIVE QUALITATIVE DETECTION OF ADULTERANTS IN SELECTED COMMERCIAL BRANDS OF </w:t>
      </w:r>
      <w:r>
        <w:rPr>
          <w:rFonts w:hint="default" w:ascii="Times New Roman" w:hAnsi="Times New Roman" w:cs="Times New Roman"/>
          <w:b/>
          <w:bCs/>
          <w:color w:val="auto"/>
          <w:sz w:val="28"/>
          <w:szCs w:val="28"/>
          <w:lang w:val="en-US"/>
        </w:rPr>
        <w:t>POWDERED</w:t>
      </w:r>
      <w:r>
        <w:rPr>
          <w:rFonts w:ascii="Calisto MT" w:hAnsi="Calisto MT" w:cs="Tahoma"/>
          <w:b/>
          <w:sz w:val="28"/>
          <w:szCs w:val="28"/>
        </w:rPr>
        <w:t xml:space="preserve"> MILKS SOLD WITHIN ILORIN METROPOLIS</w:t>
      </w:r>
    </w:p>
    <w:p w14:paraId="49B7C735">
      <w:pPr>
        <w:spacing w:after="0"/>
        <w:jc w:val="center"/>
        <w:rPr>
          <w:rFonts w:ascii="Monotype Corsiva" w:hAnsi="Monotype Corsiva" w:cs="Tahoma"/>
          <w:b/>
          <w:sz w:val="16"/>
          <w:szCs w:val="40"/>
        </w:rPr>
      </w:pPr>
    </w:p>
    <w:p w14:paraId="29E1A682">
      <w:pPr>
        <w:spacing w:after="0"/>
        <w:jc w:val="center"/>
        <w:rPr>
          <w:rFonts w:ascii="Monotype Corsiva" w:hAnsi="Monotype Corsiva" w:cs="Tahoma"/>
          <w:b/>
          <w:sz w:val="32"/>
          <w:szCs w:val="40"/>
        </w:rPr>
      </w:pPr>
      <w:r>
        <w:rPr>
          <w:rFonts w:ascii="Monotype Corsiva" w:hAnsi="Monotype Corsiva" w:cs="Tahoma"/>
          <w:b/>
          <w:sz w:val="32"/>
          <w:szCs w:val="40"/>
        </w:rPr>
        <w:t>By</w:t>
      </w:r>
    </w:p>
    <w:p w14:paraId="5BA9CC9A">
      <w:pPr>
        <w:spacing w:after="0"/>
        <w:jc w:val="center"/>
        <w:rPr>
          <w:rFonts w:ascii="Times New Roman" w:hAnsi="Times New Roman" w:cs="Times New Roman"/>
          <w:b/>
          <w:sz w:val="16"/>
          <w:szCs w:val="28"/>
        </w:rPr>
      </w:pPr>
    </w:p>
    <w:p w14:paraId="096F85FE">
      <w:pPr>
        <w:spacing w:after="0" w:line="240" w:lineRule="auto"/>
        <w:jc w:val="center"/>
        <w:rPr>
          <w:rFonts w:ascii="Times New Roman" w:hAnsi="Times New Roman" w:cs="Times New Roman"/>
          <w:b/>
          <w:sz w:val="36"/>
          <w:szCs w:val="28"/>
        </w:rPr>
      </w:pPr>
    </w:p>
    <w:p w14:paraId="18BEA446">
      <w:pPr>
        <w:spacing w:after="0" w:line="240" w:lineRule="auto"/>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AYOOLA ROKEEBAT OLABISI</w:t>
      </w:r>
    </w:p>
    <w:p w14:paraId="1FCE83C6">
      <w:pPr>
        <w:spacing w:after="0" w:line="240" w:lineRule="auto"/>
        <w:jc w:val="center"/>
        <w:rPr>
          <w:rFonts w:hint="default" w:ascii="Times New Roman" w:hAnsi="Times New Roman" w:cs="Times New Roman"/>
          <w:b/>
          <w:sz w:val="36"/>
          <w:szCs w:val="28"/>
          <w:lang w:val="en-US"/>
        </w:rPr>
      </w:pPr>
      <w:r>
        <w:rPr>
          <w:rFonts w:ascii="Times New Roman" w:hAnsi="Times New Roman" w:cs="Times New Roman"/>
          <w:b/>
          <w:sz w:val="36"/>
          <w:szCs w:val="28"/>
        </w:rPr>
        <w:t>ND/23/NAD/FT/00</w:t>
      </w:r>
      <w:r>
        <w:rPr>
          <w:rFonts w:hint="default" w:ascii="Times New Roman" w:hAnsi="Times New Roman" w:cs="Times New Roman"/>
          <w:b/>
          <w:sz w:val="36"/>
          <w:szCs w:val="28"/>
          <w:lang w:val="en-US"/>
        </w:rPr>
        <w:t>64</w:t>
      </w:r>
    </w:p>
    <w:p w14:paraId="23880615">
      <w:pPr>
        <w:spacing w:after="0"/>
        <w:ind w:firstLine="720"/>
        <w:jc w:val="both"/>
        <w:rPr>
          <w:rFonts w:ascii="Times New Roman" w:hAnsi="Times New Roman" w:cs="Times New Roman"/>
          <w:b/>
          <w:sz w:val="30"/>
          <w:szCs w:val="26"/>
        </w:rPr>
      </w:pPr>
      <w:r>
        <w:rPr>
          <w:rFonts w:ascii="Times New Roman" w:hAnsi="Times New Roman" w:cs="Times New Roman"/>
          <w:b/>
          <w:sz w:val="30"/>
          <w:szCs w:val="26"/>
        </w:rPr>
        <w:tab/>
      </w:r>
    </w:p>
    <w:p w14:paraId="4EF52827">
      <w:pPr>
        <w:spacing w:after="0"/>
        <w:ind w:firstLine="720"/>
        <w:jc w:val="both"/>
        <w:rPr>
          <w:rFonts w:ascii="Times New Roman" w:hAnsi="Times New Roman" w:cs="Times New Roman"/>
          <w:b/>
          <w:sz w:val="30"/>
          <w:szCs w:val="26"/>
        </w:rPr>
      </w:pPr>
    </w:p>
    <w:p w14:paraId="3B5D9812">
      <w:pPr>
        <w:spacing w:after="0"/>
        <w:ind w:firstLine="720"/>
        <w:jc w:val="both"/>
        <w:rPr>
          <w:rFonts w:ascii="Times New Roman" w:hAnsi="Times New Roman" w:cs="Times New Roman"/>
          <w:b/>
          <w:sz w:val="26"/>
          <w:szCs w:val="26"/>
        </w:rPr>
      </w:pPr>
    </w:p>
    <w:p w14:paraId="3A641421">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14:paraId="176C253C">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14:paraId="1BF86568">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14:paraId="34B08D3E">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14:paraId="09A020C1">
      <w:pPr>
        <w:spacing w:after="0"/>
        <w:jc w:val="center"/>
        <w:rPr>
          <w:rFonts w:ascii="Tahoma" w:hAnsi="Tahoma" w:cs="Tahoma"/>
          <w:b/>
          <w:sz w:val="26"/>
          <w:szCs w:val="28"/>
        </w:rPr>
      </w:pPr>
      <w:r>
        <w:rPr>
          <w:rFonts w:ascii="Tahoma" w:hAnsi="Tahoma" w:cs="Tahoma"/>
          <w:b/>
          <w:sz w:val="26"/>
          <w:szCs w:val="28"/>
        </w:rPr>
        <w:t xml:space="preserve"> KWARA STATE</w:t>
      </w:r>
    </w:p>
    <w:p w14:paraId="6870907E">
      <w:pPr>
        <w:spacing w:before="240" w:after="0"/>
        <w:jc w:val="center"/>
        <w:rPr>
          <w:rFonts w:ascii="Times New Roman" w:hAnsi="Times New Roman" w:cs="Times New Roman"/>
          <w:b/>
          <w:sz w:val="28"/>
          <w:szCs w:val="28"/>
        </w:rPr>
      </w:pPr>
    </w:p>
    <w:p w14:paraId="7A9895E4">
      <w:pPr>
        <w:spacing w:before="240" w:after="0"/>
        <w:jc w:val="center"/>
        <w:rPr>
          <w:rFonts w:ascii="Algerian" w:hAnsi="Algerian" w:cs="Times New Roman"/>
          <w:b/>
          <w:sz w:val="24"/>
          <w:szCs w:val="28"/>
        </w:rPr>
      </w:pPr>
      <w:r>
        <w:rPr>
          <w:rFonts w:ascii="Times New Roman" w:hAnsi="Times New Roman" w:cs="Times New Roman"/>
          <w:b/>
          <w:sz w:val="28"/>
          <w:szCs w:val="28"/>
        </w:rPr>
        <w:t xml:space="preserve">SUPERVISED BY: </w:t>
      </w:r>
      <w:r>
        <w:rPr>
          <w:rFonts w:ascii="Algerian" w:hAnsi="Algerian" w:cs="Times New Roman"/>
          <w:b/>
          <w:sz w:val="28"/>
          <w:szCs w:val="28"/>
        </w:rPr>
        <w:t>MR.  O. E. ADEYEMO</w:t>
      </w:r>
    </w:p>
    <w:p w14:paraId="2DCF2A27">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2024/2025 SESSION</w:t>
      </w:r>
    </w:p>
    <w:p w14:paraId="269E5567">
      <w:pPr>
        <w:spacing w:before="240"/>
        <w:jc w:val="right"/>
        <w:rPr>
          <w:rFonts w:ascii="Tahoma" w:hAnsi="Tahoma" w:cs="Tahoma"/>
          <w:b/>
          <w:sz w:val="26"/>
          <w:szCs w:val="28"/>
        </w:rPr>
      </w:pPr>
    </w:p>
    <w:p w14:paraId="59F1930B">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CERTIFICATION</w:t>
      </w:r>
    </w:p>
    <w:p w14:paraId="12562E69">
      <w:pPr>
        <w:spacing w:after="0" w:line="48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hint="default" w:ascii="Times New Roman" w:hAnsi="Times New Roman" w:cs="Times New Roman"/>
          <w:b/>
          <w:bCs/>
          <w:sz w:val="26"/>
          <w:szCs w:val="28"/>
          <w:lang w:val="en-US"/>
        </w:rPr>
        <w:t>AYOOLA ROKEEBAT OLABISI</w:t>
      </w:r>
      <w:r>
        <w:rPr>
          <w:rFonts w:ascii="Times New Roman" w:hAnsi="Times New Roman" w:cs="Times New Roman"/>
          <w:sz w:val="26"/>
          <w:szCs w:val="28"/>
        </w:rPr>
        <w:t xml:space="preserve"> with Matriculation Number </w:t>
      </w:r>
      <w:r>
        <w:rPr>
          <w:rFonts w:ascii="Times New Roman" w:hAnsi="Times New Roman" w:cs="Times New Roman"/>
          <w:b/>
          <w:bCs/>
          <w:sz w:val="26"/>
          <w:szCs w:val="28"/>
        </w:rPr>
        <w:t>ND/23/NAD/FT/00</w:t>
      </w:r>
      <w:r>
        <w:rPr>
          <w:rFonts w:hint="default" w:ascii="Times New Roman" w:hAnsi="Times New Roman" w:cs="Times New Roman"/>
          <w:b/>
          <w:bCs/>
          <w:sz w:val="26"/>
          <w:szCs w:val="28"/>
          <w:lang w:val="en-US"/>
        </w:rPr>
        <w:t>64</w:t>
      </w:r>
      <w:r>
        <w:rPr>
          <w:rFonts w:ascii="Times New Roman" w:hAnsi="Times New Roman" w:cs="Times New Roman"/>
          <w:sz w:val="26"/>
          <w:szCs w:val="28"/>
        </w:rPr>
        <w:t xml:space="preserve"> </w:t>
      </w:r>
      <w:r>
        <w:rPr>
          <w:rFonts w:ascii="Times New Roman" w:hAnsi="Times New Roman" w:cs="Times New Roman"/>
          <w:sz w:val="28"/>
          <w:szCs w:val="28"/>
        </w:rPr>
        <w:t>has been read, approved and submitted to the Department of Nutrition and Dietetics, Institute of Applied Sciences, Kwara State Polytechnic, Ilorin.</w:t>
      </w:r>
    </w:p>
    <w:p w14:paraId="09685D09">
      <w:pPr>
        <w:spacing w:after="0" w:line="240" w:lineRule="auto"/>
        <w:jc w:val="both"/>
        <w:rPr>
          <w:rFonts w:ascii="Times New Roman" w:hAnsi="Times New Roman" w:cs="Times New Roman"/>
          <w:sz w:val="28"/>
          <w:szCs w:val="28"/>
        </w:rPr>
      </w:pPr>
    </w:p>
    <w:p w14:paraId="466897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w:t>
      </w:r>
    </w:p>
    <w:p w14:paraId="55BDBE77">
      <w:pPr>
        <w:spacing w:after="0"/>
        <w:rPr>
          <w:rFonts w:ascii="Times New Roman" w:hAnsi="Times New Roman" w:cs="Times New Roman"/>
          <w:b/>
          <w:sz w:val="28"/>
          <w:szCs w:val="28"/>
        </w:rPr>
      </w:pPr>
      <w:r>
        <w:rPr>
          <w:rFonts w:ascii="Algerian" w:hAnsi="Algerian" w:cs="Times New Roman"/>
          <w:b/>
          <w:sz w:val="28"/>
          <w:szCs w:val="28"/>
        </w:rPr>
        <w:t>MR.  O. E. 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1863F2E5">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09EC4418">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3476380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52B19883">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DEPARTMENT</w:t>
      </w:r>
    </w:p>
    <w:p w14:paraId="275EE6C6">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0656B064">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6E2A4225">
      <w:pPr>
        <w:spacing w:line="576" w:lineRule="auto"/>
        <w:jc w:val="center"/>
        <w:rPr>
          <w:rFonts w:ascii="Times New Roman" w:hAnsi="Times New Roman" w:eastAsia="Times New Roman" w:cs="Times New Roman"/>
          <w:b/>
          <w:sz w:val="26"/>
          <w:szCs w:val="26"/>
        </w:rPr>
      </w:pPr>
      <w:r>
        <w:rPr>
          <w:rFonts w:ascii="Times New Roman" w:hAnsi="Times New Roman" w:cs="Times New Roman"/>
          <w:b/>
          <w:sz w:val="28"/>
          <w:szCs w:val="28"/>
        </w:rPr>
        <w:br w:type="page"/>
      </w:r>
      <w:r>
        <w:rPr>
          <w:rFonts w:ascii="Times New Roman" w:hAnsi="Times New Roman" w:eastAsia="Times New Roman" w:cs="Times New Roman"/>
          <w:b/>
          <w:sz w:val="26"/>
          <w:szCs w:val="26"/>
        </w:rPr>
        <w:t>DEDICATION</w:t>
      </w:r>
    </w:p>
    <w:p w14:paraId="36E9BC84">
      <w:pPr>
        <w:spacing w:line="576" w:lineRule="auto"/>
        <w:ind w:firstLine="720" w:firstLineChars="0"/>
        <w:jc w:val="both"/>
        <w:rPr>
          <w:rFonts w:hint="default" w:ascii="Times New Roman" w:hAnsi="Times New Roman" w:eastAsia="Times New Roman"/>
          <w:sz w:val="26"/>
          <w:szCs w:val="26"/>
          <w:lang w:val="en-US"/>
        </w:rPr>
      </w:pPr>
      <w:r>
        <w:rPr>
          <w:rFonts w:hint="default" w:ascii="Times New Roman" w:hAnsi="Times New Roman" w:eastAsia="Times New Roman"/>
          <w:sz w:val="26"/>
          <w:szCs w:val="26"/>
          <w:lang w:val="en-US"/>
        </w:rPr>
        <w:t>This project is dedicated to Almighty Allah for his protection throughout my ND program and my parents Mr and Mrs Ayoola their unwavering support and encouragement inspired me to pursue this project and also my supervisor Mr Adeyemo Elijah A.O for providing with invaluable insights and direction.</w:t>
      </w:r>
    </w:p>
    <w:p w14:paraId="7C9333CD">
      <w:pPr>
        <w:spacing w:line="576" w:lineRule="auto"/>
        <w:ind w:firstLine="720" w:firstLineChars="0"/>
        <w:jc w:val="both"/>
        <w:rPr>
          <w:rFonts w:ascii="Arial" w:hAnsi="Arial" w:eastAsia="Arial" w:cs="Arial"/>
          <w:sz w:val="26"/>
          <w:szCs w:val="26"/>
        </w:rPr>
      </w:pPr>
      <w:r>
        <w:rPr>
          <w:sz w:val="26"/>
          <w:szCs w:val="26"/>
        </w:rPr>
        <w:t xml:space="preserve"> </w:t>
      </w:r>
    </w:p>
    <w:p w14:paraId="5EED2D90">
      <w:pPr>
        <w:spacing w:line="576" w:lineRule="auto"/>
        <w:jc w:val="both"/>
        <w:rPr>
          <w:sz w:val="26"/>
          <w:szCs w:val="26"/>
        </w:rPr>
      </w:pPr>
      <w:r>
        <w:rPr>
          <w:sz w:val="26"/>
          <w:szCs w:val="26"/>
        </w:rPr>
        <w:t xml:space="preserve"> </w:t>
      </w:r>
    </w:p>
    <w:p w14:paraId="6375AE43">
      <w:pPr>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14:paraId="17599A71">
      <w:pPr>
        <w:spacing w:line="576"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ACKNOWLEDGMENT</w:t>
      </w:r>
    </w:p>
    <w:p w14:paraId="2803D0B5">
      <w:pPr>
        <w:spacing w:line="576" w:lineRule="auto"/>
        <w:ind w:firstLine="540"/>
        <w:jc w:val="both"/>
        <w:rPr>
          <w:rFonts w:hint="default" w:ascii="Times New Roman" w:hAnsi="Times New Roman" w:eastAsia="Times New Roman"/>
          <w:sz w:val="26"/>
          <w:szCs w:val="26"/>
        </w:rPr>
      </w:pPr>
      <w:r>
        <w:rPr>
          <w:rFonts w:hint="default" w:ascii="Times New Roman" w:hAnsi="Times New Roman" w:eastAsia="Times New Roman"/>
          <w:sz w:val="26"/>
          <w:szCs w:val="26"/>
        </w:rPr>
        <w:t>I would like to extend my sincere and heartfelt thanks towards all those who have helped me in</w:t>
      </w:r>
      <w:r>
        <w:rPr>
          <w:rFonts w:hint="default" w:ascii="Times New Roman" w:hAnsi="Times New Roman" w:eastAsia="Times New Roman"/>
          <w:sz w:val="26"/>
          <w:szCs w:val="26"/>
          <w:lang w:val="en-US"/>
        </w:rPr>
        <w:t xml:space="preserve"> </w:t>
      </w:r>
      <w:r>
        <w:rPr>
          <w:rFonts w:hint="default" w:ascii="Times New Roman" w:hAnsi="Times New Roman" w:eastAsia="Times New Roman"/>
          <w:sz w:val="26"/>
          <w:szCs w:val="26"/>
        </w:rPr>
        <w:t>making this project. With their active guidance,help,cooperation and encouragement.</w:t>
      </w:r>
    </w:p>
    <w:p w14:paraId="1E48540E">
      <w:pPr>
        <w:spacing w:line="576" w:lineRule="auto"/>
        <w:ind w:firstLine="540"/>
        <w:jc w:val="both"/>
        <w:rPr>
          <w:rFonts w:ascii="Times New Roman" w:hAnsi="Times New Roman" w:eastAsia="Times New Roman" w:cs="Times New Roman"/>
          <w:sz w:val="26"/>
          <w:szCs w:val="26"/>
        </w:rPr>
      </w:pPr>
      <w:r>
        <w:rPr>
          <w:rFonts w:hint="default" w:ascii="Times New Roman" w:hAnsi="Times New Roman" w:eastAsia="Times New Roman"/>
          <w:sz w:val="26"/>
          <w:szCs w:val="26"/>
        </w:rPr>
        <w:t>This project has been a significant learning experience, and I appreciate the contributions of everyone involved in its successful completion.</w:t>
      </w:r>
      <w:r>
        <w:rPr>
          <w:rFonts w:ascii="Times New Roman" w:hAnsi="Times New Roman" w:eastAsia="Times New Roman" w:cs="Times New Roman"/>
          <w:sz w:val="26"/>
          <w:szCs w:val="26"/>
        </w:rPr>
        <w:t>Secondly, I appreciate my amiable supervisor in person of MR ADEYEMO O. E., for being a patient, understanding and excellent teacher, my HOD and Supervisor before and during the course of this study. Your genuine love and guidance will forever be acknowledged. God has blessed you sir.</w:t>
      </w:r>
    </w:p>
    <w:p w14:paraId="6D6B619A">
      <w:pPr>
        <w:spacing w:before="240" w:line="480" w:lineRule="auto"/>
        <w:ind w:firstLine="720" w:firstLineChars="0"/>
        <w:jc w:val="both"/>
        <w:rPr>
          <w:rFonts w:hint="default" w:ascii="Times New Roman" w:hAnsi="Times New Roman" w:eastAsia="Times New Roman"/>
          <w:sz w:val="26"/>
          <w:szCs w:val="26"/>
        </w:rPr>
      </w:pPr>
      <w:r>
        <w:rPr>
          <w:rFonts w:hint="default" w:ascii="Times New Roman" w:hAnsi="Times New Roman" w:eastAsia="Times New Roman"/>
          <w:sz w:val="26"/>
          <w:szCs w:val="26"/>
        </w:rPr>
        <w:t>I also acknowledge with a deep sense of reverence my gratitude toward my parents,their constant</w:t>
      </w:r>
      <w:r>
        <w:rPr>
          <w:rFonts w:hint="default" w:ascii="Times New Roman" w:hAnsi="Times New Roman" w:eastAsia="Times New Roman"/>
          <w:sz w:val="26"/>
          <w:szCs w:val="26"/>
          <w:lang w:val="en-US"/>
        </w:rPr>
        <w:t xml:space="preserve"> </w:t>
      </w:r>
      <w:r>
        <w:rPr>
          <w:rFonts w:hint="default" w:ascii="Times New Roman" w:hAnsi="Times New Roman" w:eastAsia="Times New Roman"/>
          <w:sz w:val="26"/>
          <w:szCs w:val="26"/>
        </w:rPr>
        <w:t>encouragement,patient and understanding have been the pillar of my success</w:t>
      </w:r>
    </w:p>
    <w:p w14:paraId="21410180">
      <w:pPr>
        <w:spacing w:before="240" w:line="480" w:lineRule="auto"/>
        <w:ind w:firstLine="720" w:firstLineChars="0"/>
        <w:jc w:val="both"/>
        <w:rPr>
          <w:rFonts w:ascii="Times New Roman" w:hAnsi="Times New Roman"/>
          <w:b/>
          <w:sz w:val="28"/>
        </w:rPr>
      </w:pPr>
      <w:r>
        <w:rPr>
          <w:rFonts w:hint="default" w:ascii="Times New Roman" w:hAnsi="Times New Roman" w:eastAsia="Times New Roman"/>
          <w:sz w:val="26"/>
          <w:szCs w:val="26"/>
        </w:rPr>
        <w:t>I’m grateful to my friends who contributed ideas and perspectives that enriched the project.</w:t>
      </w:r>
      <w:r>
        <w:rPr>
          <w:rFonts w:hint="default" w:ascii="Times New Roman" w:hAnsi="Times New Roman" w:eastAsia="Times New Roman"/>
          <w:sz w:val="26"/>
          <w:szCs w:val="26"/>
          <w:lang w:val="en-US"/>
        </w:rPr>
        <w:t xml:space="preserve"> </w:t>
      </w:r>
      <w:r>
        <w:rPr>
          <w:rFonts w:hint="default" w:ascii="Times New Roman" w:hAnsi="Times New Roman" w:eastAsia="Times New Roman"/>
          <w:sz w:val="26"/>
          <w:szCs w:val="26"/>
        </w:rPr>
        <w:t>Thank you everyone for shaping this project and enhancing my learning experience</w:t>
      </w:r>
    </w:p>
    <w:p w14:paraId="162CB968">
      <w:pPr>
        <w:spacing w:before="240" w:line="480" w:lineRule="auto"/>
        <w:jc w:val="both"/>
        <w:rPr>
          <w:rFonts w:ascii="Times New Roman" w:hAnsi="Times New Roman"/>
          <w:b/>
          <w:sz w:val="28"/>
        </w:rPr>
      </w:pPr>
      <w:r>
        <w:rPr>
          <w:rFonts w:ascii="Times New Roman" w:hAnsi="Times New Roman"/>
          <w:b/>
          <w:sz w:val="28"/>
        </w:rPr>
        <w:t xml:space="preserve">CONTENTS </w:t>
      </w:r>
    </w:p>
    <w:p w14:paraId="6D6CDFC8">
      <w:pPr>
        <w:spacing w:before="240" w:line="480" w:lineRule="auto"/>
        <w:jc w:val="both"/>
        <w:rPr>
          <w:rFonts w:ascii="Times New Roman" w:hAnsi="Times New Roman"/>
          <w:sz w:val="28"/>
        </w:rPr>
      </w:pPr>
      <w:r>
        <w:rPr>
          <w:rFonts w:ascii="Times New Roman" w:hAnsi="Times New Roman"/>
          <w:sz w:val="28"/>
        </w:rPr>
        <w:t xml:space="preserve">Title page </w:t>
      </w:r>
    </w:p>
    <w:p w14:paraId="52B61A13">
      <w:pPr>
        <w:spacing w:before="240" w:line="480" w:lineRule="auto"/>
        <w:jc w:val="both"/>
        <w:rPr>
          <w:rFonts w:ascii="Times New Roman" w:hAnsi="Times New Roman"/>
          <w:sz w:val="28"/>
        </w:rPr>
      </w:pPr>
      <w:r>
        <w:rPr>
          <w:rFonts w:ascii="Times New Roman" w:hAnsi="Times New Roman"/>
          <w:sz w:val="28"/>
        </w:rPr>
        <w:t>Certification</w:t>
      </w:r>
    </w:p>
    <w:p w14:paraId="4A39A6F0">
      <w:pPr>
        <w:spacing w:before="240" w:line="480" w:lineRule="auto"/>
        <w:jc w:val="both"/>
        <w:rPr>
          <w:rFonts w:ascii="Times New Roman" w:hAnsi="Times New Roman"/>
          <w:sz w:val="28"/>
        </w:rPr>
      </w:pPr>
      <w:r>
        <w:rPr>
          <w:rFonts w:ascii="Times New Roman" w:hAnsi="Times New Roman"/>
          <w:sz w:val="28"/>
        </w:rPr>
        <w:t xml:space="preserve">Dedication </w:t>
      </w:r>
    </w:p>
    <w:p w14:paraId="6B3D4D85">
      <w:pPr>
        <w:spacing w:before="240" w:line="480" w:lineRule="auto"/>
        <w:jc w:val="both"/>
        <w:rPr>
          <w:rFonts w:ascii="Times New Roman" w:hAnsi="Times New Roman"/>
          <w:sz w:val="28"/>
        </w:rPr>
      </w:pPr>
      <w:r>
        <w:rPr>
          <w:rFonts w:ascii="Times New Roman" w:hAnsi="Times New Roman"/>
          <w:sz w:val="28"/>
        </w:rPr>
        <w:t>Acknowledgement</w:t>
      </w:r>
    </w:p>
    <w:p w14:paraId="53A372D6">
      <w:pPr>
        <w:spacing w:before="240" w:line="480" w:lineRule="auto"/>
        <w:jc w:val="both"/>
        <w:rPr>
          <w:rFonts w:ascii="Times New Roman" w:hAnsi="Times New Roman"/>
          <w:sz w:val="28"/>
        </w:rPr>
      </w:pPr>
      <w:r>
        <w:rPr>
          <w:rFonts w:ascii="Times New Roman" w:hAnsi="Times New Roman"/>
          <w:sz w:val="28"/>
        </w:rPr>
        <w:t>Table of content</w:t>
      </w:r>
    </w:p>
    <w:p w14:paraId="6780284C">
      <w:pPr>
        <w:spacing w:before="240" w:line="480" w:lineRule="auto"/>
        <w:jc w:val="both"/>
        <w:rPr>
          <w:rFonts w:ascii="Times New Roman" w:hAnsi="Times New Roman"/>
          <w:sz w:val="28"/>
        </w:rPr>
      </w:pPr>
      <w:r>
        <w:rPr>
          <w:rFonts w:ascii="Times New Roman" w:hAnsi="Times New Roman"/>
          <w:sz w:val="28"/>
        </w:rPr>
        <w:t xml:space="preserve">Abstract </w:t>
      </w:r>
    </w:p>
    <w:p w14:paraId="7899FBA2">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14:paraId="5D8883F0">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Introduction</w:t>
      </w:r>
    </w:p>
    <w:p w14:paraId="1A4ACBD0">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 xml:space="preserve">Problem statement </w:t>
      </w:r>
    </w:p>
    <w:p w14:paraId="105E7B9D">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 xml:space="preserve">Aims and objectives of the study </w:t>
      </w:r>
    </w:p>
    <w:p w14:paraId="411A24C3">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Scope of the study </w:t>
      </w:r>
    </w:p>
    <w:p w14:paraId="2107D350">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 xml:space="preserve">Relevance of the study </w:t>
      </w:r>
    </w:p>
    <w:p w14:paraId="2B248801">
      <w:pPr>
        <w:spacing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 xml:space="preserve">Justification of the study </w:t>
      </w:r>
    </w:p>
    <w:p w14:paraId="6239E881">
      <w:pPr>
        <w:spacing w:line="480" w:lineRule="auto"/>
        <w:jc w:val="both"/>
        <w:rPr>
          <w:rFonts w:ascii="Times New Roman" w:hAnsi="Times New Roman"/>
          <w:b/>
          <w:sz w:val="28"/>
          <w:szCs w:val="28"/>
        </w:rPr>
      </w:pPr>
      <w:r>
        <w:rPr>
          <w:rFonts w:ascii="Times New Roman" w:hAnsi="Times New Roman"/>
          <w:b/>
          <w:sz w:val="28"/>
          <w:szCs w:val="28"/>
        </w:rPr>
        <w:t xml:space="preserve">CHAPTER TWO </w:t>
      </w:r>
    </w:p>
    <w:p w14:paraId="375B3DD7">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2.0 Literature review </w:t>
      </w:r>
    </w:p>
    <w:p w14:paraId="33F8C7C4">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2.1 Quality regulation</w:t>
      </w:r>
    </w:p>
    <w:p w14:paraId="38F89D2B">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2.2 Mortality </w:t>
      </w:r>
    </w:p>
    <w:p w14:paraId="606B00C2">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2.3 Cardiovascular disease </w:t>
      </w:r>
    </w:p>
    <w:p w14:paraId="7062B7D8">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2.4 Cancer outcome </w:t>
      </w:r>
    </w:p>
    <w:p w14:paraId="72833FB1">
      <w:pPr>
        <w:spacing w:before="240"/>
        <w:rPr>
          <w:rFonts w:ascii="Times New Roman" w:hAnsi="Times New Roman" w:cs="Times New Roman"/>
          <w:b/>
          <w:sz w:val="28"/>
          <w:szCs w:val="28"/>
        </w:rPr>
      </w:pPr>
      <w:r>
        <w:rPr>
          <w:rFonts w:ascii="Times New Roman" w:hAnsi="Times New Roman" w:cs="Times New Roman"/>
          <w:b/>
          <w:sz w:val="28"/>
          <w:szCs w:val="28"/>
        </w:rPr>
        <w:t>CHAPTER THREE</w:t>
      </w:r>
    </w:p>
    <w:p w14:paraId="0E5A520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3.0 Experimental</w:t>
      </w:r>
    </w:p>
    <w:p w14:paraId="13A88D2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Reagents and apparatus</w:t>
      </w:r>
    </w:p>
    <w:p w14:paraId="648167A0">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r>
      <w:r>
        <w:rPr>
          <w:rFonts w:ascii="Times New Roman" w:hAnsi="Times New Roman" w:cs="Times New Roman"/>
          <w:sz w:val="28"/>
          <w:szCs w:val="28"/>
        </w:rPr>
        <w:t>Reagents</w:t>
      </w:r>
    </w:p>
    <w:p w14:paraId="3B5DF7A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3.1.2</w:t>
      </w:r>
      <w:r>
        <w:rPr>
          <w:rFonts w:ascii="Times New Roman" w:hAnsi="Times New Roman" w:cs="Times New Roman"/>
          <w:sz w:val="28"/>
          <w:szCs w:val="28"/>
        </w:rPr>
        <w:tab/>
      </w:r>
      <w:r>
        <w:rPr>
          <w:rFonts w:ascii="Times New Roman" w:hAnsi="Times New Roman" w:cs="Times New Roman"/>
          <w:sz w:val="28"/>
          <w:szCs w:val="28"/>
        </w:rPr>
        <w:t>Apparatus and equipment</w:t>
      </w:r>
    </w:p>
    <w:p w14:paraId="694DA43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3.2 Collection of samples</w:t>
      </w:r>
    </w:p>
    <w:p w14:paraId="1B8EBEE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3.3 Preparation of samples</w:t>
      </w:r>
    </w:p>
    <w:p w14:paraId="2D2DFC82">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Preparation of reagents</w:t>
      </w:r>
    </w:p>
    <w:p w14:paraId="3BCC39B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Preparation of resorcinol solution (0.5%)  </w:t>
      </w:r>
    </w:p>
    <w:p w14:paraId="117FFB6D">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3.4.2 Preparation of iodine solution </w:t>
      </w:r>
    </w:p>
    <w:p w14:paraId="0DD0D49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3.4.3 Preparation of iodine–zinc chloride reagent </w:t>
      </w:r>
    </w:p>
    <w:p w14:paraId="21E244D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3.4.4 Preparation of DMAB reagent (1.6%, w/v) </w:t>
      </w:r>
    </w:p>
    <w:p w14:paraId="350CA88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Preparation of Nessler’s reagent</w:t>
      </w:r>
    </w:p>
    <w:p w14:paraId="6740645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3.4.6 Preparation of barium chloride solution</w:t>
      </w:r>
    </w:p>
    <w:p w14:paraId="0DBE2AE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3.4.7 Preparation of TCA solution</w:t>
      </w:r>
    </w:p>
    <w:p w14:paraId="079D3099">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3.4.8 Preparation of silver nitrate (agno</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w:t>
      </w:r>
    </w:p>
    <w:p w14:paraId="6846206E">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3.4.9 Preparation of potassium chromate (k</w:t>
      </w:r>
      <w:r>
        <w:rPr>
          <w:rFonts w:ascii="Times New Roman" w:hAnsi="Times New Roman" w:cs="Times New Roman"/>
          <w:sz w:val="28"/>
          <w:szCs w:val="28"/>
          <w:vertAlign w:val="subscript"/>
        </w:rPr>
        <w:t>2</w:t>
      </w:r>
      <w:r>
        <w:rPr>
          <w:rFonts w:ascii="Times New Roman" w:hAnsi="Times New Roman" w:cs="Times New Roman"/>
          <w:sz w:val="28"/>
          <w:szCs w:val="28"/>
        </w:rPr>
        <w:t>cro</w:t>
      </w:r>
      <w:r>
        <w:rPr>
          <w:rFonts w:ascii="Times New Roman" w:hAnsi="Times New Roman" w:cs="Times New Roman"/>
          <w:sz w:val="28"/>
          <w:szCs w:val="28"/>
          <w:vertAlign w:val="subscript"/>
        </w:rPr>
        <w:t>4</w:t>
      </w:r>
      <w:r>
        <w:rPr>
          <w:rFonts w:ascii="Times New Roman" w:hAnsi="Times New Roman" w:cs="Times New Roman"/>
          <w:sz w:val="28"/>
          <w:szCs w:val="28"/>
        </w:rPr>
        <w:t>) solution</w:t>
      </w:r>
    </w:p>
    <w:p w14:paraId="30194E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3.4.10 Preparation of diphenylamine</w:t>
      </w:r>
    </w:p>
    <w:p w14:paraId="671A394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3.4.11 Preparation of potassium iodide solution</w:t>
      </w:r>
    </w:p>
    <w:p w14:paraId="6FE031F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3.4.12 Preparation of dilute HCl solution</w:t>
      </w:r>
    </w:p>
    <w:p w14:paraId="276BB0C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3.4.13 Preparation of starch solution</w:t>
      </w:r>
    </w:p>
    <w:p w14:paraId="1D4EB853">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3.4.14 Preparation of eosin indicator solution</w:t>
      </w:r>
    </w:p>
    <w:p w14:paraId="7D63422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3.4.15 Preparation of buffer solution</w:t>
      </w:r>
    </w:p>
    <w:p w14:paraId="2D9FB749">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3.4.16 Preparation of methylene blue dye solution</w:t>
      </w:r>
    </w:p>
    <w:p w14:paraId="25EC422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3.4.17 Preparation of potassium iodide-starch solution</w:t>
      </w:r>
    </w:p>
    <w:p w14:paraId="41480048">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3.4.18 Preparation of turmeric paper</w:t>
      </w:r>
    </w:p>
    <w:p w14:paraId="02635E3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3.4.19 Preparation of 0.5% (v/v) neutral ferric chloride solution</w:t>
      </w:r>
    </w:p>
    <w:p w14:paraId="5869C5F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Analysis of samples</w:t>
      </w:r>
    </w:p>
    <w:p w14:paraId="7B4FC20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Detection of cane sugar in milk </w:t>
      </w:r>
    </w:p>
    <w:p w14:paraId="788496F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3.4.2 Detection of starch in milk</w:t>
      </w:r>
    </w:p>
    <w:p w14:paraId="6D4B63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3.4.3 Detection of cellulose in milk</w:t>
      </w:r>
    </w:p>
    <w:p w14:paraId="0E36BC22">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3.4.4 Detection of added urea in milk</w:t>
      </w:r>
    </w:p>
    <w:p w14:paraId="15F42E5D">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Detection of ammonium compounds in milk</w:t>
      </w:r>
    </w:p>
    <w:p w14:paraId="2357C50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3.4.6 Detection of sulphates in milk </w:t>
      </w:r>
    </w:p>
    <w:p w14:paraId="181AB6F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3.4.7 Detection of sodium chloride in milk </w:t>
      </w:r>
    </w:p>
    <w:p w14:paraId="4C6B24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3.4.8 Detection of nitrates (pond water) in milk </w:t>
      </w:r>
    </w:p>
    <w:p w14:paraId="4E52987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3.4.9 Detection of hypochlorites and chloramines in milk </w:t>
      </w:r>
    </w:p>
    <w:p w14:paraId="77B6219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3.4.10 Detection of in quaternary ammonium compounds milk </w:t>
      </w:r>
    </w:p>
    <w:p w14:paraId="761A0AA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3.4.11 Detection of in anion detergent milk </w:t>
      </w:r>
    </w:p>
    <w:p w14:paraId="16E83C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3.4.12 Detection of formalin in milk </w:t>
      </w:r>
    </w:p>
    <w:p w14:paraId="2B500A0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hydrogen peroxide in milk </w:t>
      </w:r>
    </w:p>
    <w:p w14:paraId="6CE5F84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presence of boric acid and borates in milk </w:t>
      </w:r>
    </w:p>
    <w:p w14:paraId="0FB03A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3.4.15 Detection of presence of salicylic acid in milk </w:t>
      </w:r>
    </w:p>
    <w:p w14:paraId="235F2E0B">
      <w:pPr>
        <w:spacing w:before="240" w:after="0" w:line="480" w:lineRule="auto"/>
        <w:rPr>
          <w:rFonts w:ascii="Times New Roman" w:hAnsi="Times New Roman" w:cs="Times New Roman"/>
          <w:b/>
          <w:sz w:val="28"/>
          <w:szCs w:val="28"/>
        </w:rPr>
      </w:pPr>
      <w:r>
        <w:rPr>
          <w:rFonts w:ascii="Times New Roman" w:hAnsi="Times New Roman" w:cs="Times New Roman"/>
          <w:b/>
          <w:sz w:val="28"/>
          <w:szCs w:val="28"/>
        </w:rPr>
        <w:t>CHAPTER FOUR</w:t>
      </w:r>
    </w:p>
    <w:p w14:paraId="1C490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4.0 Results and discussion</w:t>
      </w:r>
    </w:p>
    <w:p w14:paraId="13F3732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 Results</w:t>
      </w:r>
    </w:p>
    <w:p w14:paraId="7058F9B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4.2 Discussion</w:t>
      </w:r>
    </w:p>
    <w:p w14:paraId="3C8A958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4.3 Conclusion</w:t>
      </w:r>
    </w:p>
    <w:p w14:paraId="714AA7C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References as footnotes</w:t>
      </w:r>
    </w:p>
    <w:p w14:paraId="2DAAC4F8">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11FE67C8">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14:paraId="3E1BBF25">
      <w:pPr>
        <w:spacing w:before="240" w:after="0" w:line="480" w:lineRule="auto"/>
        <w:jc w:val="both"/>
        <w:rPr>
          <w:rFonts w:ascii="Times New Roman" w:hAnsi="Times New Roman" w:cs="Times New Roman"/>
          <w:sz w:val="28"/>
          <w:szCs w:val="28"/>
        </w:rPr>
      </w:pPr>
      <w:r>
        <w:rPr>
          <w:rFonts w:ascii="Times New Roman" w:hAnsi="Times New Roman" w:cs="Times New Roman"/>
          <w:b/>
          <w:i/>
          <w:sz w:val="28"/>
          <w:szCs w:val="28"/>
        </w:rPr>
        <w:t>Keywords: Evaporated milk, adulterants, nutrition, health</w:t>
      </w:r>
      <w:r>
        <w:rPr>
          <w:rFonts w:ascii="Times New Roman" w:hAnsi="Times New Roman" w:cs="Times New Roman"/>
          <w:sz w:val="28"/>
          <w:szCs w:val="28"/>
        </w:rPr>
        <w:t>.</w:t>
      </w:r>
    </w:p>
    <w:p w14:paraId="6C736F0B">
      <w:pPr>
        <w:rPr>
          <w:rFonts w:ascii="Times New Roman" w:hAnsi="Times New Roman" w:cs="Times New Roman"/>
          <w:b/>
          <w:sz w:val="28"/>
          <w:szCs w:val="28"/>
        </w:rPr>
      </w:pPr>
    </w:p>
    <w:p w14:paraId="4E0D900B"/>
    <w:p w14:paraId="47527F8F"/>
    <w:p w14:paraId="730B99E5"/>
    <w:p w14:paraId="273E0C08"/>
    <w:p w14:paraId="1AE51732"/>
    <w:p w14:paraId="66F9983D"/>
    <w:p w14:paraId="63D84F1D"/>
    <w:p w14:paraId="637D5774"/>
    <w:p w14:paraId="2A0F54DF"/>
    <w:p w14:paraId="6FF241C7"/>
    <w:p w14:paraId="311AC0CD">
      <w:pPr>
        <w:spacing w:after="33" w:line="480" w:lineRule="auto"/>
        <w:ind w:left="0" w:firstLine="0"/>
        <w:jc w:val="center"/>
        <w:rPr>
          <w:rFonts w:ascii="Times New Roman" w:hAnsi="Times New Roman" w:cs="Times New Roman"/>
          <w:b/>
          <w:color w:val="auto"/>
          <w:sz w:val="28"/>
          <w:szCs w:val="28"/>
        </w:rPr>
        <w:sectPr>
          <w:footerReference r:id="rId5" w:type="default"/>
          <w:pgSz w:w="11520" w:h="14400"/>
          <w:pgMar w:top="1440" w:right="1440" w:bottom="1440" w:left="1440" w:header="706" w:footer="706" w:gutter="0"/>
          <w:pgNumType w:fmt="decimal" w:start="1"/>
          <w:cols w:space="708" w:num="1"/>
          <w:docGrid w:linePitch="360" w:charSpace="0"/>
        </w:sectPr>
      </w:pPr>
    </w:p>
    <w:p w14:paraId="228E1E80">
      <w:pPr>
        <w:spacing w:after="33" w:line="48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ONE</w:t>
      </w:r>
    </w:p>
    <w:p w14:paraId="63636454">
      <w:pPr>
        <w:spacing w:after="5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1.0 INTRODUCTION</w:t>
      </w:r>
    </w:p>
    <w:p w14:paraId="3620A9BD">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Food safety and quality are rising concern all occur over the word particularly when it comes to human health in this regard, many countries have been running quality control programs for all food ingredient including animal sources foods</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w:t>
      </w:r>
    </w:p>
    <w:p w14:paraId="6ED6AAC1">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 M. G. El-Ziney, and A. I. Al-Turki. Microbiological quality and safety assessment of camel milk (Camelus dromedaries) in Saudi Arabia. Appl. Ecol. Environ. Res.  2007, 5(2), 115-122.  Penkala  Bt.,  Budapest,  Hungary.</w:t>
      </w:r>
    </w:p>
    <w:p w14:paraId="359A6E14">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2. M. Addis, and D. Sisay. “A Review on Major Food Borne Bacterial Illnesses. J. Trop. Dis. 2015, 3:176.</w:t>
      </w:r>
    </w:p>
    <w:p w14:paraId="35CF5A41">
      <w:pPr>
        <w:spacing w:after="0" w:line="276" w:lineRule="auto"/>
        <w:jc w:val="both"/>
        <w:rPr>
          <w:rFonts w:ascii="Times New Roman" w:hAnsi="Times New Roman" w:cs="Times New Roman"/>
          <w:color w:val="auto"/>
          <w:szCs w:val="28"/>
        </w:rPr>
      </w:pPr>
    </w:p>
    <w:p w14:paraId="4864077A">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Milk is highly nutritional food and ideal for microbial growth the fresh milk deteriorate easily to become unsuitable for processing and human consumption</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 Milk obtain from healthy animal udders is free from pathogenic bacteria but some of the animal in field condition may be suffering from subclinical mastitis and are excreting causative agent in milk, such milk contaminate the bulk milk moreover fresh milk may get microbial contamination from utensils animals skin, environment, or water may be used for cleaning etc</w:t>
      </w:r>
      <w:r>
        <w:rPr>
          <w:rFonts w:ascii="Times New Roman" w:hAnsi="Times New Roman" w:cs="Times New Roman"/>
          <w:color w:val="auto"/>
          <w:sz w:val="28"/>
          <w:szCs w:val="28"/>
          <w:vertAlign w:val="superscript"/>
        </w:rPr>
        <w:t>4</w:t>
      </w:r>
      <w:r>
        <w:rPr>
          <w:rFonts w:ascii="Times New Roman" w:hAnsi="Times New Roman" w:cs="Times New Roman"/>
          <w:color w:val="auto"/>
          <w:sz w:val="28"/>
          <w:szCs w:val="28"/>
        </w:rPr>
        <w:t>. Foodborne diseases are common wide speed global problem several out-break have been reported as a result of consuming contaminated milk that may look, taste and smell perfectly normal but are in fact contaminated with large number of harmful bacteria</w:t>
      </w:r>
      <w:r>
        <w:rPr>
          <w:rFonts w:ascii="Times New Roman" w:hAnsi="Times New Roman" w:cs="Times New Roman"/>
          <w:color w:val="auto"/>
          <w:sz w:val="28"/>
          <w:szCs w:val="28"/>
          <w:vertAlign w:val="superscript"/>
        </w:rPr>
        <w:t>5</w:t>
      </w:r>
      <w:r>
        <w:rPr>
          <w:rFonts w:ascii="Times New Roman" w:hAnsi="Times New Roman" w:cs="Times New Roman"/>
          <w:color w:val="auto"/>
          <w:sz w:val="28"/>
          <w:szCs w:val="28"/>
        </w:rPr>
        <w:t xml:space="preserve">. Milk contaminated by high level of spoilage bacteria usually become unsuitable for further processing since it does not meet the consumer expectation in term of heath (nutritional value) safety </w:t>
      </w:r>
    </w:p>
    <w:p w14:paraId="17D02416">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3. FAO. “The lacto-peroxidase system of milk preservation”. Regional Lacto-peroxidase Work-shop in West Africa; Burkina Faso: 2001, 17-19.</w:t>
      </w:r>
    </w:p>
    <w:p w14:paraId="79101223">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 FAO.  Milk Hygiene, In Milking, Milk Production Hygiene and Udder Health, FAO Animal Production and Health Papers-78, FAO Corporate Document Repository 2008, 1-7 pp.</w:t>
      </w:r>
    </w:p>
    <w:p w14:paraId="0F57F92A">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5. Centers for Disease Control and Prevention, CDC. 2009. Surveillance for foodborne disease outbreak. United States. 2006. Morbidity Mortality Weekly Rep. 58: 609-615.</w:t>
      </w:r>
    </w:p>
    <w:p w14:paraId="3AB92D2F">
      <w:pPr>
        <w:spacing w:after="0" w:line="276" w:lineRule="auto"/>
        <w:ind w:left="540" w:hanging="540"/>
        <w:jc w:val="both"/>
        <w:rPr>
          <w:rFonts w:ascii="Times New Roman" w:hAnsi="Times New Roman" w:cs="Times New Roman"/>
          <w:color w:val="auto"/>
          <w:sz w:val="28"/>
          <w:szCs w:val="28"/>
        </w:rPr>
      </w:pPr>
      <w:r>
        <w:rPr>
          <w:rFonts w:ascii="Times New Roman" w:hAnsi="Times New Roman" w:cs="Times New Roman"/>
          <w:color w:val="auto"/>
          <w:szCs w:val="28"/>
        </w:rPr>
        <w:t xml:space="preserve">. </w:t>
      </w:r>
    </w:p>
    <w:p w14:paraId="37B47080">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(hygiene quality) and satisfaction (sensory attributes)</w:t>
      </w:r>
      <w:r>
        <w:rPr>
          <w:rFonts w:ascii="Times New Roman" w:hAnsi="Times New Roman" w:cs="Times New Roman"/>
          <w:color w:val="auto"/>
          <w:sz w:val="28"/>
          <w:szCs w:val="28"/>
          <w:vertAlign w:val="superscript"/>
        </w:rPr>
        <w:t>6</w:t>
      </w:r>
      <w:r>
        <w:rPr>
          <w:rFonts w:ascii="Times New Roman" w:hAnsi="Times New Roman" w:cs="Times New Roman"/>
          <w:color w:val="auto"/>
          <w:sz w:val="28"/>
          <w:szCs w:val="28"/>
        </w:rPr>
        <w:t>. Salmonella are considered among the most important enteric food bone pathogen whose presence in the food constitute a serious health hazard contamination of raw milk with salmonella spp is mostly due to infected person of the udder are rare and seldom contribute as one of the major reason for contamination of milk with both spoilage and pathogenic bacteria</w:t>
      </w:r>
      <w:r>
        <w:rPr>
          <w:rFonts w:ascii="Times New Roman" w:hAnsi="Times New Roman" w:cs="Times New Roman"/>
          <w:color w:val="auto"/>
          <w:sz w:val="28"/>
          <w:szCs w:val="28"/>
          <w:vertAlign w:val="superscript"/>
        </w:rPr>
        <w:t>7</w:t>
      </w:r>
      <w:r>
        <w:rPr>
          <w:rFonts w:ascii="Times New Roman" w:hAnsi="Times New Roman" w:cs="Times New Roman"/>
          <w:color w:val="auto"/>
          <w:sz w:val="28"/>
          <w:szCs w:val="28"/>
        </w:rPr>
        <w:t xml:space="preserve"> yersina enterocolitica is the most prevalent yersina species connected to disease in human. The organism has received considering attention as a causative agent of human gastroenteritis</w:t>
      </w:r>
      <w:r>
        <w:rPr>
          <w:rFonts w:ascii="Times New Roman" w:hAnsi="Times New Roman" w:cs="Times New Roman"/>
          <w:color w:val="auto"/>
          <w:sz w:val="28"/>
          <w:szCs w:val="28"/>
          <w:vertAlign w:val="superscript"/>
        </w:rPr>
        <w:t>8</w:t>
      </w:r>
      <w:r>
        <w:rPr>
          <w:rFonts w:ascii="Times New Roman" w:hAnsi="Times New Roman" w:cs="Times New Roman"/>
          <w:color w:val="auto"/>
          <w:sz w:val="28"/>
          <w:szCs w:val="28"/>
        </w:rPr>
        <w:t xml:space="preserve">. </w:t>
      </w:r>
    </w:p>
    <w:p w14:paraId="164561C3">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Milk (Lac) which was used by human in the early of the seventh millennium BC</w:t>
      </w:r>
      <w:r>
        <w:rPr>
          <w:rFonts w:ascii="Times New Roman" w:hAnsi="Times New Roman" w:cs="Times New Roman"/>
          <w:color w:val="auto"/>
          <w:sz w:val="28"/>
          <w:szCs w:val="28"/>
          <w:vertAlign w:val="superscript"/>
        </w:rPr>
        <w:t>9,10</w:t>
      </w:r>
      <w:r>
        <w:rPr>
          <w:rFonts w:ascii="Times New Roman" w:hAnsi="Times New Roman" w:cs="Times New Roman"/>
          <w:color w:val="auto"/>
          <w:sz w:val="28"/>
          <w:szCs w:val="28"/>
        </w:rPr>
        <w:t xml:space="preserve"> is a nutritious white world food secreted by the </w:t>
      </w:r>
    </w:p>
    <w:p w14:paraId="6BE033C7">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6. E. Nanu, et al. “Quality assurance and public health safety of raw milk at the production point”. American Journal of Food Technology. 2007,  2:145-152,</w:t>
      </w:r>
    </w:p>
    <w:p w14:paraId="58B4CC8B">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7. Mubarack, H. M.: Dhanabalan, R., Balachander. S.2010."Microbial quality of raw milk samples collected from different village of combatore district,Tamilhadu, South India," Indian J. Sci. Technol. 3 (1) 61-63. </w:t>
      </w:r>
    </w:p>
    <w:p w14:paraId="3AAE1A04">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8.</w:t>
      </w:r>
      <w:r>
        <w:t xml:space="preserve"> </w:t>
      </w:r>
      <w:r>
        <w:rPr>
          <w:rFonts w:ascii="Times New Roman" w:hAnsi="Times New Roman" w:cs="Times New Roman"/>
          <w:color w:val="auto"/>
          <w:sz w:val="22"/>
          <w:szCs w:val="28"/>
        </w:rPr>
        <w:t>Robins-Browne, R.M. 2001. Yersinia enterocolitica in food microiology  fundamentals  and  Fronties,  pp.  215-245. Edited  by  M.P.Doyle,  L.R.Beuchat  and  T.J. Montiville  .Washington,  DC  :American  Society  for Microbiology.</w:t>
      </w:r>
    </w:p>
    <w:p w14:paraId="52B9F4A5">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9. Evershed RP, Payne S, Sherratt AG, Copley MS, Coolidge J, Urem-Kotsu D, et al. Earliest date for milk use in the near east and southeastern Europe linked to cattle herding. Nature. 2008;455:528–31.</w:t>
      </w:r>
    </w:p>
    <w:p w14:paraId="1A8701DD">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10.  Dudd SN, Evershed RP. Direct demonstration of milk as an element of archaeological economies. Science. 1998;282:1478–81.</w:t>
      </w:r>
    </w:p>
    <w:p w14:paraId="6A300D7B">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mammary glands of mammals, cow milk consumption varies around the world, with an average of 10-212 kg per person per year</w:t>
      </w:r>
      <w:r>
        <w:rPr>
          <w:rFonts w:ascii="Times New Roman" w:hAnsi="Times New Roman" w:cs="Times New Roman"/>
          <w:color w:val="auto"/>
          <w:sz w:val="28"/>
          <w:szCs w:val="28"/>
          <w:vertAlign w:val="superscript"/>
        </w:rPr>
        <w:t>11</w:t>
      </w:r>
      <w:r>
        <w:rPr>
          <w:rFonts w:ascii="Times New Roman" w:hAnsi="Times New Roman" w:cs="Times New Roman"/>
          <w:color w:val="auto"/>
          <w:sz w:val="28"/>
          <w:szCs w:val="28"/>
        </w:rPr>
        <w:t>. Milk contain 18 of 22 essential nutritients</w:t>
      </w:r>
      <w:r>
        <w:rPr>
          <w:rFonts w:ascii="Times New Roman" w:hAnsi="Times New Roman" w:cs="Times New Roman"/>
          <w:color w:val="auto"/>
          <w:sz w:val="28"/>
          <w:szCs w:val="28"/>
          <w:vertAlign w:val="superscript"/>
        </w:rPr>
        <w:t>12</w:t>
      </w:r>
      <w:r>
        <w:rPr>
          <w:rFonts w:ascii="Times New Roman" w:hAnsi="Times New Roman" w:cs="Times New Roman"/>
          <w:color w:val="auto"/>
          <w:sz w:val="28"/>
          <w:szCs w:val="28"/>
        </w:rPr>
        <w:t xml:space="preserve"> include a various of bioactive peptide and fatty acid such as casein, when protein milk polar (MPL), α linolenic acid (ALA) (16:0) lactose and other minor constituents (i.e. calcium, phosphorus, magnesium and vitamin D ) which have an important impact on human metabolism and heath</w:t>
      </w:r>
      <w:r>
        <w:rPr>
          <w:rFonts w:ascii="Times New Roman" w:hAnsi="Times New Roman" w:cs="Times New Roman"/>
          <w:color w:val="auto"/>
          <w:sz w:val="28"/>
          <w:szCs w:val="28"/>
          <w:vertAlign w:val="superscript"/>
        </w:rPr>
        <w:t>13,14</w:t>
      </w:r>
      <w:r>
        <w:rPr>
          <w:rFonts w:ascii="Times New Roman" w:hAnsi="Times New Roman" w:cs="Times New Roman"/>
          <w:color w:val="auto"/>
          <w:sz w:val="28"/>
          <w:szCs w:val="28"/>
        </w:rPr>
        <w:t xml:space="preserve"> evidence showed that milk has wide range of physiological functionality including anti-carcinogenic</w:t>
      </w:r>
      <w:r>
        <w:rPr>
          <w:rFonts w:ascii="Times New Roman" w:hAnsi="Times New Roman" w:cs="Times New Roman"/>
          <w:color w:val="auto"/>
          <w:sz w:val="28"/>
          <w:szCs w:val="28"/>
          <w:vertAlign w:val="superscript"/>
        </w:rPr>
        <w:t>15</w:t>
      </w:r>
      <w:r>
        <w:rPr>
          <w:rFonts w:ascii="Times New Roman" w:hAnsi="Times New Roman" w:cs="Times New Roman"/>
          <w:color w:val="auto"/>
          <w:sz w:val="28"/>
          <w:szCs w:val="28"/>
        </w:rPr>
        <w:t>, anti- inflammatory</w:t>
      </w:r>
      <w:r>
        <w:rPr>
          <w:rFonts w:ascii="Times New Roman" w:hAnsi="Times New Roman" w:cs="Times New Roman"/>
          <w:color w:val="auto"/>
          <w:sz w:val="28"/>
          <w:szCs w:val="28"/>
          <w:vertAlign w:val="superscript"/>
        </w:rPr>
        <w:t>16</w:t>
      </w:r>
      <w:r>
        <w:rPr>
          <w:rFonts w:ascii="Times New Roman" w:hAnsi="Times New Roman" w:cs="Times New Roman"/>
          <w:color w:val="auto"/>
          <w:sz w:val="28"/>
          <w:szCs w:val="28"/>
        </w:rPr>
        <w:t>, anti-oxidative</w:t>
      </w:r>
      <w:r>
        <w:rPr>
          <w:rFonts w:ascii="Times New Roman" w:hAnsi="Times New Roman" w:cs="Times New Roman"/>
          <w:color w:val="auto"/>
          <w:sz w:val="28"/>
          <w:szCs w:val="28"/>
          <w:vertAlign w:val="superscript"/>
        </w:rPr>
        <w:t>17</w:t>
      </w:r>
      <w:r>
        <w:rPr>
          <w:rFonts w:ascii="Times New Roman" w:hAnsi="Times New Roman" w:cs="Times New Roman"/>
          <w:color w:val="auto"/>
          <w:sz w:val="28"/>
          <w:szCs w:val="28"/>
        </w:rPr>
        <w:t>, anti-dipogenic</w:t>
      </w:r>
      <w:r>
        <w:rPr>
          <w:rFonts w:ascii="Times New Roman" w:hAnsi="Times New Roman" w:cs="Times New Roman"/>
          <w:color w:val="auto"/>
          <w:sz w:val="28"/>
          <w:szCs w:val="28"/>
          <w:vertAlign w:val="superscript"/>
        </w:rPr>
        <w:t>18</w:t>
      </w:r>
      <w:r>
        <w:rPr>
          <w:rFonts w:ascii="Times New Roman" w:hAnsi="Times New Roman" w:cs="Times New Roman"/>
          <w:color w:val="auto"/>
          <w:sz w:val="28"/>
          <w:szCs w:val="28"/>
        </w:rPr>
        <w:t>, antihypertensive</w:t>
      </w:r>
      <w:r>
        <w:rPr>
          <w:rFonts w:ascii="Times New Roman" w:hAnsi="Times New Roman" w:cs="Times New Roman"/>
          <w:color w:val="auto"/>
          <w:sz w:val="28"/>
          <w:szCs w:val="28"/>
          <w:vertAlign w:val="superscript"/>
        </w:rPr>
        <w:t>19</w:t>
      </w:r>
      <w:r>
        <w:rPr>
          <w:rFonts w:ascii="Times New Roman" w:hAnsi="Times New Roman" w:cs="Times New Roman"/>
          <w:color w:val="auto"/>
          <w:sz w:val="28"/>
          <w:szCs w:val="28"/>
        </w:rPr>
        <w:t>,</w:t>
      </w:r>
    </w:p>
    <w:p w14:paraId="31043A71">
      <w:pPr>
        <w:spacing w:after="0" w:line="276" w:lineRule="auto"/>
        <w:ind w:left="720" w:hanging="720"/>
        <w:jc w:val="both"/>
        <w:rPr>
          <w:rFonts w:ascii="Times New Roman" w:hAnsi="Times New Roman" w:cs="Times New Roman"/>
          <w:color w:val="auto"/>
          <w:sz w:val="20"/>
          <w:szCs w:val="28"/>
        </w:rPr>
      </w:pPr>
    </w:p>
    <w:p w14:paraId="0339A47E">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11.  World Health Organization. Global and regional food consumption pat-terns and trends. 2018. </w:t>
      </w:r>
      <w:r>
        <w:fldChar w:fldCharType="begin"/>
      </w:r>
      <w:r>
        <w:instrText xml:space="preserve"> HYPERLINK "http://www.who.int/nutri%20tion/topic%20s/3_foodc%20onsum%20ption%20/en/index%204.html" </w:instrText>
      </w:r>
      <w:r>
        <w:fldChar w:fldCharType="separate"/>
      </w:r>
      <w:r>
        <w:rPr>
          <w:rStyle w:val="6"/>
          <w:rFonts w:ascii="Times New Roman" w:hAnsi="Times New Roman" w:cs="Times New Roman"/>
          <w:sz w:val="20"/>
          <w:szCs w:val="28"/>
        </w:rPr>
        <w:t>http://www.who.int/nutri tion/topic s/3_foodc onsum ption /en/index 4.html</w:t>
      </w:r>
      <w:r>
        <w:rPr>
          <w:rStyle w:val="6"/>
          <w:rFonts w:ascii="Times New Roman" w:hAnsi="Times New Roman" w:cs="Times New Roman"/>
          <w:sz w:val="20"/>
          <w:szCs w:val="28"/>
        </w:rPr>
        <w:fldChar w:fldCharType="end"/>
      </w:r>
      <w:r>
        <w:rPr>
          <w:rFonts w:ascii="Times New Roman" w:hAnsi="Times New Roman" w:cs="Times New Roman"/>
          <w:color w:val="auto"/>
          <w:sz w:val="20"/>
          <w:szCs w:val="28"/>
        </w:rPr>
        <w:t xml:space="preserve">. </w:t>
      </w:r>
    </w:p>
    <w:p w14:paraId="168D2124">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12. Michaëlsson K, Wolk A, Langenskiöld S, Basu S, Warensjö E, Melhus H, et al. Milk intake and risk of mortality and fractures in women and men: cohort studies. BMJ. 2014, 349, g6015. </w:t>
      </w:r>
    </w:p>
    <w:p w14:paraId="3E615321">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13. Bougle D, Bouhallab S. Dietary bioactive peptides: human studies Crit Rev Food Sci Nutr. 2017,57.335-43.</w:t>
      </w:r>
    </w:p>
    <w:p w14:paraId="3AA9C352">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14. Fulgoni VL, Keast DR, Bailey RL, Dwyer J. Foods, fortificants, and supplements, where do Americans get their nutrients? J Nutr 2011141(10) 1847-54</w:t>
      </w:r>
    </w:p>
    <w:p w14:paraId="47ACF997">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15. P. W. Parodi. “Cows’ milk fat components as potential anticarcinogenic agents”. J Nutr. 1997, 127, 1055–60.</w:t>
      </w:r>
    </w:p>
    <w:p w14:paraId="5D02802E">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16. M. S. Da Silva and I. Rudkowska. “Dairy nutrients and their effect on inflammatory profile in molecular studies”. Mol Nutr Food Res. 2015, 59, 1249–63.</w:t>
      </w:r>
    </w:p>
    <w:p w14:paraId="1AC1C160">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17. S. Sultan, et al. “Therapeutic potential of dairy bioactive peptides: a contemporary perspective”. Crit Rev Food Sci Nutr. 2018, 58, 105–15.</w:t>
      </w:r>
    </w:p>
    <w:p w14:paraId="6B6AAA6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18.  M. Milard, et al. “Milk polar lipids in a high-fat diet can prevent body weight gain: modulated abundance of gut bacteria in relation with fecal loss of specific fatty acids”. Mol Nutr Food Res. 2019, 63, e1801078.</w:t>
      </w:r>
    </w:p>
    <w:p w14:paraId="3FE5FDF4">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19.  J. He, et al. “Effect of dietary protein supplementation on blood pressure: a randomized, controlled trial”. Circulation. 2011, 124, 589–95.</w:t>
      </w:r>
    </w:p>
    <w:p w14:paraId="08389AA2">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anti-hyperglycoma</w:t>
      </w:r>
      <w:r>
        <w:rPr>
          <w:rFonts w:ascii="Times New Roman" w:hAnsi="Times New Roman" w:cs="Times New Roman"/>
          <w:color w:val="auto"/>
          <w:sz w:val="28"/>
          <w:szCs w:val="28"/>
          <w:vertAlign w:val="superscript"/>
        </w:rPr>
        <w:t>20</w:t>
      </w:r>
      <w:r>
        <w:rPr>
          <w:rFonts w:ascii="Times New Roman" w:hAnsi="Times New Roman" w:cs="Times New Roman"/>
          <w:color w:val="auto"/>
          <w:sz w:val="28"/>
          <w:szCs w:val="28"/>
        </w:rPr>
        <w:t>, and antiosteoporosis</w:t>
      </w:r>
      <w:r>
        <w:rPr>
          <w:rFonts w:ascii="Times New Roman" w:hAnsi="Times New Roman" w:cs="Times New Roman"/>
          <w:color w:val="auto"/>
          <w:sz w:val="28"/>
          <w:szCs w:val="28"/>
          <w:vertAlign w:val="superscript"/>
        </w:rPr>
        <w:t>21</w:t>
      </w:r>
      <w:r>
        <w:rPr>
          <w:rFonts w:ascii="Times New Roman" w:hAnsi="Times New Roman" w:cs="Times New Roman"/>
          <w:color w:val="auto"/>
          <w:sz w:val="28"/>
          <w:szCs w:val="28"/>
        </w:rPr>
        <w:t>. Milk has not been only the primary source of nutrition for any new born mammals species, but also an excellent source of the nutrients for children growth and most adult which has been recommended by the great amount of dietary guidelines all over the word</w:t>
      </w:r>
      <w:r>
        <w:rPr>
          <w:rFonts w:ascii="Times New Roman" w:hAnsi="Times New Roman" w:cs="Times New Roman"/>
          <w:color w:val="auto"/>
          <w:sz w:val="28"/>
          <w:szCs w:val="28"/>
          <w:vertAlign w:val="superscript"/>
        </w:rPr>
        <w:t>22,23</w:t>
      </w:r>
      <w:r>
        <w:rPr>
          <w:rFonts w:ascii="Times New Roman" w:hAnsi="Times New Roman" w:cs="Times New Roman"/>
          <w:color w:val="auto"/>
          <w:sz w:val="28"/>
          <w:szCs w:val="28"/>
        </w:rPr>
        <w:t>. Word wide consumption of milk from livestock product were expected to project up to 89.5kg per year/ person in 2030 from only 78.1kg per year in between the year 1997-1999</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It is well documented and known that milk process valuable nutrients and contribute to our body requirement such as calcium, magnesium, selenium, riboflavin, vitamin B</w:t>
      </w:r>
      <w:r>
        <w:rPr>
          <w:rFonts w:ascii="Times New Roman" w:hAnsi="Times New Roman" w:cs="Times New Roman"/>
          <w:color w:val="auto"/>
          <w:sz w:val="28"/>
          <w:szCs w:val="28"/>
          <w:vertAlign w:val="subscript"/>
        </w:rPr>
        <w:t>12</w:t>
      </w:r>
      <w:r>
        <w:rPr>
          <w:rFonts w:ascii="Times New Roman" w:hAnsi="Times New Roman" w:cs="Times New Roman"/>
          <w:color w:val="auto"/>
          <w:sz w:val="28"/>
          <w:szCs w:val="28"/>
        </w:rPr>
        <w:t xml:space="preserve"> and vitamin B</w:t>
      </w:r>
      <w:r>
        <w:rPr>
          <w:rFonts w:ascii="Times New Roman" w:hAnsi="Times New Roman" w:cs="Times New Roman"/>
          <w:color w:val="auto"/>
          <w:sz w:val="28"/>
          <w:szCs w:val="28"/>
          <w:vertAlign w:val="subscript"/>
        </w:rPr>
        <w:t>5</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Breast milk has been recommended (WHO) for growing young children</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xml:space="preserve">. For full term new born baby the consumption of human milk of up to six month and above </w:t>
      </w:r>
    </w:p>
    <w:p w14:paraId="1094D4A3">
      <w:pPr>
        <w:spacing w:after="0" w:line="276" w:lineRule="auto"/>
        <w:ind w:left="450" w:hanging="450"/>
        <w:jc w:val="both"/>
        <w:rPr>
          <w:rFonts w:ascii="Times New Roman" w:hAnsi="Times New Roman" w:cs="Times New Roman"/>
          <w:color w:val="auto"/>
          <w:sz w:val="22"/>
          <w:szCs w:val="28"/>
        </w:rPr>
      </w:pPr>
    </w:p>
    <w:p w14:paraId="1A961079">
      <w:pPr>
        <w:spacing w:after="0" w:line="276" w:lineRule="auto"/>
        <w:ind w:left="450" w:hanging="450"/>
        <w:jc w:val="both"/>
        <w:rPr>
          <w:rFonts w:ascii="Times New Roman" w:hAnsi="Times New Roman" w:cs="Times New Roman"/>
          <w:color w:val="auto"/>
          <w:sz w:val="22"/>
          <w:szCs w:val="28"/>
        </w:rPr>
      </w:pPr>
      <w:r>
        <w:rPr>
          <w:rFonts w:ascii="Times New Roman" w:hAnsi="Times New Roman" w:cs="Times New Roman"/>
          <w:color w:val="auto"/>
          <w:sz w:val="22"/>
          <w:szCs w:val="28"/>
        </w:rPr>
        <w:t>20.  S. O’Connor, et al. “Increased dairy product intake alters serum metabolite profles in subjects at risk of developing type 2 diabetes”. Mol Nutr Food Res. 2019, 63, e1900126.</w:t>
      </w:r>
    </w:p>
    <w:p w14:paraId="5C1B08F8">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21.  J. Cadogan, et al. “Milk intake and bone mineral acquisition in adolescent girls: randomised, controlled intervention trial”. BMJ. 1997, 315:1255–60.</w:t>
      </w:r>
    </w:p>
    <w:p w14:paraId="4050910A">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22. World Health Organisation European Region. Food based dietary guidelines in the WHO European Region. Copenhagen: WHO, Europe; 2003.</w:t>
      </w:r>
    </w:p>
    <w:p w14:paraId="5760B911">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23.  Food and Agricultural Organization, World Heath Organisation. Prepara-tion and use of food-based dietary guidelines. Report of a joint FAO/ WHO consultation. Nicosia, Cyprus: WHO; 1996.</w:t>
      </w:r>
    </w:p>
    <w:p w14:paraId="432CA35A">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24.FAO. Milk and dairy products in human nutnition Milk and Dairy Products in Human nutrition, 2013.</w:t>
      </w:r>
    </w:p>
    <w:p w14:paraId="5BD990BC">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has led to fewer cases of diarrhea, vomiting and infection, apart from that </w:t>
      </w:r>
    </w:p>
    <w:p w14:paraId="3D726E26">
      <w:pPr>
        <w:spacing w:after="0" w:line="480" w:lineRule="auto"/>
        <w:ind w:left="0" w:firstLine="0"/>
        <w:jc w:val="both"/>
        <w:rPr>
          <w:rFonts w:ascii="Times New Roman" w:hAnsi="Times New Roman" w:cs="Times New Roman"/>
          <w:color w:val="auto"/>
          <w:szCs w:val="28"/>
        </w:rPr>
      </w:pPr>
      <w:r>
        <w:rPr>
          <w:rFonts w:ascii="Times New Roman" w:hAnsi="Times New Roman" w:cs="Times New Roman"/>
          <w:color w:val="auto"/>
          <w:sz w:val="28"/>
          <w:szCs w:val="28"/>
        </w:rPr>
        <w:t>it also help to reduce the predisposition of obesity and non-communicable diseases such as diabetes and cardiovascular disease in the adult</w:t>
      </w:r>
      <w:r>
        <w:rPr>
          <w:rFonts w:ascii="Times New Roman" w:hAnsi="Times New Roman" w:cs="Times New Roman"/>
          <w:color w:val="auto"/>
          <w:sz w:val="28"/>
          <w:szCs w:val="28"/>
          <w:vertAlign w:val="superscript"/>
        </w:rPr>
        <w:t>25</w:t>
      </w:r>
      <w:r>
        <w:rPr>
          <w:rFonts w:ascii="Times New Roman" w:hAnsi="Times New Roman" w:cs="Times New Roman"/>
          <w:color w:val="auto"/>
          <w:sz w:val="28"/>
          <w:szCs w:val="28"/>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necrotising enterocolthis a common and devastating disease of protein infact</w:t>
      </w:r>
      <w:r>
        <w:rPr>
          <w:rFonts w:ascii="Times New Roman" w:hAnsi="Times New Roman" w:cs="Times New Roman"/>
          <w:color w:val="auto"/>
          <w:sz w:val="28"/>
          <w:szCs w:val="28"/>
          <w:vertAlign w:val="superscript"/>
        </w:rPr>
        <w:t>26</w:t>
      </w:r>
      <w:r>
        <w:rPr>
          <w:rFonts w:ascii="Times New Roman" w:hAnsi="Times New Roman" w:cs="Times New Roman"/>
          <w:color w:val="auto"/>
          <w:sz w:val="28"/>
          <w:szCs w:val="28"/>
        </w:rPr>
        <w:t>.</w:t>
      </w:r>
    </w:p>
    <w:p w14:paraId="6754D2B8">
      <w:pPr>
        <w:spacing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25.Lonnerdal B. Infant formula and infant nutrition:Bioactive protein of human milk and implications for composition of infant formullas.American Journal of clinical nutrition. 2014;99(3).</w:t>
      </w:r>
    </w:p>
    <w:p w14:paraId="50E93BD8">
      <w:pPr>
        <w:spacing w:after="366"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26.Pacheco AR, Barile D, underwood MA,muis DA. The impact of the milk glycobiome on the neonate gut micro biota. Annual review of animal biosciences.2015;419-45.</w:t>
      </w:r>
    </w:p>
    <w:p w14:paraId="7D3BDDB9">
      <w:pPr>
        <w:spacing w:after="366" w:line="276" w:lineRule="auto"/>
        <w:ind w:left="540" w:hanging="540"/>
        <w:jc w:val="both"/>
        <w:rPr>
          <w:rFonts w:ascii="Times New Roman" w:hAnsi="Times New Roman" w:cs="Times New Roman"/>
          <w:color w:val="auto"/>
          <w:szCs w:val="28"/>
        </w:rPr>
      </w:pPr>
    </w:p>
    <w:p w14:paraId="37FBC0A8">
      <w:pPr>
        <w:spacing w:after="366" w:line="276" w:lineRule="auto"/>
        <w:ind w:left="540" w:hanging="540"/>
        <w:jc w:val="both"/>
        <w:rPr>
          <w:rFonts w:ascii="Times New Roman" w:hAnsi="Times New Roman" w:cs="Times New Roman"/>
          <w:color w:val="auto"/>
          <w:szCs w:val="28"/>
        </w:rPr>
      </w:pPr>
    </w:p>
    <w:p w14:paraId="18E97E6B">
      <w:pPr>
        <w:spacing w:after="366" w:line="276" w:lineRule="auto"/>
        <w:ind w:left="540" w:hanging="540"/>
        <w:jc w:val="both"/>
        <w:rPr>
          <w:rFonts w:ascii="Times New Roman" w:hAnsi="Times New Roman" w:cs="Times New Roman"/>
          <w:color w:val="auto"/>
          <w:szCs w:val="28"/>
        </w:rPr>
      </w:pPr>
    </w:p>
    <w:p w14:paraId="5498D413">
      <w:pPr>
        <w:spacing w:after="366" w:line="276" w:lineRule="auto"/>
        <w:ind w:left="540" w:hanging="540"/>
        <w:jc w:val="both"/>
        <w:rPr>
          <w:rFonts w:ascii="Times New Roman" w:hAnsi="Times New Roman" w:cs="Times New Roman"/>
          <w:color w:val="auto"/>
          <w:szCs w:val="28"/>
        </w:rPr>
      </w:pPr>
    </w:p>
    <w:p w14:paraId="2F1F60F6">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1.1 PROBLEM STATEMENT </w:t>
      </w:r>
    </w:p>
    <w:p w14:paraId="5D9A322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Milk is a popularly consumed dairy product. It is in fact the most consumed and industrialized animal product. However, its consumption may pose certain health concerns if its quality and composition are not properly monitored.</w:t>
      </w:r>
    </w:p>
    <w:p w14:paraId="43D28300">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The analysis of milk may be compared among different brands as a measure of the variations in their composition and quality.</w:t>
      </w:r>
    </w:p>
    <w:p w14:paraId="1044861A">
      <w:pPr>
        <w:spacing w:after="38"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This study is designed to qualitatively assess the major adulterants in milk as a result of sampling from the source,presentation of the raw samples and processing as well as industrial production patterns of each manufacturer. Some adulterants are intentionally added while some are introduced during processing. </w:t>
      </w:r>
    </w:p>
    <w:p w14:paraId="798688A1">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1.2 AIMS AND OBJECTIVE OF THE STUDY</w:t>
      </w:r>
    </w:p>
    <w:p w14:paraId="52B549AF">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Aims </w:t>
      </w:r>
    </w:p>
    <w:p w14:paraId="3363884E">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is aimed at qualitatively detection of a number of non-milk-components which may be intentionally or unintentionally added to milk products being sold for public consumption and may have effect on peoples’ nutrition and health. On the basis of the adulterant, this study also aimed at comparing the quality of the selected commercial brands of powder milk sold within Ilorin metropolis.</w:t>
      </w:r>
    </w:p>
    <w:p w14:paraId="534994A9">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Specific objective</w:t>
      </w:r>
    </w:p>
    <w:p w14:paraId="5A6296C3">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 To collect commercial evaporated milk samples readily available on sale within Ilorin metropolis. </w:t>
      </w:r>
    </w:p>
    <w:p w14:paraId="7C74787B">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ii. To identify common adulterants presents in commercial brands of evaporated milk available in Ilorin. </w:t>
      </w:r>
    </w:p>
    <w:p w14:paraId="02E730F9">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iii. To compare the level of adulteration across different selected brands using qualitative methods.</w:t>
      </w:r>
    </w:p>
    <w:p w14:paraId="1F2364D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iv. To assess the possible health risks associated with the detected adulterants in these milk samples.</w:t>
      </w:r>
    </w:p>
    <w:p w14:paraId="66F0EB95">
      <w:pPr>
        <w:spacing w:after="41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v. To compare the quality of the milk samples based on the absence of harmful adulterants.</w:t>
      </w:r>
    </w:p>
    <w:p w14:paraId="06009869">
      <w:pPr>
        <w:pStyle w:val="2"/>
        <w:spacing w:after="53"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1.3 SCOPE OF THE STUDY </w:t>
      </w:r>
    </w:p>
    <w:p w14:paraId="0F131820">
      <w:pPr>
        <w:spacing w:line="480" w:lineRule="auto"/>
        <w:ind w:left="-5" w:firstLine="0"/>
        <w:jc w:val="both"/>
        <w:rPr>
          <w:rFonts w:ascii="Times New Roman" w:hAnsi="Times New Roman" w:cs="Times New Roman"/>
          <w:color w:val="auto"/>
          <w:sz w:val="28"/>
          <w:szCs w:val="28"/>
        </w:rPr>
      </w:pPr>
      <w:r>
        <w:rPr>
          <w:rFonts w:ascii="Times New Roman" w:hAnsi="Times New Roman" w:cs="Times New Roman"/>
          <w:color w:val="auto"/>
          <w:sz w:val="28"/>
          <w:szCs w:val="28"/>
        </w:rPr>
        <w:t>The study encompasses such areas as collecting commercial powder milk samples readily available to the public within Ilorin metropolis.</w:t>
      </w:r>
    </w:p>
    <w:p w14:paraId="606156CF">
      <w:pPr>
        <w:spacing w:after="40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Simple preparation of the samples(Dissolution) where necessary.This is to prevent any major change in the product before analysis.The eventual detection of the selected adulterants using simple chemical tests.</w:t>
      </w:r>
    </w:p>
    <w:p w14:paraId="6ED6F257">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1.4 JUSTIFICATION OF THE STUDY </w:t>
      </w:r>
    </w:p>
    <w:p w14:paraId="30BAEFB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14:paraId="7DC31602">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14:paraId="3ECBE1B4">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73EC8D87">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 RELEVANCE OF THE STUDY </w:t>
      </w:r>
    </w:p>
    <w:p w14:paraId="33D19E4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of the Comparative Qualitative Detection of Aldultrants in evaporated milk sold within Ilorin metropolis relevant for promoting consumers’ health and safety. By identifying the presence and type of adulterants in different brands, the study can help protect consumers from potentially harmful substance and ensure they are getting the quality of milk they expect.</w:t>
      </w:r>
    </w:p>
    <w:p w14:paraId="3A3C49AE">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14:paraId="4DD269CB">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Identifying Harmful adulterants: milk can be adulterated with various substance, some of which can be harmful to human health. For example formalin, urea, am detergents can be added to extend shelf life or increase volume. identifying these adulterants help prevent consumers from unknowingly ingesting harmful substance.</w:t>
      </w:r>
    </w:p>
    <w:p w14:paraId="061D29BD">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Promoting safe consumption </w:t>
      </w:r>
    </w:p>
    <w:p w14:paraId="06C055EF">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By identifying adulterated milk, the study can help guide consumers towards safer brands and products, promoting the consumption of milk that meet quality standards Quality control and Assurance: This study will be relevant to the functions of appropriate governmental and non-governmental monitoring agencies on what component of milk products to enforce its removal during processing and production.</w:t>
      </w:r>
    </w:p>
    <w:p w14:paraId="5C731A4D">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14:paraId="64E781BC">
      <w:pPr>
        <w:pStyle w:val="2"/>
        <w:spacing w:line="480" w:lineRule="auto"/>
        <w:ind w:left="-5"/>
        <w:jc w:val="center"/>
        <w:rPr>
          <w:rFonts w:ascii="Times New Roman" w:hAnsi="Times New Roman" w:cs="Times New Roman"/>
          <w:b/>
          <w:color w:val="auto"/>
          <w:szCs w:val="28"/>
        </w:rPr>
      </w:pPr>
      <w:r>
        <w:rPr>
          <w:rFonts w:ascii="Times New Roman" w:hAnsi="Times New Roman" w:cs="Times New Roman"/>
          <w:b/>
          <w:color w:val="auto"/>
          <w:szCs w:val="28"/>
        </w:rPr>
        <w:t>CHAPTER TWO</w:t>
      </w:r>
    </w:p>
    <w:p w14:paraId="4884069B">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2.0 LITERATURE REVIEW </w:t>
      </w:r>
    </w:p>
    <w:p w14:paraId="3D66470A">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In most dairy industrialized countries, 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14:paraId="13D18C45">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2.1 QUALITY REGULATION</w:t>
      </w:r>
    </w:p>
    <w:p w14:paraId="6DD6B771">
      <w:pPr>
        <w:spacing w:after="36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14:paraId="65B03A1C">
      <w:pPr>
        <w:numPr>
          <w:ilvl w:val="0"/>
          <w:numId w:val="1"/>
        </w:num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Merwan Ahmedsham, Nezif Amza and Metekia Tamiru, “Review on milk and milk product safety, quality assurance and control”. Livestock production. 9.4(2018):67-78. </w:t>
      </w:r>
    </w:p>
    <w:p w14:paraId="0CA1B270">
      <w:pPr>
        <w:numPr>
          <w:ilvl w:val="0"/>
          <w:numId w:val="0"/>
        </w:numPr>
        <w:spacing w:after="0" w:line="276" w:lineRule="auto"/>
        <w:jc w:val="both"/>
        <w:rPr>
          <w:rFonts w:ascii="Times New Roman" w:hAnsi="Times New Roman" w:cs="Times New Roman"/>
          <w:color w:val="auto"/>
          <w:szCs w:val="28"/>
        </w:rPr>
      </w:pPr>
    </w:p>
    <w:p w14:paraId="4DACC414">
      <w:pPr>
        <w:numPr>
          <w:ilvl w:val="0"/>
          <w:numId w:val="0"/>
        </w:numPr>
        <w:spacing w:after="0" w:line="276" w:lineRule="auto"/>
        <w:jc w:val="both"/>
        <w:rPr>
          <w:rFonts w:ascii="Times New Roman" w:hAnsi="Times New Roman" w:cs="Times New Roman"/>
          <w:color w:val="auto"/>
          <w:szCs w:val="28"/>
        </w:rPr>
      </w:pPr>
    </w:p>
    <w:p w14:paraId="61173B85">
      <w:pPr>
        <w:numPr>
          <w:ilvl w:val="0"/>
          <w:numId w:val="0"/>
        </w:numPr>
        <w:spacing w:after="0" w:line="276" w:lineRule="auto"/>
        <w:jc w:val="both"/>
        <w:rPr>
          <w:rFonts w:ascii="Times New Roman" w:hAnsi="Times New Roman" w:cs="Times New Roman"/>
          <w:color w:val="auto"/>
          <w:szCs w:val="28"/>
        </w:rPr>
      </w:pPr>
    </w:p>
    <w:p w14:paraId="4A365029">
      <w:pPr>
        <w:numPr>
          <w:ilvl w:val="0"/>
          <w:numId w:val="0"/>
        </w:numPr>
        <w:spacing w:after="0" w:line="276" w:lineRule="auto"/>
        <w:jc w:val="both"/>
        <w:rPr>
          <w:rFonts w:ascii="Times New Roman" w:hAnsi="Times New Roman" w:cs="Times New Roman"/>
          <w:color w:val="auto"/>
          <w:szCs w:val="28"/>
        </w:rPr>
      </w:pPr>
    </w:p>
    <w:p w14:paraId="489401F5">
      <w:pPr>
        <w:numPr>
          <w:ilvl w:val="0"/>
          <w:numId w:val="0"/>
        </w:numPr>
        <w:spacing w:after="0" w:line="276" w:lineRule="auto"/>
        <w:jc w:val="both"/>
        <w:rPr>
          <w:rFonts w:ascii="Times New Roman" w:hAnsi="Times New Roman" w:cs="Times New Roman"/>
          <w:color w:val="auto"/>
          <w:szCs w:val="28"/>
        </w:rPr>
      </w:pPr>
    </w:p>
    <w:p w14:paraId="46A2DDAD">
      <w:pPr>
        <w:numPr>
          <w:ilvl w:val="0"/>
          <w:numId w:val="0"/>
        </w:numPr>
        <w:spacing w:after="0" w:line="276" w:lineRule="auto"/>
        <w:jc w:val="both"/>
        <w:rPr>
          <w:rFonts w:ascii="Times New Roman" w:hAnsi="Times New Roman" w:cs="Times New Roman"/>
          <w:color w:val="auto"/>
          <w:szCs w:val="28"/>
        </w:rPr>
      </w:pPr>
    </w:p>
    <w:p w14:paraId="39AA0F19">
      <w:pPr>
        <w:numPr>
          <w:ilvl w:val="0"/>
          <w:numId w:val="0"/>
        </w:numPr>
        <w:spacing w:after="0" w:line="276" w:lineRule="auto"/>
        <w:jc w:val="both"/>
        <w:rPr>
          <w:rFonts w:ascii="Times New Roman" w:hAnsi="Times New Roman" w:cs="Times New Roman"/>
          <w:color w:val="auto"/>
          <w:szCs w:val="28"/>
        </w:rPr>
      </w:pPr>
    </w:p>
    <w:p w14:paraId="7D39FB63">
      <w:pPr>
        <w:numPr>
          <w:ilvl w:val="0"/>
          <w:numId w:val="0"/>
        </w:numPr>
        <w:spacing w:after="0" w:line="276" w:lineRule="auto"/>
        <w:jc w:val="both"/>
        <w:rPr>
          <w:rFonts w:ascii="Times New Roman" w:hAnsi="Times New Roman" w:cs="Times New Roman"/>
          <w:color w:val="auto"/>
          <w:szCs w:val="28"/>
        </w:rPr>
      </w:pPr>
    </w:p>
    <w:p w14:paraId="4C1A8701">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2.2 MORTALITY </w:t>
      </w:r>
    </w:p>
    <w:p w14:paraId="72FAF86E">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Milk consumption was not connected with total mortality</w:t>
      </w:r>
      <w:r>
        <w:rPr>
          <w:rFonts w:ascii="Times New Roman" w:hAnsi="Times New Roman" w:cs="Times New Roman"/>
          <w:color w:val="auto"/>
          <w:sz w:val="28"/>
          <w:szCs w:val="28"/>
          <w:vertAlign w:val="superscript"/>
        </w:rPr>
        <w:t>28</w:t>
      </w:r>
      <w:r>
        <w:rPr>
          <w:rFonts w:ascii="Times New Roman" w:hAnsi="Times New Roman" w:cs="Times New Roman"/>
          <w:color w:val="auto"/>
          <w:sz w:val="28"/>
          <w:szCs w:val="28"/>
        </w:rPr>
        <w:t>, CVD mortality</w:t>
      </w:r>
      <w:r>
        <w:rPr>
          <w:rFonts w:ascii="Times New Roman" w:hAnsi="Times New Roman" w:cs="Times New Roman"/>
          <w:color w:val="auto"/>
          <w:sz w:val="28"/>
          <w:szCs w:val="28"/>
          <w:vertAlign w:val="superscript"/>
        </w:rPr>
        <w:t>29</w:t>
      </w:r>
      <w:r>
        <w:rPr>
          <w:rFonts w:ascii="Times New Roman" w:hAnsi="Times New Roman" w:cs="Times New Roman"/>
          <w:color w:val="auto"/>
          <w:sz w:val="28"/>
          <w:szCs w:val="28"/>
        </w:rPr>
        <w:t xml:space="preserve"> or all cancer mortality</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while it was associated with a elevated risk of mortality from coronary heart disease (CHD)</w:t>
      </w:r>
      <w:r>
        <w:rPr>
          <w:rFonts w:ascii="Times New Roman" w:hAnsi="Times New Roman" w:cs="Times New Roman"/>
          <w:color w:val="auto"/>
          <w:sz w:val="28"/>
          <w:szCs w:val="28"/>
          <w:vertAlign w:val="superscript"/>
        </w:rPr>
        <w:t xml:space="preserve">28 </w:t>
      </w:r>
      <w:r>
        <w:rPr>
          <w:rFonts w:ascii="Times New Roman" w:hAnsi="Times New Roman" w:cs="Times New Roman"/>
          <w:color w:val="auto"/>
          <w:sz w:val="28"/>
          <w:szCs w:val="28"/>
        </w:rPr>
        <w:t>and prostate cancer</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xml:space="preserve">. </w:t>
      </w:r>
    </w:p>
    <w:p w14:paraId="6AD76F56">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2.3 CARDIOVASCULAR DISEASE </w:t>
      </w:r>
    </w:p>
    <w:p w14:paraId="1EBFF17A">
      <w:pPr>
        <w:spacing w:after="41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Although high verse low milk consumption was not related to the risk of CVD, CHD and stroke</w:t>
      </w:r>
      <w:r>
        <w:rPr>
          <w:rFonts w:ascii="Times New Roman" w:hAnsi="Times New Roman" w:cs="Times New Roman"/>
          <w:color w:val="auto"/>
          <w:sz w:val="28"/>
          <w:szCs w:val="28"/>
          <w:vertAlign w:val="superscript"/>
        </w:rPr>
        <w:t>31,32</w:t>
      </w:r>
      <w:r>
        <w:rPr>
          <w:rFonts w:ascii="Times New Roman" w:hAnsi="Times New Roman" w:cs="Times New Roman"/>
          <w:color w:val="auto"/>
          <w:sz w:val="28"/>
          <w:szCs w:val="28"/>
        </w:rPr>
        <w:t xml:space="preserve">, dose response analysis manifested a 6% </w:t>
      </w:r>
    </w:p>
    <w:p w14:paraId="279032D0">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28. M. Mazidi, DP. Mikhailidis, NG. Sattar, I. Graham, M. Banach, Lipid and Blood Pressure Meta-analysis Collaboration (LBPMC) Group, “Consumption of dairy products and its association with total and cause specific mortality”. Clinical nutrition. 38.28(2019):33-45. </w:t>
      </w:r>
    </w:p>
    <w:p w14:paraId="5BF42A71">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29. TA. O’Sullivan, K. Hafekost, F. Mitrou and D. Lawrence. “Food sources of saturated fat and the association with mortality”. Amj Public Health. 103(2013):31-42. </w:t>
      </w:r>
    </w:p>
    <w:p w14:paraId="771D465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30. W. Lu, H. Chen, Y. Niu, H. Wu, D. Xia and Y. Wu. “Dairy products intake and cancer mortality risk”. Nutrition and metabolism. 15.91(2016). </w:t>
      </w:r>
    </w:p>
    <w:p w14:paraId="30BC9C0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31. J. Guo, A. Astrup, JA. Lovegrove, L. Gijsbers, DI. Givens and SS. Soedamah-Muthu. “Milk and dairy consumption and risk of cardiovascular diseases and all-causes mortality”. European journal Epidemic. 32.2(2017):69-87. </w:t>
      </w:r>
    </w:p>
    <w:p w14:paraId="330B71B0">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32. P. Mullie, C. Pizot and P. Autier. “Daily milk consumption and all-cause mortality, coronary heart disease and stroke”. BMC public health. 16.12(2016):36. </w:t>
      </w:r>
    </w:p>
    <w:p w14:paraId="2C6243A5">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lower risk of CVD and a 4% lower risk of hypertension</w:t>
      </w:r>
      <w:r>
        <w:rPr>
          <w:rFonts w:ascii="Times New Roman" w:hAnsi="Times New Roman" w:cs="Times New Roman"/>
          <w:color w:val="auto"/>
          <w:sz w:val="28"/>
          <w:szCs w:val="28"/>
          <w:vertAlign w:val="superscript"/>
        </w:rPr>
        <w:t>33</w:t>
      </w:r>
      <w:r>
        <w:rPr>
          <w:rFonts w:ascii="Times New Roman" w:hAnsi="Times New Roman" w:cs="Times New Roman"/>
          <w:color w:val="auto"/>
          <w:sz w:val="28"/>
          <w:szCs w:val="28"/>
        </w:rPr>
        <w:t xml:space="preserve"> with increment of 200mls milk consumption per day. However high-fat milk intake was connected with a 4% higher risk of stroke</w:t>
      </w:r>
      <w:r>
        <w:rPr>
          <w:rFonts w:ascii="Times New Roman" w:hAnsi="Times New Roman" w:cs="Times New Roman"/>
          <w:color w:val="auto"/>
          <w:sz w:val="28"/>
          <w:szCs w:val="28"/>
          <w:vertAlign w:val="superscript"/>
        </w:rPr>
        <w:t>34</w:t>
      </w:r>
      <w:r>
        <w:rPr>
          <w:rFonts w:ascii="Times New Roman" w:hAnsi="Times New Roman" w:cs="Times New Roman"/>
          <w:color w:val="auto"/>
          <w:sz w:val="28"/>
          <w:szCs w:val="28"/>
        </w:rPr>
        <w:t xml:space="preserve">. </w:t>
      </w:r>
    </w:p>
    <w:p w14:paraId="487FEC83">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2.4 CANCER OUTCOME </w:t>
      </w:r>
    </w:p>
    <w:p w14:paraId="0F0EA363">
      <w:pPr>
        <w:spacing w:after="36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High milk intake was consistently related to decreased risk of colorectal cancer (CRC)</w:t>
      </w:r>
      <w:r>
        <w:rPr>
          <w:rFonts w:ascii="Times New Roman" w:hAnsi="Times New Roman" w:cs="Times New Roman"/>
          <w:color w:val="auto"/>
          <w:sz w:val="28"/>
          <w:szCs w:val="28"/>
          <w:vertAlign w:val="superscript"/>
        </w:rPr>
        <w:t>35</w:t>
      </w:r>
      <w:r>
        <w:rPr>
          <w:rFonts w:ascii="Times New Roman" w:hAnsi="Times New Roman" w:cs="Times New Roman"/>
          <w:color w:val="auto"/>
          <w:sz w:val="28"/>
          <w:szCs w:val="28"/>
        </w:rPr>
        <w:t>. The highest milk intake was connected with a lower risk of both colon and rectal cancer, especially in colon cancer</w:t>
      </w:r>
      <w:r>
        <w:rPr>
          <w:rFonts w:ascii="Times New Roman" w:hAnsi="Times New Roman" w:cs="Times New Roman"/>
          <w:color w:val="auto"/>
          <w:sz w:val="28"/>
          <w:szCs w:val="28"/>
          <w:vertAlign w:val="superscript"/>
        </w:rPr>
        <w:t>36</w:t>
      </w:r>
      <w:r>
        <w:rPr>
          <w:rFonts w:ascii="Times New Roman" w:hAnsi="Times New Roman" w:cs="Times New Roman"/>
          <w:color w:val="auto"/>
          <w:sz w:val="28"/>
          <w:szCs w:val="28"/>
        </w:rPr>
        <w:t xml:space="preserve">. </w:t>
      </w:r>
    </w:p>
    <w:p w14:paraId="6231D6AD">
      <w:pPr>
        <w:spacing w:after="0" w:line="276" w:lineRule="auto"/>
        <w:ind w:left="540" w:hanging="555"/>
        <w:jc w:val="both"/>
        <w:rPr>
          <w:rFonts w:ascii="Times New Roman" w:hAnsi="Times New Roman" w:cs="Times New Roman"/>
          <w:color w:val="auto"/>
          <w:szCs w:val="28"/>
        </w:rPr>
      </w:pPr>
    </w:p>
    <w:p w14:paraId="0D0EEC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33. S. S. Soedamah-Muthu, EL. Ding, WK. Al-Delaimy, FB. Hu, MF. Engberink, WC. Willet and et al.”Milk and dairy consumption and incidence of cardiovascular disease and all-cause mortality”. Am J clinical nutrition. 93.1(2011):58-71. </w:t>
      </w:r>
    </w:p>
    <w:p w14:paraId="1BF9D2FE">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34. S. S. Soedamah-Muthu, LDM. Verberne, EL. Ding, MF. Engberink and JM. Geleijnse. “Dairy consumption and incidence of hypertension”. Hypertension. 60.113(2012):1-7. </w:t>
      </w:r>
    </w:p>
    <w:p w14:paraId="44F9DD13">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35. J. de Goede, SS. Soedamah-Muthu, A. Pan, L. Gijsbers and JM. Geleijnse. “Dairy consumption and risk of stroke”. J Am Heart Assoc.(2016). </w:t>
      </w:r>
    </w:p>
    <w:p w14:paraId="670B3027">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 L. Barrubés, N. Babio, N. Beverage-Tomás, N. Rosique-Esteban and J. Salas-Salvadó. “Association between dairy products consumption and colorectal cancer risk in adults”. Advanced nutrition. 10.5(2019):190-211.</w:t>
      </w:r>
    </w:p>
    <w:p w14:paraId="0DDC02F0">
      <w:pPr>
        <w:spacing w:before="240" w:after="160" w:line="259"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6"/>
        </w:rPr>
        <w:br w:type="page"/>
      </w:r>
      <w:r>
        <w:rPr>
          <w:rFonts w:ascii="Times New Roman" w:hAnsi="Times New Roman" w:cs="Times New Roman"/>
          <w:b/>
          <w:color w:val="auto"/>
          <w:sz w:val="28"/>
          <w:szCs w:val="28"/>
        </w:rPr>
        <w:t>CHAPTER THREE</w:t>
      </w:r>
    </w:p>
    <w:p w14:paraId="567C5C5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3.0 EXPERIMENTAL</w:t>
      </w:r>
    </w:p>
    <w:p w14:paraId="351FB844">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w:t>
      </w:r>
      <w:r>
        <w:rPr>
          <w:rFonts w:ascii="Times New Roman" w:hAnsi="Times New Roman" w:cs="Times New Roman"/>
          <w:b/>
          <w:color w:val="auto"/>
          <w:sz w:val="28"/>
          <w:szCs w:val="28"/>
        </w:rPr>
        <w:tab/>
      </w:r>
      <w:r>
        <w:rPr>
          <w:rFonts w:ascii="Times New Roman" w:hAnsi="Times New Roman" w:cs="Times New Roman"/>
          <w:b/>
          <w:color w:val="auto"/>
          <w:sz w:val="28"/>
          <w:szCs w:val="28"/>
        </w:rPr>
        <w:t>REAGENTS AND APPARATUS</w:t>
      </w:r>
    </w:p>
    <w:p w14:paraId="09EF9D19">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3.1.1</w:t>
      </w:r>
      <w:r>
        <w:rPr>
          <w:rFonts w:ascii="Times New Roman" w:hAnsi="Times New Roman" w:cs="Times New Roman"/>
          <w:b/>
          <w:color w:val="auto"/>
          <w:sz w:val="28"/>
          <w:szCs w:val="28"/>
        </w:rPr>
        <w:tab/>
      </w:r>
      <w:r>
        <w:rPr>
          <w:rFonts w:ascii="Times New Roman" w:hAnsi="Times New Roman" w:cs="Times New Roman"/>
          <w:b/>
          <w:color w:val="auto"/>
          <w:sz w:val="28"/>
          <w:szCs w:val="28"/>
        </w:rPr>
        <w:t>Reagents</w:t>
      </w:r>
    </w:p>
    <w:p w14:paraId="52D83E9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Resorcinol Solution (0.5%), Iodine Solution, DMAB reagent (1.6%, w/v), </w:t>
      </w:r>
      <w:r>
        <w:rPr>
          <w:rFonts w:ascii="Times New Roman" w:hAnsi="Times New Roman" w:cs="Times New Roman"/>
          <w:b/>
          <w:color w:val="auto"/>
          <w:sz w:val="28"/>
          <w:szCs w:val="28"/>
        </w:rPr>
        <w:t>Nessler’s reagent</w:t>
      </w:r>
      <w:r>
        <w:rPr>
          <w:rFonts w:ascii="Times New Roman" w:hAnsi="Times New Roman" w:cs="Times New Roman"/>
          <w:color w:val="auto"/>
          <w:sz w:val="28"/>
          <w:szCs w:val="28"/>
        </w:rPr>
        <w:t xml:space="preserve"> (mercuric chloride, sodium hydroxide, potassium iodide, Barium chloride solution, Trichloroacetic acid (TCA), 24% (w/v, aq.), Silver nitrate (AgNO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solution: 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Diphenylamine (2%, w/v, in sulfuric acid), Dilute HCl solution, Starch solution, eosin indicator solution, 25g citric acid, Methylene blue dye solution, Turmeric Paper, ferric Chloride solution, methanol, Ethanol, Lead acetate, Cupric copper, Potassium hydroxide (KOH) solution, ferric chloride, sodium hydroxide (NaoH), distilled water, Mayer’s reagent, Hagner’s reagent, Wagner’s reagent Dragendoff’s reagent, acetic anhydride, hydrochloride, hydrochloric acid solution, ethanolic KOH, chloroform, pyridine, indicator solution (for Kjedahl titration), boric acid, nitropruside, Kjedhal tablet, potassium hydroxide (KOH), pellet, concentrated tetraoxosulfate (vi) acid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acetone, hexane. </w:t>
      </w:r>
    </w:p>
    <w:p w14:paraId="61F2E6B0">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3.1.2</w:t>
      </w:r>
      <w:r>
        <w:rPr>
          <w:rFonts w:ascii="Times New Roman" w:hAnsi="Times New Roman" w:cs="Times New Roman"/>
          <w:b/>
          <w:color w:val="auto"/>
          <w:sz w:val="28"/>
          <w:szCs w:val="28"/>
        </w:rPr>
        <w:tab/>
      </w:r>
      <w:r>
        <w:rPr>
          <w:rFonts w:ascii="Times New Roman" w:hAnsi="Times New Roman" w:cs="Times New Roman"/>
          <w:b/>
          <w:color w:val="auto"/>
          <w:sz w:val="28"/>
          <w:szCs w:val="28"/>
        </w:rPr>
        <w:t>Apparatus and Equipment</w:t>
      </w:r>
    </w:p>
    <w:p w14:paraId="15E7BDFD">
      <w:pPr>
        <w:spacing w:before="24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Beaker, glass funnel, separating funnel, filter paper, stirring rod, test tubes, test tube rack, dropper, round bottom flask, measuring cylinder, volumetric flask, conical flask, spatula. </w:t>
      </w:r>
    </w:p>
    <w:p w14:paraId="7AD60600">
      <w:pPr>
        <w:spacing w:before="24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Equipment: </w:t>
      </w:r>
      <w:r>
        <w:rPr>
          <w:rFonts w:ascii="Times New Roman" w:hAnsi="Times New Roman" w:cs="Times New Roman"/>
          <w:color w:val="auto"/>
          <w:sz w:val="28"/>
          <w:szCs w:val="28"/>
        </w:rPr>
        <w:t>weighing balance, water bath. Heating mantle.</w:t>
      </w:r>
    </w:p>
    <w:p w14:paraId="39EE781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3.2 COLLECTION OF SAMPLES</w:t>
      </w:r>
    </w:p>
    <w:p w14:paraId="3747844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selected samples of the various commercial brands powdered milk were purchased from different shopping malls and retail sellers within Ilorin metropolis in sealed sachet and cans. </w:t>
      </w:r>
    </w:p>
    <w:p w14:paraId="2727760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3.3 PREPARATION OF SAMPLES</w:t>
      </w:r>
    </w:p>
    <w:p w14:paraId="5CBB48E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Each milk sample was used as found in its package (with expiry date confirmed to be sure it was not an expired product). However, dilution and/or dissolution were done where necessary as indicated in the procedure.</w:t>
      </w:r>
    </w:p>
    <w:p w14:paraId="0AAB28B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PREARATION OF REAGENTS</w:t>
      </w:r>
    </w:p>
    <w:p w14:paraId="246F1CF7">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 Preparation of Resorcinol Solution (0.5%)</w:t>
      </w:r>
      <w:r>
        <w:rPr>
          <w:rFonts w:ascii="Times New Roman" w:hAnsi="Times New Roman" w:cs="Times New Roman"/>
          <w:color w:val="auto"/>
          <w:sz w:val="28"/>
          <w:szCs w:val="28"/>
        </w:rPr>
        <w:t xml:space="preserve">  </w:t>
      </w:r>
    </w:p>
    <w:p w14:paraId="69E0C80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resorcinol was weighed into a beaker containing about 40 ml of distilled water. 35 ml of concentrated HCl (12 M) was added to it. The content was quantitatively transferred into and made up the volume to 100 ml volumetric flask using distilled water.</w:t>
      </w:r>
    </w:p>
    <w:p w14:paraId="49345EAF">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3.4.2 Preparation of Iodine Solution</w:t>
      </w:r>
      <w:r>
        <w:rPr>
          <w:rFonts w:ascii="Times New Roman" w:hAnsi="Times New Roman" w:cs="Times New Roman"/>
          <w:color w:val="auto"/>
          <w:sz w:val="28"/>
          <w:szCs w:val="28"/>
        </w:rPr>
        <w:t xml:space="preserve"> </w:t>
      </w:r>
    </w:p>
    <w:p w14:paraId="3425DA4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2.6g of iodine crystals and 3g of potassium iodide crystals were dissolved in a sufficient quantity of water and made up to mark in a 200 ml standard flask.</w:t>
      </w:r>
    </w:p>
    <w:p w14:paraId="277FEC71">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13FA94D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3.4.3 Preparation of Iodine–Zinc chloride reagent</w:t>
      </w:r>
      <w:r>
        <w:rPr>
          <w:rFonts w:ascii="Times New Roman" w:hAnsi="Times New Roman" w:cs="Times New Roman"/>
          <w:color w:val="auto"/>
          <w:sz w:val="28"/>
          <w:szCs w:val="28"/>
        </w:rPr>
        <w:t xml:space="preserve"> </w:t>
      </w:r>
    </w:p>
    <w:p w14:paraId="00BBA5F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20g ZnCl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was dissolved in 8.5 ml water and when cooled, the iodine solution (3g potassium iodide and 1.5g iodine in 60 ml water) was introduced drop by drop until iodine begins to precipitate.</w:t>
      </w:r>
    </w:p>
    <w:p w14:paraId="71994B6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Preparation of DMAB reagent (1.6%, w/v)</w:t>
      </w:r>
      <w:r>
        <w:rPr>
          <w:rFonts w:ascii="Times New Roman" w:hAnsi="Times New Roman" w:cs="Times New Roman"/>
          <w:color w:val="auto"/>
          <w:sz w:val="28"/>
          <w:szCs w:val="28"/>
        </w:rPr>
        <w:t xml:space="preserve"> </w:t>
      </w:r>
    </w:p>
    <w:p w14:paraId="089021E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p-Dimethylaminobenzaldehyde (DMAB) solution was prepared as follows; 1.6g DMAB was dissolved in 100ml ethanol and add 10 ml concentrate HCl. The reagent is stable for 1 month. Prepare new standard curve with each new batch of reagent.</w:t>
      </w:r>
    </w:p>
    <w:p w14:paraId="16841F1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Preparation of Nessler’s reagent</w:t>
      </w:r>
    </w:p>
    <w:p w14:paraId="1D0C2D4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The following chemicals were dissolved separately.  </w:t>
      </w:r>
    </w:p>
    <w:p w14:paraId="3EC098E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8.0 g of mercuric chloride in 150 ml distilled water.  </w:t>
      </w:r>
    </w:p>
    <w:p w14:paraId="604E134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60.0 g of sodium hydroxide in 150 ml distilled water.  </w:t>
      </w:r>
    </w:p>
    <w:p w14:paraId="185E62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16.0 g of potassium iodide in 150 ml distilled water. </w:t>
      </w:r>
    </w:p>
    <w:p w14:paraId="69E3162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Reagent ‘A’ was added to reagent ‘B’ and mixed well. To this mixture, was added reagent ‘C’, mixed and diluted the contents to 500ml. This solution was left undisturbed and the clear upper layer of the solution was decanted and stored in a stoppered glass bottle.</w:t>
      </w:r>
    </w:p>
    <w:p w14:paraId="06AAD79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3.4.6 Preparation of Barium chloride solution</w:t>
      </w:r>
    </w:p>
    <w:p w14:paraId="3BB79CB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Barium chloride (BaCl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.2H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O) 5% (w/v) aqueous solution: 5.0g of barium chloride crystals were dissolved in distilled water and made the final volume to 100 ml using appropriate standard flask. </w:t>
      </w:r>
    </w:p>
    <w:p w14:paraId="61FC4C1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3.4.7 Preparation of TCA solution</w:t>
      </w:r>
    </w:p>
    <w:p w14:paraId="771A867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Trichloroacetic acid (TCA), 24% (w/v, aq.): 24g of TCA were dissolved into distilled water and make the final volume to 100 ml to obtain 24% TCA.</w:t>
      </w:r>
    </w:p>
    <w:p w14:paraId="1465155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3.4.8 Preparation of Silver nitrate (AgNO</w:t>
      </w:r>
      <w:r>
        <w:rPr>
          <w:rFonts w:ascii="Times New Roman" w:hAnsi="Times New Roman" w:cs="Times New Roman"/>
          <w:b/>
          <w:color w:val="auto"/>
          <w:sz w:val="28"/>
          <w:szCs w:val="28"/>
          <w:vertAlign w:val="subscript"/>
        </w:rPr>
        <w:t>3</w:t>
      </w:r>
      <w:r>
        <w:rPr>
          <w:rFonts w:ascii="Times New Roman" w:hAnsi="Times New Roman" w:cs="Times New Roman"/>
          <w:b/>
          <w:color w:val="auto"/>
          <w:sz w:val="28"/>
          <w:szCs w:val="28"/>
        </w:rPr>
        <w:t>) solution</w:t>
      </w:r>
      <w:r>
        <w:rPr>
          <w:rFonts w:ascii="Times New Roman" w:hAnsi="Times New Roman" w:cs="Times New Roman"/>
          <w:color w:val="auto"/>
          <w:sz w:val="28"/>
          <w:szCs w:val="28"/>
        </w:rPr>
        <w:t xml:space="preserve">: </w:t>
      </w:r>
    </w:p>
    <w:p w14:paraId="4F3217CF">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0.1M, aqueous solution: 16.99g of silver nitrate crystals were weighed and dissolved in distilled water, then made up to 1L with more distilled water in an appropriate volumetric flask.</w:t>
      </w:r>
    </w:p>
    <w:p w14:paraId="5CA7A11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3.4.9 Preparation of</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Potassium chromate (K</w:t>
      </w:r>
      <w:r>
        <w:rPr>
          <w:rFonts w:ascii="Times New Roman" w:hAnsi="Times New Roman" w:cs="Times New Roman"/>
          <w:b/>
          <w:color w:val="auto"/>
          <w:sz w:val="28"/>
          <w:szCs w:val="28"/>
          <w:vertAlign w:val="subscript"/>
        </w:rPr>
        <w:t>2</w:t>
      </w:r>
      <w:r>
        <w:rPr>
          <w:rFonts w:ascii="Times New Roman" w:hAnsi="Times New Roman" w:cs="Times New Roman"/>
          <w:b/>
          <w:color w:val="auto"/>
          <w:sz w:val="28"/>
          <w:szCs w:val="28"/>
        </w:rPr>
        <w:t>CrO</w:t>
      </w:r>
      <w:r>
        <w:rPr>
          <w:rFonts w:ascii="Times New Roman" w:hAnsi="Times New Roman" w:cs="Times New Roman"/>
          <w:b/>
          <w:color w:val="auto"/>
          <w:sz w:val="28"/>
          <w:szCs w:val="28"/>
          <w:vertAlign w:val="subscript"/>
        </w:rPr>
        <w:t>4</w:t>
      </w:r>
      <w:r>
        <w:rPr>
          <w:rFonts w:ascii="Times New Roman" w:hAnsi="Times New Roman" w:cs="Times New Roman"/>
          <w:b/>
          <w:color w:val="auto"/>
          <w:sz w:val="28"/>
          <w:szCs w:val="28"/>
        </w:rPr>
        <w:t>) solution</w:t>
      </w:r>
    </w:p>
    <w:p w14:paraId="2F005FC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10% (w/v) aqueous. 10g of the chromate salt was dissolved in 100ml of solution.</w:t>
      </w:r>
    </w:p>
    <w:p w14:paraId="480C111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3.4.10 Preparation of Diphenylamine</w:t>
      </w:r>
    </w:p>
    <w:p w14:paraId="18AFFFF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Diphenylamine (2%, w/v, in sulfuric acid): 2g of diphenylamine were weighed and dissolved in sulfuric acid to obtain final volume of 100 ml.</w:t>
      </w:r>
    </w:p>
    <w:p w14:paraId="0F01DDA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3.4.11 Preparation of Potassium Iodide solution</w:t>
      </w:r>
    </w:p>
    <w:p w14:paraId="01B4DDC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Prepared fresh by dissolving 7g of potassium iodide in 100ml of water. </w:t>
      </w:r>
    </w:p>
    <w:p w14:paraId="536B127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3.4.12 Preparation of Dilute HCl solution</w:t>
      </w:r>
    </w:p>
    <w:p w14:paraId="64A5F91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200ml of water, 100 ml of Concentrated Hydrochloric acid (sp. gr. 1.16). was added.</w:t>
      </w:r>
    </w:p>
    <w:p w14:paraId="41F8B47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3.4.13 Preparation of Starch solution</w:t>
      </w:r>
    </w:p>
    <w:p w14:paraId="748A8F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1g of soluble starch was dissolved in 10ml water. 90ml of boiling distilled water added to prepare the solution. It was cooled before using.</w:t>
      </w:r>
    </w:p>
    <w:p w14:paraId="5E74FB2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3.4.14 Preparation of eosin indicator solution</w:t>
      </w:r>
    </w:p>
    <w:p w14:paraId="7787F99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stock solution was prepared by dissolving 0.05g eosin in 100 ml acetone. 10 ml of stock solution was shaken with 90 ml of tetrachloroethane and 1g citric</w:t>
      </w:r>
      <w:r>
        <w:rPr>
          <w:color w:val="auto"/>
          <w:sz w:val="28"/>
          <w:szCs w:val="28"/>
        </w:rPr>
        <w:t xml:space="preserve"> </w:t>
      </w:r>
      <w:r>
        <w:rPr>
          <w:rFonts w:ascii="Times New Roman" w:hAnsi="Times New Roman" w:cs="Times New Roman"/>
          <w:color w:val="auto"/>
          <w:sz w:val="28"/>
          <w:szCs w:val="28"/>
        </w:rPr>
        <w:t xml:space="preserve">acid and filter before use.  </w:t>
      </w:r>
    </w:p>
    <w:p w14:paraId="7AAE983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3.4.15 Preparation of Buffer solution</w:t>
      </w:r>
    </w:p>
    <w:p w14:paraId="0A306FB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25g citric acid was dissolved in 100ml water and was adjusted to pH 3.5 with 50% Sodium Hydroxide solution (approximately 15 ml required).</w:t>
      </w:r>
    </w:p>
    <w:p w14:paraId="7916599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3.4.16 Preparation of Methylene blue dye solution</w:t>
      </w:r>
    </w:p>
    <w:p w14:paraId="6596183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12.5mg of Methylene blue dye was dissolved in 100ml of distilled water and the solution was protect against direct sunlight.</w:t>
      </w:r>
    </w:p>
    <w:p w14:paraId="3289738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3.4.17 Preparation of Potassium iodide-starch solution</w:t>
      </w:r>
    </w:p>
    <w:p w14:paraId="18CA5D3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14:paraId="6CB73E01">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iodide–starch reagent was finally prepared by mixing equal volumes of 20% potassium iodide solution and 1% starch solution.</w:t>
      </w:r>
    </w:p>
    <w:p w14:paraId="4C0DAB91">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3.4.18 Preparation of Turmeric Paper</w:t>
      </w:r>
    </w:p>
    <w:p w14:paraId="68F3C47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turmeric was cut into 6 x 1cm strips and stored in tightly stoppered bottle protected from light.</w:t>
      </w:r>
    </w:p>
    <w:p w14:paraId="7B7ABC9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3.4.19 Preparation of 0.5% (v/v) neutral Ferric Chloride solution</w:t>
      </w:r>
    </w:p>
    <w:p w14:paraId="03E5ECD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FeCl</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xml:space="preserve"> was weighed into a beaker, 150ml of distilled water added to dissolve it with stirring.  5ml of dilute sodium </w:t>
      </w:r>
    </w:p>
    <w:p w14:paraId="1E313F08">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5CC2B7D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ANALYSIS OF SAMPLES</w:t>
      </w:r>
    </w:p>
    <w:p w14:paraId="7803A24F">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 Detection of Cane Sugar in Milk </w:t>
      </w:r>
    </w:p>
    <w:p w14:paraId="6337974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Sucrose is absent in milk and its presence in milk indicate adulteration. Presence of sucrose in milk can be determined by the Modified Seliwanoff’smethod.</w:t>
      </w:r>
    </w:p>
    <w:p w14:paraId="2846E3BC">
      <w:pPr>
        <w:spacing w:before="240" w:after="0" w:line="480" w:lineRule="auto"/>
        <w:jc w:val="both"/>
        <w:rPr>
          <w:rFonts w:ascii="Times New Roman" w:hAnsi="Times New Roman" w:cs="Times New Roman"/>
          <w:color w:val="auto"/>
          <w:szCs w:val="28"/>
        </w:rPr>
      </w:pPr>
      <w:r>
        <w:rPr>
          <w:rFonts w:ascii="Times New Roman" w:hAnsi="Times New Roman" w:cs="Times New Roman"/>
          <w:color w:val="auto"/>
          <w:sz w:val="28"/>
          <w:szCs w:val="28"/>
        </w:rPr>
        <w:t>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ketose sugar. In pure unprocessed milk samples no such red color is developed and sample remains white in nature. The limit of detection of method is 0.1% according to Bureau of Indian Standards (2003)</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w:t>
      </w:r>
    </w:p>
    <w:p w14:paraId="2BE1FC5D">
      <w:pPr>
        <w:spacing w:after="0" w:line="360" w:lineRule="auto"/>
        <w:ind w:left="360" w:hanging="360"/>
        <w:jc w:val="both"/>
        <w:rPr>
          <w:rFonts w:ascii="Times New Roman" w:hAnsi="Times New Roman" w:cs="Times New Roman"/>
          <w:color w:val="auto"/>
          <w:szCs w:val="28"/>
        </w:rPr>
      </w:pPr>
    </w:p>
    <w:p w14:paraId="728CEC44">
      <w:pPr>
        <w:numPr>
          <w:ilvl w:val="0"/>
          <w:numId w:val="2"/>
        </w:num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IS 1479 (Part I) 1961 (Reaffirmed 2003) Methods of test for Dairy Industry – Rapid Examination of Milk.Bureau of Indian Standards, New Delhi).</w:t>
      </w:r>
    </w:p>
    <w:p w14:paraId="21853338">
      <w:pPr>
        <w:numPr>
          <w:ilvl w:val="0"/>
          <w:numId w:val="0"/>
        </w:numPr>
        <w:spacing w:after="0" w:line="276" w:lineRule="auto"/>
        <w:jc w:val="both"/>
        <w:rPr>
          <w:rFonts w:ascii="Times New Roman" w:hAnsi="Times New Roman" w:cs="Times New Roman"/>
          <w:color w:val="auto"/>
          <w:szCs w:val="28"/>
        </w:rPr>
      </w:pPr>
    </w:p>
    <w:p w14:paraId="7B6695C0">
      <w:pPr>
        <w:numPr>
          <w:ilvl w:val="0"/>
          <w:numId w:val="0"/>
        </w:numPr>
        <w:spacing w:after="0" w:line="276" w:lineRule="auto"/>
        <w:jc w:val="both"/>
        <w:rPr>
          <w:rFonts w:ascii="Times New Roman" w:hAnsi="Times New Roman" w:cs="Times New Roman"/>
          <w:color w:val="auto"/>
          <w:szCs w:val="28"/>
        </w:rPr>
      </w:pPr>
    </w:p>
    <w:p w14:paraId="0601811C">
      <w:pPr>
        <w:numPr>
          <w:ilvl w:val="0"/>
          <w:numId w:val="0"/>
        </w:numPr>
        <w:spacing w:after="0" w:line="276" w:lineRule="auto"/>
        <w:jc w:val="both"/>
        <w:rPr>
          <w:rFonts w:ascii="Times New Roman" w:hAnsi="Times New Roman" w:cs="Times New Roman"/>
          <w:color w:val="auto"/>
          <w:szCs w:val="28"/>
        </w:rPr>
      </w:pPr>
    </w:p>
    <w:p w14:paraId="0970C1DC">
      <w:pPr>
        <w:numPr>
          <w:ilvl w:val="0"/>
          <w:numId w:val="0"/>
        </w:numPr>
        <w:spacing w:after="0" w:line="276" w:lineRule="auto"/>
        <w:jc w:val="both"/>
        <w:rPr>
          <w:rFonts w:ascii="Times New Roman" w:hAnsi="Times New Roman" w:cs="Times New Roman"/>
          <w:color w:val="auto"/>
          <w:szCs w:val="28"/>
        </w:rPr>
      </w:pPr>
    </w:p>
    <w:p w14:paraId="60F7F8EB">
      <w:pPr>
        <w:numPr>
          <w:ilvl w:val="0"/>
          <w:numId w:val="0"/>
        </w:numPr>
        <w:spacing w:after="0" w:line="276" w:lineRule="auto"/>
        <w:jc w:val="both"/>
        <w:rPr>
          <w:rFonts w:ascii="Times New Roman" w:hAnsi="Times New Roman" w:cs="Times New Roman"/>
          <w:color w:val="auto"/>
          <w:szCs w:val="28"/>
        </w:rPr>
      </w:pPr>
    </w:p>
    <w:p w14:paraId="325FCC38">
      <w:pPr>
        <w:numPr>
          <w:ilvl w:val="0"/>
          <w:numId w:val="0"/>
        </w:numPr>
        <w:spacing w:after="0" w:line="276" w:lineRule="auto"/>
        <w:jc w:val="both"/>
        <w:rPr>
          <w:rFonts w:ascii="Times New Roman" w:hAnsi="Times New Roman" w:cs="Times New Roman"/>
          <w:color w:val="auto"/>
          <w:szCs w:val="28"/>
        </w:rPr>
      </w:pPr>
    </w:p>
    <w:p w14:paraId="3CD7D765">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3.4.2 Detection of Starch in Milk</w:t>
      </w:r>
    </w:p>
    <w:p w14:paraId="332B6A9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5ml of milk sample was measured into a test tube and brought to boiling condition and allowed the test tube to cool to room temperature. 1-2 drops of iodine solution was added to the content of the test tube. Development of blue colour indicates presence of starch which disappears when sample was boiled and reappeared on cooling. The limit of detection of method is 0.02%</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 xml:space="preserve">. </w:t>
      </w:r>
    </w:p>
    <w:p w14:paraId="53E990AF">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3.4.3 Detection of Cellulose in Milk</w:t>
      </w:r>
    </w:p>
    <w:p w14:paraId="5B914C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Pr>
          <w:rFonts w:ascii="Times New Roman" w:hAnsi="Times New Roman" w:cs="Times New Roman"/>
          <w:color w:val="auto"/>
          <w:sz w:val="28"/>
          <w:szCs w:val="28"/>
          <w:vertAlign w:val="superscript"/>
        </w:rPr>
        <w:t>38</w:t>
      </w:r>
      <w:r>
        <w:rPr>
          <w:rFonts w:ascii="Times New Roman" w:hAnsi="Times New Roman" w:cs="Times New Roman"/>
          <w:color w:val="auto"/>
          <w:sz w:val="28"/>
          <w:szCs w:val="28"/>
        </w:rPr>
        <w:t xml:space="preserve">.  </w:t>
      </w:r>
    </w:p>
    <w:p w14:paraId="68069866">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38. Manual Methods of Analysis for Adulterants &amp; Contaminants in Foods. I.C.M.R 1990 page 27).</w:t>
      </w:r>
    </w:p>
    <w:p w14:paraId="04FA1760">
      <w:pPr>
        <w:spacing w:before="240" w:after="0" w:line="480" w:lineRule="auto"/>
        <w:jc w:val="both"/>
        <w:rPr>
          <w:rFonts w:ascii="Times New Roman" w:hAnsi="Times New Roman" w:cs="Times New Roman"/>
          <w:b/>
          <w:color w:val="auto"/>
          <w:sz w:val="28"/>
          <w:szCs w:val="28"/>
        </w:rPr>
      </w:pPr>
    </w:p>
    <w:p w14:paraId="4DD4881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Detection of Added Urea in Milk</w:t>
      </w:r>
    </w:p>
    <w:p w14:paraId="5957133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method is based on the principle that urea  forms  a  yellow  complex  with DMAB in a low acidic solution at room temperature. 1 ml of milk with was mixed 1ml of 1.6% DMAB reagent. Distinct yellow colour is observed in milk containing added urea. The control (normal milk) shows a slight yellow colour due to presence of natural urea. The limit of detection of method is 0.2%.</w:t>
      </w:r>
    </w:p>
    <w:p w14:paraId="6A40D27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Detection of Ammonium Compounds in Milk</w:t>
      </w:r>
    </w:p>
    <w:p w14:paraId="7576AC8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5ml of milk sample was taken into a test tube. 1ml of Nessler’s reagent was added. The content of the tube was mixed thoroughly. The color was observed and noted.  </w:t>
      </w:r>
    </w:p>
    <w:p w14:paraId="4614264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control milk sample gives slight grayish colour.  At low concentration of ammonium compounds, brownish shade appears which is distinguishable at 0.15% followed by yellowish colour and then orange colour development at higher concentration. The limit of detection of method is 0.15%</w:t>
      </w:r>
      <w:r>
        <w:rPr>
          <w:rFonts w:ascii="Times New Roman" w:hAnsi="Times New Roman" w:cs="Times New Roman"/>
          <w:color w:val="auto"/>
          <w:sz w:val="28"/>
          <w:szCs w:val="28"/>
          <w:vertAlign w:val="superscript"/>
        </w:rPr>
        <w:t xml:space="preserve">  </w:t>
      </w:r>
      <w:r>
        <w:rPr>
          <w:rFonts w:ascii="Times New Roman" w:hAnsi="Times New Roman" w:cs="Times New Roman"/>
          <w:color w:val="auto"/>
          <w:sz w:val="28"/>
          <w:szCs w:val="28"/>
        </w:rPr>
        <w:t>based on works of Guleria (1998)</w:t>
      </w:r>
      <w:r>
        <w:rPr>
          <w:rFonts w:ascii="Times New Roman" w:hAnsi="Times New Roman" w:cs="Times New Roman"/>
          <w:color w:val="auto"/>
          <w:sz w:val="28"/>
          <w:szCs w:val="28"/>
          <w:vertAlign w:val="superscript"/>
        </w:rPr>
        <w:t>39</w:t>
      </w:r>
      <w:r>
        <w:rPr>
          <w:rFonts w:ascii="Times New Roman" w:hAnsi="Times New Roman" w:cs="Times New Roman"/>
          <w:color w:val="auto"/>
          <w:sz w:val="28"/>
          <w:szCs w:val="28"/>
        </w:rPr>
        <w:t xml:space="preserve"> and Naik (2012)</w:t>
      </w:r>
      <w:r>
        <w:rPr>
          <w:rFonts w:ascii="Times New Roman" w:hAnsi="Times New Roman" w:cs="Times New Roman"/>
          <w:color w:val="auto"/>
          <w:sz w:val="28"/>
          <w:szCs w:val="28"/>
          <w:vertAlign w:val="superscript"/>
        </w:rPr>
        <w:t>40</w:t>
      </w:r>
      <w:r>
        <w:rPr>
          <w:rFonts w:ascii="Times New Roman" w:hAnsi="Times New Roman" w:cs="Times New Roman"/>
          <w:color w:val="auto"/>
          <w:sz w:val="28"/>
          <w:szCs w:val="28"/>
        </w:rPr>
        <w:t>.</w:t>
      </w:r>
    </w:p>
    <w:p w14:paraId="5A58127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3.4.6 Detection of Sulphates in Milk </w:t>
      </w:r>
    </w:p>
    <w:p w14:paraId="22003D5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presence  of  sulfate  salts,  which  may  be  added  to  milk  to  raise  its  SNF level  in milk, can be detected by using barium chloride. SNF (Solid-Not-Fat; all the solid components of milk other than the milk fat and water)</w:t>
      </w:r>
    </w:p>
    <w:p w14:paraId="20C47E0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14:paraId="353E035C">
      <w:pPr>
        <w:spacing w:after="0" w:line="276" w:lineRule="auto"/>
        <w:ind w:left="540" w:hanging="540"/>
        <w:jc w:val="both"/>
        <w:rPr>
          <w:rFonts w:ascii="Times New Roman" w:hAnsi="Times New Roman" w:cs="Times New Roman"/>
          <w:color w:val="auto"/>
          <w:szCs w:val="28"/>
        </w:rPr>
      </w:pPr>
    </w:p>
    <w:p w14:paraId="20A04AF1">
      <w:pPr>
        <w:spacing w:after="0" w:line="276" w:lineRule="auto"/>
        <w:ind w:left="540" w:hanging="540"/>
        <w:jc w:val="both"/>
        <w:rPr>
          <w:rFonts w:ascii="Times New Roman" w:hAnsi="Times New Roman" w:cs="Times New Roman"/>
          <w:color w:val="auto"/>
          <w:szCs w:val="28"/>
        </w:rPr>
      </w:pPr>
    </w:p>
    <w:p w14:paraId="5576A9D3">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39. Guleria, V. (1998). Detection of added ammonium salts in milk with and without the addition of formalin. M. Sc. Thesis. NDRI, Karnal, India; Sharma, R.; Rajput, Y.S. and Naik, </w:t>
      </w:r>
    </w:p>
    <w:p w14:paraId="58EFEDDB">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40. N.L. (2012). Detection of adulterants in milk – a laboratory manual. NDRI Publication No. 88/2012, NDRI, Karnal, page 49-51).</w:t>
      </w:r>
    </w:p>
    <w:p w14:paraId="21860E9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added sulfates like ammonium sulfate, sodium sulfate, zinc sulfate and magnesium sulfate etc. to milk. The limit of detection of method is 0.05%</w:t>
      </w:r>
      <w:r>
        <w:rPr>
          <w:rFonts w:ascii="Times New Roman" w:hAnsi="Times New Roman" w:cs="Times New Roman"/>
          <w:color w:val="auto"/>
          <w:sz w:val="28"/>
          <w:szCs w:val="28"/>
          <w:vertAlign w:val="superscript"/>
        </w:rPr>
        <w:t>41</w:t>
      </w:r>
      <w:r>
        <w:rPr>
          <w:rFonts w:ascii="Times New Roman" w:hAnsi="Times New Roman" w:cs="Times New Roman"/>
          <w:color w:val="auto"/>
          <w:sz w:val="28"/>
          <w:szCs w:val="28"/>
        </w:rPr>
        <w:t xml:space="preserve">. </w:t>
      </w:r>
    </w:p>
    <w:p w14:paraId="43C644F2">
      <w:pPr>
        <w:spacing w:before="240" w:after="0" w:line="480" w:lineRule="auto"/>
        <w:jc w:val="both"/>
        <w:rPr>
          <w:rFonts w:ascii="Times New Roman" w:hAnsi="Times New Roman" w:cs="Times New Roman"/>
          <w:b/>
          <w:color w:val="auto"/>
          <w:sz w:val="28"/>
          <w:szCs w:val="28"/>
        </w:rPr>
      </w:pPr>
    </w:p>
    <w:p w14:paraId="5DB7245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3.4.7 Detection of Sodium chloride in Milk </w:t>
      </w:r>
    </w:p>
    <w:p w14:paraId="52EC7A0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To 5.0 ml of milk sample was added 1.0ml of 0.1M silver nitrate solution. The content was thoroughly mixed and added was 0.5ml of 10% potassium chromate solution followed by colour observation. Appearance of chocolate brown precipitate indicated the absence of dissolved  chloride  in  milk  and  appearance  of  yellow  colour  indicated  presence  of dissolved chloride. The limit of detection of method is 0.02%. </w:t>
      </w:r>
    </w:p>
    <w:p w14:paraId="4E026F22">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3.4.8 Detection of Nitrates (Pond Water) in Milk </w:t>
      </w:r>
    </w:p>
    <w:p w14:paraId="7EF7689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Pond water  is  heavier  than  the  tap  water;  some  unscrupulous  persons  for adulteration in milk usually prefer it. However, it can be easily</w:t>
      </w:r>
    </w:p>
    <w:p w14:paraId="34A5736B">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41. Sharma, R.; Rajput, Y.S. and Naik, N. L.  (2012). Detection of adulterants in milk–a laboratory manual. NDRI Publication No. 88/2012, NDRI, Karnal, page 20-21).</w:t>
      </w:r>
    </w:p>
    <w:p w14:paraId="241FD291">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42.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edn,1991 – Modified Mohr method, page 14).</w:t>
      </w:r>
    </w:p>
    <w:p w14:paraId="2748A74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detected by the following method. This method actually detects nitrates present in the pond water.  In the pond water nitrates may come from fertilizers used in the fields.</w:t>
      </w:r>
    </w:p>
    <w:p w14:paraId="68154D7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14:paraId="766F6DA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3.4.9 Detection of Hypochlorites and Chloramines in Milk </w:t>
      </w:r>
    </w:p>
    <w:p w14:paraId="3519DBC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To 5ml of milk sample in a test tube 1.5ml of Potassium Iodide solution was added, mixed thoroughly and was observed for colour.  </w:t>
      </w:r>
    </w:p>
    <w:p w14:paraId="1060207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If unaltered, 4ml of dilute HCl was added, mixed thoroughly with a glass rod flattened at one end and the colour of curd was noted.  </w:t>
      </w:r>
    </w:p>
    <w:p w14:paraId="58E317FA">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43. Sharma, R.; Rajput, Y.S. and Naik, N.L. “Detection of adulterants  in milk– a laboratory manual”. NDRI Publication No. 88/2012, NDRI, Karnal, 2012, page 47-48).</w:t>
      </w:r>
    </w:p>
    <w:p w14:paraId="19D6B92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Subsequently, the tube was placed in a water bath previously heated to 85°C and was allowed to remain for 10 minutes. The curd would rise to the surface. The tube was cooled rapidly by placing in cold water. The colour of the curd and the liquid was noted. </w:t>
      </w:r>
    </w:p>
    <w:p w14:paraId="7B2CE21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0.5.to 1.0ml of starch solution was added to the liquid below curd and the colour noted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14:paraId="6DE0AB3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Interpretation </w:t>
      </w:r>
    </w:p>
    <w:p w14:paraId="58F7FE7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proportion of available chlorine may be ascertained from Table 3.1 below</w:t>
      </w:r>
    </w:p>
    <w:p w14:paraId="66C229FC">
      <w:pPr>
        <w:spacing w:after="160" w:line="259" w:lineRule="auto"/>
        <w:ind w:left="0" w:firstLine="0"/>
        <w:rPr>
          <w:rFonts w:ascii="Times New Roman" w:hAnsi="Times New Roman" w:cs="Times New Roman"/>
          <w:b/>
          <w:color w:val="auto"/>
          <w:sz w:val="28"/>
          <w:szCs w:val="28"/>
        </w:rPr>
      </w:pPr>
    </w:p>
    <w:p w14:paraId="0405A12A">
      <w:pPr>
        <w:spacing w:after="160" w:line="259" w:lineRule="auto"/>
        <w:ind w:left="0" w:firstLine="0"/>
        <w:rPr>
          <w:rFonts w:ascii="Times New Roman" w:hAnsi="Times New Roman" w:cs="Times New Roman"/>
          <w:b/>
          <w:color w:val="auto"/>
          <w:sz w:val="28"/>
          <w:szCs w:val="28"/>
        </w:rPr>
      </w:pPr>
    </w:p>
    <w:p w14:paraId="1B3034B5">
      <w:pPr>
        <w:spacing w:after="160" w:line="259" w:lineRule="auto"/>
        <w:ind w:left="0" w:firstLine="0"/>
        <w:rPr>
          <w:rFonts w:ascii="Times New Roman" w:hAnsi="Times New Roman" w:cs="Times New Roman"/>
          <w:b/>
          <w:color w:val="auto"/>
          <w:sz w:val="28"/>
          <w:szCs w:val="28"/>
        </w:rPr>
      </w:pPr>
    </w:p>
    <w:p w14:paraId="68633B55">
      <w:pPr>
        <w:spacing w:after="0" w:line="276" w:lineRule="auto"/>
        <w:ind w:left="630" w:hanging="630"/>
        <w:jc w:val="both"/>
        <w:rPr>
          <w:rFonts w:ascii="Times New Roman" w:hAnsi="Times New Roman" w:cs="Times New Roman"/>
          <w:color w:val="auto"/>
          <w:szCs w:val="28"/>
        </w:rPr>
      </w:pPr>
    </w:p>
    <w:p w14:paraId="3140AF98">
      <w:pPr>
        <w:spacing w:after="0" w:line="276" w:lineRule="auto"/>
        <w:ind w:left="630" w:hanging="630"/>
        <w:jc w:val="both"/>
        <w:rPr>
          <w:rFonts w:ascii="Times New Roman" w:hAnsi="Times New Roman" w:cs="Times New Roman"/>
          <w:color w:val="auto"/>
          <w:szCs w:val="28"/>
        </w:rPr>
      </w:pPr>
    </w:p>
    <w:p w14:paraId="62DBF85D">
      <w:pPr>
        <w:spacing w:after="0" w:line="276" w:lineRule="auto"/>
        <w:ind w:left="630" w:hanging="630"/>
        <w:jc w:val="both"/>
        <w:rPr>
          <w:rFonts w:ascii="Times New Roman" w:hAnsi="Times New Roman" w:cs="Times New Roman"/>
          <w:color w:val="auto"/>
          <w:szCs w:val="28"/>
        </w:rPr>
      </w:pPr>
    </w:p>
    <w:p w14:paraId="6BCB689E">
      <w:pPr>
        <w:spacing w:after="0" w:line="276" w:lineRule="auto"/>
        <w:ind w:left="630" w:hanging="630"/>
        <w:jc w:val="both"/>
        <w:rPr>
          <w:rFonts w:ascii="Times New Roman" w:hAnsi="Times New Roman" w:cs="Times New Roman"/>
          <w:color w:val="auto"/>
          <w:szCs w:val="28"/>
        </w:rPr>
      </w:pPr>
    </w:p>
    <w:p w14:paraId="358B269A">
      <w:pPr>
        <w:spacing w:after="0" w:line="276" w:lineRule="auto"/>
        <w:ind w:left="630" w:hanging="630"/>
        <w:jc w:val="both"/>
        <w:rPr>
          <w:rFonts w:ascii="Times New Roman" w:hAnsi="Times New Roman" w:cs="Times New Roman"/>
          <w:color w:val="auto"/>
          <w:szCs w:val="28"/>
        </w:rPr>
      </w:pPr>
    </w:p>
    <w:p w14:paraId="3242C053">
      <w:pPr>
        <w:spacing w:after="0" w:line="276" w:lineRule="auto"/>
        <w:ind w:left="630" w:hanging="630"/>
        <w:jc w:val="both"/>
        <w:rPr>
          <w:rFonts w:ascii="Times New Roman" w:hAnsi="Times New Roman" w:cs="Times New Roman"/>
          <w:color w:val="auto"/>
          <w:szCs w:val="28"/>
        </w:rPr>
      </w:pPr>
    </w:p>
    <w:p w14:paraId="1DB07ECC">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44. IS 1479 (Part II) 1961 (Reaffirmed 1997) Methods of test for Dairy Industry–Chemical Analysis of Milk. Bureau of Indian Standards, New Delhi; A.O.A.C 17th edn, 2000 Official Method 922.08 Hypochlorites and Chloramines in milk).</w:t>
      </w:r>
    </w:p>
    <w:p w14:paraId="4B18648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Table.3.1: Reactions with various tests to detect residual chlorine in milk.</w:t>
      </w:r>
    </w:p>
    <w:p w14:paraId="4A65F9CF">
      <w:pPr>
        <w:spacing w:before="240" w:after="0" w:line="480" w:lineRule="auto"/>
        <w:jc w:val="center"/>
        <w:rPr>
          <w:rFonts w:ascii="Times New Roman" w:hAnsi="Times New Roman" w:cs="Times New Roman"/>
          <w:b/>
          <w:color w:val="auto"/>
          <w:sz w:val="28"/>
          <w:szCs w:val="28"/>
        </w:rPr>
      </w:pPr>
      <w:r>
        <w:rPr>
          <w:color w:val="auto"/>
          <w:sz w:val="28"/>
          <w:szCs w:val="28"/>
        </w:rPr>
        <w:drawing>
          <wp:inline distT="0" distB="0" distL="0" distR="0">
            <wp:extent cx="5443855" cy="26428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14:paraId="4406BA3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Indicates the step number followed in the above procedure.</w:t>
      </w:r>
    </w:p>
    <w:p w14:paraId="4D6D3EE7">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Note</w:t>
      </w:r>
      <w:r>
        <w:rPr>
          <w:rFonts w:ascii="Times New Roman" w:hAnsi="Times New Roman" w:cs="Times New Roman"/>
          <w:color w:val="auto"/>
          <w:sz w:val="28"/>
          <w:szCs w:val="28"/>
        </w:rPr>
        <w:t xml:space="preserve">: The method is not reliable in the presence of more than 2.5 ppm of copper. </w:t>
      </w:r>
    </w:p>
    <w:p w14:paraId="3DD08B6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3.4.10 Detection of in Quaternary Ammonium Compounds Milk </w:t>
      </w:r>
    </w:p>
    <w:p w14:paraId="73DCBF2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Quaternary ammonium compounds (QAC) may be present in milk due to some residual detergent solution remaining after bottle washing. The following  method detects about 5 mg / Kg in milk and is included in B.S 1741: Part II</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w:t>
      </w:r>
    </w:p>
    <w:p w14:paraId="674379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a centrifuge tube 1ml milk was placed, 5 ml water, 1 ml indicator solution and 0.2 ml buffer and shake hard for 10 seconds, centrifuged for 5 minutes at 3200rpm. If QAC is present the bottom layer assumes a red or pink colour. Samples containing about 1 mg /kg of QAC show a faint pink colour. If the colour is deep pink or red, the amount of QAC can be approximately determined by titration with a standard anionic detergent solution</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 xml:space="preserve">.  </w:t>
      </w:r>
    </w:p>
    <w:p w14:paraId="6232AC4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3.4.11 Detection of in Anion Detergent Milk </w:t>
      </w:r>
    </w:p>
    <w:p w14:paraId="1AF6512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Alkyl benzene sulphonic acid (ABS) or anionic detergent may be present in milk 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14:paraId="6A118CFF">
      <w:pPr>
        <w:spacing w:after="0" w:line="276" w:lineRule="auto"/>
        <w:ind w:left="540" w:hanging="540"/>
        <w:jc w:val="both"/>
        <w:rPr>
          <w:rFonts w:ascii="Times New Roman" w:hAnsi="Times New Roman" w:cs="Times New Roman"/>
          <w:color w:val="auto"/>
          <w:szCs w:val="28"/>
        </w:rPr>
      </w:pPr>
    </w:p>
    <w:p w14:paraId="2F1673C5">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45. B.S. 1741: Part II,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  991,  page 548).  </w:t>
      </w:r>
    </w:p>
    <w:p w14:paraId="32900F8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principle behind the method. The method is performed by addition of methylene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14:paraId="05DB89CF">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Procedure: </w:t>
      </w:r>
      <w:r>
        <w:rPr>
          <w:rFonts w:ascii="Times New Roman" w:hAnsi="Times New Roman" w:cs="Times New Roman"/>
          <w:color w:val="auto"/>
          <w:sz w:val="28"/>
          <w:szCs w:val="28"/>
        </w:rPr>
        <w:t>1ml of milk sample was pipetted into a 15 ml test tube. 1ml of dye solution was added followed by addition of 2 ml chloroform. The contents were vortex for about 15 sec and centrifuge at about 1100 rpm for 3 min. Note the intensity of blue color in lower and upper layer. Relatively, more intense blue color in lower layer indicates presence of detergent in milk.  Relatively more intense blue color in upper layer indicates absence of detergent in milk. The method can detect presence of 0.15% level of laboratory grade detergent in milk</w:t>
      </w:r>
      <w:r>
        <w:rPr>
          <w:rFonts w:ascii="Times New Roman" w:hAnsi="Times New Roman" w:cs="Times New Roman"/>
          <w:color w:val="auto"/>
          <w:sz w:val="28"/>
          <w:szCs w:val="28"/>
          <w:vertAlign w:val="superscript"/>
        </w:rPr>
        <w:t>46</w:t>
      </w:r>
      <w:r>
        <w:rPr>
          <w:rFonts w:ascii="Times New Roman" w:hAnsi="Times New Roman" w:cs="Times New Roman"/>
          <w:color w:val="auto"/>
          <w:sz w:val="28"/>
          <w:szCs w:val="28"/>
        </w:rPr>
        <w:t xml:space="preserve">.  </w:t>
      </w:r>
    </w:p>
    <w:p w14:paraId="086D45B0">
      <w:pPr>
        <w:spacing w:after="0" w:line="480" w:lineRule="auto"/>
        <w:jc w:val="both"/>
        <w:rPr>
          <w:rFonts w:ascii="Times New Roman" w:hAnsi="Times New Roman" w:cs="Times New Roman"/>
          <w:b/>
          <w:color w:val="auto"/>
          <w:sz w:val="28"/>
          <w:szCs w:val="28"/>
        </w:rPr>
      </w:pPr>
    </w:p>
    <w:p w14:paraId="38F93F89">
      <w:pPr>
        <w:spacing w:after="0" w:line="480" w:lineRule="auto"/>
        <w:jc w:val="both"/>
        <w:rPr>
          <w:rFonts w:ascii="Times New Roman" w:hAnsi="Times New Roman" w:cs="Times New Roman"/>
          <w:b/>
          <w:color w:val="auto"/>
          <w:sz w:val="28"/>
          <w:szCs w:val="28"/>
        </w:rPr>
      </w:pPr>
    </w:p>
    <w:p w14:paraId="46B8CD26">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3.4.12 Detection of Formalin in Milk </w:t>
      </w:r>
    </w:p>
    <w:p w14:paraId="27A0451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in a test tube and add 2ml of 90 percent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containing  traces  of  ferric  chloride  from  the  side  of  the  test  tube  slowly. Formation  of  purple  ring  at  the  junction  indicates  formaldehyde  is  present  in  milk.  </w:t>
      </w:r>
    </w:p>
    <w:p w14:paraId="1B3AAA20">
      <w:pPr>
        <w:spacing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If sucrose  is  present,  distil  the  milk  sample  (25  ml)  and  then  carry  out  the  test  on  the distillate  by  taking  2-3  ml  of  distillate  and  adding  2  ml  of  formaldehyde  free  milk.  The violet  coloration  does  not  appear  usually  when  relatively  large  quantities  of formaldehyde are present.  </w:t>
      </w:r>
    </w:p>
    <w:p w14:paraId="2A861315">
      <w:pPr>
        <w:spacing w:after="0" w:line="480" w:lineRule="auto"/>
        <w:jc w:val="both"/>
        <w:rPr>
          <w:rFonts w:ascii="Times New Roman" w:hAnsi="Times New Roman" w:cs="Times New Roman"/>
          <w:color w:val="auto"/>
          <w:sz w:val="28"/>
          <w:szCs w:val="28"/>
        </w:rPr>
      </w:pPr>
      <w:r>
        <w:rPr>
          <w:rFonts w:ascii="Times New Roman" w:hAnsi="Times New Roman" w:cs="Times New Roman"/>
          <w:i/>
          <w:color w:val="auto"/>
          <w:sz w:val="28"/>
          <w:szCs w:val="28"/>
        </w:rPr>
        <w:t>Precaution:</w:t>
      </w:r>
      <w:r>
        <w:rPr>
          <w:rFonts w:ascii="Times New Roman" w:hAnsi="Times New Roman" w:cs="Times New Roman"/>
          <w:color w:val="auto"/>
          <w:sz w:val="28"/>
          <w:szCs w:val="28"/>
        </w:rPr>
        <w:t xml:space="preserve"> If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is added from the top and not from the side of the test tube, it may burn the milk solids and affect the end result. </w:t>
      </w:r>
    </w:p>
    <w:p w14:paraId="1753A9D8">
      <w:pPr>
        <w:spacing w:after="0" w:line="276" w:lineRule="auto"/>
        <w:ind w:left="630" w:hanging="630"/>
        <w:jc w:val="both"/>
        <w:rPr>
          <w:rFonts w:ascii="Times New Roman" w:hAnsi="Times New Roman" w:cs="Times New Roman"/>
          <w:color w:val="auto"/>
          <w:sz w:val="22"/>
          <w:szCs w:val="28"/>
        </w:rPr>
      </w:pPr>
      <w:r>
        <w:rPr>
          <w:rFonts w:ascii="Times New Roman" w:hAnsi="Times New Roman" w:cs="Times New Roman"/>
          <w:color w:val="auto"/>
          <w:sz w:val="22"/>
          <w:szCs w:val="28"/>
        </w:rPr>
        <w:t>46. Rajput, Y.S.; Sharma, R. and Kaur, S. (2006) A kit for detection of detergent in milk. Indian Patent Office file no. 1970/Del/2006.</w:t>
      </w:r>
    </w:p>
    <w:p w14:paraId="0B94E26E">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47. Pearson’s Composition and Analysis of foods, 9th edition, 1991 page 90; IS 1479 (Part II)  1961 (Reaffirmed 1997) Methods of test for Dairy Industry – Chemical Analysis of Milk. Bureau of Indian Standards, New Delhi).</w:t>
      </w:r>
    </w:p>
    <w:p w14:paraId="541F9A0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Hydrogen Peroxide in Milk </w:t>
      </w:r>
    </w:p>
    <w:p w14:paraId="67D4ADE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clean test tube. 1ml of the potassium iodide-starch reagent was added and mixed well. The color of the solution in the tube was observed.  Blue color will developed in the presence of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whereas pure milk sample remain white in color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14:paraId="4774916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Presence of Boric acid and Borates in Milk </w:t>
      </w:r>
    </w:p>
    <w:p w14:paraId="35A9F91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20ml of milk sample was measured into a porcelain dish and 1.4 ml of conc. hydrochloric acid added. The content was mixed thoroughly. A strip of turmeric paper was dipped in the acidified milk. Appearance of characteristic  red  colour  on  the  turmeric  paper  indicates  the  presence  of  boric  acid  or borax  (Na</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B</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7</w:t>
      </w:r>
      <w:r>
        <w:rPr>
          <w:rFonts w:ascii="Times New Roman" w:hAnsi="Times New Roman" w:cs="Times New Roman"/>
          <w:color w:val="auto"/>
          <w:sz w:val="28"/>
          <w:szCs w:val="28"/>
        </w:rPr>
        <w:t>.10H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 The red colour changes to dark blue green on adding ammonium hydroxide, but reappears on re-acidification with hydrochloric acid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14:paraId="662E462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3.4.15 Detection of Presence of Salicylic acid in Milk </w:t>
      </w:r>
    </w:p>
    <w:p w14:paraId="2C5C6F7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50ml of milk sample was placed in a separating funnel. 5ml of dilute HCl (1ml of conc acid : 3ml of distilled water) was added, stoppered and mixed. The content was then extracted with 50ml ether. If mixture emulsifies, 10-15ml petroleum ether was added and shaken. If  this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Salicylic acid</w:t>
      </w:r>
      <w:r>
        <w:rPr>
          <w:rFonts w:ascii="Times New Roman" w:hAnsi="Times New Roman" w:cs="Times New Roman"/>
          <w:color w:val="auto"/>
          <w:sz w:val="28"/>
          <w:szCs w:val="28"/>
          <w:vertAlign w:val="superscript"/>
        </w:rPr>
        <w:t>48</w:t>
      </w:r>
      <w:r>
        <w:rPr>
          <w:rFonts w:ascii="Times New Roman" w:hAnsi="Times New Roman" w:cs="Times New Roman"/>
          <w:color w:val="auto"/>
          <w:sz w:val="28"/>
          <w:szCs w:val="28"/>
        </w:rPr>
        <w:t xml:space="preserve">.  </w:t>
      </w:r>
    </w:p>
    <w:p w14:paraId="1897B133">
      <w:pPr>
        <w:spacing w:before="240" w:after="0" w:line="480" w:lineRule="auto"/>
        <w:jc w:val="both"/>
        <w:rPr>
          <w:rFonts w:ascii="Times New Roman" w:hAnsi="Times New Roman" w:cs="Times New Roman"/>
          <w:color w:val="auto"/>
          <w:sz w:val="28"/>
          <w:szCs w:val="28"/>
        </w:rPr>
      </w:pPr>
    </w:p>
    <w:p w14:paraId="7B938559">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48. A.O.A.C 17th, edn Official method 975. 30 Salicylic acid in Food and Beverages/ IS 1479 (Part II)   1961 (Reaffirmed 1997) Methods of test Dairy Industry – Chemical Analysis of Milk. Bureau of Indian Standards, New Delhi).</w:t>
      </w:r>
    </w:p>
    <w:p w14:paraId="32401A96">
      <w:pPr>
        <w:spacing w:before="240" w:after="0" w:line="480" w:lineRule="auto"/>
        <w:jc w:val="center"/>
        <w:rPr>
          <w:rFonts w:ascii="Times New Roman" w:hAnsi="Times New Roman" w:cs="Times New Roman"/>
          <w:b/>
          <w:color w:val="auto"/>
          <w:sz w:val="28"/>
          <w:szCs w:val="28"/>
        </w:rPr>
      </w:pPr>
    </w:p>
    <w:p w14:paraId="35E42C81">
      <w:pPr>
        <w:spacing w:before="240" w:after="0" w:line="480" w:lineRule="auto"/>
        <w:jc w:val="center"/>
        <w:rPr>
          <w:rFonts w:ascii="Times New Roman" w:hAnsi="Times New Roman" w:cs="Times New Roman"/>
          <w:b/>
          <w:color w:val="auto"/>
          <w:sz w:val="28"/>
          <w:szCs w:val="28"/>
        </w:rPr>
      </w:pPr>
    </w:p>
    <w:p w14:paraId="53A927BC">
      <w:pPr>
        <w:spacing w:before="240" w:after="0" w:line="480" w:lineRule="auto"/>
        <w:jc w:val="center"/>
        <w:rPr>
          <w:rFonts w:ascii="Times New Roman" w:hAnsi="Times New Roman" w:cs="Times New Roman"/>
          <w:b/>
          <w:color w:val="auto"/>
          <w:sz w:val="28"/>
          <w:szCs w:val="28"/>
        </w:rPr>
      </w:pPr>
    </w:p>
    <w:p w14:paraId="775C1E84">
      <w:pPr>
        <w:spacing w:before="240" w:after="0" w:line="480" w:lineRule="auto"/>
        <w:jc w:val="center"/>
        <w:rPr>
          <w:rFonts w:ascii="Times New Roman" w:hAnsi="Times New Roman" w:cs="Times New Roman"/>
          <w:b/>
          <w:color w:val="auto"/>
          <w:sz w:val="28"/>
          <w:szCs w:val="28"/>
        </w:rPr>
      </w:pPr>
    </w:p>
    <w:p w14:paraId="33EEFB34">
      <w:pPr>
        <w:spacing w:before="240" w:after="0" w:line="480" w:lineRule="auto"/>
        <w:jc w:val="center"/>
        <w:rPr>
          <w:rFonts w:ascii="Times New Roman" w:hAnsi="Times New Roman" w:cs="Times New Roman"/>
          <w:b/>
          <w:color w:val="auto"/>
          <w:sz w:val="28"/>
          <w:szCs w:val="28"/>
        </w:rPr>
      </w:pPr>
    </w:p>
    <w:p w14:paraId="0892F4F4">
      <w:pPr>
        <w:spacing w:before="240" w:after="0" w:line="480" w:lineRule="auto"/>
        <w:jc w:val="center"/>
        <w:rPr>
          <w:rFonts w:ascii="Times New Roman" w:hAnsi="Times New Roman" w:cs="Times New Roman"/>
          <w:b/>
          <w:color w:val="auto"/>
          <w:sz w:val="28"/>
          <w:szCs w:val="28"/>
        </w:rPr>
      </w:pPr>
    </w:p>
    <w:p w14:paraId="05D9854E">
      <w:pPr>
        <w:spacing w:before="240" w:after="0" w:line="480" w:lineRule="auto"/>
        <w:jc w:val="center"/>
        <w:rPr>
          <w:rFonts w:ascii="Times New Roman" w:hAnsi="Times New Roman" w:cs="Times New Roman"/>
          <w:b/>
          <w:color w:val="auto"/>
          <w:sz w:val="28"/>
          <w:szCs w:val="28"/>
        </w:rPr>
      </w:pPr>
    </w:p>
    <w:p w14:paraId="3571A25E">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FOUR</w:t>
      </w:r>
    </w:p>
    <w:p w14:paraId="758B0A10">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14:paraId="5295DFF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14:paraId="104B92A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14:paraId="51D52FE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 4.1: Results of detection of adulterants in powdered milk samples</w:t>
      </w:r>
    </w:p>
    <w:tbl>
      <w:tblPr>
        <w:tblStyle w:val="7"/>
        <w:tblW w:w="934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350"/>
        <w:gridCol w:w="1620"/>
        <w:gridCol w:w="2070"/>
        <w:gridCol w:w="1350"/>
        <w:gridCol w:w="1350"/>
      </w:tblGrid>
      <w:tr w14:paraId="7EEE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093BC681">
            <w:pPr>
              <w:spacing w:before="240" w:line="480" w:lineRule="auto"/>
              <w:ind w:left="0" w:firstLine="0"/>
              <w:jc w:val="both"/>
              <w:rPr>
                <w:rFonts w:ascii="Times New Roman" w:hAnsi="Times New Roman" w:cs="Times New Roman"/>
                <w:b/>
                <w:color w:val="auto"/>
                <w:sz w:val="26"/>
                <w:szCs w:val="28"/>
              </w:rPr>
            </w:pPr>
            <w:r>
              <w:rPr>
                <w:rFonts w:ascii="Times New Roman" w:hAnsi="Times New Roman" w:cs="Times New Roman"/>
                <w:b/>
                <w:color w:val="auto"/>
                <w:sz w:val="26"/>
                <w:szCs w:val="28"/>
              </w:rPr>
              <w:t>Adulterants</w:t>
            </w:r>
          </w:p>
        </w:tc>
        <w:tc>
          <w:tcPr>
            <w:tcW w:w="1350" w:type="dxa"/>
          </w:tcPr>
          <w:p w14:paraId="220CCFEC">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Dano milk</w:t>
            </w:r>
          </w:p>
        </w:tc>
        <w:tc>
          <w:tcPr>
            <w:tcW w:w="1620" w:type="dxa"/>
          </w:tcPr>
          <w:p w14:paraId="6060343F">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Cowbell milk</w:t>
            </w:r>
          </w:p>
        </w:tc>
        <w:tc>
          <w:tcPr>
            <w:tcW w:w="2070" w:type="dxa"/>
          </w:tcPr>
          <w:p w14:paraId="3F570055">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Three crown milk</w:t>
            </w:r>
          </w:p>
        </w:tc>
        <w:tc>
          <w:tcPr>
            <w:tcW w:w="1350" w:type="dxa"/>
          </w:tcPr>
          <w:p w14:paraId="58C9826D">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Peak milk</w:t>
            </w:r>
          </w:p>
        </w:tc>
        <w:tc>
          <w:tcPr>
            <w:tcW w:w="1350" w:type="dxa"/>
          </w:tcPr>
          <w:p w14:paraId="5F87EE66">
            <w:pPr>
              <w:spacing w:before="24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Kremela</w:t>
            </w:r>
          </w:p>
        </w:tc>
      </w:tr>
      <w:tr w14:paraId="67A0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7337E64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Suc</w:t>
            </w:r>
          </w:p>
        </w:tc>
        <w:tc>
          <w:tcPr>
            <w:tcW w:w="1350" w:type="dxa"/>
          </w:tcPr>
          <w:p w14:paraId="6336E6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9DC75F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0FE2CDEC">
            <w:pPr>
              <w:spacing w:before="240" w:line="480" w:lineRule="auto"/>
              <w:ind w:left="0" w:firstLine="0"/>
              <w:jc w:val="center"/>
              <w:rPr>
                <w:rFonts w:ascii="Times New Roman" w:hAnsi="Times New Roman" w:cs="Times New Roman"/>
                <w:b/>
                <w:color w:val="auto"/>
                <w:szCs w:val="28"/>
              </w:rPr>
            </w:pPr>
            <w:r>
              <w:rPr>
                <w:rFonts w:ascii="Times New Roman" w:hAnsi="Times New Roman" w:cs="Times New Roman"/>
                <w:b/>
                <w:color w:val="auto"/>
                <w:szCs w:val="28"/>
              </w:rPr>
              <w:t>++</w:t>
            </w:r>
          </w:p>
        </w:tc>
        <w:tc>
          <w:tcPr>
            <w:tcW w:w="1350" w:type="dxa"/>
          </w:tcPr>
          <w:p w14:paraId="7C2450E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 faint</w:t>
            </w:r>
          </w:p>
        </w:tc>
        <w:tc>
          <w:tcPr>
            <w:tcW w:w="1350" w:type="dxa"/>
          </w:tcPr>
          <w:p w14:paraId="37E137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EEE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4CB3722F">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Ur</w:t>
            </w:r>
          </w:p>
        </w:tc>
        <w:tc>
          <w:tcPr>
            <w:tcW w:w="1350" w:type="dxa"/>
          </w:tcPr>
          <w:p w14:paraId="402E08F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2FB2301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14208F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3E3000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4761DA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76A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19F94A8">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Stch</w:t>
            </w:r>
          </w:p>
        </w:tc>
        <w:tc>
          <w:tcPr>
            <w:tcW w:w="1350" w:type="dxa"/>
          </w:tcPr>
          <w:p w14:paraId="1D8C06D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61A3EA1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42048D2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ED04DB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5AE93EE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E3A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0B458A0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Celu</w:t>
            </w:r>
          </w:p>
        </w:tc>
        <w:tc>
          <w:tcPr>
            <w:tcW w:w="1350" w:type="dxa"/>
          </w:tcPr>
          <w:p w14:paraId="4AA8493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F54148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26F62F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6271E4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A122B6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F7F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45D222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NH</w:t>
            </w:r>
            <w:r>
              <w:rPr>
                <w:rFonts w:ascii="Times New Roman" w:hAnsi="Times New Roman" w:cs="Times New Roman"/>
                <w:b/>
                <w:color w:val="auto"/>
                <w:szCs w:val="28"/>
                <w:vertAlign w:val="subscript"/>
              </w:rPr>
              <w:t>4</w:t>
            </w:r>
            <w:r>
              <w:rPr>
                <w:rFonts w:ascii="Times New Roman" w:hAnsi="Times New Roman" w:cs="Times New Roman"/>
                <w:b/>
                <w:color w:val="auto"/>
                <w:szCs w:val="28"/>
                <w:vertAlign w:val="superscript"/>
              </w:rPr>
              <w:t>+</w:t>
            </w:r>
          </w:p>
        </w:tc>
        <w:tc>
          <w:tcPr>
            <w:tcW w:w="1350" w:type="dxa"/>
          </w:tcPr>
          <w:p w14:paraId="26A268F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41D25C8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2FE71E8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E9B521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5ACBCC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C0C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3A5D942">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Sulf</w:t>
            </w:r>
          </w:p>
        </w:tc>
        <w:tc>
          <w:tcPr>
            <w:tcW w:w="1350" w:type="dxa"/>
          </w:tcPr>
          <w:p w14:paraId="3203494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7AF567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23B776A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74C8A7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800F38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466A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0035D3C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NaCl</w:t>
            </w:r>
          </w:p>
        </w:tc>
        <w:tc>
          <w:tcPr>
            <w:tcW w:w="1350" w:type="dxa"/>
          </w:tcPr>
          <w:p w14:paraId="5401FA8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4D515B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189387E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523C276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BAD022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0454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298E85EA">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NO</w:t>
            </w:r>
            <w:r>
              <w:rPr>
                <w:rFonts w:ascii="Times New Roman" w:hAnsi="Times New Roman" w:cs="Times New Roman"/>
                <w:b/>
                <w:color w:val="auto"/>
                <w:szCs w:val="28"/>
                <w:vertAlign w:val="subscript"/>
              </w:rPr>
              <w:t>3</w:t>
            </w:r>
            <w:r>
              <w:rPr>
                <w:rFonts w:ascii="Times New Roman" w:hAnsi="Times New Roman" w:cs="Times New Roman"/>
                <w:b/>
                <w:color w:val="auto"/>
                <w:szCs w:val="28"/>
                <w:vertAlign w:val="superscript"/>
              </w:rPr>
              <w:t>-</w:t>
            </w:r>
          </w:p>
        </w:tc>
        <w:tc>
          <w:tcPr>
            <w:tcW w:w="1350" w:type="dxa"/>
          </w:tcPr>
          <w:p w14:paraId="24F1FCB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4F50030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045908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B105F4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049EC5D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DF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6F817DC">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HOCl</w:t>
            </w:r>
          </w:p>
        </w:tc>
        <w:tc>
          <w:tcPr>
            <w:tcW w:w="1350" w:type="dxa"/>
          </w:tcPr>
          <w:p w14:paraId="1CCD489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33DC933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47FB78F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A0BA75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638F3E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FA5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7B609E63">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Qtn</w:t>
            </w:r>
          </w:p>
        </w:tc>
        <w:tc>
          <w:tcPr>
            <w:tcW w:w="1350" w:type="dxa"/>
          </w:tcPr>
          <w:p w14:paraId="5E0EF04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DB952D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34A362A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0A0AE5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35F268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B56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3D8BEA9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Amdet</w:t>
            </w:r>
          </w:p>
        </w:tc>
        <w:tc>
          <w:tcPr>
            <w:tcW w:w="1350" w:type="dxa"/>
          </w:tcPr>
          <w:p w14:paraId="029965A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193C17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0CA44E8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5EC755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606BE0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9E7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76483A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For</w:t>
            </w:r>
          </w:p>
        </w:tc>
        <w:tc>
          <w:tcPr>
            <w:tcW w:w="1350" w:type="dxa"/>
          </w:tcPr>
          <w:p w14:paraId="50473D3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3CF6144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5E234F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1A52E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C938B6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CD1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1CBA77AC">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w:t>
            </w:r>
            <w:r>
              <w:rPr>
                <w:rFonts w:ascii="Times New Roman" w:hAnsi="Times New Roman" w:cs="Times New Roman"/>
                <w:b/>
                <w:color w:val="auto"/>
                <w:szCs w:val="28"/>
                <w:vertAlign w:val="subscript"/>
              </w:rPr>
              <w:t>2</w:t>
            </w:r>
            <w:r>
              <w:rPr>
                <w:rFonts w:ascii="Times New Roman" w:hAnsi="Times New Roman" w:cs="Times New Roman"/>
                <w:b/>
                <w:color w:val="auto"/>
                <w:szCs w:val="28"/>
              </w:rPr>
              <w:t>O</w:t>
            </w:r>
            <w:r>
              <w:rPr>
                <w:rFonts w:ascii="Times New Roman" w:hAnsi="Times New Roman" w:cs="Times New Roman"/>
                <w:b/>
                <w:color w:val="auto"/>
                <w:szCs w:val="28"/>
                <w:vertAlign w:val="subscript"/>
              </w:rPr>
              <w:t>2</w:t>
            </w:r>
          </w:p>
        </w:tc>
        <w:tc>
          <w:tcPr>
            <w:tcW w:w="1350" w:type="dxa"/>
          </w:tcPr>
          <w:p w14:paraId="003E1C7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7E15EE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5F8A5B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466ECF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416EA4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518D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EF21A32">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Bor/Bora</w:t>
            </w:r>
          </w:p>
        </w:tc>
        <w:tc>
          <w:tcPr>
            <w:tcW w:w="1350" w:type="dxa"/>
          </w:tcPr>
          <w:p w14:paraId="635B947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2A7A7A6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7F91226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65BE82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7D02A3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D64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581C9B0">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Sal</w:t>
            </w:r>
          </w:p>
        </w:tc>
        <w:tc>
          <w:tcPr>
            <w:tcW w:w="1350" w:type="dxa"/>
          </w:tcPr>
          <w:p w14:paraId="350F328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C3F68B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B9144D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B0DEF4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42062B9">
            <w:pPr>
              <w:spacing w:before="240" w:line="480" w:lineRule="auto"/>
              <w:ind w:left="0" w:firstLine="0"/>
              <w:jc w:val="center"/>
              <w:rPr>
                <w:rFonts w:ascii="Times New Roman" w:hAnsi="Times New Roman" w:cs="Times New Roman"/>
                <w:color w:val="auto"/>
                <w:sz w:val="28"/>
                <w:szCs w:val="28"/>
              </w:rPr>
            </w:pPr>
          </w:p>
        </w:tc>
      </w:tr>
    </w:tbl>
    <w:p w14:paraId="4A5DE2A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Key: Suc = sucrose; Ur = urea; Stch = starch; Celu = cellulose; NH</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Ammonium compounds; Sulf = sulphates; NaCl = sodium chloride; 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nitrates; HOCl = hypochlorite; Qtn = quaternary ammonium compounds; Amdet = ammonium detergents; For = formalin;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 peroxides; Bor/Bora = boric and borates; Sal = salicylic acid.</w:t>
      </w:r>
    </w:p>
    <w:p w14:paraId="726513B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4.2 DISCUSSION</w:t>
      </w:r>
    </w:p>
    <w:p w14:paraId="65EBCA9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From the table of results above (Table 4.1), all the commercial powdered milk samples analyzed contain at least one adulterant. These adulterants may be conveniently viewed as belonging to two groups; those that may have toxic effects in the body once consumed and those that may later develop health issues. For example, sucrose, starch and sodium chloride belong to the latter group, while hypochlorite, ammonium detergent and formalin are seen as toxic to health.</w:t>
      </w:r>
    </w:p>
    <w:p w14:paraId="732A0631">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Pr>
          <w:rFonts w:ascii="Times New Roman" w:hAnsi="Times New Roman" w:cs="Times New Roman"/>
          <w:i/>
          <w:color w:val="auto"/>
          <w:sz w:val="28"/>
          <w:szCs w:val="28"/>
        </w:rPr>
        <w:t>Cowbell milk</w:t>
      </w:r>
      <w:r>
        <w:rPr>
          <w:rFonts w:ascii="Times New Roman" w:hAnsi="Times New Roman" w:cs="Times New Roman"/>
          <w:color w:val="auto"/>
          <w:sz w:val="28"/>
          <w:szCs w:val="28"/>
        </w:rPr>
        <w:t xml:space="preserve"> sample had the highest number (six) of adulterants, while the others showed the presence of five (5) adulterants.</w:t>
      </w:r>
    </w:p>
    <w:p w14:paraId="11502EA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introduce detergents into subsequent products.</w:t>
      </w:r>
    </w:p>
    <w:p w14:paraId="6CCDC3C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14:paraId="6BBCF6D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14:paraId="245AB9E6">
      <w:pPr>
        <w:spacing w:before="240" w:after="0" w:line="480" w:lineRule="auto"/>
        <w:jc w:val="both"/>
        <w:rPr>
          <w:rFonts w:ascii="Times New Roman" w:hAnsi="Times New Roman" w:cs="Times New Roman"/>
          <w:b/>
          <w:color w:val="auto"/>
          <w:sz w:val="28"/>
          <w:szCs w:val="28"/>
        </w:rPr>
      </w:pPr>
    </w:p>
    <w:p w14:paraId="46C284C6">
      <w:pPr>
        <w:spacing w:before="240" w:after="0" w:line="480" w:lineRule="auto"/>
        <w:jc w:val="both"/>
        <w:rPr>
          <w:rFonts w:ascii="Times New Roman" w:hAnsi="Times New Roman" w:cs="Times New Roman"/>
          <w:b/>
          <w:color w:val="auto"/>
          <w:sz w:val="28"/>
          <w:szCs w:val="28"/>
        </w:rPr>
      </w:pPr>
    </w:p>
    <w:p w14:paraId="5DAE7AC0">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4.3 CONCLUSION</w:t>
      </w:r>
    </w:p>
    <w:p w14:paraId="22A68C9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work has brought to fore, the issue of adulteration of edible products be it of plant or animal. The study reveals the presence of one or more adulterants in all commercial </w:t>
      </w:r>
      <w:r>
        <w:rPr>
          <w:rFonts w:hint="default" w:ascii="Times New Roman" w:hAnsi="Times New Roman" w:cs="Times New Roman"/>
          <w:color w:val="auto"/>
          <w:sz w:val="28"/>
          <w:szCs w:val="28"/>
          <w:lang w:val="en-US"/>
        </w:rPr>
        <w:t>powdered milk</w:t>
      </w:r>
      <w:r>
        <w:rPr>
          <w:rFonts w:ascii="Times New Roman" w:hAnsi="Times New Roman" w:cs="Times New Roman"/>
          <w:color w:val="auto"/>
          <w:sz w:val="28"/>
          <w:szCs w:val="28"/>
        </w:rPr>
        <w:t xml:space="preserve"> samples analyzed. There is therefore the need for increased and more aggressive monitoring and standardization of these group of products.</w:t>
      </w:r>
    </w:p>
    <w:p w14:paraId="352C2E0D">
      <w:bookmarkStart w:id="0" w:name="_GoBack"/>
      <w:bookmarkEnd w:id="0"/>
    </w:p>
    <w:sectPr>
      <w:footerReference r:id="rId6" w:type="default"/>
      <w:pgSz w:w="11520" w:h="14400"/>
      <w:pgMar w:top="1440" w:right="1440" w:bottom="1440" w:left="1440" w:header="706" w:footer="706"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Monotype Corsiva">
    <w:panose1 w:val="03010101010201010101"/>
    <w:charset w:val="00"/>
    <w:family w:val="script"/>
    <w:pitch w:val="default"/>
    <w:sig w:usb0="00000287"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Algerian">
    <w:panose1 w:val="04020705040A02060702"/>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64A2">
    <w:pPr>
      <w:pStyle w:val="5"/>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2596"/>
                            <w:docPartObj>
                              <w:docPartGallery w:val="autotext"/>
                            </w:docPartObj>
                          </w:sdtPr>
                          <w:sdtContent>
                            <w:p w14:paraId="7CAA0BDC">
                              <w:pPr>
                                <w:pStyle w:val="5"/>
                                <w:jc w:val="center"/>
                              </w:pPr>
                              <w:r>
                                <w:fldChar w:fldCharType="begin"/>
                              </w:r>
                              <w:r>
                                <w:instrText xml:space="preserve"> PAGE   \* MERGEFORMAT </w:instrText>
                              </w:r>
                              <w:r>
                                <w:fldChar w:fldCharType="separate"/>
                              </w:r>
                              <w:r>
                                <w:t>x</w:t>
                              </w:r>
                              <w:r>
                                <w:fldChar w:fldCharType="end"/>
                              </w:r>
                            </w:p>
                          </w:sdtContent>
                        </w:sdt>
                        <w:p w14:paraId="498B85D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8zo/M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L18zo/MAgAA&#10;IwYAAA4AAAAAAAAAAQAgAAAAHwEAAGRycy9lMm9Eb2MueG1sUEsFBgAAAAAGAAYAWQEAAF0GAAAA&#10;AA==&#10;">
              <v:fill on="f" focussize="0,0"/>
              <v:stroke on="f" weight="0.5pt"/>
              <v:imagedata o:title=""/>
              <o:lock v:ext="edit" aspectratio="f"/>
              <v:textbox inset="0mm,0mm,0mm,0mm" style="mso-fit-shape-to-text:t;">
                <w:txbxContent>
                  <w:sdt>
                    <w:sdtPr>
                      <w:id w:val="147452596"/>
                      <w:docPartObj>
                        <w:docPartGallery w:val="autotext"/>
                      </w:docPartObj>
                    </w:sdtPr>
                    <w:sdtContent>
                      <w:p w14:paraId="7CAA0BDC">
                        <w:pPr>
                          <w:pStyle w:val="5"/>
                          <w:jc w:val="center"/>
                        </w:pPr>
                        <w:r>
                          <w:fldChar w:fldCharType="begin"/>
                        </w:r>
                        <w:r>
                          <w:instrText xml:space="preserve"> PAGE   \* MERGEFORMAT </w:instrText>
                        </w:r>
                        <w:r>
                          <w:fldChar w:fldCharType="separate"/>
                        </w:r>
                        <w:r>
                          <w:t>x</w:t>
                        </w:r>
                        <w:r>
                          <w:fldChar w:fldCharType="end"/>
                        </w:r>
                      </w:p>
                    </w:sdtContent>
                  </w:sdt>
                  <w:p w14:paraId="498B85D9"/>
                </w:txbxContent>
              </v:textbox>
            </v:shape>
          </w:pict>
        </mc:Fallback>
      </mc:AlternateContent>
    </w:r>
  </w:p>
  <w:p w14:paraId="5751651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7DE4">
    <w:pPr>
      <w:pStyle w:val="5"/>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953"/>
                            <w:docPartObj>
                              <w:docPartGallery w:val="autotext"/>
                            </w:docPartObj>
                          </w:sdtPr>
                          <w:sdtContent>
                            <w:p w14:paraId="3DBF5EAE">
                              <w:pPr>
                                <w:pStyle w:val="5"/>
                                <w:jc w:val="center"/>
                              </w:pPr>
                              <w:r>
                                <w:fldChar w:fldCharType="begin"/>
                              </w:r>
                              <w:r>
                                <w:instrText xml:space="preserve"> PAGE   \* MERGEFORMAT </w:instrText>
                              </w:r>
                              <w:r>
                                <w:fldChar w:fldCharType="separate"/>
                              </w:r>
                              <w:r>
                                <w:t>x</w:t>
                              </w:r>
                              <w:r>
                                <w:fldChar w:fldCharType="end"/>
                              </w:r>
                            </w:p>
                          </w:sdtContent>
                        </w:sdt>
                        <w:p w14:paraId="2631A3E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sdt>
                    <w:sdtPr>
                      <w:id w:val="147470953"/>
                      <w:docPartObj>
                        <w:docPartGallery w:val="autotext"/>
                      </w:docPartObj>
                    </w:sdtPr>
                    <w:sdtContent>
                      <w:p w14:paraId="3DBF5EAE">
                        <w:pPr>
                          <w:pStyle w:val="5"/>
                          <w:jc w:val="center"/>
                        </w:pPr>
                        <w:r>
                          <w:fldChar w:fldCharType="begin"/>
                        </w:r>
                        <w:r>
                          <w:instrText xml:space="preserve"> PAGE   \* MERGEFORMAT </w:instrText>
                        </w:r>
                        <w:r>
                          <w:fldChar w:fldCharType="separate"/>
                        </w:r>
                        <w:r>
                          <w:t>x</w:t>
                        </w:r>
                        <w:r>
                          <w:fldChar w:fldCharType="end"/>
                        </w:r>
                      </w:p>
                    </w:sdtContent>
                  </w:sdt>
                  <w:p w14:paraId="2631A3E1"/>
                </w:txbxContent>
              </v:textbox>
            </v:shape>
          </w:pict>
        </mc:Fallback>
      </mc:AlternateContent>
    </w:r>
  </w:p>
  <w:p w14:paraId="259B345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FDB6A"/>
    <w:multiLevelType w:val="singleLevel"/>
    <w:tmpl w:val="F2BFDB6A"/>
    <w:lvl w:ilvl="0" w:tentative="0">
      <w:start w:val="37"/>
      <w:numFmt w:val="decimal"/>
      <w:suff w:val="space"/>
      <w:lvlText w:val="%1."/>
      <w:lvlJc w:val="left"/>
    </w:lvl>
  </w:abstractNum>
  <w:abstractNum w:abstractNumId="1">
    <w:nsid w:val="18481492"/>
    <w:multiLevelType w:val="singleLevel"/>
    <w:tmpl w:val="18481492"/>
    <w:lvl w:ilvl="0" w:tentative="0">
      <w:start w:val="2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D4E35"/>
    <w:rsid w:val="06BF7451"/>
    <w:rsid w:val="208D4E35"/>
    <w:rsid w:val="44EB1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paragraph" w:styleId="2">
    <w:name w:val="heading 1"/>
    <w:next w:val="1"/>
    <w:unhideWhenUsed/>
    <w:qFormat/>
    <w:uiPriority w:val="9"/>
    <w:pPr>
      <w:keepNext/>
      <w:keepLines/>
      <w:spacing w:after="419" w:line="259" w:lineRule="auto"/>
      <w:ind w:left="10" w:hanging="10"/>
      <w:outlineLvl w:val="0"/>
    </w:pPr>
    <w:rPr>
      <w:rFonts w:ascii="Calibri" w:hAnsi="Calibri" w:eastAsia="Calibri" w:cs="Calibri"/>
      <w:color w:val="444444"/>
      <w:sz w:val="28"/>
      <w:szCs w:val="22"/>
      <w:lang w:val="en-US" w:eastAsia="en-US" w:bidi="ar-SA"/>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uiPriority w:val="99"/>
    <w:pPr>
      <w:tabs>
        <w:tab w:val="center" w:pos="4680"/>
        <w:tab w:val="right" w:pos="9360"/>
      </w:tabs>
      <w:spacing w:after="0" w:line="240" w:lineRule="auto"/>
    </w:pPr>
  </w:style>
  <w:style w:type="character" w:styleId="6">
    <w:name w:val="Hyperlink"/>
    <w:basedOn w:val="3"/>
    <w:unhideWhenUsed/>
    <w:qFormat/>
    <w:uiPriority w:val="99"/>
    <w:rPr>
      <w:color w:val="0563C1" w:themeColor="hyperlink"/>
      <w:u w:val="single"/>
      <w14:textFill>
        <w14:solidFill>
          <w14:schemeClr w14:val="hlink"/>
        </w14:solidFill>
      </w14:textFill>
    </w:r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microsoft.com/office/2007/relationships/hdphoto" Target="media/image3.wd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0</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2025-07-12T18:32:00Z</dcterms:created>
  <dc:creator>HP</dc:creator>
  <cp:lastModifiedBy>HP</cp:lastModifiedBy>
  <dcterms:modified xsi:type="dcterms:W3CDTF">2025-07-12T21:26:27Z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7ED228AB85B8489195E60301848FEAA1_11</vt:lpwstr>
  </property>
</Properties>
</file>