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720"/>
        <w:jc w:val="center"/>
        <w:rPr>
          <w:rFonts w:ascii="Monotype Corsiva" w:hAnsi="Monotype Corsiva"/>
          <w:b/>
          <w:sz w:val="32"/>
          <w:szCs w:val="32"/>
        </w:rPr>
      </w:pPr>
      <w:bookmarkStart w:id="0" w:name="_Hlk142380218"/>
      <w:r>
        <w:rPr>
          <w:rFonts w:ascii="Times New Roman" w:hAnsi="Times New Roman"/>
          <w:b/>
          <w:sz w:val="32"/>
          <w:szCs w:val="32"/>
        </w:rPr>
        <w:t xml:space="preserve">HEPATOPROTECTIVE POTENTIAL OF </w:t>
      </w:r>
      <w:r>
        <w:rPr>
          <w:rFonts w:ascii="Times New Roman" w:hAnsi="Times New Roman"/>
          <w:b/>
          <w:i/>
          <w:iCs/>
          <w:sz w:val="32"/>
          <w:szCs w:val="32"/>
          <w:lang w:val="en-US"/>
        </w:rPr>
        <w:t xml:space="preserve">Curcuma longa </w:t>
      </w:r>
      <w:r>
        <w:rPr>
          <w:rFonts w:ascii="Times New Roman" w:hAnsi="Times New Roman"/>
          <w:b/>
          <w:sz w:val="32"/>
          <w:szCs w:val="32"/>
        </w:rPr>
        <w:t xml:space="preserve">RHIZOME EXTRACT AGAINST PARACETAMOL INDUCED </w:t>
      </w:r>
      <w:r>
        <w:rPr>
          <w:rFonts w:ascii="Times New Roman" w:hAnsi="Times New Roman"/>
          <w:b/>
          <w:sz w:val="32"/>
          <w:szCs w:val="32"/>
          <w:lang w:val="en-US"/>
        </w:rPr>
        <w:t xml:space="preserve">SUB ACUTE </w:t>
      </w:r>
      <w:r>
        <w:rPr>
          <w:rFonts w:ascii="Times New Roman" w:hAnsi="Times New Roman"/>
          <w:b/>
          <w:sz w:val="32"/>
          <w:szCs w:val="32"/>
        </w:rPr>
        <w:t>HEPATOTOXICITY IN WISTAR RATS</w:t>
      </w:r>
    </w:p>
    <w:p>
      <w:pPr>
        <w:pStyle w:val="style0"/>
        <w:ind w:firstLine="720"/>
        <w:jc w:val="center"/>
        <w:rPr>
          <w:rFonts w:ascii="Monotype Corsiva" w:hAnsi="Monotype Corsiva"/>
          <w:b/>
          <w:sz w:val="40"/>
          <w:szCs w:val="40"/>
        </w:rPr>
      </w:pPr>
    </w:p>
    <w:p>
      <w:pPr>
        <w:pStyle w:val="style0"/>
        <w:ind w:firstLine="720"/>
        <w:jc w:val="center"/>
        <w:rPr>
          <w:rFonts w:ascii="Monotype Corsiva" w:hAnsi="Monotype Corsiva"/>
          <w:b/>
          <w:sz w:val="40"/>
          <w:szCs w:val="40"/>
        </w:rPr>
      </w:pPr>
    </w:p>
    <w:p>
      <w:pPr>
        <w:pStyle w:val="style0"/>
        <w:ind w:firstLine="720"/>
        <w:jc w:val="center"/>
        <w:rPr>
          <w:rFonts w:ascii="Monotype Corsiva" w:hAnsi="Monotype Corsiva"/>
          <w:b/>
          <w:sz w:val="40"/>
          <w:szCs w:val="40"/>
        </w:rPr>
      </w:pPr>
    </w:p>
    <w:p>
      <w:pPr>
        <w:pStyle w:val="style0"/>
        <w:ind w:firstLine="720"/>
        <w:jc w:val="center"/>
        <w:rPr>
          <w:rFonts w:ascii="Monotype Corsiva" w:hAnsi="Monotype Corsiva"/>
          <w:b/>
          <w:sz w:val="40"/>
          <w:szCs w:val="40"/>
        </w:rPr>
      </w:pPr>
      <w:r>
        <w:rPr>
          <w:rFonts w:ascii="Monotype Corsiva" w:hAnsi="Monotype Corsiva"/>
          <w:b/>
          <w:sz w:val="40"/>
          <w:szCs w:val="40"/>
        </w:rPr>
        <w:t>BY:</w:t>
      </w:r>
    </w:p>
    <w:p>
      <w:pPr>
        <w:pStyle w:val="style0"/>
        <w:spacing w:after="0"/>
        <w:ind w:firstLine="720"/>
        <w:jc w:val="center"/>
        <w:rPr>
          <w:rFonts w:ascii="Times New Roman" w:cs="Times New Roman" w:hAnsi="Times New Roman"/>
          <w:b/>
          <w:sz w:val="32"/>
          <w:szCs w:val="32"/>
        </w:rPr>
      </w:pPr>
    </w:p>
    <w:p>
      <w:pPr>
        <w:pStyle w:val="style0"/>
        <w:spacing w:after="0"/>
        <w:ind w:firstLine="720"/>
        <w:jc w:val="center"/>
        <w:rPr>
          <w:rFonts w:ascii="Times New Roman" w:cs="Times New Roman" w:hAnsi="Times New Roman"/>
          <w:b/>
          <w:sz w:val="32"/>
          <w:szCs w:val="32"/>
        </w:rPr>
      </w:pPr>
    </w:p>
    <w:p>
      <w:pPr>
        <w:pStyle w:val="style0"/>
        <w:spacing w:after="0"/>
        <w:ind w:firstLine="720"/>
        <w:jc w:val="center"/>
        <w:rPr>
          <w:rFonts w:ascii="Times New Roman" w:cs="Times New Roman" w:hAnsi="Times New Roman"/>
          <w:b/>
          <w:sz w:val="32"/>
          <w:szCs w:val="32"/>
        </w:rPr>
      </w:pPr>
      <w:r>
        <w:rPr>
          <w:rFonts w:ascii="Times New Roman" w:cs="Times New Roman" w:hAnsi="Times New Roman"/>
          <w:b/>
          <w:sz w:val="32"/>
          <w:szCs w:val="32"/>
          <w:lang w:val="en-US"/>
        </w:rPr>
        <w:t xml:space="preserve">Awe opeyemi wonderful </w:t>
      </w:r>
    </w:p>
    <w:p>
      <w:pPr>
        <w:pStyle w:val="style0"/>
        <w:spacing w:after="0"/>
        <w:ind w:firstLine="720"/>
        <w:jc w:val="center"/>
        <w:rPr>
          <w:rFonts w:ascii="Times New Roman" w:cs="Times New Roman" w:hAnsi="Times New Roman"/>
          <w:b/>
          <w:sz w:val="32"/>
          <w:szCs w:val="32"/>
        </w:rPr>
      </w:pPr>
      <w:r>
        <w:rPr>
          <w:rFonts w:ascii="Times New Roman" w:cs="Times New Roman" w:hAnsi="Times New Roman"/>
          <w:b/>
          <w:sz w:val="32"/>
          <w:szCs w:val="32"/>
        </w:rPr>
        <w:t>HND/23/SLT/FT/0</w:t>
      </w:r>
      <w:r>
        <w:rPr>
          <w:rFonts w:ascii="Times New Roman" w:cs="Times New Roman" w:hAnsi="Times New Roman"/>
          <w:b/>
          <w:sz w:val="32"/>
          <w:szCs w:val="32"/>
          <w:lang w:val="en-US"/>
        </w:rPr>
        <w:t>961</w:t>
      </w:r>
    </w:p>
    <w:p>
      <w:pPr>
        <w:pStyle w:val="style0"/>
        <w:spacing w:after="0"/>
        <w:ind w:firstLine="720"/>
        <w:jc w:val="center"/>
        <w:rPr>
          <w:rFonts w:ascii="Monotype Corsiva" w:hAnsi="Monotype Corsiva"/>
          <w:b/>
          <w:sz w:val="40"/>
          <w:szCs w:val="40"/>
        </w:rPr>
      </w:pPr>
    </w:p>
    <w:p>
      <w:pPr>
        <w:pStyle w:val="style0"/>
        <w:spacing w:after="0" w:lineRule="auto" w:line="240"/>
        <w:jc w:val="center"/>
        <w:rPr>
          <w:rFonts w:ascii="Eras Light ITC" w:hAnsi="Eras Light ITC"/>
          <w:b/>
          <w:bCs/>
          <w:sz w:val="24"/>
          <w:szCs w:val="24"/>
        </w:rPr>
      </w:pPr>
    </w:p>
    <w:p>
      <w:pPr>
        <w:pStyle w:val="style0"/>
        <w:spacing w:after="0" w:lineRule="auto" w:line="240"/>
        <w:jc w:val="center"/>
        <w:rPr>
          <w:rFonts w:ascii="Eras Light ITC" w:hAnsi="Eras Light ITC"/>
          <w:b/>
          <w:sz w:val="24"/>
          <w:szCs w:val="24"/>
        </w:rPr>
      </w:pPr>
    </w:p>
    <w:p>
      <w:pPr>
        <w:pStyle w:val="style157"/>
        <w:jc w:val="center"/>
        <w:rPr>
          <w:rFonts w:ascii="Bookman Old Style" w:hAnsi="Bookman Old Style"/>
          <w:b/>
          <w:sz w:val="26"/>
          <w:szCs w:val="28"/>
        </w:rPr>
      </w:pPr>
      <w:r>
        <w:rPr>
          <w:rFonts w:ascii="Bookman Old Style" w:hAnsi="Bookman Old Style"/>
          <w:b/>
          <w:sz w:val="26"/>
          <w:szCs w:val="28"/>
        </w:rPr>
        <w:t>BEING A PROJECT REPORT SUBMITTED TO THE DEPARTMENT OF SCIENCE LABORATORY TECHNOLOGY (</w:t>
      </w:r>
      <w:r>
        <w:rPr>
          <w:rFonts w:ascii="Bookman Old Style" w:hAnsi="Bookman Old Style"/>
          <w:b/>
          <w:sz w:val="26"/>
          <w:szCs w:val="28"/>
          <w:lang w:val="en-ZA"/>
        </w:rPr>
        <w:t>BIOCHEMISTRY UNIT</w:t>
      </w:r>
      <w:r>
        <w:rPr>
          <w:rFonts w:ascii="Bookman Old Style" w:hAnsi="Bookman Old Style"/>
          <w:b/>
          <w:sz w:val="26"/>
          <w:szCs w:val="28"/>
        </w:rPr>
        <w:t>), INSTITUTE OF APPLIED SCIENCES, KWARA STATE POLYTECHNIC ILORIN</w:t>
      </w:r>
    </w:p>
    <w:p>
      <w:pPr>
        <w:pStyle w:val="style157"/>
        <w:jc w:val="center"/>
        <w:rPr>
          <w:rFonts w:ascii="Bookman Old Style" w:hAnsi="Bookman Old Style"/>
          <w:b/>
          <w:sz w:val="26"/>
          <w:szCs w:val="28"/>
        </w:rPr>
      </w:pPr>
    </w:p>
    <w:p>
      <w:pPr>
        <w:pStyle w:val="style0"/>
        <w:spacing w:lineRule="auto" w:line="240"/>
        <w:ind w:left="720"/>
        <w:jc w:val="center"/>
        <w:rPr>
          <w:rFonts w:ascii="Bookman Old Style" w:cs="Tahoma" w:hAnsi="Bookman Old Style"/>
          <w:b/>
          <w:i/>
          <w:sz w:val="26"/>
          <w:szCs w:val="28"/>
        </w:rPr>
      </w:pPr>
      <w:r>
        <w:rPr>
          <w:rFonts w:ascii="Bookman Old Style" w:cs="Tahoma" w:hAnsi="Bookman Old Style"/>
          <w:b/>
          <w:i/>
          <w:sz w:val="26"/>
          <w:szCs w:val="28"/>
        </w:rPr>
        <w:t xml:space="preserve">IN PARTIAL FULFILMENT OF THE REQUIREMENTS FOR THE AWARD OF </w:t>
      </w:r>
      <w:r>
        <w:rPr>
          <w:rFonts w:ascii="Bookman Old Style" w:cs="Tahoma" w:hAnsi="Bookman Old Style"/>
          <w:b/>
          <w:i/>
          <w:sz w:val="26"/>
          <w:szCs w:val="28"/>
        </w:rPr>
        <w:t xml:space="preserve">HIGHER </w:t>
      </w:r>
      <w:r>
        <w:rPr>
          <w:rFonts w:ascii="Bookman Old Style" w:cs="Tahoma" w:hAnsi="Bookman Old Style"/>
          <w:b/>
          <w:i/>
          <w:sz w:val="26"/>
          <w:szCs w:val="28"/>
        </w:rPr>
        <w:t>NATIONAL DIPLOMA (</w:t>
      </w:r>
      <w:r>
        <w:rPr>
          <w:rFonts w:ascii="Bookman Old Style" w:cs="Tahoma" w:hAnsi="Bookman Old Style"/>
          <w:b/>
          <w:i/>
          <w:sz w:val="26"/>
          <w:szCs w:val="28"/>
        </w:rPr>
        <w:t>H</w:t>
      </w:r>
      <w:r>
        <w:rPr>
          <w:rFonts w:ascii="Bookman Old Style" w:cs="Tahoma" w:hAnsi="Bookman Old Style"/>
          <w:b/>
          <w:i/>
          <w:sz w:val="26"/>
          <w:szCs w:val="28"/>
        </w:rPr>
        <w:t>ND) IN SCIENCE LABORATORY TECHNOLOGY (SLT), KWARA STATE POLYTECHNC, ILORIN, KWARA STATE</w:t>
      </w:r>
    </w:p>
    <w:p>
      <w:pPr>
        <w:pStyle w:val="style0"/>
        <w:spacing w:lineRule="auto" w:line="240"/>
        <w:rPr>
          <w:rFonts w:ascii="Monotype Corsiva" w:cs="Tahoma" w:hAnsi="Monotype Corsiva"/>
          <w:b/>
          <w:sz w:val="2"/>
        </w:rPr>
      </w:pPr>
    </w:p>
    <w:p>
      <w:pPr>
        <w:pStyle w:val="style0"/>
        <w:spacing w:after="0" w:lineRule="auto" w:line="240"/>
        <w:ind w:left="6480"/>
        <w:rPr>
          <w:rFonts w:ascii="Times New Roman" w:cs="Times New Roman" w:hAnsi="Times New Roman"/>
          <w:b/>
          <w:sz w:val="24"/>
          <w:szCs w:val="24"/>
        </w:rPr>
      </w:pPr>
    </w:p>
    <w:p>
      <w:pPr>
        <w:pStyle w:val="style0"/>
        <w:spacing w:after="0" w:lineRule="auto" w:line="240"/>
        <w:ind w:left="6480"/>
        <w:rPr>
          <w:rFonts w:ascii="Times New Roman" w:cs="Times New Roman" w:hAnsi="Times New Roman"/>
          <w:b/>
          <w:sz w:val="32"/>
          <w:szCs w:val="32"/>
        </w:rPr>
      </w:pPr>
      <w:r>
        <w:rPr>
          <w:rFonts w:ascii="Times New Roman" w:cs="Times New Roman" w:hAnsi="Times New Roman"/>
          <w:b/>
          <w:sz w:val="24"/>
          <w:szCs w:val="24"/>
        </w:rPr>
        <w:t>JUNE</w:t>
      </w:r>
      <w:r>
        <w:rPr>
          <w:rFonts w:ascii="Times New Roman" w:cs="Times New Roman" w:hAnsi="Times New Roman"/>
          <w:b/>
          <w:sz w:val="30"/>
        </w:rPr>
        <w:t xml:space="preserve">, </w:t>
      </w:r>
      <w:r>
        <w:rPr>
          <w:rFonts w:ascii="Times New Roman" w:cs="Times New Roman" w:hAnsi="Times New Roman"/>
          <w:b/>
          <w:sz w:val="24"/>
          <w:szCs w:val="24"/>
        </w:rPr>
        <w:t>202</w:t>
      </w:r>
      <w:r>
        <w:rPr>
          <w:rFonts w:ascii="Times New Roman" w:cs="Times New Roman" w:hAnsi="Times New Roman"/>
          <w:b/>
          <w:sz w:val="24"/>
          <w:szCs w:val="24"/>
          <w:lang w:val="en-US"/>
        </w:rPr>
        <w:t>5</w:t>
      </w:r>
    </w:p>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p>
    <w:bookmarkStart w:id="1" w:name="_GoBack"/>
    <w:bookmarkEnd w:id="1"/>
    <w:p>
      <w:pPr>
        <w:pStyle w:val="style0"/>
        <w:spacing w:lineRule="auto" w:line="276"/>
        <w:jc w:val="center"/>
        <w:rPr>
          <w:rFonts w:ascii="Times New Roman" w:cs="Times New Roman" w:hAnsi="Times New Roman"/>
          <w:b/>
          <w:sz w:val="24"/>
          <w:szCs w:val="24"/>
        </w:rPr>
      </w:pPr>
    </w:p>
    <w:p>
      <w:pPr>
        <w:pStyle w:val="style0"/>
        <w:spacing w:lineRule="auto" w:line="276"/>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ind w:firstLine="720"/>
        <w:jc w:val="both"/>
        <w:rPr>
          <w:rFonts w:ascii="Times New Roman" w:cs="Times New Roman" w:hAnsi="Times New Roman"/>
          <w:b/>
          <w:sz w:val="24"/>
          <w:szCs w:val="24"/>
        </w:rPr>
      </w:pPr>
      <w:r>
        <w:rPr>
          <w:rFonts w:ascii="Times New Roman" w:cs="Times New Roman" w:hAnsi="Times New Roman"/>
          <w:sz w:val="24"/>
          <w:szCs w:val="24"/>
        </w:rPr>
        <w:t xml:space="preserve">This is to certify that this project was carried out by </w:t>
      </w:r>
      <w:r>
        <w:rPr>
          <w:rFonts w:ascii="Times New Roman" w:cs="Times New Roman" w:hAnsi="Times New Roman"/>
          <w:sz w:val="24"/>
          <w:szCs w:val="24"/>
          <w:lang w:val="en-US"/>
        </w:rPr>
        <w:t>Awe opeyemi wonderful</w:t>
      </w:r>
      <w:r>
        <w:rPr>
          <w:rFonts w:ascii="Times New Roman" w:cs="Times New Roman" w:hAnsi="Times New Roman"/>
          <w:b/>
          <w:sz w:val="24"/>
          <w:szCs w:val="24"/>
        </w:rPr>
        <w:t xml:space="preserve"> </w:t>
      </w:r>
      <w:r>
        <w:rPr>
          <w:rFonts w:ascii="Times New Roman" w:cs="Times New Roman" w:hAnsi="Times New Roman"/>
          <w:sz w:val="24"/>
          <w:szCs w:val="24"/>
        </w:rPr>
        <w:t>with matric no.</w:t>
      </w:r>
      <w:r>
        <w:rPr>
          <w:rFonts w:ascii="Times New Roman" w:cs="Times New Roman" w:hAnsi="Times New Roman"/>
          <w:b/>
          <w:sz w:val="24"/>
          <w:szCs w:val="24"/>
        </w:rPr>
        <w:t xml:space="preserve"> HND/23/SLT/FT/0</w:t>
      </w:r>
      <w:r>
        <w:rPr>
          <w:rFonts w:ascii="Times New Roman" w:cs="Times New Roman" w:hAnsi="Times New Roman"/>
          <w:b/>
          <w:sz w:val="24"/>
          <w:szCs w:val="24"/>
          <w:lang w:val="en-US"/>
        </w:rPr>
        <w:t>961</w:t>
      </w:r>
      <w:r>
        <w:rPr>
          <w:rFonts w:ascii="Times New Roman" w:cs="Times New Roman" w:hAnsi="Times New Roman"/>
          <w:b/>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submitted to the Department of Science Laboratory Technology, </w:t>
      </w:r>
      <w:r>
        <w:rPr>
          <w:rFonts w:ascii="Times New Roman" w:cs="Times New Roman" w:hAnsi="Times New Roman"/>
          <w:sz w:val="24"/>
          <w:szCs w:val="24"/>
        </w:rPr>
        <w:t>Biochemistry</w:t>
      </w:r>
      <w:r>
        <w:rPr>
          <w:rFonts w:ascii="Times New Roman" w:cs="Times New Roman" w:hAnsi="Times New Roman"/>
          <w:sz w:val="24"/>
          <w:szCs w:val="24"/>
        </w:rPr>
        <w:t xml:space="preserve"> </w:t>
      </w:r>
      <w:r>
        <w:rPr>
          <w:rFonts w:ascii="Times New Roman" w:cs="Times New Roman" w:hAnsi="Times New Roman"/>
          <w:sz w:val="24"/>
          <w:szCs w:val="24"/>
        </w:rPr>
        <w:t>Unit</w:t>
      </w:r>
      <w:r>
        <w:rPr>
          <w:rFonts w:ascii="Times New Roman" w:cs="Times New Roman" w:hAnsi="Times New Roman"/>
          <w:sz w:val="24"/>
          <w:szCs w:val="24"/>
        </w:rPr>
        <w:t xml:space="preserve">, Institute of Applied Science (IAS), Kwara State Polytechnic, Ilorin, in partial fulfilment for the requirement of the award of </w:t>
      </w:r>
      <w:r>
        <w:rPr>
          <w:rFonts w:ascii="Times New Roman" w:cs="Times New Roman" w:hAnsi="Times New Roman"/>
          <w:sz w:val="24"/>
          <w:szCs w:val="24"/>
        </w:rPr>
        <w:t xml:space="preserve">Higher </w:t>
      </w:r>
      <w:r>
        <w:rPr>
          <w:rFonts w:ascii="Times New Roman" w:cs="Times New Roman" w:hAnsi="Times New Roman"/>
          <w:sz w:val="24"/>
          <w:szCs w:val="24"/>
        </w:rPr>
        <w:t>National Diploma (</w:t>
      </w:r>
      <w:r>
        <w:rPr>
          <w:rFonts w:ascii="Times New Roman" w:cs="Times New Roman" w:hAnsi="Times New Roman"/>
          <w:sz w:val="24"/>
          <w:szCs w:val="24"/>
        </w:rPr>
        <w:t>H</w:t>
      </w:r>
      <w:r>
        <w:rPr>
          <w:rFonts w:ascii="Times New Roman" w:cs="Times New Roman" w:hAnsi="Times New Roman"/>
          <w:sz w:val="24"/>
          <w:szCs w:val="24"/>
        </w:rPr>
        <w:t>ND) in Science Laboratory Technology (SLT).</w:t>
      </w: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w:t>
      </w:r>
    </w:p>
    <w:p>
      <w:pPr>
        <w:pStyle w:val="style0"/>
        <w:spacing w:after="0" w:lineRule="auto" w:line="240"/>
        <w:rPr>
          <w:rFonts w:ascii="Times New Roman" w:cs="Times New Roman" w:hAnsi="Times New Roman"/>
          <w:b/>
          <w:i/>
          <w:iCs/>
          <w:sz w:val="24"/>
          <w:szCs w:val="24"/>
        </w:rPr>
      </w:pPr>
      <w:r>
        <w:rPr>
          <w:rFonts w:ascii="Times New Roman" w:cs="Times New Roman" w:hAnsi="Times New Roman"/>
          <w:b/>
          <w:sz w:val="24"/>
          <w:szCs w:val="24"/>
        </w:rPr>
        <w:t>Mrs. Salaudeen K.A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240"/>
        <w:rPr>
          <w:rFonts w:ascii="Times New Roman" w:cs="Times New Roman" w:hAnsi="Times New Roman"/>
          <w:i/>
          <w:sz w:val="24"/>
          <w:szCs w:val="24"/>
        </w:rPr>
      </w:pPr>
      <w:r>
        <w:rPr>
          <w:rFonts w:ascii="Times New Roman" w:cs="Times New Roman" w:hAnsi="Times New Roman"/>
          <w:i/>
          <w:sz w:val="24"/>
          <w:szCs w:val="24"/>
        </w:rPr>
        <w:t>Project Supervisor</w:t>
      </w:r>
    </w:p>
    <w:p>
      <w:pPr>
        <w:pStyle w:val="style0"/>
        <w:spacing w:after="0" w:lineRule="auto" w:line="240"/>
        <w:rPr>
          <w:rFonts w:ascii="Times New Roman" w:cs="Times New Roman" w:hAnsi="Times New Roman"/>
          <w:i/>
          <w:sz w:val="24"/>
          <w:szCs w:val="24"/>
        </w:rPr>
      </w:pPr>
    </w:p>
    <w:p>
      <w:pPr>
        <w:pStyle w:val="style0"/>
        <w:spacing w:after="0" w:lineRule="auto" w:line="240"/>
        <w:rPr>
          <w:rFonts w:ascii="Times New Roman" w:cs="Times New Roman" w:hAnsi="Times New Roman"/>
          <w:i/>
          <w:sz w:val="24"/>
          <w:szCs w:val="24"/>
        </w:rPr>
      </w:pPr>
    </w:p>
    <w:p>
      <w:pPr>
        <w:pStyle w:val="style0"/>
        <w:spacing w:after="0" w:lineRule="auto" w:line="240"/>
        <w:rPr>
          <w:rFonts w:ascii="Times New Roman" w:cs="Times New Roman" w:hAnsi="Times New Roman"/>
          <w:i/>
          <w:sz w:val="24"/>
          <w:szCs w:val="24"/>
        </w:rPr>
      </w:pPr>
    </w:p>
    <w:p>
      <w:pPr>
        <w:pStyle w:val="style0"/>
        <w:spacing w:after="0" w:lineRule="auto" w:line="240"/>
        <w:rPr>
          <w:rFonts w:ascii="Times New Roman" w:cs="Times New Roman" w:hAnsi="Times New Roman"/>
          <w:b/>
          <w:sz w:val="24"/>
          <w:szCs w:val="24"/>
        </w:rPr>
      </w:pPr>
    </w:p>
    <w:bookmarkStart w:id="2" w:name="_Hlk172899642"/>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Mrs. Salaudeen K.A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 xml:space="preserve"> Date</w:t>
      </w:r>
    </w:p>
    <w:p>
      <w:pPr>
        <w:pStyle w:val="style0"/>
        <w:spacing w:after="0" w:lineRule="auto" w:line="240"/>
        <w:rPr>
          <w:rFonts w:ascii="Times New Roman" w:cs="Times New Roman" w:hAnsi="Times New Roman"/>
          <w:b/>
          <w:bCs/>
          <w:i/>
          <w:sz w:val="24"/>
          <w:szCs w:val="24"/>
        </w:rPr>
      </w:pPr>
      <w:r>
        <w:rPr>
          <w:rFonts w:ascii="Times New Roman" w:cs="Times New Roman" w:hAnsi="Times New Roman"/>
          <w:bCs/>
          <w:i/>
          <w:sz w:val="24"/>
          <w:szCs w:val="24"/>
        </w:rPr>
        <w:t xml:space="preserve">HOU, </w:t>
      </w:r>
      <w:r>
        <w:rPr>
          <w:rFonts w:ascii="Times New Roman" w:cs="Times New Roman" w:hAnsi="Times New Roman"/>
          <w:bCs/>
          <w:i/>
          <w:sz w:val="24"/>
          <w:szCs w:val="24"/>
        </w:rPr>
        <w:t>Biochemistry</w:t>
      </w:r>
    </w:p>
    <w:bookmarkEnd w:id="2"/>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 xml:space="preserve">Dr. </w:t>
      </w:r>
      <w:r>
        <w:rPr>
          <w:rFonts w:ascii="Times New Roman" w:cs="Times New Roman" w:hAnsi="Times New Roman"/>
          <w:b/>
          <w:sz w:val="24"/>
          <w:szCs w:val="24"/>
        </w:rPr>
        <w:t>Abdulkareem Usman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lang w:val="en-US"/>
        </w:rPr>
        <w:t xml:space="preserve">          </w:t>
      </w:r>
      <w:r>
        <w:rPr>
          <w:rFonts w:ascii="Times New Roman" w:cs="Times New Roman" w:hAnsi="Times New Roman"/>
          <w:b/>
          <w:sz w:val="24"/>
          <w:szCs w:val="24"/>
        </w:rPr>
        <w:t>Date</w:t>
      </w:r>
    </w:p>
    <w:p>
      <w:pPr>
        <w:pStyle w:val="style0"/>
        <w:spacing w:after="0" w:lineRule="auto" w:line="240"/>
        <w:rPr>
          <w:rFonts w:ascii="Times New Roman" w:cs="Times New Roman" w:hAnsi="Times New Roman"/>
          <w:i/>
          <w:sz w:val="24"/>
          <w:szCs w:val="24"/>
        </w:rPr>
      </w:pPr>
      <w:r>
        <w:rPr>
          <w:rFonts w:ascii="Times New Roman" w:cs="Times New Roman" w:hAnsi="Times New Roman"/>
          <w:i/>
          <w:sz w:val="24"/>
          <w:szCs w:val="24"/>
        </w:rPr>
        <w:t>Head of Department</w:t>
      </w:r>
      <w:r>
        <w:rPr>
          <w:rFonts w:ascii="Times New Roman" w:cs="Times New Roman" w:hAnsi="Times New Roman"/>
          <w:i/>
          <w:sz w:val="24"/>
          <w:szCs w:val="24"/>
          <w:lang w:val="en-US"/>
        </w:rPr>
        <w:t xml:space="preserve"> (SLT)</w:t>
      </w:r>
    </w:p>
    <w:p>
      <w:pPr>
        <w:pStyle w:val="style0"/>
        <w:spacing w:after="0" w:lineRule="auto" w:line="240"/>
        <w:rPr>
          <w:rFonts w:ascii="Times New Roman" w:cs="Times New Roman" w:hAnsi="Times New Roman"/>
          <w:i/>
          <w:sz w:val="24"/>
          <w:szCs w:val="24"/>
        </w:rPr>
      </w:pPr>
    </w:p>
    <w:p>
      <w:pPr>
        <w:pStyle w:val="style0"/>
        <w:spacing w:after="0" w:lineRule="auto" w:line="240"/>
        <w:rPr>
          <w:rFonts w:ascii="Times New Roman" w:cs="Times New Roman" w:hAnsi="Times New Roman"/>
          <w:i/>
          <w:sz w:val="24"/>
          <w:szCs w:val="24"/>
        </w:rPr>
      </w:pPr>
    </w:p>
    <w:p>
      <w:pPr>
        <w:pStyle w:val="style0"/>
        <w:spacing w:after="0" w:lineRule="auto" w:line="240"/>
        <w:rPr>
          <w:rFonts w:ascii="Times New Roman" w:cs="Times New Roman" w:hAnsi="Times New Roman"/>
          <w:i/>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bCs/>
          <w:sz w:val="24"/>
          <w:szCs w:val="24"/>
        </w:rPr>
        <w:br w:type="page"/>
      </w:r>
      <w:r>
        <w:rPr>
          <w:rFonts w:ascii="Times New Roman" w:cs="Times New Roman" w:hAnsi="Times New Roman"/>
          <w:b/>
          <w:sz w:val="24"/>
          <w:szCs w:val="24"/>
        </w:rPr>
        <w:t>DEDICATION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project is dedicated to Almighty Allah, the provider and sustainers of life, Whose grace has made this journey of my Higher National Diploma (HND) po</w:t>
      </w:r>
      <w:r>
        <w:rPr>
          <w:rFonts w:ascii="Times New Roman" w:cs="Times New Roman" w:hAnsi="Times New Roman"/>
          <w:sz w:val="24"/>
          <w:szCs w:val="24"/>
        </w:rPr>
        <w:t xml:space="preserve">ssible, and also to my parents </w:t>
      </w:r>
      <w:r>
        <w:rPr>
          <w:rFonts w:ascii="Times New Roman" w:cs="Times New Roman" w:hAnsi="Times New Roman"/>
          <w:sz w:val="24"/>
          <w:szCs w:val="24"/>
        </w:rPr>
        <w:t xml:space="preserve">Mr and Mrs </w:t>
      </w:r>
      <w:r>
        <w:rPr>
          <w:rFonts w:ascii="Times New Roman" w:cs="Times New Roman" w:hAnsi="Times New Roman"/>
          <w:sz w:val="24"/>
          <w:szCs w:val="24"/>
        </w:rPr>
        <w:t>Olaogun</w:t>
      </w:r>
      <w:r>
        <w:rPr>
          <w:rFonts w:ascii="Times New Roman" w:cs="Times New Roman" w:hAnsi="Times New Roman"/>
          <w:sz w:val="24"/>
          <w:szCs w:val="24"/>
        </w:rPr>
        <w:t>, my pillar of support. May Allah continue to bless and protect you.</w:t>
      </w: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Praise is due to Almighty God the creator of the universe.I appreciate him for giving me the strength, knowledge and understanding to complete High National Diploma programme also for the completion of my project,may his name be praise forever.</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appreciate the utmost effort of my Supervisor Mrs Salaudeen K.A whose patience, support and encouragement have been the driving force behind the source of this project research work. She gave useful correction, constructive criticisms, comment, recommendation,advice and always ensures that an excellent research is done.</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My gratitude goes to all my able lectures in Biochemistry Department also other staff members of Science laboratory technology (SLT)Kwara State Polytechnic ilorin,for their constant cooperation, encouragement throughout the academic section.</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Special gratitude to my amazing parents,mostly my beloved mother (Mrs Awe Mary)who exhibited immeasurable financial support, prayers, understanding and unweaving love during these period.</w:t>
      </w:r>
    </w:p>
    <w:p>
      <w:pPr>
        <w:pStyle w:val="style0"/>
        <w:spacing w:lineRule="auto" w:line="360"/>
        <w:ind w:firstLine="720"/>
        <w:jc w:val="both"/>
        <w:rPr>
          <w:rFonts w:ascii="Times New Roman" w:cs="Times New Roman" w:hAnsi="Times New Roman"/>
          <w:b/>
          <w:bCs/>
          <w:sz w:val="24"/>
          <w:szCs w:val="24"/>
          <w:lang w:val="en-US"/>
        </w:rPr>
      </w:pPr>
      <w:r>
        <w:rPr>
          <w:rFonts w:ascii="Times New Roman" w:cs="Times New Roman" w:hAnsi="Times New Roman"/>
          <w:sz w:val="24"/>
          <w:szCs w:val="24"/>
        </w:rPr>
        <w:t>Moreso,my profound appreciation goes to my beloved sister (Adeniyi oluwa toyin),my wonderful friend's (Osayomi Joseph,Ifeoluwa,Bisola and Damilola)and to everyone that contributed,stood by me throughout the journey.</w:t>
      </w:r>
      <w:bookmarkEnd w:id="0"/>
    </w:p>
    <w:p>
      <w:pPr>
        <w:pStyle w:val="style0"/>
        <w:spacing w:lineRule="auto" w:line="360"/>
        <w:ind w:firstLine="72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LIST OF FIGURES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Fig1.    A Diagram of the liver</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 2. Metabolism of Paracetamol</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 3: Mechanism of Paracetamol Hepatotoxicity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Figure </w:t>
      </w:r>
      <w:r>
        <w:rPr>
          <w:rFonts w:ascii="Times New Roman" w:cs="Times New Roman" w:hAnsi="Times New Roman"/>
          <w:bCs/>
          <w:sz w:val="24"/>
          <w:szCs w:val="24"/>
          <w:lang w:val="en-US"/>
        </w:rPr>
        <w:t>4</w:t>
      </w:r>
      <w:r>
        <w:rPr>
          <w:rFonts w:ascii="Times New Roman" w:cs="Times New Roman" w:hAnsi="Times New Roman"/>
          <w:bCs/>
          <w:sz w:val="24"/>
          <w:szCs w:val="24"/>
          <w:lang w:val="en-US"/>
        </w:rPr>
        <w:t>: Effect Of Treatment On Liver Total Proteins Concentration (mg/ml)</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Figure 5</w:t>
      </w:r>
      <w:r>
        <w:rPr>
          <w:rFonts w:ascii="Times New Roman" w:cs="Times New Roman" w:hAnsi="Times New Roman"/>
          <w:bCs/>
          <w:sz w:val="24"/>
          <w:szCs w:val="24"/>
          <w:lang w:val="en-US"/>
        </w:rPr>
        <w:t xml:space="preserve">: The Effect Of </w:t>
      </w:r>
      <w:r>
        <w:rPr>
          <w:rFonts w:ascii="Times New Roman" w:cs="Times New Roman" w:hAnsi="Times New Roman"/>
          <w:bCs/>
          <w:i/>
          <w:sz w:val="24"/>
          <w:szCs w:val="24"/>
          <w:lang w:val="en-US"/>
        </w:rPr>
        <w:t xml:space="preserve">Cucuma Longa </w:t>
      </w:r>
      <w:r>
        <w:rPr>
          <w:rFonts w:ascii="Times New Roman" w:cs="Times New Roman" w:hAnsi="Times New Roman"/>
          <w:bCs/>
          <w:sz w:val="24"/>
          <w:szCs w:val="24"/>
          <w:lang w:val="en-US"/>
        </w:rPr>
        <w:t>Extract</w:t>
      </w:r>
      <w:r>
        <w:rPr>
          <w:rFonts w:ascii="Times New Roman" w:cs="Times New Roman" w:hAnsi="Times New Roman"/>
          <w:bCs/>
          <w:i/>
          <w:sz w:val="24"/>
          <w:szCs w:val="24"/>
          <w:lang w:val="en-US"/>
        </w:rPr>
        <w:t xml:space="preserve"> </w:t>
      </w:r>
      <w:r>
        <w:rPr>
          <w:rFonts w:ascii="Times New Roman" w:cs="Times New Roman" w:hAnsi="Times New Roman"/>
          <w:bCs/>
          <w:sz w:val="24"/>
          <w:szCs w:val="24"/>
          <w:lang w:val="en-US"/>
        </w:rPr>
        <w:t xml:space="preserve">On GSH Concentration (µg/ml)in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Paracetamol Induced Chronic Hepatotoxicity Rats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Figure 6</w:t>
      </w:r>
      <w:r>
        <w:rPr>
          <w:rFonts w:ascii="Times New Roman" w:cs="Times New Roman" w:hAnsi="Times New Roman"/>
          <w:bCs/>
          <w:sz w:val="24"/>
          <w:szCs w:val="24"/>
          <w:lang w:val="en-US"/>
        </w:rPr>
        <w:t xml:space="preserve">: The Effect Of </w:t>
      </w:r>
      <w:r>
        <w:rPr>
          <w:rFonts w:ascii="Times New Roman" w:cs="Times New Roman" w:hAnsi="Times New Roman"/>
          <w:bCs/>
          <w:i/>
          <w:sz w:val="24"/>
          <w:szCs w:val="24"/>
          <w:lang w:val="en-US"/>
        </w:rPr>
        <w:t xml:space="preserve">Cucuma Longa </w:t>
      </w:r>
      <w:r>
        <w:rPr>
          <w:rFonts w:ascii="Times New Roman" w:cs="Times New Roman" w:hAnsi="Times New Roman"/>
          <w:bCs/>
          <w:sz w:val="24"/>
          <w:szCs w:val="24"/>
          <w:lang w:val="en-US"/>
        </w:rPr>
        <w:t>Extract</w:t>
      </w:r>
      <w:r>
        <w:rPr>
          <w:rFonts w:ascii="Times New Roman" w:cs="Times New Roman" w:hAnsi="Times New Roman"/>
          <w:bCs/>
          <w:i/>
          <w:sz w:val="24"/>
          <w:szCs w:val="24"/>
          <w:lang w:val="en-US"/>
        </w:rPr>
        <w:t xml:space="preserve"> </w:t>
      </w:r>
      <w:r>
        <w:rPr>
          <w:rFonts w:ascii="Times New Roman" w:cs="Times New Roman" w:hAnsi="Times New Roman"/>
          <w:bCs/>
          <w:sz w:val="24"/>
          <w:szCs w:val="24"/>
          <w:lang w:val="en-US"/>
        </w:rPr>
        <w:t xml:space="preserve">On Superoxide Dismutase Enzyme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Activity (mmol/min/mg protein) in Paracetamol Induced Chronic Hepatotoxicity Rats</w:t>
      </w:r>
      <w:r>
        <w:rPr>
          <w:rFonts w:ascii="Times New Roman" w:cs="Times New Roman" w:hAnsi="Times New Roman"/>
          <w:bCs/>
          <w:sz w:val="24"/>
          <w:szCs w:val="24"/>
          <w:lang w:val="en-US"/>
        </w:rPr>
        <w:tab/>
      </w:r>
      <w:r>
        <w:rPr>
          <w:rFonts w:ascii="Times New Roman" w:cs="Times New Roman" w:hAnsi="Times New Roman"/>
          <w:bCs/>
          <w:sz w:val="24"/>
          <w:szCs w:val="24"/>
          <w:lang w:val="en-US"/>
        </w:rPr>
        <w:t>37</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Figure 7</w:t>
      </w:r>
      <w:r>
        <w:rPr>
          <w:rFonts w:ascii="Times New Roman" w:cs="Times New Roman" w:hAnsi="Times New Roman"/>
          <w:bCs/>
          <w:sz w:val="24"/>
          <w:szCs w:val="24"/>
          <w:lang w:val="en-US"/>
        </w:rPr>
        <w:t xml:space="preserve">: The Effect Of </w:t>
      </w:r>
      <w:r>
        <w:rPr>
          <w:rFonts w:ascii="Times New Roman" w:cs="Times New Roman" w:hAnsi="Times New Roman"/>
          <w:bCs/>
          <w:i/>
          <w:sz w:val="24"/>
          <w:szCs w:val="24"/>
          <w:lang w:val="en-US"/>
        </w:rPr>
        <w:t xml:space="preserve">Cucuma Longa </w:t>
      </w:r>
      <w:r>
        <w:rPr>
          <w:rFonts w:ascii="Times New Roman" w:cs="Times New Roman" w:hAnsi="Times New Roman"/>
          <w:bCs/>
          <w:sz w:val="24"/>
          <w:szCs w:val="24"/>
          <w:lang w:val="en-US"/>
        </w:rPr>
        <w:t>Extract</w:t>
      </w:r>
      <w:r>
        <w:rPr>
          <w:rFonts w:ascii="Times New Roman" w:cs="Times New Roman" w:hAnsi="Times New Roman"/>
          <w:bCs/>
          <w:i/>
          <w:sz w:val="24"/>
          <w:szCs w:val="24"/>
          <w:lang w:val="en-US"/>
        </w:rPr>
        <w:t xml:space="preserve"> </w:t>
      </w:r>
      <w:r>
        <w:rPr>
          <w:rFonts w:ascii="Times New Roman" w:cs="Times New Roman" w:hAnsi="Times New Roman"/>
          <w:bCs/>
          <w:sz w:val="24"/>
          <w:szCs w:val="24"/>
          <w:lang w:val="en-US"/>
        </w:rPr>
        <w:t xml:space="preserve">On Catalase Enzyme Activity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(mmol/min/mg protein) in Paracetamol Induced Chronic Hepatotoxicity Rats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38</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Figure 8</w:t>
      </w:r>
      <w:r>
        <w:rPr>
          <w:rFonts w:ascii="Times New Roman" w:cs="Times New Roman" w:hAnsi="Times New Roman"/>
          <w:bCs/>
          <w:sz w:val="24"/>
          <w:szCs w:val="24"/>
          <w:lang w:val="en-US"/>
        </w:rPr>
        <w:t xml:space="preserve">: The Effect Of </w:t>
      </w:r>
      <w:r>
        <w:rPr>
          <w:rFonts w:ascii="Times New Roman" w:cs="Times New Roman" w:hAnsi="Times New Roman"/>
          <w:bCs/>
          <w:i/>
          <w:sz w:val="24"/>
          <w:szCs w:val="24"/>
          <w:lang w:val="en-US"/>
        </w:rPr>
        <w:t xml:space="preserve">Cucuma Longa </w:t>
      </w:r>
      <w:r>
        <w:rPr>
          <w:rFonts w:ascii="Times New Roman" w:cs="Times New Roman" w:hAnsi="Times New Roman"/>
          <w:bCs/>
          <w:sz w:val="24"/>
          <w:szCs w:val="24"/>
          <w:lang w:val="en-US"/>
        </w:rPr>
        <w:t>Extract</w:t>
      </w:r>
      <w:r>
        <w:rPr>
          <w:rFonts w:ascii="Times New Roman" w:cs="Times New Roman" w:hAnsi="Times New Roman"/>
          <w:bCs/>
          <w:i/>
          <w:sz w:val="24"/>
          <w:szCs w:val="24"/>
          <w:lang w:val="en-US"/>
        </w:rPr>
        <w:t xml:space="preserve"> </w:t>
      </w:r>
      <w:r>
        <w:rPr>
          <w:rFonts w:ascii="Times New Roman" w:cs="Times New Roman" w:hAnsi="Times New Roman"/>
          <w:bCs/>
          <w:sz w:val="24"/>
          <w:szCs w:val="24"/>
          <w:lang w:val="en-US"/>
        </w:rPr>
        <w:t xml:space="preserve">On MDA concentration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(nmol MDA/mg protein) in Paracetamol Induced Chronic Hepatotoxicity Rats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39</w:t>
      </w:r>
    </w:p>
    <w:p>
      <w:pPr>
        <w:pStyle w:val="style0"/>
        <w:spacing w:lineRule="auto" w:line="360"/>
        <w:jc w:val="both"/>
        <w:rPr>
          <w:rFonts w:ascii="Times New Roman" w:cs="Times New Roman" w:hAnsi="Times New Roman"/>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p>
    <w:p>
      <w:pPr>
        <w:pStyle w:val="style0"/>
        <w:spacing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TABLE OF CONTENTS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Title page</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i</w:t>
      </w:r>
      <w:r>
        <w:rPr>
          <w:rFonts w:ascii="Times New Roman" w:cs="Times New Roman" w:hAnsi="Times New Roman"/>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Certification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ii</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Dedication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iii</w:t>
      </w:r>
      <w:r>
        <w:rPr>
          <w:rFonts w:ascii="Times New Roman" w:cs="Times New Roman" w:hAnsi="Times New Roman"/>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Acknowledgement</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iv</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List of Figures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v</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Table of Content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vi</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Abstract</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viii</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CHAPTER ONE: INTRODUCTION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1.1 </w:t>
      </w:r>
      <w:r>
        <w:rPr>
          <w:rFonts w:ascii="Times New Roman" w:cs="Times New Roman" w:hAnsi="Times New Roman"/>
          <w:bCs/>
          <w:sz w:val="24"/>
          <w:szCs w:val="24"/>
          <w:lang w:val="en-US"/>
        </w:rPr>
        <w:tab/>
      </w:r>
      <w:r>
        <w:rPr>
          <w:rFonts w:ascii="Times New Roman" w:cs="Times New Roman" w:hAnsi="Times New Roman"/>
          <w:bCs/>
          <w:sz w:val="24"/>
          <w:szCs w:val="24"/>
          <w:lang w:val="en-US"/>
        </w:rPr>
        <w:t>Background to the Study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1.2 </w:t>
      </w:r>
      <w:r>
        <w:rPr>
          <w:rFonts w:ascii="Times New Roman" w:cs="Times New Roman" w:hAnsi="Times New Roman"/>
          <w:bCs/>
          <w:sz w:val="24"/>
          <w:szCs w:val="24"/>
          <w:lang w:val="en-US"/>
        </w:rPr>
        <w:tab/>
      </w:r>
      <w:r>
        <w:rPr>
          <w:rFonts w:ascii="Times New Roman" w:cs="Times New Roman" w:hAnsi="Times New Roman"/>
          <w:bCs/>
          <w:sz w:val="24"/>
          <w:szCs w:val="24"/>
          <w:lang w:val="en-US"/>
        </w:rPr>
        <w:t>Statement of the Problem</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1.3 </w:t>
      </w:r>
      <w:r>
        <w:rPr>
          <w:rFonts w:ascii="Times New Roman" w:cs="Times New Roman" w:hAnsi="Times New Roman"/>
          <w:bCs/>
          <w:sz w:val="24"/>
          <w:szCs w:val="24"/>
          <w:lang w:val="en-US"/>
        </w:rPr>
        <w:tab/>
      </w:r>
      <w:r>
        <w:rPr>
          <w:rFonts w:ascii="Times New Roman" w:cs="Times New Roman" w:hAnsi="Times New Roman"/>
          <w:bCs/>
          <w:sz w:val="24"/>
          <w:szCs w:val="24"/>
          <w:lang w:val="en-US"/>
        </w:rPr>
        <w:t>Aim and Objectives of study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CHAPTER TWO: LITERATURE REVIEW</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2.1</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The </w:t>
      </w:r>
      <w:r>
        <w:rPr>
          <w:rFonts w:ascii="Times New Roman" w:cs="Times New Roman" w:hAnsi="Times New Roman"/>
          <w:bCs/>
          <w:sz w:val="24"/>
          <w:szCs w:val="24"/>
          <w:lang w:val="en-US"/>
        </w:rPr>
        <w:t>Liver Structure</w:t>
      </w:r>
      <w:r>
        <w:rPr>
          <w:rFonts w:ascii="Times New Roman" w:cs="Times New Roman" w:hAnsi="Times New Roman"/>
          <w:bCs/>
          <w:sz w:val="24"/>
          <w:szCs w:val="24"/>
          <w:lang w:val="en-US"/>
        </w:rPr>
        <w:t xml:space="preserve"> and Its Function</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2.1.1  </w:t>
      </w:r>
      <w:r>
        <w:rPr>
          <w:rFonts w:ascii="Times New Roman" w:cs="Times New Roman" w:hAnsi="Times New Roman"/>
          <w:bCs/>
          <w:sz w:val="24"/>
          <w:szCs w:val="24"/>
          <w:lang w:val="en-US"/>
        </w:rPr>
        <w:tab/>
      </w:r>
      <w:r>
        <w:rPr>
          <w:rFonts w:ascii="Times New Roman" w:cs="Times New Roman" w:hAnsi="Times New Roman"/>
          <w:bCs/>
          <w:sz w:val="24"/>
          <w:szCs w:val="24"/>
          <w:lang w:val="en-US"/>
        </w:rPr>
        <w:t>Functions o</w:t>
      </w:r>
      <w:r>
        <w:rPr>
          <w:rFonts w:ascii="Times New Roman" w:cs="Times New Roman" w:hAnsi="Times New Roman"/>
          <w:bCs/>
          <w:sz w:val="24"/>
          <w:szCs w:val="24"/>
          <w:lang w:val="en-US"/>
        </w:rPr>
        <w:t>f Liver</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2.1.2   </w:t>
      </w:r>
      <w:r>
        <w:rPr>
          <w:rFonts w:ascii="Times New Roman" w:cs="Times New Roman" w:hAnsi="Times New Roman"/>
          <w:bCs/>
          <w:sz w:val="24"/>
          <w:szCs w:val="24"/>
          <w:lang w:val="en-US"/>
        </w:rPr>
        <w:tab/>
      </w:r>
      <w:r>
        <w:rPr>
          <w:rFonts w:ascii="Times New Roman" w:cs="Times New Roman" w:hAnsi="Times New Roman"/>
          <w:bCs/>
          <w:sz w:val="24"/>
          <w:szCs w:val="24"/>
          <w:lang w:val="en-US"/>
        </w:rPr>
        <w:t>Liver Disease</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2.2 </w:t>
      </w:r>
      <w:r>
        <w:rPr>
          <w:rFonts w:ascii="Times New Roman" w:cs="Times New Roman" w:hAnsi="Times New Roman"/>
          <w:bCs/>
          <w:sz w:val="24"/>
          <w:szCs w:val="24"/>
          <w:lang w:val="en-US"/>
        </w:rPr>
        <w:tab/>
      </w:r>
      <w:r>
        <w:rPr>
          <w:rFonts w:ascii="Times New Roman" w:cs="Times New Roman" w:hAnsi="Times New Roman"/>
          <w:bCs/>
          <w:sz w:val="24"/>
          <w:szCs w:val="24"/>
          <w:lang w:val="en-US"/>
        </w:rPr>
        <w:t>Hepatotoxicity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2.2.1  </w:t>
      </w:r>
      <w:r>
        <w:rPr>
          <w:rFonts w:ascii="Times New Roman" w:cs="Times New Roman" w:hAnsi="Times New Roman"/>
          <w:bCs/>
          <w:sz w:val="24"/>
          <w:szCs w:val="24"/>
          <w:lang w:val="en-US"/>
        </w:rPr>
        <w:tab/>
      </w:r>
      <w:r>
        <w:rPr>
          <w:rFonts w:ascii="Times New Roman" w:cs="Times New Roman" w:hAnsi="Times New Roman"/>
          <w:bCs/>
          <w:sz w:val="24"/>
          <w:szCs w:val="24"/>
          <w:lang w:val="en-US"/>
        </w:rPr>
        <w:t>Causes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2.2.2</w:t>
      </w:r>
      <w:r>
        <w:rPr>
          <w:rFonts w:ascii="Times New Roman" w:cs="Times New Roman" w:hAnsi="Times New Roman"/>
          <w:bCs/>
          <w:sz w:val="24"/>
          <w:szCs w:val="24"/>
          <w:lang w:val="en-US"/>
        </w:rPr>
        <w:tab/>
      </w:r>
      <w:r>
        <w:rPr>
          <w:rFonts w:ascii="Times New Roman" w:cs="Times New Roman" w:hAnsi="Times New Roman"/>
          <w:bCs/>
          <w:sz w:val="24"/>
          <w:szCs w:val="24"/>
          <w:lang w:val="en-US"/>
        </w:rPr>
        <w:t>Types of Hepat</w:t>
      </w:r>
      <w:r>
        <w:rPr>
          <w:rFonts w:ascii="Times New Roman" w:cs="Times New Roman" w:hAnsi="Times New Roman"/>
          <w:bCs/>
          <w:sz w:val="24"/>
          <w:szCs w:val="24"/>
          <w:lang w:val="en-US"/>
        </w:rPr>
        <w:t>otoxicity of Based on Mechanism</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8</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2.2.3</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Overview of Paracetamol Metabolism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9</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2.2.4</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Mechanism of Paracetamol Hepatotoxicity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2.3</w:t>
      </w:r>
      <w:r>
        <w:rPr>
          <w:rFonts w:ascii="Times New Roman" w:cs="Times New Roman" w:hAnsi="Times New Roman"/>
          <w:bCs/>
          <w:sz w:val="24"/>
          <w:szCs w:val="24"/>
          <w:lang w:val="en-US"/>
        </w:rPr>
        <w:tab/>
      </w:r>
      <w:r>
        <w:rPr>
          <w:rFonts w:ascii="Times New Roman" w:cs="Times New Roman" w:hAnsi="Times New Roman"/>
          <w:bCs/>
          <w:sz w:val="24"/>
          <w:szCs w:val="24"/>
          <w:lang w:val="en-US"/>
        </w:rPr>
        <w:t>Overview of</w:t>
      </w:r>
      <w:r>
        <w:rPr>
          <w:rFonts w:ascii="Times New Roman" w:cs="Times New Roman" w:hAnsi="Times New Roman"/>
          <w:bCs/>
          <w:i/>
          <w:iCs/>
          <w:sz w:val="24"/>
          <w:szCs w:val="24"/>
          <w:lang w:val="en-US"/>
        </w:rPr>
        <w:t xml:space="preserve"> Curcuma Longa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2.4</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Pharmacological Properties of </w:t>
      </w:r>
      <w:r>
        <w:rPr>
          <w:rFonts w:ascii="Times New Roman" w:cs="Times New Roman" w:hAnsi="Times New Roman"/>
          <w:bCs/>
          <w:i/>
          <w:sz w:val="24"/>
          <w:szCs w:val="24"/>
          <w:lang w:val="en-US"/>
        </w:rPr>
        <w:t>Curcuma Longa</w:t>
      </w:r>
      <w:r>
        <w:rPr>
          <w:rFonts w:ascii="Times New Roman" w:cs="Times New Roman" w:hAnsi="Times New Roman"/>
          <w:bCs/>
          <w:i/>
          <w:sz w:val="24"/>
          <w:szCs w:val="24"/>
          <w:lang w:val="en-US"/>
        </w:rPr>
        <w:tab/>
      </w:r>
      <w:r>
        <w:rPr>
          <w:rFonts w:ascii="Times New Roman" w:cs="Times New Roman" w:hAnsi="Times New Roman"/>
          <w:bCs/>
          <w:i/>
          <w:sz w:val="24"/>
          <w:szCs w:val="24"/>
          <w:lang w:val="en-US"/>
        </w:rPr>
        <w:tab/>
      </w:r>
      <w:r>
        <w:rPr>
          <w:rFonts w:ascii="Times New Roman" w:cs="Times New Roman" w:hAnsi="Times New Roman"/>
          <w:bCs/>
          <w:i/>
          <w:sz w:val="24"/>
          <w:szCs w:val="24"/>
          <w:lang w:val="en-US"/>
        </w:rPr>
        <w:tab/>
      </w:r>
      <w:r>
        <w:rPr>
          <w:rFonts w:ascii="Times New Roman" w:cs="Times New Roman" w:hAnsi="Times New Roman"/>
          <w:bCs/>
          <w:i/>
          <w:sz w:val="24"/>
          <w:szCs w:val="24"/>
          <w:lang w:val="en-US"/>
        </w:rPr>
        <w:tab/>
      </w:r>
      <w:r>
        <w:rPr>
          <w:rFonts w:ascii="Times New Roman" w:cs="Times New Roman" w:hAnsi="Times New Roman"/>
          <w:bCs/>
          <w:i/>
          <w:sz w:val="24"/>
          <w:szCs w:val="24"/>
          <w:lang w:val="en-US"/>
        </w:rPr>
        <w:tab/>
      </w:r>
      <w:r>
        <w:rPr>
          <w:rFonts w:ascii="Times New Roman" w:cs="Times New Roman" w:hAnsi="Times New Roman"/>
          <w:bCs/>
          <w:sz w:val="24"/>
          <w:szCs w:val="24"/>
          <w:lang w:val="en-US"/>
        </w:rPr>
        <w:t>13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2.5</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Mechanism of action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2.6</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Previous Studies on the Hepatoprotective Effects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18</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2.7</w:t>
      </w:r>
      <w:r>
        <w:rPr>
          <w:rFonts w:ascii="Times New Roman" w:cs="Times New Roman" w:hAnsi="Times New Roman"/>
          <w:bCs/>
          <w:sz w:val="24"/>
          <w:szCs w:val="24"/>
          <w:lang w:val="en-US"/>
        </w:rPr>
        <w:tab/>
      </w:r>
      <w:r>
        <w:rPr>
          <w:rFonts w:ascii="Times New Roman" w:cs="Times New Roman" w:hAnsi="Times New Roman"/>
          <w:bCs/>
          <w:sz w:val="24"/>
          <w:szCs w:val="24"/>
          <w:lang w:val="en-US"/>
        </w:rPr>
        <w:t>Role of Antioxidants in Liver Protection</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18</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CHAPTER THREE: MATERIALS AND METHODS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3.1. </w:t>
      </w:r>
      <w:r>
        <w:rPr>
          <w:rFonts w:ascii="Times New Roman" w:cs="Times New Roman" w:hAnsi="Times New Roman"/>
          <w:bCs/>
          <w:sz w:val="24"/>
          <w:szCs w:val="24"/>
          <w:lang w:val="en-US"/>
        </w:rPr>
        <w:tab/>
      </w:r>
      <w:r>
        <w:rPr>
          <w:rFonts w:ascii="Times New Roman" w:cs="Times New Roman" w:hAnsi="Times New Roman"/>
          <w:bCs/>
          <w:sz w:val="24"/>
          <w:szCs w:val="24"/>
          <w:lang w:val="en-US"/>
        </w:rPr>
        <w:t>Chemicals and reagents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3.2 </w:t>
      </w:r>
      <w:r>
        <w:rPr>
          <w:rFonts w:ascii="Times New Roman" w:cs="Times New Roman" w:hAnsi="Times New Roman"/>
          <w:bCs/>
          <w:sz w:val="24"/>
          <w:szCs w:val="24"/>
          <w:lang w:val="en-US"/>
        </w:rPr>
        <w:tab/>
      </w:r>
      <w:r>
        <w:rPr>
          <w:rFonts w:ascii="Times New Roman" w:cs="Times New Roman" w:hAnsi="Times New Roman"/>
          <w:bCs/>
          <w:sz w:val="24"/>
          <w:szCs w:val="24"/>
          <w:lang w:val="en-US"/>
        </w:rPr>
        <w:t>Apparatus / Equipments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3.3 </w:t>
      </w:r>
      <w:r>
        <w:rPr>
          <w:rFonts w:ascii="Times New Roman" w:cs="Times New Roman" w:hAnsi="Times New Roman"/>
          <w:bCs/>
          <w:sz w:val="24"/>
          <w:szCs w:val="24"/>
          <w:lang w:val="en-US"/>
        </w:rPr>
        <w:tab/>
      </w:r>
      <w:r>
        <w:rPr>
          <w:rFonts w:ascii="Times New Roman" w:cs="Times New Roman" w:hAnsi="Times New Roman"/>
          <w:bCs/>
          <w:sz w:val="24"/>
          <w:szCs w:val="24"/>
          <w:lang w:val="en-US"/>
        </w:rPr>
        <w:t>Plant material collection</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3.4 </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Experimental Animals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3.5 </w:t>
      </w:r>
      <w:r>
        <w:rPr>
          <w:rFonts w:ascii="Times New Roman" w:cs="Times New Roman" w:hAnsi="Times New Roman"/>
          <w:bCs/>
          <w:sz w:val="24"/>
          <w:szCs w:val="24"/>
          <w:lang w:val="en-US"/>
        </w:rPr>
        <w:tab/>
      </w:r>
      <w:r>
        <w:rPr>
          <w:rFonts w:ascii="Times New Roman" w:cs="Times New Roman" w:hAnsi="Times New Roman"/>
          <w:bCs/>
          <w:sz w:val="24"/>
          <w:szCs w:val="24"/>
          <w:lang w:val="en-US"/>
        </w:rPr>
        <w:t>Methodology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3.6 </w:t>
      </w:r>
      <w:r>
        <w:rPr>
          <w:rFonts w:ascii="Times New Roman" w:cs="Times New Roman" w:hAnsi="Times New Roman"/>
          <w:bCs/>
          <w:sz w:val="24"/>
          <w:szCs w:val="24"/>
          <w:lang w:val="en-US"/>
        </w:rPr>
        <w:tab/>
      </w:r>
      <w:r>
        <w:rPr>
          <w:rFonts w:ascii="Times New Roman" w:cs="Times New Roman" w:hAnsi="Times New Roman"/>
          <w:bCs/>
          <w:sz w:val="24"/>
          <w:szCs w:val="24"/>
          <w:lang w:val="en-US"/>
        </w:rPr>
        <w:t>Qualitative  phytochemical Analysis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3.7 </w:t>
      </w:r>
      <w:r>
        <w:rPr>
          <w:rFonts w:ascii="Times New Roman" w:cs="Times New Roman" w:hAnsi="Times New Roman"/>
          <w:bCs/>
          <w:sz w:val="24"/>
          <w:szCs w:val="24"/>
          <w:lang w:val="en-US"/>
        </w:rPr>
        <w:tab/>
      </w:r>
      <w:r>
        <w:rPr>
          <w:rFonts w:ascii="Times New Roman" w:cs="Times New Roman" w:hAnsi="Times New Roman"/>
          <w:bCs/>
          <w:sz w:val="24"/>
          <w:szCs w:val="24"/>
          <w:lang w:val="en-US"/>
        </w:rPr>
        <w:t>Experimental Design and grouping</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24</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3.8 </w:t>
      </w:r>
      <w:r>
        <w:rPr>
          <w:rFonts w:ascii="Times New Roman" w:cs="Times New Roman" w:hAnsi="Times New Roman"/>
          <w:bCs/>
          <w:sz w:val="24"/>
          <w:szCs w:val="24"/>
          <w:lang w:val="en-US"/>
        </w:rPr>
        <w:tab/>
      </w:r>
      <w:r>
        <w:rPr>
          <w:rFonts w:ascii="Times New Roman" w:cs="Times New Roman" w:hAnsi="Times New Roman"/>
          <w:bCs/>
          <w:sz w:val="24"/>
          <w:szCs w:val="24"/>
          <w:lang w:val="en-US"/>
        </w:rPr>
        <w:t>Hepatic biomarker</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24</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3.8.1 </w:t>
      </w:r>
      <w:r>
        <w:rPr>
          <w:rFonts w:ascii="Times New Roman" w:cs="Times New Roman" w:hAnsi="Times New Roman"/>
          <w:bCs/>
          <w:sz w:val="24"/>
          <w:szCs w:val="24"/>
          <w:lang w:val="en-US"/>
        </w:rPr>
        <w:tab/>
      </w:r>
      <w:r>
        <w:rPr>
          <w:rFonts w:ascii="Times New Roman" w:cs="Times New Roman" w:hAnsi="Times New Roman"/>
          <w:bCs/>
          <w:sz w:val="24"/>
          <w:szCs w:val="24"/>
          <w:lang w:val="en-US"/>
        </w:rPr>
        <w:t>ALT</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3.8.2 </w:t>
      </w:r>
      <w:r>
        <w:rPr>
          <w:rFonts w:ascii="Times New Roman" w:cs="Times New Roman" w:hAnsi="Times New Roman"/>
          <w:bCs/>
          <w:sz w:val="24"/>
          <w:szCs w:val="24"/>
          <w:lang w:val="en-US"/>
        </w:rPr>
        <w:tab/>
      </w:r>
      <w:r>
        <w:rPr>
          <w:rFonts w:ascii="Times New Roman" w:cs="Times New Roman" w:hAnsi="Times New Roman"/>
          <w:bCs/>
          <w:sz w:val="24"/>
          <w:szCs w:val="24"/>
          <w:lang w:val="en-US"/>
        </w:rPr>
        <w:t>AST</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3.8.3  </w:t>
      </w:r>
      <w:r>
        <w:rPr>
          <w:rFonts w:ascii="Times New Roman" w:cs="Times New Roman" w:hAnsi="Times New Roman"/>
          <w:bCs/>
          <w:sz w:val="24"/>
          <w:szCs w:val="24"/>
          <w:lang w:val="en-US"/>
        </w:rPr>
        <w:tab/>
      </w:r>
      <w:r>
        <w:rPr>
          <w:rFonts w:ascii="Times New Roman" w:cs="Times New Roman" w:hAnsi="Times New Roman"/>
          <w:bCs/>
          <w:sz w:val="24"/>
          <w:szCs w:val="24"/>
          <w:lang w:val="en-US"/>
        </w:rPr>
        <w:t>ALP</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3.9 </w:t>
      </w:r>
      <w:r>
        <w:rPr>
          <w:rFonts w:ascii="Times New Roman" w:cs="Times New Roman" w:hAnsi="Times New Roman"/>
          <w:bCs/>
          <w:sz w:val="24"/>
          <w:szCs w:val="24"/>
          <w:lang w:val="en-US"/>
        </w:rPr>
        <w:tab/>
      </w:r>
      <w:r>
        <w:rPr>
          <w:rFonts w:ascii="Times New Roman" w:cs="Times New Roman" w:hAnsi="Times New Roman"/>
          <w:bCs/>
          <w:sz w:val="24"/>
          <w:szCs w:val="24"/>
          <w:lang w:val="en-US"/>
        </w:rPr>
        <w:t>Antioxidant Assay</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27</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3.9.1 </w:t>
      </w:r>
      <w:r>
        <w:rPr>
          <w:rFonts w:ascii="Times New Roman" w:cs="Times New Roman" w:hAnsi="Times New Roman"/>
          <w:bCs/>
          <w:sz w:val="24"/>
          <w:szCs w:val="24"/>
          <w:lang w:val="en-US"/>
        </w:rPr>
        <w:tab/>
      </w:r>
      <w:r>
        <w:rPr>
          <w:rFonts w:ascii="Times New Roman" w:cs="Times New Roman" w:hAnsi="Times New Roman"/>
          <w:bCs/>
          <w:sz w:val="24"/>
          <w:szCs w:val="24"/>
          <w:lang w:val="en-US"/>
        </w:rPr>
        <w:t>SOD</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27</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3.9.2 </w:t>
      </w:r>
      <w:r>
        <w:rPr>
          <w:rFonts w:ascii="Times New Roman" w:cs="Times New Roman" w:hAnsi="Times New Roman"/>
          <w:bCs/>
          <w:sz w:val="24"/>
          <w:szCs w:val="24"/>
          <w:lang w:val="en-US"/>
        </w:rPr>
        <w:tab/>
      </w:r>
      <w:r>
        <w:rPr>
          <w:rFonts w:ascii="Times New Roman" w:cs="Times New Roman" w:hAnsi="Times New Roman"/>
          <w:bCs/>
          <w:sz w:val="24"/>
          <w:szCs w:val="24"/>
          <w:lang w:val="en-US"/>
        </w:rPr>
        <w:t>CAT</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28</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3.9.3. </w:t>
      </w:r>
      <w:r>
        <w:rPr>
          <w:rFonts w:ascii="Times New Roman" w:cs="Times New Roman" w:hAnsi="Times New Roman"/>
          <w:bCs/>
          <w:sz w:val="24"/>
          <w:szCs w:val="24"/>
          <w:lang w:val="en-US"/>
        </w:rPr>
        <w:tab/>
      </w:r>
      <w:r>
        <w:rPr>
          <w:rFonts w:ascii="Times New Roman" w:cs="Times New Roman" w:hAnsi="Times New Roman"/>
          <w:bCs/>
          <w:sz w:val="24"/>
          <w:szCs w:val="24"/>
          <w:lang w:val="en-US"/>
        </w:rPr>
        <w:t>MDA</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29</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3.9.3. </w:t>
      </w:r>
      <w:r>
        <w:rPr>
          <w:rFonts w:ascii="Times New Roman" w:cs="Times New Roman" w:hAnsi="Times New Roman"/>
          <w:bCs/>
          <w:sz w:val="24"/>
          <w:szCs w:val="24"/>
          <w:lang w:val="en-US"/>
        </w:rPr>
        <w:tab/>
      </w:r>
      <w:r>
        <w:rPr>
          <w:rFonts w:ascii="Times New Roman" w:cs="Times New Roman" w:hAnsi="Times New Roman"/>
          <w:bCs/>
          <w:sz w:val="24"/>
          <w:szCs w:val="24"/>
          <w:lang w:val="en-US"/>
        </w:rPr>
        <w:t>GSH</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30</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3.10  </w:t>
      </w:r>
      <w:r>
        <w:rPr>
          <w:rFonts w:ascii="Times New Roman" w:cs="Times New Roman" w:hAnsi="Times New Roman"/>
          <w:bCs/>
          <w:sz w:val="24"/>
          <w:szCs w:val="24"/>
          <w:lang w:val="en-US"/>
        </w:rPr>
        <w:tab/>
      </w:r>
      <w:r>
        <w:rPr>
          <w:rFonts w:ascii="Times New Roman" w:cs="Times New Roman" w:hAnsi="Times New Roman"/>
          <w:bCs/>
          <w:sz w:val="24"/>
          <w:szCs w:val="24"/>
          <w:lang w:val="en-US"/>
        </w:rPr>
        <w:t>Protein</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30</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3.10.1 </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Histopatological analysis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3.10.2</w:t>
      </w:r>
      <w:r>
        <w:rPr>
          <w:rFonts w:ascii="Times New Roman" w:cs="Times New Roman" w:hAnsi="Times New Roman"/>
          <w:bCs/>
          <w:sz w:val="24"/>
          <w:szCs w:val="24"/>
          <w:lang w:val="en-US"/>
        </w:rPr>
        <w:tab/>
      </w:r>
      <w:r>
        <w:rPr>
          <w:rFonts w:ascii="Times New Roman" w:cs="Times New Roman" w:hAnsi="Times New Roman"/>
          <w:bCs/>
          <w:sz w:val="24"/>
          <w:szCs w:val="24"/>
          <w:lang w:val="en-US"/>
        </w:rPr>
        <w:t>Statistical Analysis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21</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CHAPER FOUR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4.1</w:t>
      </w:r>
      <w:r>
        <w:rPr>
          <w:rFonts w:ascii="Times New Roman" w:cs="Times New Roman" w:hAnsi="Times New Roman"/>
          <w:bCs/>
          <w:sz w:val="24"/>
          <w:szCs w:val="24"/>
          <w:lang w:val="en-US"/>
        </w:rPr>
        <w:tab/>
      </w:r>
      <w:r>
        <w:rPr>
          <w:rFonts w:ascii="Times New Roman" w:cs="Times New Roman" w:hAnsi="Times New Roman"/>
          <w:bCs/>
          <w:sz w:val="24"/>
          <w:szCs w:val="24"/>
          <w:lang w:val="en-US"/>
        </w:rPr>
        <w:t>Results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33</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CHAPTER FIVE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5.1</w:t>
      </w:r>
      <w:r>
        <w:rPr>
          <w:rFonts w:ascii="Times New Roman" w:cs="Times New Roman" w:hAnsi="Times New Roman"/>
          <w:bCs/>
          <w:sz w:val="24"/>
          <w:szCs w:val="24"/>
          <w:lang w:val="en-US"/>
        </w:rPr>
        <w:tab/>
      </w:r>
      <w:r>
        <w:rPr>
          <w:rFonts w:ascii="Times New Roman" w:cs="Times New Roman" w:hAnsi="Times New Roman"/>
          <w:bCs/>
          <w:sz w:val="24"/>
          <w:szCs w:val="24"/>
          <w:lang w:val="en-US"/>
        </w:rPr>
        <w:t>Discussion of results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44</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5.2</w:t>
      </w:r>
      <w:r>
        <w:rPr>
          <w:rFonts w:ascii="Times New Roman" w:cs="Times New Roman" w:hAnsi="Times New Roman"/>
          <w:bCs/>
          <w:sz w:val="24"/>
          <w:szCs w:val="24"/>
          <w:lang w:val="en-US"/>
        </w:rPr>
        <w:tab/>
      </w:r>
      <w:r>
        <w:rPr>
          <w:rFonts w:ascii="Times New Roman" w:cs="Times New Roman" w:hAnsi="Times New Roman"/>
          <w:bCs/>
          <w:sz w:val="24"/>
          <w:szCs w:val="24"/>
          <w:lang w:val="en-US"/>
        </w:rPr>
        <w:t>Conclusion</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46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b/>
      </w:r>
      <w:r>
        <w:rPr>
          <w:rFonts w:ascii="Times New Roman" w:cs="Times New Roman" w:hAnsi="Times New Roman"/>
          <w:bCs/>
          <w:sz w:val="24"/>
          <w:szCs w:val="24"/>
          <w:lang w:val="en-US"/>
        </w:rPr>
        <w:t>References</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48</w:t>
      </w:r>
    </w:p>
    <w:p>
      <w:pPr>
        <w:pStyle w:val="style0"/>
        <w:spacing w:after="0"/>
        <w:rPr>
          <w:rFonts w:ascii="Times New Roman" w:cs="Times New Roman" w:hAnsi="Times New Roman"/>
          <w:bCs/>
          <w:sz w:val="24"/>
          <w:szCs w:val="24"/>
          <w:lang w:val="en-US"/>
        </w:rPr>
      </w:pPr>
    </w:p>
    <w:p>
      <w:pPr>
        <w:pStyle w:val="style0"/>
        <w:spacing w:after="0"/>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360"/>
        <w:jc w:val="both"/>
        <w:rPr>
          <w:rFonts w:ascii="Times New Roman" w:cs="Times New Roman" w:hAnsi="Times New Roman"/>
        </w:rPr>
      </w:pPr>
      <w:r>
        <w:rPr>
          <w:rFonts w:ascii="Times New Roman" w:cs="Times New Roman" w:hAnsi="Times New Roman"/>
        </w:rPr>
        <w:t xml:space="preserve">The liver plays a vital role in detoxification and metabolic homeostasis, making it particularly vulnerable to damage from xenobiotics such as acetaminophen (paracetamol), a widely used analgesic and antipyretic. In overdose, acetaminophen can cause severe hepatotoxicity due to the accumulation of its toxic metabolite, N-acetyl-p-benzoquinone imine (NAPQI), leading to oxidative stress and hepatic cellular damage. This study was concluded to evaluate the hepatoprotective potential of </w:t>
      </w:r>
      <w:r>
        <w:rPr>
          <w:rFonts w:ascii="Times New Roman" w:cs="Times New Roman" w:hAnsi="Times New Roman"/>
          <w:i/>
          <w:iCs/>
        </w:rPr>
        <w:t xml:space="preserve">Curcuma </w:t>
      </w:r>
      <w:r>
        <w:rPr>
          <w:rFonts w:ascii="Times New Roman" w:cs="Times New Roman" w:hAnsi="Times New Roman"/>
          <w:i/>
          <w:iCs/>
          <w:lang w:val="en-US"/>
        </w:rPr>
        <w:t>l</w:t>
      </w:r>
      <w:r>
        <w:rPr>
          <w:rFonts w:ascii="Times New Roman" w:cs="Times New Roman" w:hAnsi="Times New Roman"/>
          <w:i/>
          <w:iCs/>
        </w:rPr>
        <w:t>onga</w:t>
      </w:r>
      <w:r>
        <w:rPr>
          <w:rFonts w:ascii="Times New Roman" w:cs="Times New Roman" w:hAnsi="Times New Roman"/>
        </w:rPr>
        <w:t xml:space="preserve"> Rhizome against paracetamol induced chronic hepatotoxicity in wister rats. Phytochemical revealed the presence of Tannin, Terpenoid, Glycoside, Steroid, Alkaloid, Flavonoid, Phenolics, Phlabotannin in the ethanol extract, and reveals the absence of Saponin and Amino acid. An Invivo study was carried out using 25 adult male wister rats. They were divided into 5 groups of 5 rats each; Animals in group 1 was administered distilled water while those in group 2 received paracetamol (4000mg/kg). rats in group 3 received vitamin C (200mg/kg) and paracetamol (4000mg/kg).  Group 4 &amp; 5 were administered </w:t>
      </w:r>
      <w:r>
        <w:rPr>
          <w:rFonts w:ascii="Times New Roman" w:cs="Times New Roman" w:hAnsi="Times New Roman"/>
          <w:i/>
          <w:iCs/>
        </w:rPr>
        <w:t xml:space="preserve">Curcuma </w:t>
      </w:r>
      <w:r>
        <w:rPr>
          <w:rFonts w:ascii="Times New Roman" w:cs="Times New Roman" w:hAnsi="Times New Roman"/>
          <w:i/>
          <w:iCs/>
          <w:lang w:val="en-US"/>
        </w:rPr>
        <w:t>l</w:t>
      </w:r>
      <w:r>
        <w:rPr>
          <w:rFonts w:ascii="Times New Roman" w:cs="Times New Roman" w:hAnsi="Times New Roman"/>
          <w:i/>
          <w:iCs/>
        </w:rPr>
        <w:t>onga</w:t>
      </w:r>
      <w:r>
        <w:rPr>
          <w:rFonts w:ascii="Times New Roman" w:cs="Times New Roman" w:hAnsi="Times New Roman"/>
        </w:rPr>
        <w:t xml:space="preserve"> Extract (CLE) of 200mg/kg and 400mg/kg respectively and paracetamol (4000mg/kg). Administration was via oral route for 14 days (7days paracetamol induction and treatment, 7 days of treatment only). At the end of 14 days animals were humanly Scarified. Livers were harvested and used for further analysis. Results from hepatic biomarkers (ALT, AST, ALP) shows a significant increase (P&lt;0.05) in group 2 (untreated rats) compared to group 3, 4 and 5. The oxidative stress biomarkers (GSH, SOD, CAT, total protein) shows a significant decrease in group 2 (untreated) compared to group 3,4 &amp; 5 with a remarkable increase in group 5 administered (400mg/kg). LPO concentration (MDA) shows a significant decrease (P&lt;0.05) in treated groups (group 3,</w:t>
      </w:r>
      <w:r>
        <w:rPr>
          <w:rFonts w:ascii="Times New Roman" w:cs="Times New Roman" w:hAnsi="Times New Roman"/>
        </w:rPr>
        <w:t xml:space="preserve"> </w:t>
      </w:r>
      <w:r>
        <w:rPr>
          <w:rFonts w:ascii="Times New Roman" w:cs="Times New Roman" w:hAnsi="Times New Roman"/>
        </w:rPr>
        <w:t>4 &amp; 5) compared to untreated group. Histopathological results shows that</w:t>
      </w:r>
      <w:r>
        <w:rPr>
          <w:rFonts w:ascii="Times New Roman" w:cs="Times New Roman" w:hAnsi="Times New Roman"/>
          <w:i/>
          <w:iCs/>
        </w:rPr>
        <w:t xml:space="preserve"> Curcuma </w:t>
      </w:r>
      <w:r>
        <w:rPr>
          <w:rFonts w:ascii="Times New Roman" w:cs="Times New Roman" w:hAnsi="Times New Roman"/>
          <w:i/>
          <w:iCs/>
          <w:lang w:val="en-US"/>
        </w:rPr>
        <w:t>l</w:t>
      </w:r>
      <w:r>
        <w:rPr>
          <w:rFonts w:ascii="Times New Roman" w:cs="Times New Roman" w:hAnsi="Times New Roman"/>
          <w:i/>
          <w:iCs/>
        </w:rPr>
        <w:t>onga</w:t>
      </w:r>
      <w:r>
        <w:rPr>
          <w:rFonts w:ascii="Times New Roman" w:cs="Times New Roman" w:hAnsi="Times New Roman"/>
        </w:rPr>
        <w:t xml:space="preserve"> extract possess an hepatoprotective potential in ameliorating liver toxicity. The overall results obtained from this study strongly indicate that </w:t>
      </w:r>
      <w:r>
        <w:rPr>
          <w:rFonts w:ascii="Times New Roman" w:cs="Times New Roman" w:hAnsi="Times New Roman"/>
          <w:i/>
          <w:iCs/>
        </w:rPr>
        <w:t xml:space="preserve">Curcuma </w:t>
      </w:r>
      <w:r>
        <w:rPr>
          <w:rFonts w:ascii="Times New Roman" w:cs="Times New Roman" w:hAnsi="Times New Roman"/>
          <w:i/>
          <w:iCs/>
          <w:lang w:val="en-US"/>
        </w:rPr>
        <w:t>l</w:t>
      </w:r>
      <w:r>
        <w:rPr>
          <w:rFonts w:ascii="Times New Roman" w:cs="Times New Roman" w:hAnsi="Times New Roman"/>
          <w:i/>
          <w:iCs/>
        </w:rPr>
        <w:t>onga</w:t>
      </w:r>
      <w:r>
        <w:rPr>
          <w:rFonts w:ascii="Times New Roman" w:cs="Times New Roman" w:hAnsi="Times New Roman"/>
        </w:rPr>
        <w:t xml:space="preserve"> extract possess an hepato protective potential. This regular consumption is recommended  </w:t>
      </w:r>
    </w:p>
    <w:p>
      <w:pPr>
        <w:pStyle w:val="style0"/>
        <w:jc w:val="both"/>
        <w:rPr>
          <w:rFonts w:ascii="Times New Roman" w:cs="Times New Roman" w:hAnsi="Times New Roman"/>
          <w:bCs/>
          <w:i/>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Cs/>
          <w:sz w:val="24"/>
          <w:szCs w:val="24"/>
          <w:lang w:val="en-US"/>
        </w:rPr>
        <w:sectPr>
          <w:footerReference w:type="even" r:id="rId2"/>
          <w:footerReference w:type="default" r:id="rId3"/>
          <w:footerReference w:type="first" r:id="rId4"/>
          <w:pgSz w:w="12240" w:h="15840" w:orient="portrait"/>
          <w:pgMar w:top="1440" w:right="1440" w:bottom="1440" w:left="1440" w:header="720" w:footer="2160" w:gutter="0"/>
          <w:pgNumType w:fmt="lowerRoman"/>
          <w:cols w:space="720"/>
          <w:titlePg/>
          <w:docGrid w:linePitch="360"/>
        </w:sectPr>
      </w:pPr>
      <w:r>
        <w:rPr>
          <w:rFonts w:ascii="Times New Roman" w:cs="Times New Roman" w:hAnsi="Times New Roman"/>
          <w:bCs/>
          <w:sz w:val="24"/>
          <w:szCs w:val="24"/>
          <w:lang w:val="en-US"/>
        </w:rPr>
        <w:t>..</w:t>
      </w:r>
    </w:p>
    <w:p>
      <w:pPr>
        <w:pStyle w:val="style0"/>
        <w:spacing w:lineRule="auto" w:line="360"/>
        <w:jc w:val="both"/>
        <w:rPr>
          <w:rFonts w:ascii="Times New Roman" w:cs="Times New Roman" w:hAnsi="Times New Roman"/>
          <w:bCs/>
          <w:sz w:val="24"/>
          <w:szCs w:val="24"/>
          <w:lang w:val="en-US"/>
        </w:rPr>
        <w:sectPr>
          <w:type w:val="continuous"/>
          <w:pgSz w:w="12240" w:h="15840" w:orient="portrait"/>
          <w:pgMar w:top="1440" w:right="1440" w:bottom="1440" w:left="1440" w:header="720" w:footer="720" w:gutter="0"/>
          <w:pgNumType w:fmt="lowerRoman"/>
          <w:cols w:space="720"/>
          <w:titlePg/>
          <w:docGrid w:linePitch="360"/>
        </w:sectPr>
      </w:pPr>
    </w:p>
    <w:p>
      <w:pPr>
        <w:pStyle w:val="style0"/>
        <w:spacing w:lineRule="auto" w:line="360"/>
        <w:jc w:val="center"/>
        <w:rPr>
          <w:rFonts w:ascii="Times New Roman" w:cs="Times New Roman" w:hAnsi="Times New Roman"/>
          <w:bCs/>
          <w:sz w:val="24"/>
          <w:szCs w:val="24"/>
          <w:lang w:val="en-US"/>
        </w:rPr>
      </w:pPr>
      <w:r>
        <w:rPr>
          <w:rFonts w:ascii="Times New Roman" w:cs="Times New Roman" w:hAnsi="Times New Roman"/>
          <w:b/>
          <w:bCs/>
          <w:sz w:val="24"/>
          <w:szCs w:val="24"/>
          <w:lang w:val="en-US"/>
        </w:rPr>
        <w:t>CHAPTER ONE</w:t>
      </w:r>
    </w:p>
    <w:p>
      <w:pPr>
        <w:pStyle w:val="style0"/>
        <w:spacing w:lineRule="auto" w:line="360"/>
        <w:ind w:left="720" w:hanging="720"/>
        <w:jc w:val="center"/>
        <w:rPr>
          <w:rFonts w:ascii="Times New Roman" w:cs="Times New Roman" w:hAnsi="Times New Roman"/>
          <w:bCs/>
          <w:sz w:val="24"/>
          <w:szCs w:val="24"/>
          <w:lang w:val="en-US"/>
        </w:rPr>
      </w:pPr>
      <w:r>
        <w:rPr>
          <w:rFonts w:ascii="Times New Roman" w:cs="Times New Roman" w:hAnsi="Times New Roman"/>
          <w:b/>
          <w:bCs/>
          <w:sz w:val="24"/>
          <w:szCs w:val="24"/>
          <w:lang w:val="en-US"/>
        </w:rPr>
        <w:t>INTRODUCTION</w:t>
      </w:r>
    </w:p>
    <w:p>
      <w:pPr>
        <w:pStyle w:val="style0"/>
        <w:spacing w:lineRule="auto" w:line="360"/>
        <w:ind w:left="720" w:hanging="72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1.1</w:t>
      </w:r>
      <w:r>
        <w:rPr>
          <w:rFonts w:ascii="Times New Roman" w:cs="Times New Roman" w:hAnsi="Times New Roman"/>
          <w:b/>
          <w:bCs/>
          <w:sz w:val="24"/>
          <w:szCs w:val="24"/>
          <w:lang w:val="en-US"/>
        </w:rPr>
        <w:tab/>
      </w:r>
      <w:r>
        <w:rPr>
          <w:rFonts w:ascii="Times New Roman" w:cs="Times New Roman" w:hAnsi="Times New Roman"/>
          <w:b/>
          <w:bCs/>
          <w:sz w:val="24"/>
          <w:szCs w:val="24"/>
          <w:lang w:val="en-US"/>
        </w:rPr>
        <w:t>Background of the Study</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liver is a vital organ responsible for numerous metabolic, detoxifying, and synthetic functions essential for maintaining homeostasis (Tsoi &amp; Andrew, 2020). Due to its central role in biotransformation, it is highly susceptible to damage by xenobiotics, drugs, and environmental toxins (Jaeschke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2012). Hepatotoxicity remains a major clinical concern, particularly drug-induced liver injury (DILI), which is a leading cause of acute liver failure worldwide (Lee, 2013). Acetaminophen (paracetamol) is a commonly used analgesic and antipyretic agent. While it is generally safe at therapeutic doses, an overdose can result in severe hepatotoxicity (Ramachandran &amp; Jaeschke, 2018). Acetaminophen-induced liver injury is primarily mediated through its metabolic conversion to a reactive metabolite, N-acetyl-p-benzoquinone imine (NAPQI). When produced in excess, NAPQI depletes hepatic glutathione stores and initiates oxidative stress, lipid peroxidation, mitochondrial dysfunction, and eventually hepatocyte death (Hinson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2020).</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In recent years, there has been growing interest in the exploration of plant-derived compounds for their potential in mitigating liver damage. Among these,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(commonly known as turmeric) has received considerable attention due to its broad spectrum of pharmacological activities (Gupta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2013). The principal bioactive compound in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is curcumin, a polyphenolic compound with potent antioxidant, anti-inflammatory, and hepatoprotective properties (Aggarwal &amp; Harikumar, </w:t>
      </w:r>
      <w:r>
        <w:rPr>
          <w:rFonts w:ascii="Times New Roman" w:cs="Times New Roman" w:hAnsi="Times New Roman"/>
          <w:bCs/>
          <w:i/>
          <w:sz w:val="24"/>
          <w:szCs w:val="24"/>
          <w:lang w:val="en-US"/>
        </w:rPr>
        <w:t>2021</w:t>
      </w:r>
      <w:r>
        <w:rPr>
          <w:rFonts w:ascii="Times New Roman" w:cs="Times New Roman" w:hAnsi="Times New Roman"/>
          <w:bCs/>
          <w:sz w:val="24"/>
          <w:szCs w:val="24"/>
          <w:lang w:val="en-US"/>
        </w:rPr>
        <w:t xml:space="preserve">). Studies have demonstrated that curcumin can scavenge free radicals, enhance the activity of endogenous antioxidant enzymes (e.g., superoxide dismutase, catalase, glutathione peroxidase), and modulate signaling pathways involved in inflammation and apoptosis (Farzaei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2018). These properties suggest that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may offer protection against liver injury caused by toxic insults such as acetaminophen overdose (Rahman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2021). The Wistar rat model is frequently used in hepatotoxicity studies due to its well-characterized physiology and reproducibility (Festing, </w:t>
      </w:r>
      <w:r>
        <w:rPr>
          <w:rFonts w:ascii="Times New Roman" w:cs="Times New Roman" w:hAnsi="Times New Roman"/>
          <w:bCs/>
          <w:sz w:val="24"/>
          <w:szCs w:val="24"/>
          <w:lang w:val="en-US"/>
        </w:rPr>
        <w:t xml:space="preserve">2020). By using this model, the hepatoprotective effect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can be evaluated through biochemical assays (e.g., serum levels of ALT, AST, ALP, bilirubin), histopathological examination, and oxidative stress markers (Bessems &amp; Vermeulen, 2001).</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1.2</w:t>
      </w:r>
      <w:r>
        <w:rPr>
          <w:rFonts w:ascii="Times New Roman" w:cs="Times New Roman" w:hAnsi="Times New Roman"/>
          <w:b/>
          <w:bCs/>
          <w:sz w:val="24"/>
          <w:szCs w:val="24"/>
          <w:lang w:val="en-US"/>
        </w:rPr>
        <w:tab/>
      </w:r>
      <w:r>
        <w:rPr>
          <w:rFonts w:ascii="Times New Roman" w:cs="Times New Roman" w:hAnsi="Times New Roman"/>
          <w:b/>
          <w:bCs/>
          <w:sz w:val="24"/>
          <w:szCs w:val="24"/>
          <w:lang w:val="en-US"/>
        </w:rPr>
        <w:t>Statement of the Problem</w:t>
      </w:r>
    </w:p>
    <w:p>
      <w:pPr>
        <w:pStyle w:val="style0"/>
        <w:spacing w:after="0" w:lineRule="auto" w:line="276"/>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Liver toxicity is a major health concern, particularly when induced by the overuse or overdose of commonly available medications such as acetaminophen (paracetamol). Acetaminophen-induced hepatotoxicity remains one of the most common causes of acute liver failure worldwide due to the formation of toxic metabolites that cause oxidative stress and hepatocellular damage. Current therapeutic strategies, such as the use of N-acetylcysteine, may be limited by narrow treatment windows and potential side effects. Therefore, there is a growing interest in the exploration of natural compounds with antioxidant and hepatoprotective properties.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(turmeric), a widely used medicinal plant, has been traditionally employed for its anti-inflammatory, antioxidant, and liver-protective effects. However, scientific validation of its efficacy against acetaminophen-induced liver damage remains limited. This study aims to investigate the hepatoprotective potential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in Wistar rats exposed to acetaminophen-induced liver toxicity, providing insights into its possible use as an alternative or adjunctive therapy for liver protection.</w:t>
      </w:r>
    </w:p>
    <w:p>
      <w:pPr>
        <w:pStyle w:val="style0"/>
        <w:spacing w:after="0" w:lineRule="auto" w:line="276"/>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1.3</w:t>
      </w:r>
      <w:r>
        <w:rPr>
          <w:rFonts w:ascii="Times New Roman" w:cs="Times New Roman" w:hAnsi="Times New Roman"/>
          <w:b/>
          <w:bCs/>
          <w:sz w:val="24"/>
          <w:szCs w:val="24"/>
          <w:lang w:val="en-US"/>
        </w:rPr>
        <w:tab/>
      </w:r>
      <w:r>
        <w:rPr>
          <w:rFonts w:ascii="Times New Roman" w:cs="Times New Roman" w:hAnsi="Times New Roman"/>
          <w:b/>
          <w:bCs/>
          <w:sz w:val="24"/>
          <w:szCs w:val="24"/>
          <w:lang w:val="en-US"/>
        </w:rPr>
        <w:t>Aims and Objectives of the Study</w:t>
      </w:r>
    </w:p>
    <w:p>
      <w:pPr>
        <w:pStyle w:val="style0"/>
        <w:spacing w:after="0" w:lineRule="auto" w:line="276"/>
        <w:jc w:val="both"/>
        <w:rPr>
          <w:rFonts w:ascii="Times New Roman" w:cs="Times New Roman" w:hAnsi="Times New Roman"/>
          <w:bCs/>
          <w:sz w:val="24"/>
          <w:szCs w:val="24"/>
          <w:lang w:val="en-US"/>
        </w:rPr>
      </w:pPr>
      <w:r>
        <w:rPr>
          <w:rFonts w:ascii="Times New Roman" w:cs="Times New Roman" w:hAnsi="Times New Roman"/>
          <w:b/>
          <w:bCs/>
          <w:sz w:val="24"/>
          <w:szCs w:val="24"/>
          <w:lang w:val="en-US"/>
        </w:rPr>
        <w:t>1.3.1</w:t>
      </w:r>
      <w:r>
        <w:rPr>
          <w:rFonts w:ascii="Times New Roman" w:cs="Times New Roman" w:hAnsi="Times New Roman"/>
          <w:b/>
          <w:bCs/>
          <w:sz w:val="24"/>
          <w:szCs w:val="24"/>
          <w:lang w:val="en-US"/>
        </w:rPr>
        <w:tab/>
      </w:r>
      <w:r>
        <w:rPr>
          <w:rFonts w:ascii="Times New Roman" w:cs="Times New Roman" w:hAnsi="Times New Roman"/>
          <w:b/>
          <w:bCs/>
          <w:sz w:val="24"/>
          <w:szCs w:val="24"/>
          <w:lang w:val="en-US"/>
        </w:rPr>
        <w:t>Aim</w:t>
      </w:r>
    </w:p>
    <w:p>
      <w:pPr>
        <w:pStyle w:val="style0"/>
        <w:spacing w:after="0" w:lineRule="auto" w:line="276"/>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To evaluate the hepatoprotective effect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(turmeric) extract in Wistar rats with liver damage induced by acetaminophen.</w:t>
      </w:r>
    </w:p>
    <w:p>
      <w:pPr>
        <w:pStyle w:val="style0"/>
        <w:spacing w:after="0" w:lineRule="auto" w:line="276"/>
        <w:jc w:val="both"/>
        <w:rPr>
          <w:rFonts w:ascii="Times New Roman" w:cs="Times New Roman" w:hAnsi="Times New Roman"/>
          <w:bCs/>
          <w:sz w:val="24"/>
          <w:szCs w:val="24"/>
          <w:lang w:val="en-US"/>
        </w:rPr>
      </w:pPr>
      <w:r>
        <w:rPr>
          <w:rFonts w:ascii="Times New Roman" w:cs="Times New Roman" w:hAnsi="Times New Roman"/>
          <w:b/>
          <w:bCs/>
          <w:sz w:val="24"/>
          <w:szCs w:val="24"/>
          <w:lang w:val="en-US"/>
        </w:rPr>
        <w:t>1.3.2</w:t>
      </w:r>
      <w:r>
        <w:rPr>
          <w:rFonts w:ascii="Times New Roman" w:cs="Times New Roman" w:hAnsi="Times New Roman"/>
          <w:b/>
          <w:bCs/>
          <w:sz w:val="24"/>
          <w:szCs w:val="24"/>
          <w:lang w:val="en-US"/>
        </w:rPr>
        <w:tab/>
      </w:r>
      <w:r>
        <w:rPr>
          <w:rFonts w:ascii="Times New Roman" w:cs="Times New Roman" w:hAnsi="Times New Roman"/>
          <w:b/>
          <w:bCs/>
          <w:sz w:val="24"/>
          <w:szCs w:val="24"/>
          <w:lang w:val="en-US"/>
        </w:rPr>
        <w:t>Objectives of the Study</w:t>
      </w:r>
    </w:p>
    <w:p>
      <w:pPr>
        <w:pStyle w:val="style0"/>
        <w:numPr>
          <w:ilvl w:val="0"/>
          <w:numId w:val="1"/>
        </w:numPr>
        <w:spacing w:after="0" w:lineRule="auto" w:line="276"/>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Extraction of plant material (</w:t>
      </w:r>
      <w:r>
        <w:rPr>
          <w:rFonts w:ascii="Times New Roman" w:cs="Times New Roman" w:hAnsi="Times New Roman"/>
          <w:bCs/>
          <w:i/>
          <w:sz w:val="24"/>
          <w:szCs w:val="24"/>
          <w:lang w:val="en-US"/>
        </w:rPr>
        <w:t>Curcuma Longa)</w:t>
      </w:r>
    </w:p>
    <w:p>
      <w:pPr>
        <w:pStyle w:val="style0"/>
        <w:numPr>
          <w:ilvl w:val="0"/>
          <w:numId w:val="1"/>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To carry out phytochemical screening on </w:t>
      </w:r>
      <w:r>
        <w:rPr>
          <w:rFonts w:ascii="Times New Roman" w:cs="Times New Roman" w:hAnsi="Times New Roman"/>
          <w:bCs/>
          <w:i/>
          <w:sz w:val="24"/>
          <w:szCs w:val="24"/>
          <w:lang w:val="en-US"/>
        </w:rPr>
        <w:t>Curcuma Longa extract</w:t>
      </w:r>
    </w:p>
    <w:p>
      <w:pPr>
        <w:pStyle w:val="style0"/>
        <w:numPr>
          <w:ilvl w:val="0"/>
          <w:numId w:val="1"/>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To assess the hepatic biomarkers (ALT, AST, ALP) after invivo studies.</w:t>
      </w:r>
    </w:p>
    <w:p>
      <w:pPr>
        <w:pStyle w:val="style0"/>
        <w:numPr>
          <w:ilvl w:val="0"/>
          <w:numId w:val="1"/>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To assess the antioxidant biomarkers (GSH, SOD, CAT, MDA Total protein) after invivo studies.</w:t>
      </w:r>
    </w:p>
    <w:p>
      <w:pPr>
        <w:pStyle w:val="style0"/>
        <w:numPr>
          <w:ilvl w:val="0"/>
          <w:numId w:val="1"/>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To compare the histopathological changes in liver tissues of control, acetaminophen-treated and </w:t>
      </w:r>
      <w:r>
        <w:rPr>
          <w:rFonts w:ascii="Times New Roman" w:cs="Times New Roman" w:hAnsi="Times New Roman"/>
          <w:bCs/>
          <w:i/>
          <w:sz w:val="24"/>
          <w:szCs w:val="24"/>
          <w:lang w:val="en-US"/>
        </w:rPr>
        <w:t xml:space="preserve">Curcuma Longa-treated </w:t>
      </w:r>
      <w:r>
        <w:rPr>
          <w:rFonts w:ascii="Times New Roman" w:cs="Times New Roman" w:hAnsi="Times New Roman"/>
          <w:bCs/>
          <w:sz w:val="24"/>
          <w:szCs w:val="24"/>
          <w:lang w:val="en-US"/>
        </w:rPr>
        <w:t>groups</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CHAPTER TWO</w:t>
      </w:r>
    </w:p>
    <w:p>
      <w:pPr>
        <w:pStyle w:val="style0"/>
        <w:spacing w:after="0" w:lineRule="auto" w:line="360"/>
        <w:jc w:val="center"/>
        <w:rPr>
          <w:rFonts w:ascii="Times New Roman" w:cs="Times New Roman" w:hAnsi="Times New Roman"/>
          <w:bCs/>
          <w:sz w:val="24"/>
          <w:szCs w:val="24"/>
          <w:lang w:val="en-US"/>
        </w:rPr>
      </w:pPr>
      <w:r>
        <w:rPr>
          <w:rFonts w:ascii="Times New Roman" w:cs="Times New Roman" w:hAnsi="Times New Roman"/>
          <w:b/>
          <w:bCs/>
          <w:sz w:val="24"/>
          <w:szCs w:val="24"/>
          <w:lang w:val="en-US"/>
        </w:rPr>
        <w:t>LITERATURE REVIEW</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2.1</w:t>
      </w:r>
      <w:r>
        <w:rPr>
          <w:rFonts w:ascii="Times New Roman" w:cs="Times New Roman" w:hAnsi="Times New Roman"/>
          <w:b/>
          <w:bCs/>
          <w:sz w:val="24"/>
          <w:szCs w:val="24"/>
          <w:lang w:val="en-US"/>
        </w:rPr>
        <w:tab/>
      </w:r>
      <w:r>
        <w:rPr>
          <w:rFonts w:ascii="Times New Roman" w:cs="Times New Roman" w:hAnsi="Times New Roman"/>
          <w:b/>
          <w:bCs/>
          <w:sz w:val="24"/>
          <w:szCs w:val="24"/>
          <w:lang w:val="en-US"/>
        </w:rPr>
        <w:t>The Liver Structure and Its Function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The liver is located in the upper right portion of the abdomen. It is the largest gland in the human body that performs several important functions. It is the only organ that has the ability to regenerate efficiently. The liver is a triangular, bilobed structure consisting of a larger right lobe and a smaller left lobe. The falciform ligament separates the two lobes.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 layer of fibrous tissue called Gllisson capsule covers the liver. The capsule is covered by the peritoneum. This protect the liver from physical damage.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It has two main sources of blood;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Hepatic Portal Vein carries nutrient rich blood from the digestive system.</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Hepatic Artery carries oxygenated blood from the heart.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drawing>
          <wp:inline distL="0" distT="0" distB="0" distR="0">
            <wp:extent cx="2695575" cy="2514600"/>
            <wp:effectExtent l="1905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srcRect l="0" t="0" r="0" b="0"/>
                    <a:stretch/>
                  </pic:blipFill>
                  <pic:spPr>
                    <a:xfrm rot="0">
                      <a:off x="0" y="0"/>
                      <a:ext cx="2695575" cy="2514600"/>
                    </a:xfrm>
                    <a:prstGeom prst="rect"/>
                    <a:ln>
                      <a:noFill/>
                    </a:ln>
                  </pic:spPr>
                </pic:pic>
              </a:graphicData>
            </a:graphic>
          </wp:inline>
        </w:drawing>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Fig1.    A Diagram of the liver</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2.1.1 </w:t>
      </w:r>
      <w:r>
        <w:rPr>
          <w:rFonts w:ascii="Times New Roman" w:cs="Times New Roman" w:hAnsi="Times New Roman"/>
          <w:b/>
          <w:bCs/>
          <w:sz w:val="24"/>
          <w:szCs w:val="24"/>
          <w:lang w:val="en-US"/>
        </w:rPr>
        <w:t>Functions Of Liver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The important function of the liver are mentioned below</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Production of Bile</w:t>
      </w:r>
      <w:r>
        <w:rPr>
          <w:rFonts w:ascii="Times New Roman" w:cs="Times New Roman" w:hAnsi="Times New Roman"/>
          <w:b/>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Bile, which helps in the digestion and absorption of fats, vitamins and cholesterol is produced in the liver</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Absorption of bilirubin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Bilirubin is formed by the breakdown of heamoglobin. The iron released is stored in the liver to make next generation of blood cells.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Supporting Blood Clots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Bile is responsible for the absorption of vitamin k. If bile is not produced clotting factors will not be produced.</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Metabolization of Fats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Bile helps in the breakdown and digestion of fats.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Carbohydrate Metabololization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carbohydrates stored in the liver as glycogen are broken down into glucose and released into the blood to maintain glucose levels.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Storage of Vitamins and Minerals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Vitamins 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E,</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 and B12 are stored in the liver. It also stores iron in form of ferritin to form new red blood cells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Metabolization of protein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Bile helps in the digestion of protein.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Filtering Blood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compounds such as hormones, alcohol, etc are filtered by the liver from the blood.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Immunological Function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liver contains Kuffer cells involved in imunne</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activity. These destroy any disease-causing agents.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Albumin Production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Albumin transports fatty acids and steroids to maintain correct pressure and prevent leakage of blood vessels.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Angiotensinogen Synthesis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This hormoneis responsible for narrowing of blood vessels which results in an increase in blood pressure.</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Regeneration of Liver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liver has the ability to regrow in all vertebrates. The functions of the liver are not lost during the growth process. In human regeneration takes 8-15days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2.1.2   Liver Disease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w:t>
      </w:r>
      <w:r>
        <w:rPr>
          <w:rFonts w:ascii="Times New Roman" w:cs="Times New Roman" w:hAnsi="Times New Roman"/>
          <w:b/>
          <w:bCs/>
          <w:sz w:val="24"/>
          <w:szCs w:val="24"/>
          <w:lang w:val="en-US"/>
        </w:rPr>
        <w:t>Fascioliasis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This is caused by a parasite Liver Fluke. The parasite can lie dormant in the liver for months or even years.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Cirrhosis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This can be caused due to alcohol consumption, toxins, hepatitis. Here, the scar cells replace liver cells in a process known as Fibrosis. The functionality of liver cells is destroyed which might lead to liver failure.</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Alcoholic Liver Disease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Uncontrolled alcohol consumption leads to liver damage. It is the most common of cirrhosis.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Fatty Liver Disease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This is the results of alcohol abuse or obesity. In this disease, the vacuoles of fat buildup in the liver cells.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Liver Cancer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Alcohol and hepatitis are the major cause of liver cancer. Hepatocellular carcinoma and cholangiocarinoma are two types of liver cancer.</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2.2  Hepatotoxicity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Hepatotoxicity, also known as liver toxicity, is a condition characterized by damage to the liver caused by exposure to harmful substances, such as certain medications, toxins, orchemicals. This damage can lead to impaired liver functions and in severe cases, liver failure. It is also known as toxic liver disease or drug -induced liver injury (DILT).It can be acute or chronic and can range from serious symptoms to liver damage.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Hepatotoxicity refers to liver damage induced by chemical substances, including drugs, toxins or environmental pollutants, In the context of acetaminophen, hepatotoxicity sperciafically pertains to liver injury caused by an overdose prolong exposure to the drug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(Lee and Ho,2021).The liver </w:t>
      </w:r>
      <w:r>
        <w:rPr>
          <w:rFonts w:ascii="Times New Roman" w:cs="Times New Roman" w:hAnsi="Times New Roman"/>
          <w:bCs/>
          <w:sz w:val="24"/>
          <w:szCs w:val="24"/>
          <w:lang w:val="en-US"/>
        </w:rPr>
        <w:t>being the primary site of paractamol metabolism, plays a central role in both the therapeutic effects and potential toxic effects of this medication.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When paractamol is consumed within recommended dose,</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it is primarily metabolized through conjugation pathways into non toxic metabolites, which are then excreted in the urine(smith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.,2020).However, in cases of overdose the metabolic pathway becomes saturated, leading to the accumulation of N-acetyl-p-benzoquinone imine (NAPQI) a highly reactive metabolite .NAPQI can bind to cellular macromolecules such as proteins and lipids, causing oxidative stress and damage to liver cells(Murray,2021).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The liver damage associated with paractamol overdose is characterized by hepatocellularnecrosis and inflammation, which can progress to acute liver failure if not promptly addressed(Jones,2022).The severity of hepatotoxicity often depends on the dose of paractamol ingested, the time elapsed since ingestion, and the individual”s overall health, particularly the presence of pre-existing liver conditions or genetic predispositions(Wang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.,2019).</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Understanding hepatotoxicity is crucial for both healthcare providers and patients. The clinical manifestation of paractamol-induced liver injury can range from mild liver enzyme elevations to severe conditions requiring hospitalization  or liver transplantation. Therefore, early recognition and intervention are essential to mitigate the risks associated with paractamol use(Brown and Patel,2023).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In essence paractamol,it underscores the critical balance between its therapeutic benefits and the potential for severe adverse effects when used improperly. Awareness and education about risks of paractamol overdose are vital in preventing liver damage and ensuring patient safety.</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2.2.1  Causes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t>Hepatotoxicity can be caused by a variety of substances. Some of these causes are:</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t>Drugs and Medications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 Acetaminophen(overdose)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 Antibiotics (e.g., tetracycline, erythromycin)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 Anti-inflammatory drugs(e.g., ibuprofen, aspirin)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 Anticonvulsants (e.g., carbamazepine, valporic acid)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 Chemotherapy agents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Toxins and Chemicals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1.Alcohol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2.Carbon tetrachloride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3.Pesticides (e.g., DDT)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4.Heavy metals (e.g., lead, mercury)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5.Industrial chemicals (e.g., vinyl chloride)</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Herbal and Dietary Supplements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1.Atractylis gummifera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2.Green tea extract (high doses)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3.Kava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4.St. John’s Wort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5.Valerian  root</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Environmental Factors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1.Air pollution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2.Water pollution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 Occupational exposure (e.g., chemical industry)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Medical Conditions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1.Viral hepatitis (A,B,C,D,E)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 Fatty liver disease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 Cirrhosis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4.Autoimmune hepatitis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5.Wilson disease</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Other Causes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1.Radiation exposure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2.Surgical procedure (e.g,. liver transplantation)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3.Infections (e.g., bacterial, fungi)</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Here are the symptoms of hepatotoxicity:</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Early Symptoms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1.Nausea and vomiting</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2.Abdominal pain or discomfort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3.Fatigue and weakness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4.Loss of appetite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5.Headache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6.Dizziness or lightheadedness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7.Dark urine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8.Pale or clay colored stool</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Moderate Symptoms: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1.Jaundice(yellowing of skin and eyes)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2.Pruritus(itching)</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3.Right upper quadrant adominal tenderness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4.Swelling in legs and feet(edema)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5.Weight loss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6. Diarrhea or constipation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7.Abdominal distention(bloating)</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Severe Symptoms;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1.Severe abdominal pain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2.Vomiting blood or coffee ground-like material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3.Blood in stools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4. Confusion, disorientation, or altered mental state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5.Seizures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6.Coma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7.Acute liver failure(in severe cases)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2.2.2</w:t>
      </w:r>
      <w:r>
        <w:rPr>
          <w:rFonts w:ascii="Times New Roman" w:cs="Times New Roman" w:hAnsi="Times New Roman"/>
          <w:b/>
          <w:bCs/>
          <w:sz w:val="24"/>
          <w:szCs w:val="24"/>
          <w:lang w:val="en-US"/>
        </w:rPr>
        <w:tab/>
      </w:r>
      <w:r>
        <w:rPr>
          <w:rFonts w:ascii="Times New Roman" w:cs="Times New Roman" w:hAnsi="Times New Roman"/>
          <w:b/>
          <w:bCs/>
          <w:sz w:val="24"/>
          <w:szCs w:val="24"/>
          <w:lang w:val="en-US"/>
        </w:rPr>
        <w:t>Types of Hepatotoxicity of Based on Mechanism:</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1.Direct Hepatotoxicity: Direct damage to liver cells(hepatocytes)by toxins or chemicals.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Example: Acetaminophen overdose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1.Indirect Hepatotoxicity: Idiosyncratic reactions or immune-mediated responses.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Example: Drug-induced liver injury (DILI) from antibiotics or anticonvulsants.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1.Metabolic Hepatotoxicity: Toxicity resulting from abnormal metabolic processes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Example: Fatty liver disease from obesity or diabetes.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2.2.3</w:t>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Overview of Paracetamol Metabolism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Normal Metabolism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Paracetamol</w:t>
      </w:r>
      <w:r>
        <w:rPr>
          <w:rFonts w:ascii="Times New Roman" w:cs="Times New Roman" w:hAnsi="Times New Roman"/>
          <w:bCs/>
          <w:sz w:val="24"/>
          <w:szCs w:val="24"/>
          <w:lang w:val="en-US"/>
        </w:rPr>
        <w:t xml:space="preserve">, also known as acetaminophen, is primarily metabolized in the liver, which is the central organ responsible for processing and detoxifying substances ingested by the body. Under normal conditions, paracetamol undergoes two major metabolic pathways: glucuronidation and sulfation. These conjugation reactions involve the addition of glucuronic acid or sulfate to the paracetamol molecule, transforming it into non-toxic, water-soluble metabolites that can be easily excreted via the urine (Mitchell </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 xml:space="preserve">2020).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Glucuronidation, mediated by the enzyme UDP-glucuronosyltransferase (UGT), is the predominant pathway, accounting for approximately 50-60% of paracetamol metabolism. Sulfation, facilitated by sulfotransferase enzymes, accounts for about 20-30% of the metabolism. These pathways effectively neutralize paracetamol, ensuring it is safely removed from the body without causing harm (Murray, 2021). This efficient processing allows paracetamol to be widely used as an analgesic and antipyretic with a relatively low risk of adverse effects when taken at recommended doses.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Toxic Metabolism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In overdose situations, however, the normal metabolic pathways become saturated, and the liver is unable to process all of the ingested paracetamol through glucuronidation and sulfation. When this happens, a larger proportion of paracetamol is shunted through the cytochrome P450 enzyme system, specifically CYP2E1, resulting in the production of N-acetyl-p-benzoquinone imine (NAPQI), a highly reactive and toxic metabolite (James </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2022).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Under normal conditions, NAPQI is quickly detoxified by conjugation with glutathione, a tripeptide that serves as an antioxidant and cellular protector. However, in the case of overdose, </w:t>
      </w:r>
      <w:r>
        <w:rPr>
          <w:rFonts w:ascii="Times New Roman" w:cs="Times New Roman" w:hAnsi="Times New Roman"/>
          <w:bCs/>
          <w:sz w:val="24"/>
          <w:szCs w:val="24"/>
          <w:lang w:val="en-US"/>
        </w:rPr>
        <w:t>glutathione reserves can be rapidly depleted, leading to an accumulation of NAPQI (Lee and Ho, 2021). This toxic metabolite binds covalently to cellular macromolecules, such as proteins and lipids, causing oxidative stress and subsequent hepatocyte damage. This damage manifests as hepatocellular necrosis, inflammation, and ultimately, liver failure if not promptly treated (Jones, 2022).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extent of liver damage is influenced by several factors, including the dose of paracetamol ingested, the duration since ingestion, and individual patient characteristics such as genetic predispositions and existing liver function (Wang </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 xml:space="preserve">2019). Early intervention with N-acetylcysteine (NAC), which replenishes glutathione stores and neutralizes NAPQI, is critical to mitigating the toxic effects and preventing severe liver damage.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While paracetamol is safely metabolized through glucuronidation and sulfation under normal conditions, overdose situations lead to the formation of the toxic metabolite NAPQI, which can cause significant liver damage. Understanding these metabolic pathways is essential for developing effective treatment strategies and preventive measures to manage and reduce the risk of paracetamol-induced hepatotoxicity.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drawing>
          <wp:inline distL="0" distT="0" distB="0" distR="0">
            <wp:extent cx="4333875" cy="3800475"/>
            <wp:effectExtent l="19050" t="0" r="952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cstate="print"/>
                    <a:srcRect l="0" t="0" r="0" b="0"/>
                    <a:stretch/>
                  </pic:blipFill>
                  <pic:spPr>
                    <a:xfrm rot="0">
                      <a:off x="0" y="0"/>
                      <a:ext cx="4333875" cy="3800475"/>
                    </a:xfrm>
                    <a:prstGeom prst="rect"/>
                    <a:ln>
                      <a:noFill/>
                    </a:ln>
                  </pic:spPr>
                </pic:pic>
              </a:graphicData>
            </a:graphic>
          </wp:inline>
        </w:drawing>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Fig 2. Metabolism of Paracetamol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2.2.4</w:t>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Mechanism of Paracetamol Hepatotoxicity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Mechanism of Paracetamol Hepatotoxicity (APAP) overdose is the most common cause of acute liver failure and mechanisms of liver injury induced by automatic positive airway pressure (APAP) overdose have been the focus of extensive investigation, which closely reproduces the human condition, have shown that hepatotoxicity is initiated by formation of a reactive metabolite N-acetyl-p-benzoquinone imine (NAPQI), which depletes cellular glutathione and forms protein adducts on mitochondrial proteins. This leads to mitochondrial oxidative and nitrosative stress, accompanied by activation of c-jun N-terminal kinase (JNK) and its translocation to the mitochondria (James </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 xml:space="preserve">2022). This then amplifies the mitochondrial oxidant stress, resulting in translocation of Bax and dynamin related protein 1 (Drp1) to the mitochondria, which induces mitochondrial fission, and ultimately induction of the mitochondrial membrane permeability transition (MPT). The induction of MPT triggers release </w:t>
      </w:r>
      <w:r>
        <w:rPr>
          <w:rFonts w:ascii="Times New Roman" w:cs="Times New Roman" w:hAnsi="Times New Roman"/>
          <w:bCs/>
          <w:sz w:val="24"/>
          <w:szCs w:val="24"/>
          <w:lang w:val="en-US"/>
        </w:rPr>
        <w:t>of intermembrane proteins such as apoptosis inducing factor (AIF) and endonuclease G into the cytosol and their translocation to the nucleus, causing nuclear DNA fragmentation and activation of regulated necrosis. Studies on human hepatocytes and analysis of circulating biomarkers from patients after APAP overdose, indicate that a number of mechanistic events are identical in mice and humans.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drawing>
          <wp:inline distL="0" distT="0" distB="0" distR="0">
            <wp:extent cx="5476875" cy="2933700"/>
            <wp:effectExtent l="19050" t="0" r="9525"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srcRect l="0" t="0" r="0" b="0"/>
                    <a:stretch/>
                  </pic:blipFill>
                  <pic:spPr>
                    <a:xfrm rot="0">
                      <a:off x="0" y="0"/>
                      <a:ext cx="5476875" cy="2933700"/>
                    </a:xfrm>
                    <a:prstGeom prst="rect"/>
                    <a:ln>
                      <a:noFill/>
                    </a:ln>
                  </pic:spPr>
                </pic:pic>
              </a:graphicData>
            </a:graphic>
          </wp:inline>
        </w:drawing>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Fig. 3: Mechanism of Paracetamol Hepatotoxicity</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2.3</w:t>
      </w:r>
      <w:r>
        <w:rPr>
          <w:rFonts w:ascii="Times New Roman" w:cs="Times New Roman" w:hAnsi="Times New Roman"/>
          <w:b/>
          <w:bCs/>
          <w:sz w:val="24"/>
          <w:szCs w:val="24"/>
          <w:lang w:val="en-US"/>
        </w:rPr>
        <w:tab/>
      </w:r>
      <w:r>
        <w:rPr>
          <w:rFonts w:ascii="Times New Roman" w:cs="Times New Roman" w:hAnsi="Times New Roman"/>
          <w:b/>
          <w:bCs/>
          <w:sz w:val="24"/>
          <w:szCs w:val="24"/>
          <w:lang w:val="en-US"/>
        </w:rPr>
        <w:t xml:space="preserve">Overview of </w:t>
      </w:r>
      <w:r>
        <w:rPr>
          <w:rFonts w:ascii="Times New Roman" w:cs="Times New Roman" w:hAnsi="Times New Roman"/>
          <w:b/>
          <w:bCs/>
          <w:i/>
          <w:sz w:val="24"/>
          <w:szCs w:val="24"/>
          <w:lang w:val="en-US"/>
        </w:rPr>
        <w:t>Curcuma Longa</w:t>
      </w:r>
      <w:r>
        <w:rPr>
          <w:rFonts w:ascii="Times New Roman" w:cs="Times New Roman" w:hAnsi="Times New Roman"/>
          <w:b/>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is the major constituent of turmeric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Turmeric has been widely used as a spice in foods and for therapeutic applications such as anti-inflammatory, antihyperlipidemic, and antimicrobial activities. Turmeric and curcumin are nonmutagenic and nongenotoxic. Oral use of turmeric and curcumin did not have reproductive toxicity in animals at certain doses. Studies on human did not show toxic effects, and curcumin was safe at the dose of 6 g/day orally for 4-7 weeks. However, some adverse effects such as gastrointestinal upsets may occur. Moreover, oral bioavailable formulations of curcumin were safe for human at the dose of 500 mg two times in a day for 30 days, but there are still few trials and more studies are needed specially on nanoformulations and it should be discussed in a separate article. In addition, curcumin is known as a generally recognized as safe substance. This review discusses the safety </w:t>
      </w:r>
      <w:r>
        <w:rPr>
          <w:rFonts w:ascii="Times New Roman" w:cs="Times New Roman" w:hAnsi="Times New Roman"/>
          <w:bCs/>
          <w:sz w:val="24"/>
          <w:szCs w:val="24"/>
          <w:lang w:val="en-US"/>
        </w:rPr>
        <w:t>and toxicity of turmeric and curcumin in medicine. Turmeric and curcumin are nontoxic for human especially in oral administration. Turmeric and curcumin are also safe in animals. They are nonmutagenic and are safe in pregnancy in animals but more studies in human are needed.</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2.4  Pharmacological Properties of </w:t>
      </w:r>
      <w:r>
        <w:rPr>
          <w:rFonts w:ascii="Times New Roman" w:cs="Times New Roman" w:hAnsi="Times New Roman"/>
          <w:b/>
          <w:bCs/>
          <w:i/>
          <w:sz w:val="24"/>
          <w:szCs w:val="24"/>
          <w:lang w:val="en-US"/>
        </w:rPr>
        <w:t>Curcuma Longa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Curcumin is also a powerful antioxidant. Antioxidants scavenge molecules in the body known as free radicals, which damage cell membranes, tamper with DNA, and even cause cell death. Antioxidants can fight free radicals and may reduce or even help prevent some of the damage they cause. In addition, curcumin lowers the levels of two enzymes in the body that cause inflammation. It also stops platelets from clumping together to form blood clots. Research suggests that turmeric may be helpful for the following conditions: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Increase the antioxidants in body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Oxidative damage is one of the mechanisms which are responsible for aging and many kind of disease. The free radicals involved in this mechanism react highly with organic substance in our body which can couse harm. Curcumin doesn’t only block the free radicals: it also stimulates the antioxidant mechanism in our body. This is probably one of the best benefits of turmeric for our body. The antioxidant activity of cucurmin was reported (Sharma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w:t>
      </w:r>
      <w:r>
        <w:rPr>
          <w:rFonts w:ascii="Times New Roman" w:cs="Times New Roman" w:hAnsi="Times New Roman"/>
          <w:bCs/>
          <w:i/>
          <w:sz w:val="24"/>
          <w:szCs w:val="24"/>
          <w:lang w:val="en-US"/>
        </w:rPr>
        <w:t>2019</w:t>
      </w:r>
      <w:r>
        <w:rPr>
          <w:rFonts w:ascii="Times New Roman" w:cs="Times New Roman" w:hAnsi="Times New Roman"/>
          <w:bCs/>
          <w:sz w:val="24"/>
          <w:szCs w:val="24"/>
          <w:lang w:val="en-US"/>
        </w:rPr>
        <w:t xml:space="preserve">) as early as 1975. It acts as a scavenger of oxygen free radicals (Ruby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w:t>
      </w:r>
      <w:r>
        <w:rPr>
          <w:rFonts w:ascii="Times New Roman" w:cs="Times New Roman" w:hAnsi="Times New Roman"/>
          <w:bCs/>
          <w:i/>
          <w:sz w:val="24"/>
          <w:szCs w:val="24"/>
          <w:lang w:val="en-US"/>
        </w:rPr>
        <w:t>2020</w:t>
      </w:r>
      <w:r>
        <w:rPr>
          <w:rFonts w:ascii="Times New Roman" w:cs="Times New Roman" w:hAnsi="Times New Roman"/>
          <w:bCs/>
          <w:sz w:val="24"/>
          <w:szCs w:val="24"/>
          <w:lang w:val="en-US"/>
        </w:rPr>
        <w:t xml:space="preserve"> and Subramanian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1994). It can protect haemoglobin from oxidation (Unnikrishnan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w:t>
      </w:r>
      <w:r>
        <w:rPr>
          <w:rFonts w:ascii="Times New Roman" w:cs="Times New Roman" w:hAnsi="Times New Roman"/>
          <w:bCs/>
          <w:i/>
          <w:sz w:val="24"/>
          <w:szCs w:val="24"/>
          <w:lang w:val="en-US"/>
        </w:rPr>
        <w:t>2020</w:t>
      </w:r>
      <w:r>
        <w:rPr>
          <w:rFonts w:ascii="Times New Roman" w:cs="Times New Roman" w:hAnsi="Times New Roman"/>
          <w:bCs/>
          <w:sz w:val="24"/>
          <w:szCs w:val="24"/>
          <w:lang w:val="en-US"/>
        </w:rPr>
        <w:t xml:space="preserve">). Curcumin also lowers the production of ROS in vivo. This is brought about by maintaining the activities of antioxidant enzymes like superoxide dismutase, catalase and glutathione peroxidise. Recently, we have observed that curcumin prevents oxidative damage during indomethacininduced gastric lesion not only by blocking inactivation of gastric peroxidase, but also by direct scavenging of H2O2 and ·OH (unpublished observation). Since ROS have been implicated in the development of various pathological conditions (Bandyopadhyay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1999), curcumin has the potential to control these diseases through its potent antioxidant activity.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Cancer</w:t>
      </w: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There has been a great deal of research on turmeric's anticancer properties, but results are still very early. Cancer should be treated with conventional medications. A lot of studies have shown </w:t>
      </w:r>
      <w:r>
        <w:rPr>
          <w:rFonts w:ascii="Times New Roman" w:cs="Times New Roman" w:hAnsi="Times New Roman"/>
          <w:bCs/>
          <w:sz w:val="24"/>
          <w:szCs w:val="24"/>
          <w:lang w:val="en-US"/>
        </w:rPr>
        <w:t xml:space="preserve">that curcumin can be very beneficial in the treatment of cancer using herbs. It can influence the growth, development and spread of cancer cells at a molecular level. Cucumin acts as a potent anticarcinogenic compound. Among various mechanisms, induction of apoptosis plays an important role in its anticarcinogenic effects. It induces apoptosis and inhibits cell-cycle progression, both of which are instrumental in preventing cancerous cell growth in rat aortic smooth muscle cells (Gautam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1998). Colon carcinoma is also prevented by curcumin through arrest of cell-cycle progression independent of inhibition of prostaglandin synthesis. Curcumin suppresses human breast carcinoma through multiple pathways. Curcumin also produces nonselective inhibition of proliferation in several leukaemia, nontransformed haematopoietic progenitor cells and fibroblast cell lines (Gautam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1998). Nitric oxide (NO) and its derivatives play a major role in tumour promotion. Curcumin also increases NO production in NK cells after prolonged treatment, culminating in a stronger tumouricidal effect (Bhaumik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2000).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Heart Disease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Keeping healthy cholesterol level is essential to pevent cardiovascular isssues and other serious health problem. High cholesterol level can very detrimental to one’s health, so people are always looking for ways to lower them. Studies have shown and proven that the simple act of adding turmeric to season your food can significantly lower blood cholesterol levels. Early studies suggested that turmeric may help prevent atherosclerosis, the build up of plaque that can block arteries and lead to heart attack or stroke. In animal studies, an extract of turmeric lowered cholesterol levels and kept LDL "bad" cholesterol from building up in blood vessels. Because it stops platelets from clumping together, turmeric may also prevent blood clots from building up along the walls of arteries. But a double-blind, placebo-controlled study found that taking curcumin, the active ingredient in turrmeric, at a dose of up to 4 g per day did not improve cholesterol levels. Curcumin has significant hypocholestermic effect in hypercholesteremic rats (Patil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1971)</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Indigestion</w:t>
      </w: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Curcumin stimulates the gallbladder to produce bile, which some people think may help improve digestion. The German Commission E, which determines which herbs can be safely prescribed in Germany, has approved turmeric for digestive problems. And one double-blind, placebo-controlled study found that turmeric reduced symptoms of bloating and gas in people suffering from indigestion. Turmeric powder has beneficial effect on the stomach. It increases mucin secretion in rabbits and may thus act as gastroprotectant against irritants (Lee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2003). However, controversy exists regarding antiulcer activity of curcumin. Both antiulcer (Sinha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1975) and ulcerogenic (Parsad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w:t>
      </w:r>
      <w:r>
        <w:rPr>
          <w:rFonts w:ascii="Times New Roman" w:cs="Times New Roman" w:hAnsi="Times New Roman"/>
          <w:bCs/>
          <w:i/>
          <w:sz w:val="24"/>
          <w:szCs w:val="24"/>
          <w:lang w:val="en-US"/>
        </w:rPr>
        <w:t>2019</w:t>
      </w:r>
      <w:r>
        <w:rPr>
          <w:rFonts w:ascii="Times New Roman" w:cs="Times New Roman" w:hAnsi="Times New Roman"/>
          <w:bCs/>
          <w:sz w:val="24"/>
          <w:szCs w:val="24"/>
          <w:lang w:val="en-US"/>
        </w:rPr>
        <w:t xml:space="preserve">) effects of curcumin have been reported but detailed studies are still lacking.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Management of Obesity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People who would like to lose a couple of pounds or treat obesity and other similar condition can take benefits of turmeric powder which can be very helpful in keeping one’s ideal body weight. The component in turmeric helps in boosting the flow of bile which is an essential element in the process of breaking down of dietary fats.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Controlling Diabetes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Turmeric boosts glucose control and augments the effects of the medications which are used in the treatment of diabeties. It also lowers the body’s resistance to insulin which can prevent Type-2 diabeties from developing.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Relieve from arthritis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Turmeric has anti-inflammatory properties as well as the antioxidant properties which eliminate free radicals which are responsible for damaging the cell in the body. From this property of turmeric People who are suffering from arthritscan benefit a lot from using turmeric.</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Bacterial and Viral Infections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Test tube and animal studies suggest turmeric may kill bacteria and viruses. But researchers don’t know whether it would work in people. The aqueous extract of turmeric rhizomes has antibacterial effects (Kumar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2001). Curcumin also prevents growth of Helicobacter pylori CagA+ strains in vitro. Both curcumin and the oil fraction suppress growth of several bacteria </w:t>
      </w:r>
      <w:r>
        <w:rPr>
          <w:rFonts w:ascii="Times New Roman" w:cs="Times New Roman" w:hAnsi="Times New Roman"/>
          <w:bCs/>
          <w:sz w:val="24"/>
          <w:szCs w:val="24"/>
          <w:lang w:val="en-US"/>
        </w:rPr>
        <w:t xml:space="preserve">like Streptococcus, Staphylococcus, Lactobacillus, etc. Curcumin has been shown to have antiviral activity (Araujo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2001). It acts as an efficient inhibitor of Epstein-Barr virus (EBV). Most importantly, curcumin also shows anti-HIV (human immunodeficiency virus) activity by inhibiting the HIV-1 integrase needed for viral replication. It also inhibits UV light induced HIV gene expression127. Thus curcumin and its analogues may have the potential for novel drug development against HIV.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Antifungal Property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Ether and chloroform extracts and oil of turmeric have antifungal effects (Apisariyakul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w:t>
      </w:r>
      <w:r>
        <w:rPr>
          <w:rFonts w:ascii="Times New Roman" w:cs="Times New Roman" w:hAnsi="Times New Roman"/>
          <w:bCs/>
          <w:i/>
          <w:sz w:val="24"/>
          <w:szCs w:val="24"/>
          <w:lang w:val="en-US"/>
        </w:rPr>
        <w:t>2020</w:t>
      </w:r>
      <w:r>
        <w:rPr>
          <w:rFonts w:ascii="Times New Roman" w:cs="Times New Roman" w:hAnsi="Times New Roman"/>
          <w:bCs/>
          <w:sz w:val="24"/>
          <w:szCs w:val="24"/>
          <w:lang w:val="en-US"/>
        </w:rPr>
        <w:t xml:space="preserve">). Crude ethanol extract also possesses antifungal activity. Turmeric oil is also active against Aspergillus flavus, A. parasiticus, Fusarium moniliforme and Penicillium digitatum (Jayaprakasha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2001).</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Skin Treatments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Turmeric has lots of benefits for the skin including speeding up the process of healing wounds, calming pores on the face to reduce acne. Since it has antioxidant and- inflammatory properties, which is really use full for treating skin problems.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2.5 Mechanism of action of </w:t>
      </w:r>
      <w:r>
        <w:rPr>
          <w:rFonts w:ascii="Times New Roman" w:cs="Times New Roman" w:hAnsi="Times New Roman"/>
          <w:b/>
          <w:bCs/>
          <w:i/>
          <w:sz w:val="24"/>
          <w:szCs w:val="24"/>
          <w:lang w:val="en-US"/>
        </w:rPr>
        <w:t>Curcuma Longa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Mechanism of Action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(Turmeric)</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is a medicinal plant known for its bioactive compound curcumin, which exhibits anti-inflammatory, antioxidant, anticancer, and antimicrobial activities.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1. Anti-inflammatory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inhibits key molecules in the inflammation pathway: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Inhibits NF-κB (nuclear factor kappa-light-chain-enhancer of activated B cells), a transcription factor that controls the expression of pro-inflammatory cytokines (e.g., TNF-α, IL-1, IL-6).</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Suppresses the activity of cyclooxygenase-2 (COX-2) and lipoxygenase (LOX), enzymes involved in the synthesis of pro-inflammatory mediators.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 Antioxidant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scavenges reactive oxygen species (ROS) and reactive nitrogen species (RNS).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Enhances the activity of endogenous antioxidant enzymes like superoxide dismutase (SOD), catalase, and glutathione peroxidase.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 Anticancer Mechanism</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Induces apoptosis via activation of caspases (caspase-3, -8, -9).</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Inhibits proliferation by downregulating cyclin D1, c-Myc, and upregulating p53.</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Inhibits angiogenesis by blocking vascular endothelial growth factor (VEGF) expression.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 Antimicrobial Action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Disrupts bacterial membranes and inhibits quorum sensing in bacteria.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Binds to fungal membrane components and impairs their fun.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Antioxidant Mechanism of </w:t>
      </w:r>
      <w:r>
        <w:rPr>
          <w:rFonts w:ascii="Times New Roman" w:cs="Times New Roman" w:hAnsi="Times New Roman"/>
          <w:bCs/>
          <w:i/>
          <w:sz w:val="24"/>
          <w:szCs w:val="24"/>
          <w:lang w:val="en-US"/>
        </w:rPr>
        <w:t>Curcuma Longa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antioxidant activity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is primarily attributed to its active polyphenolic compound, curcumin. Curcumin protects cells from oxidative damage through free radical scavenging, metal chelation, and regulation of antioxidant enzymes.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1. Free Radical Scavenging</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donates hydrogen atoms or electrons to neutralize free radicals such as superoxide anion (O</w:t>
      </w:r>
      <w:r>
        <w:rPr>
          <w:rFonts w:ascii="Cambria Math" w:cs="Cambria Math" w:hAnsi="Cambria Math"/>
          <w:bCs/>
          <w:sz w:val="24"/>
          <w:szCs w:val="24"/>
          <w:lang w:val="en-US"/>
        </w:rPr>
        <w:t>₂⁻</w:t>
      </w:r>
      <w:r>
        <w:rPr>
          <w:rFonts w:ascii="Times New Roman" w:cs="Times New Roman" w:hAnsi="Times New Roman"/>
          <w:bCs/>
          <w:sz w:val="24"/>
          <w:szCs w:val="24"/>
          <w:lang w:val="en-US"/>
        </w:rPr>
        <w:t>), hydroxyl radical (OH</w:t>
      </w:r>
      <w:r>
        <w:rPr>
          <w:rFonts w:ascii="Cambria Math" w:cs="Cambria Math" w:hAnsi="Cambria Math"/>
          <w:bCs/>
          <w:sz w:val="24"/>
          <w:szCs w:val="24"/>
          <w:lang w:val="en-US"/>
        </w:rPr>
        <w:t>⁻</w:t>
      </w:r>
      <w:r>
        <w:rPr>
          <w:rFonts w:ascii="Times New Roman" w:cs="Times New Roman" w:hAnsi="Times New Roman"/>
          <w:bCs/>
          <w:sz w:val="24"/>
          <w:szCs w:val="24"/>
          <w:lang w:val="en-US"/>
        </w:rPr>
        <w:t>), and nitric oxide (NO).</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Its phenolic OH groups and diketone structure are responsible for this scavenging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 Metal Ion Chelation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chelates transition metal ions like Fe²</w:t>
      </w:r>
      <w:r>
        <w:rPr>
          <w:rFonts w:ascii="Cambria Math" w:cs="Cambria Math" w:hAnsi="Cambria Math"/>
          <w:bCs/>
          <w:sz w:val="24"/>
          <w:szCs w:val="24"/>
          <w:lang w:val="en-US"/>
        </w:rPr>
        <w:t>⁺</w:t>
      </w:r>
      <w:r>
        <w:rPr>
          <w:rFonts w:ascii="Times New Roman" w:cs="Times New Roman" w:hAnsi="Times New Roman"/>
          <w:bCs/>
          <w:sz w:val="24"/>
          <w:szCs w:val="24"/>
          <w:lang w:val="en-US"/>
        </w:rPr>
        <w:t xml:space="preserve"> and Cu²</w:t>
      </w:r>
      <w:r>
        <w:rPr>
          <w:rFonts w:ascii="Cambria Math" w:cs="Cambria Math" w:hAnsi="Cambria Math"/>
          <w:bCs/>
          <w:sz w:val="24"/>
          <w:szCs w:val="24"/>
          <w:lang w:val="en-US"/>
        </w:rPr>
        <w:t>⁺</w:t>
      </w:r>
      <w:r>
        <w:rPr>
          <w:rFonts w:ascii="Times New Roman" w:cs="Times New Roman" w:hAnsi="Times New Roman"/>
          <w:bCs/>
          <w:sz w:val="24"/>
          <w:szCs w:val="24"/>
          <w:lang w:val="en-US"/>
        </w:rPr>
        <w:t>, which are catalysts in the Fenton reaction that generates hydroxyl radicals.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This prevents the formation of highly reactive species and minimizes oxidative stress.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 Upregulation of Antioxidant Enzymes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enhances the activity of endogenous antioxidant defense systems by: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Increasing the expression and activity of superoxide dismutase (SOD), catalase (CAT), and glutathione peroxidase (GPx).</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Activating Nrf2 (nuclear factor erythroid 2–related factor 2), a transcription factor that induces the expression of antioxidant response element (ARE)-driven genes.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 Inhibition of Lipid Peroxidation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inhibits lipid peroxidation, a process where free radicals attack lipids in cell membranes, thus preserving cell integrity and function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2.6 Previous Studies on the Hepatoprotective Effects of </w:t>
      </w:r>
      <w:r>
        <w:rPr>
          <w:rFonts w:ascii="Times New Roman" w:cs="Times New Roman" w:hAnsi="Times New Roman"/>
          <w:b/>
          <w:bCs/>
          <w:i/>
          <w:sz w:val="24"/>
          <w:szCs w:val="24"/>
          <w:lang w:val="en-US"/>
        </w:rPr>
        <w:t>Curcuma Longa</w:t>
      </w:r>
      <w:r>
        <w:rPr>
          <w:rFonts w:ascii="Times New Roman" w:cs="Times New Roman" w:hAnsi="Times New Roman"/>
          <w:b/>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Pari and Murugan (2017) Study: Evaluated the hepatoprotective effect of curcumin against carbon tetrachloride (CCl</w:t>
      </w:r>
      <w:r>
        <w:rPr>
          <w:rFonts w:ascii="Cambria Math" w:cs="Cambria Math" w:hAnsi="Cambria Math"/>
          <w:bCs/>
          <w:sz w:val="24"/>
          <w:szCs w:val="24"/>
          <w:lang w:val="en-US"/>
        </w:rPr>
        <w:t>₄</w:t>
      </w:r>
      <w:r>
        <w:rPr>
          <w:rFonts w:ascii="Times New Roman" w:cs="Times New Roman" w:hAnsi="Times New Roman"/>
          <w:bCs/>
          <w:sz w:val="24"/>
          <w:szCs w:val="24"/>
          <w:lang w:val="en-US"/>
        </w:rPr>
        <w:t>)-induced hepatotoxicity in rats. Curcumin significantly restored liver enzyme levels (ALT, AST), reduced lipid peroxidation (MDA), and increased antioxidant enzymes (SOD, CAT, GSH). Curcumin prevents oxidative damage and maintains liver histoarchitecture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Ramakrishna Rao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(2016) Study: Investigated the effect of curcumin on acetaminophen-induced liver injury. Curcumin pretreatment reduced serum liver enzyme levels and oxidative stress markers. Protective effects attributed to its antioxidant and free radical scavenging properties.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Kiso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(2018) Study: Early experimental work using curcumin in rats exposed to liver toxins like galactosamine and CCl</w:t>
      </w:r>
      <w:r>
        <w:rPr>
          <w:rFonts w:ascii="Cambria Math" w:cs="Cambria Math" w:hAnsi="Cambria Math"/>
          <w:bCs/>
          <w:sz w:val="24"/>
          <w:szCs w:val="24"/>
          <w:lang w:val="en-US"/>
        </w:rPr>
        <w:t>₄</w:t>
      </w:r>
      <w:r>
        <w:rPr>
          <w:rFonts w:ascii="Times New Roman" w:cs="Times New Roman" w:hAnsi="Times New Roman"/>
          <w:bCs/>
          <w:sz w:val="24"/>
          <w:szCs w:val="24"/>
          <w:lang w:val="en-US"/>
        </w:rPr>
        <w:t>. Curcumin showed a protective role by reducing inflammation and lipid peroxidation. Curcumin is effective in both acute and chronic liver injury models.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2.7 Role of Antioxidants in Liver Protection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To have a better understanding of what antioxidants are and what parts they play in enhancing liver health, we must first meet the liver’s biggest enemy oxidative stress.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Oxidative Stress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Oxidative stress is an imbalance between two different types of molecules in your body: free radicals and antioxidants. Specifically, it means there are too many free radicals and not enough antioxidants. As a result, the excess free radicals start to harm your body’s cells and tissues. They damage the different parts of cells, including lipids (fats) and proteins, that allow them to work normally. Oxidative stress is an imbalance of free radicals and antioxidants in your body that leads to cell damage. It plays a role in many conditions like cancer, Alzheimer’s disease and heart disease. Toxins like pollution and cigarette smoke can cause oxidative stress, while foods rich in antioxidants can help reduce it.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One of the primary mechanisms by which paracetamol induces hepatotoxicity is through oxidative stress. When paracetamol is taken in excessive amounts, the normal conjugation pathways (glucuronidation and sulfation) become saturated, and a greater proportion of the drug is metabolized by the cytochrome P450 enzyme system, particularly CYP2E1. This metabolic shift leads to the production of N-acetyl-p-benzoquinone imine (NAPQI), a highly reactive and toxic metabolite (James </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 xml:space="preserve">2022).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NAPQI exerts its toxic effects by binding covalently to cellular proteins and lipids, which disrupts normal cellular functions and causes oxidative damage. Normally, NAPQI is detoxified by conjugation with glutathione, a crucial antioxidant in hepatocytes. However, during paracetamol overdose, the rapid formation of NAPQI depletes glutathione reserves, leaving hepatocytes vulnerable to oxidative stress (Lee and Ho, 2021). The accumulation of NAPQI and the resultant oxidative stress lead to mitochondrial dysfunction, lipid peroxidation, and cell membrane damage, culminating in hepatocyte necrosis and liver injury (Murray, 2021).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oxidative stress not only damages the hepatocytes directly but also initiates a cascade of secondary cellular responses, further exacerbating liver injury. The cellular damage and death result in the release of intracellular contents, which can trigger inflammatory responses and amplify liver injury.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Oxidative stress plays a role in the onset of many chronic and degenerative conditions. A few examples include: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Cancer</w:t>
      </w:r>
      <w:r>
        <w:rPr>
          <w:rFonts w:ascii="Times New Roman" w:cs="Times New Roman" w:hAnsi="Times New Roman"/>
          <w:bCs/>
          <w:sz w:val="24"/>
          <w:szCs w:val="24"/>
          <w:lang w:val="en-US"/>
        </w:rPr>
        <w:t xml:space="preserve">. Oxidative stress damages the DNA in healthy cells, which can raise your cancer risk.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Cardiovascular disease</w:t>
      </w:r>
      <w:r>
        <w:rPr>
          <w:rFonts w:ascii="Times New Roman" w:cs="Times New Roman" w:hAnsi="Times New Roman"/>
          <w:bCs/>
          <w:sz w:val="24"/>
          <w:szCs w:val="24"/>
          <w:lang w:val="en-US"/>
        </w:rPr>
        <w:t xml:space="preserve">. Oxidative stress triggers plaque to form in your arteries (atherosclerosis). Plaque buildup can lead to many different problems, including reduced blood supply to your heart (coronary artery disease) and heart attack.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Kidney disease. </w:t>
      </w:r>
      <w:r>
        <w:rPr>
          <w:rFonts w:ascii="Times New Roman" w:cs="Times New Roman" w:hAnsi="Times New Roman"/>
          <w:bCs/>
          <w:sz w:val="24"/>
          <w:szCs w:val="24"/>
          <w:lang w:val="en-US"/>
        </w:rPr>
        <w:t xml:space="preserve">Sustained oxidative stress can form scar tissue in your kidneys that prevents them from working as they should. This may lead to kidney failure, which can worsen to the point where you need dialysis. </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Neurological diseases.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Oxidative stress also contributes to many different neurological diseases, including Alzheimer’s disease, Parkinson’s disease and multiple sclerosis. Excess free radicals contribute to neuron loss, which can progressively lead to dementia.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Respiratory diseases.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Oxidative stress and related inflammation can affect your lungs and cause conditions like asthma or chronic obstructive pulmonary disease (COPD).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Rheumatoid arthritis. </w:t>
      </w:r>
      <w:r>
        <w:rPr>
          <w:rFonts w:ascii="Times New Roman" w:cs="Times New Roman" w:hAnsi="Times New Roman"/>
          <w:bCs/>
          <w:sz w:val="24"/>
          <w:szCs w:val="24"/>
          <w:lang w:val="en-US"/>
        </w:rPr>
        <w:t xml:space="preserve">Free radicals contribute to the chronic inflammation that happens in people with rheumatoid arthritis.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A free radical can be defined as an atom or molecule containing one or more unpaired electrons in valency shell or outer orbit and is capable of independent existence. The odd number of electron(s) of a free radical makes it unstable, short lived and highly reactive.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Antioxidants, or natural substances in foods we eat, are that superhero. Unlike free radicals, antioxidants don’t snatch electrons from healthy cells in your body. Instead, they donate one of their electrons to a free radical. This makes the free radical complete, so it doesn’t steal from other molecules in your body. Antioxidants help keep balance in your body.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When you don’t have enough antioxidants to satisfy the free radicals, those free radicals go scavenging. And your body experiences oxidative stress as a result.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liver is a vital organ responsible for detoxification, metabolism, and maintaining internal chemical homeostasis. Due to its central role in detoxifying harmful substances, it is highly susceptible to oxidative stress an imbalance between free radicals (reactive oxygen species, ROS) and the body’s antioxidant defenses. This is where antioxidants play a crucial protective role.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1. Neutralization of Free Radicals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Antioxidants scavenge reactive oxygen species (ROS), preventing oxidative damage to liver cells (hepatocytes). Without antioxidants, excess ROS can damage lipids, proteins, and DNA, leading to liver dysfunction or disease.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 Prevention of Lipid Peroxidation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liver's cell membranes are rich in lipids, making them targets for peroxidation by ROS. Antioxidants like vitamin E, glutathione, and selenium inhibit this process, maintaining cell membrane integrity and function.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 Support for Detoxification Pathways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Some antioxidants, such as glutathione, play direct roles in detoxifying harmful compounds by binding to toxins and facilitating their excretion. This helps reduce the liver’s toxic burden.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 Anti-inflammatory Effects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Oxidative stress often triggers inflammation, contributing to liver diseases like hepatitis and cirrhosis. Antioxidants modulate signaling pathways (e.g., NF-κB) that control inflammation, thereby protecting liver tissue.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 Regeneration and Repair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Antioxidants support liver regeneration by promoting DNA synthesis and reducing cellular injury. This is particularly important in conditions such as alcoholic liver disease or non-alcoholic fatty liver disease (NAFLD).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Common Antioxidants in Liver Protection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Glutathione (GSH): A major intracellular antioxidant essential for detoxification.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Vitamin C and E: Protect against oxidative damage and support immune function.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Silymarin (from Milk Thistle): Enhances antioxidant capacity and liver regeneration.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N-acetylcysteine (NAC): Precursor to glutathione, used in acetaminophen toxicity.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Curcumin: From turmeric, known for its anti-inflammatory and antioxidant effects.</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CHAPTER THREE</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MATERIALS AND METHODS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3.1: Chemicals and reagents</w:t>
      </w:r>
    </w:p>
    <w:p>
      <w:pPr>
        <w:pStyle w:val="style0"/>
        <w:numPr>
          <w:ilvl w:val="0"/>
          <w:numId w:val="3"/>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Normal saline, Distilled water, Ethanol, Phosphate buffer saline (PBS), Formaline, Biuret reagent, 1M Sodium Hydroxide (NaOH), Catalase buffer, Carbonate buffer, DYE, ALT buffer, AST buffer, Diethyl ether, Ammonium molybdate, and Dimethyl Sulfoxide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3.2: Apparatus and equipments</w:t>
      </w:r>
    </w:p>
    <w:p>
      <w:pPr>
        <w:pStyle w:val="style0"/>
        <w:numPr>
          <w:ilvl w:val="0"/>
          <w:numId w:val="5"/>
        </w:numPr>
        <w:spacing w:after="0" w:lineRule="auto" w:line="360"/>
        <w:ind w:left="0" w:firstLine="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Animal cages, Bedding materials, Water bottles and feeders, Weighing balance, Animal handling gloves, Dissection board and instruments, Syringes and needles (oral gauge needles), Vacutainers (microcentrifuge tubes e.g. EDTA, Heparin), Centrifuge, Pipettes, Formalin containers, Beakers and graduated cylinders, Staining jars and racks (for performing histological staining), Microscope (light microscope) for examining the stained tissue sections, Homogenizer (to prepare liver tissue homogenates for biochemical assay), Spectrophotometer (microplate reader), Microplates, Incubator, Refrigerator, Lab. Coats and gloves and Waste conteners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3.3: Plant material collection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xml:space="preserve"> Rhizomes was purchased from a local market at Ekiti. It was rinsed and dried for one week. I was then grinded using electric blender in to powder, which was kept air tight for further analysis.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3.4: Experimental Animals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Twenty five (25) male wrister rats weighing between (120-170kg) were procured from the animal house of innovative fulcrum Ilorin, Kwara State.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3.5: Methodology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200g of </w:t>
      </w:r>
      <w:r>
        <w:rPr>
          <w:rFonts w:ascii="Times New Roman" w:cs="Times New Roman" w:hAnsi="Times New Roman"/>
          <w:bCs/>
          <w:i/>
          <w:sz w:val="24"/>
          <w:szCs w:val="24"/>
          <w:lang w:val="en-US"/>
        </w:rPr>
        <w:t xml:space="preserve">Curcuma Longa </w:t>
      </w:r>
      <w:r>
        <w:rPr>
          <w:rFonts w:ascii="Times New Roman" w:cs="Times New Roman" w:hAnsi="Times New Roman"/>
          <w:bCs/>
          <w:sz w:val="24"/>
          <w:szCs w:val="24"/>
          <w:lang w:val="en-US"/>
        </w:rPr>
        <w:t>powder was dissolved in 1L of ethanol and kept for 48 hours. It was filtered and concentrated to obtain the crude extract which was used for further analysis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3.6 Qualitative Phytochemical Analysis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Phytochemical analysis extract was carried out using the method described by Odebiyi and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Sofowora (1978) for the detection of saponins, tannins, phenolics, alkaloids, steroids, triterpenes,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phlobatannins, glycosides and flavonoids.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 Alkaloids: 1cmᶟ of 1%HCl was added to 3cmᶟ of the extracts in a test tube. The mixture was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heated for 20 minutes, cooled and filtered. The filtrate was used in the following tests: 2 drops of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Wagner’s reagent was added to 1cmᶟ of the extracts. A reddish brown precipitate indicates the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presence of alkaloids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2. Tannins: 1cmᶟ of freshly prepared 10% KOH was added to 1cmᶟof the extracts. A dirty white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precipitate indicates the presence of tannins.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 Phenolics: 2 drops of 5% FeCl</w:t>
      </w:r>
      <w:r>
        <w:rPr>
          <w:rFonts w:ascii="Cambria Math" w:cs="Cambria Math" w:hAnsi="Cambria Math"/>
          <w:bCs/>
          <w:sz w:val="24"/>
          <w:szCs w:val="24"/>
          <w:lang w:val="en-US"/>
        </w:rPr>
        <w:t>₃</w:t>
      </w:r>
      <w:r>
        <w:rPr>
          <w:rFonts w:ascii="Times New Roman" w:cs="Times New Roman" w:hAnsi="Times New Roman"/>
          <w:bCs/>
          <w:sz w:val="24"/>
          <w:szCs w:val="24"/>
          <w:lang w:val="en-US"/>
        </w:rPr>
        <w:t xml:space="preserve"> was added to 1cmᶟ of the extracts in a test tube. A greenish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precipitate indicates the presence of phenolics.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 Glycosides: 10cmᶟ of 50% H</w:t>
      </w:r>
      <w:r>
        <w:rPr>
          <w:rFonts w:ascii="Cambria Math" w:cs="Cambria Math" w:hAnsi="Cambria Math"/>
          <w:bCs/>
          <w:sz w:val="24"/>
          <w:szCs w:val="24"/>
          <w:lang w:val="en-US"/>
        </w:rPr>
        <w:t>₂</w:t>
      </w:r>
      <w:r>
        <w:rPr>
          <w:rFonts w:ascii="Times New Roman" w:cs="Times New Roman" w:hAnsi="Times New Roman"/>
          <w:bCs/>
          <w:sz w:val="24"/>
          <w:szCs w:val="24"/>
          <w:lang w:val="en-US"/>
        </w:rPr>
        <w:t>SO</w:t>
      </w:r>
      <w:r>
        <w:rPr>
          <w:rFonts w:ascii="Cambria Math" w:cs="Cambria Math" w:hAnsi="Cambria Math"/>
          <w:bCs/>
          <w:sz w:val="24"/>
          <w:szCs w:val="24"/>
          <w:lang w:val="en-US"/>
        </w:rPr>
        <w:t>₄</w:t>
      </w:r>
      <w:r>
        <w:rPr>
          <w:rFonts w:ascii="Times New Roman" w:cs="Times New Roman" w:hAnsi="Times New Roman"/>
          <w:bCs/>
          <w:sz w:val="24"/>
          <w:szCs w:val="24"/>
          <w:lang w:val="en-US"/>
        </w:rPr>
        <w:t xml:space="preserve"> was added to 1cmᶟ of the extracts, the mixture was heated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in boiling water for 15 minutes. 10cmᶟ of Fehling’s solution was added and the mixture boiled. A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brick red precipitate indicates the presence of glycosides.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5. Saponins:  Frothing test: 2cmᶟ of the extract in a test tube was vigorously shaken for 2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minutes. Frothing indicates the presence of saponins.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6. Flavonoids: 1cmᶟ of 10% NaOH was added to 3cmᶟ of the extracts. A yellow colouration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indicates the presence of flavonoids.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7. Steroids: salakowsti test: 5 drops of concentrated H</w:t>
      </w:r>
      <w:r>
        <w:rPr>
          <w:rFonts w:ascii="Cambria Math" w:cs="Cambria Math" w:hAnsi="Cambria Math"/>
          <w:bCs/>
          <w:sz w:val="24"/>
          <w:szCs w:val="24"/>
          <w:lang w:val="en-US"/>
        </w:rPr>
        <w:t>₂</w:t>
      </w:r>
      <w:r>
        <w:rPr>
          <w:rFonts w:ascii="Times New Roman" w:cs="Times New Roman" w:hAnsi="Times New Roman"/>
          <w:bCs/>
          <w:sz w:val="24"/>
          <w:szCs w:val="24"/>
          <w:lang w:val="en-US"/>
        </w:rPr>
        <w:t>SO</w:t>
      </w:r>
      <w:r>
        <w:rPr>
          <w:rFonts w:ascii="Cambria Math" w:cs="Cambria Math" w:hAnsi="Cambria Math"/>
          <w:bCs/>
          <w:sz w:val="24"/>
          <w:szCs w:val="24"/>
          <w:lang w:val="en-US"/>
        </w:rPr>
        <w:t>₄</w:t>
      </w:r>
      <w:r>
        <w:rPr>
          <w:rFonts w:ascii="Times New Roman" w:cs="Times New Roman" w:hAnsi="Times New Roman"/>
          <w:bCs/>
          <w:sz w:val="24"/>
          <w:szCs w:val="24"/>
          <w:lang w:val="en-US"/>
        </w:rPr>
        <w:t xml:space="preserve"> was added to 1cmᶟ of the extracts.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Red colouration indicates the presence of steroids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8. Phlobatannins: 1cmᶟ of the extracts was added to 1% HCl. A red precipitate indicates the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presence of phlobatannins.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9.      Terpenoids: 5ml of aqueous extract of the sample is mixed with 2ml of CHCl3 in a test tube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3ml of con. H2SO4 is carefully added to the mixture to form a layer. An interface with a reddish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brown coloration is formed if terpenoids constituent is present.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10.      Amino acid (Yasuma and Ichikawa 1953): Two drops of ninhydrin solution (10mg of ninhydrin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 200ml of acetone) are added to two ml of aqueous filtrate. A characteristic purple colour indicates the presence of amino acids.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3.7 Experimental Design and grouping</w:t>
      </w:r>
    </w:p>
    <w:tbl>
      <w:tblPr>
        <w:tblStyle w:val="style154"/>
        <w:tblW w:w="0" w:type="auto"/>
        <w:tblLook w:val="04A0" w:firstRow="1" w:lastRow="0" w:firstColumn="1" w:lastColumn="0" w:noHBand="0" w:noVBand="1"/>
      </w:tblPr>
      <w:tblGrid>
        <w:gridCol w:w="3180"/>
        <w:gridCol w:w="3213"/>
        <w:gridCol w:w="3185"/>
      </w:tblGrid>
      <w:tr>
        <w:trPr/>
        <w:tc>
          <w:tcPr>
            <w:tcW w:w="3672" w:type="dxa"/>
            <w:tcBorders/>
          </w:tcPr>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Groups</w:t>
            </w:r>
          </w:p>
        </w:tc>
        <w:tc>
          <w:tcPr>
            <w:tcW w:w="3672" w:type="dxa"/>
            <w:tcBorders/>
          </w:tcPr>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Doses</w:t>
            </w:r>
          </w:p>
        </w:tc>
        <w:tc>
          <w:tcPr>
            <w:tcW w:w="3672" w:type="dxa"/>
            <w:tcBorders/>
          </w:tcPr>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Treatment </w:t>
            </w:r>
          </w:p>
        </w:tc>
      </w:tr>
      <w:tr>
        <w:tblPrEx/>
        <w:trPr/>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 (Control)</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Distilled water</w:t>
            </w:r>
          </w:p>
        </w:tc>
        <w:tc>
          <w:tcPr>
            <w:tcW w:w="3672" w:type="dxa"/>
            <w:tcBorders/>
          </w:tcPr>
          <w:p>
            <w:pPr>
              <w:pStyle w:val="style0"/>
              <w:spacing w:after="0" w:lineRule="auto" w:line="360"/>
              <w:jc w:val="both"/>
              <w:rPr>
                <w:rFonts w:ascii="Times New Roman" w:cs="Times New Roman" w:hAnsi="Times New Roman"/>
                <w:bCs/>
                <w:sz w:val="24"/>
                <w:szCs w:val="24"/>
                <w:lang w:val="en-US"/>
              </w:rPr>
            </w:pPr>
          </w:p>
        </w:tc>
      </w:tr>
      <w:tr>
        <w:tblPrEx/>
        <w:trPr/>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II (PCM)</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4000mg/kg b.wt</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Orally (1ml in the morning, 1ml at night) for 7 days only </w:t>
            </w:r>
          </w:p>
        </w:tc>
      </w:tr>
      <w:tr>
        <w:tblPrEx/>
        <w:trPr/>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III (Vitamin C &amp; PCM)</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200mg/kg of vitamin C &amp; 4000mg/kg b.wt respectively</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Orally (1ml in the morning, 1ml at night) for 7 days and gave only vitamin C for another 7 days.</w:t>
            </w:r>
          </w:p>
        </w:tc>
      </w:tr>
      <w:tr>
        <w:tblPrEx/>
        <w:trPr/>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IV (Curcumin &amp; PCM)</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200mg/kg &amp; 4000mg/kg b.wt respectively</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Orally (1ml in the morning, 1ml at night) for 7 days and started treatment only for another 7 days (1 week)</w:t>
            </w:r>
          </w:p>
        </w:tc>
      </w:tr>
      <w:tr>
        <w:tblPrEx/>
        <w:trPr/>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 (Curcumin &amp; PCM)</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400mg/kg &amp; 4000mg/kg b.wt respectively</w:t>
            </w:r>
          </w:p>
        </w:tc>
        <w:tc>
          <w:tcPr>
            <w:tcW w:w="3672"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Orally (1ml in the morning, 1ml at night) for 7 days, stopped inducing with Pcm and started treatment only for another 7 days (1 week)</w:t>
            </w:r>
          </w:p>
        </w:tc>
      </w:tr>
    </w:tbl>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3.8 Hepatic biomarker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Biological markers (biomarkers) are used to recognize, characterize and monitor treatment-related responses following exposure to xenobiotics. Biomarkers serve three primary applications in toxicology: 1) to confirm expo- sure to a deleterious agent, 2) to provide a system for monitoring individual susceptibility to a toxicant, and 3) to quantitatively assess deleterious effects of a toxicant to an organism or individual. Because the liver is a general target for adverse effects of drugs and other chemicals, biomarkers of untoward hepatic response to xenobiotics are of particular interest to the pharmaceutical toxicologist.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Liver indices" typically refer to liver function tests (LFTs) or liver enzymes, which are blood tests used to assess liver health and detect liver damage or disease. Here are the key liver indices: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3.8.1 ALT</w:t>
      </w:r>
    </w:p>
    <w:bookmarkStart w:id="3" w:name="OLE_LINK1"/>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Alanine Aminotransferase Activity (ALT) </w:t>
      </w:r>
    </w:p>
    <w:bookmarkEnd w:id="3"/>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method described by Reitman and Frankel (1957) was used to assay for the activity of alanine aminotransferase.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Principle: </w:t>
      </w:r>
      <w:r>
        <w:rPr>
          <w:rFonts w:ascii="Times New Roman" w:cs="Times New Roman" w:hAnsi="Times New Roman"/>
          <w:bCs/>
          <w:sz w:val="24"/>
          <w:szCs w:val="24"/>
          <w:lang w:val="en-US"/>
        </w:rPr>
        <w:t xml:space="preserve">Alanine aminotransferase activity was determined by monitoring the concentration of pyruvate hydrazone formed with 2, 4-dinitrophenyl hydrazine.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Procedure: </w:t>
      </w:r>
      <w:r>
        <w:rPr>
          <w:rFonts w:ascii="Times New Roman" w:cs="Times New Roman" w:hAnsi="Times New Roman"/>
          <w:bCs/>
          <w:sz w:val="24"/>
          <w:szCs w:val="24"/>
          <w:lang w:val="en-US"/>
        </w:rPr>
        <w:t>0.5 ml of solution 1 was added to each test tube containing 0.1 ml of the enzyme source (appropriately diluted) and incubated for 30 minutes at 37</w:t>
      </w:r>
      <w:r>
        <w:rPr>
          <w:rFonts w:ascii="Times New Roman" w:cs="Times New Roman" w:hAnsi="Times New Roman"/>
          <w:bCs/>
          <w:sz w:val="24"/>
          <w:szCs w:val="24"/>
          <w:vertAlign w:val="superscript"/>
          <w:lang w:val="en-US"/>
        </w:rPr>
        <w:t>0</w:t>
      </w:r>
      <w:r>
        <w:rPr>
          <w:rFonts w:ascii="Times New Roman" w:cs="Times New Roman" w:hAnsi="Times New Roman"/>
          <w:bCs/>
          <w:sz w:val="24"/>
          <w:szCs w:val="24"/>
          <w:lang w:val="en-US"/>
        </w:rPr>
        <w:t>C. Then, 0.5 ml of solution 2 was added and the assay mixture was mixed and left undisturbed for 20 minutes at 25</w:t>
      </w:r>
      <w:r>
        <w:rPr>
          <w:rFonts w:ascii="Times New Roman" w:cs="Times New Roman" w:hAnsi="Times New Roman"/>
          <w:bCs/>
          <w:sz w:val="24"/>
          <w:szCs w:val="24"/>
          <w:vertAlign w:val="superscript"/>
          <w:lang w:val="en-US"/>
        </w:rPr>
        <w:t>0</w:t>
      </w:r>
      <w:r>
        <w:rPr>
          <w:rFonts w:ascii="Times New Roman" w:cs="Times New Roman" w:hAnsi="Times New Roman"/>
          <w:bCs/>
          <w:sz w:val="24"/>
          <w:szCs w:val="24"/>
          <w:lang w:val="en-US"/>
        </w:rPr>
        <w:t>C. The reaction was terminated immediately by adding 0.5 ml of 0.4N sodium hydroxide. The blank was constituted by replacing the enzyme source with 0.1 ml of distilled water. The solution was mixed and absorbance read against blank after 5 minutes at 468 nm. The enzyme activity was obtained from the calibration curve (Appendix)</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3.8.2 AST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Aspartate Aminotransferase Activity (AST)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method described by Reitman and Frankel (1957) was used in the assay of the activity of aspartate aminotransferase.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Principle: </w:t>
      </w:r>
      <w:r>
        <w:rPr>
          <w:rFonts w:ascii="Times New Roman" w:cs="Times New Roman" w:hAnsi="Times New Roman"/>
          <w:bCs/>
          <w:sz w:val="24"/>
          <w:szCs w:val="24"/>
          <w:lang w:val="en-US"/>
        </w:rPr>
        <w:t xml:space="preserve">The enzyme catalyzes the reversible reaction involving α–ketoglutarate and L-aspartate to form L-glutamate and oxaloacetate. Aspartate aminotransferase was measured by monitoring the concentration of oxaloacetate hydrazone formed with 2, 4-dinitrophenyl hydrazine.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Procedure: </w:t>
      </w:r>
      <w:r>
        <w:rPr>
          <w:rFonts w:ascii="Times New Roman" w:cs="Times New Roman" w:hAnsi="Times New Roman"/>
          <w:bCs/>
          <w:sz w:val="24"/>
          <w:szCs w:val="24"/>
          <w:lang w:val="en-US"/>
        </w:rPr>
        <w:t>0.5 ml of reagent 1 was added to each test tube containing 0.1 ml of the enzyme source (appropriately diluted) and incubated for 30 minutes at 37</w:t>
      </w:r>
      <w:r>
        <w:rPr>
          <w:rFonts w:ascii="Times New Roman" w:cs="Times New Roman" w:hAnsi="Times New Roman"/>
          <w:bCs/>
          <w:sz w:val="24"/>
          <w:szCs w:val="24"/>
          <w:vertAlign w:val="superscript"/>
          <w:lang w:val="en-US"/>
        </w:rPr>
        <w:t>0</w:t>
      </w:r>
      <w:r>
        <w:rPr>
          <w:rFonts w:ascii="Times New Roman" w:cs="Times New Roman" w:hAnsi="Times New Roman"/>
          <w:bCs/>
          <w:sz w:val="24"/>
          <w:szCs w:val="24"/>
          <w:lang w:val="en-US"/>
        </w:rPr>
        <w:t>C. Then, 0.5 ml of reagent 2 was added and the assay mixture was mixed and left undisturbed for 20 minutes at 25</w:t>
      </w:r>
      <w:r>
        <w:rPr>
          <w:rFonts w:ascii="Times New Roman" w:cs="Times New Roman" w:hAnsi="Times New Roman"/>
          <w:bCs/>
          <w:sz w:val="24"/>
          <w:szCs w:val="24"/>
          <w:vertAlign w:val="superscript"/>
          <w:lang w:val="en-US"/>
        </w:rPr>
        <w:t>0</w:t>
      </w:r>
      <w:r>
        <w:rPr>
          <w:rFonts w:ascii="Times New Roman" w:cs="Times New Roman" w:hAnsi="Times New Roman"/>
          <w:bCs/>
          <w:sz w:val="24"/>
          <w:szCs w:val="24"/>
          <w:lang w:val="en-US"/>
        </w:rPr>
        <w:t>C. The reaction was terminated immediately by adding 0.5 ml of 0.4N sodium hydroxide. The blank was constituted by replacing the enzyme source with 0.1 ml of distilled water. The solution was thouroughlymixed and absorbance read against blank after 5 minutes at 468 nm. The enzyme activity was obtained from the calibration curve (Appendix).</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3.8.3  ALP</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Alkaline phosphatase activity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method described by Wright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xml:space="preserve"> (1972a) was employed in this assay.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Principle:</w:t>
      </w:r>
      <w:r>
        <w:rPr>
          <w:rFonts w:ascii="Times New Roman" w:cs="Times New Roman" w:hAnsi="Times New Roman"/>
          <w:bCs/>
          <w:sz w:val="24"/>
          <w:szCs w:val="24"/>
          <w:lang w:val="en-US"/>
        </w:rPr>
        <w:t xml:space="preserve"> The amount of phosphate ester split within a given period of time is a measure of the phosphatase enzyme. Para-nitrophenylphosphate  was hydrolyzed to para-nitrophenol and phosphoric acid at a pH of 10.1. The para-nitrophenol confers a yellowish colour on reaction mixture and its intensity is read spectrophotometrically at 400 nm.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Procedure:</w:t>
      </w:r>
      <w:r>
        <w:rPr>
          <w:rFonts w:ascii="Times New Roman" w:cs="Times New Roman" w:hAnsi="Times New Roman"/>
          <w:bCs/>
          <w:sz w:val="24"/>
          <w:szCs w:val="24"/>
          <w:lang w:val="en-US"/>
        </w:rPr>
        <w:t xml:space="preserve"> 2.2 ml of carbonate buffer (0.1 M) and 0.1 ml of MgSO4.7H2O (0.1 M) were added in series to the test tubes. Then 0.2 ml of the enzyme source (appropriately diluted) was added and incubated at 37   for 10 minutes. 0.5 ml of of 10 mM p-nitrophenyl phosphate (substrate) was added and the assay mixture incubated again  for 30 minutes at 37 . The reaction  wasterminated immediately by adding 2.0 ml of 1N sodium hydroxide. The blank was constituted by replacing the enzyme source with 0.2  ml  of  distilled water. The  absorbance was read spectrophotometrically at 400 nm.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Enzyme activity was calculated using the following expression: 85</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Enzyme activity (nm/min/ml) =</w:t>
      </w:r>
      <w:r>
        <w:rPr>
          <w:rFonts w:ascii="Times New Roman" w:cs="Times New Roman" w:hAnsi="Times New Roman"/>
          <w:bCs/>
          <w:sz w:val="24"/>
          <w:szCs w:val="24"/>
          <w:u w:val="single"/>
          <w:lang w:val="en-US"/>
        </w:rPr>
        <w:t xml:space="preserve"> ΔA/min × 1000 × TV × F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 9.9 × SV × L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Where: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ΔA/min = Change in absorbance of the reaction mixture per minute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TV = Total volume of the reaction mixture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F = Total dilution factor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SV = Volume of enzyme source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L = Light path length (1cm)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9.9 = Extinction co-efficient of 1 μm of p-nitrophenol in an alkaline solution of 1 ml and 1 cm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path length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1000 =  the factor introduced to enable the enzyme activity to be expressed in nM/min/mg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protein.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specific activity for alkaline phosphatase was calculated from the expression: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Specific enzyme activity (nM/min/mg protein) =     </w:t>
      </w:r>
      <w:r>
        <w:rPr>
          <w:rFonts w:ascii="Times New Roman" w:cs="Times New Roman" w:hAnsi="Times New Roman"/>
          <w:bCs/>
          <w:sz w:val="24"/>
          <w:szCs w:val="24"/>
          <w:u w:val="single"/>
          <w:lang w:val="en-US"/>
        </w:rPr>
        <w:t>Enzyme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Protein concentration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3.9 Antioxidant Assay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Antioxidant assays are essential for evaluating the oxidative damage caused by acetaminophen and the protective effects of </w:t>
      </w:r>
      <w:r>
        <w:rPr>
          <w:rFonts w:ascii="Times New Roman" w:cs="Times New Roman" w:hAnsi="Times New Roman"/>
          <w:bCs/>
          <w:i/>
          <w:sz w:val="24"/>
          <w:szCs w:val="24"/>
          <w:lang w:val="en-US"/>
        </w:rPr>
        <w:t>Curcuma Longa</w:t>
      </w:r>
      <w:r>
        <w:rPr>
          <w:rFonts w:ascii="Times New Roman" w:cs="Times New Roman" w:hAnsi="Times New Roman"/>
          <w:bCs/>
          <w:sz w:val="24"/>
          <w:szCs w:val="24"/>
          <w:lang w:val="en-US"/>
        </w:rPr>
        <w:t>. Oxidative stress plays a key role in acetaminophen-induced hepatotoxicity due to excessive generation of reactive oxygen species (ROS) and depletion of endogenous antioxidants.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following biochemical assays were used to assess the antioxidant status in liver homogenates of Wistar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3.9.1 SOD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Superoxide dismutase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method described by Misra and fridovich (1972) was used to assay for the activity of superoxide dismutase.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Principle: </w:t>
      </w:r>
      <w:r>
        <w:rPr>
          <w:rFonts w:ascii="Times New Roman" w:cs="Times New Roman" w:hAnsi="Times New Roman"/>
          <w:bCs/>
          <w:sz w:val="24"/>
          <w:szCs w:val="24"/>
          <w:lang w:val="en-US"/>
        </w:rPr>
        <w:t>Superoxide dismutase activity was measured as the inhibition of the rate of reduction of cytochrome c by the superoxide radical, observed at 550 nm:</w:t>
      </w:r>
    </w:p>
    <w:p>
      <w:pPr>
        <w:pStyle w:val="style0"/>
        <w:spacing w:after="0" w:lineRule="auto" w:line="360"/>
        <w:jc w:val="both"/>
        <w:rPr>
          <w:rFonts w:ascii="Times New Roman" w:cs="Times New Roman" w:hAnsi="Times New Roman"/>
          <w:bCs/>
          <w:sz w:val="24"/>
          <w:szCs w:val="24"/>
          <w:vertAlign w:val="subscript"/>
          <w:lang w:val="en-US"/>
        </w:rPr>
      </w:pPr>
      <w:r>
        <w:rPr>
          <w:rFonts w:ascii="Times New Roman" w:cs="Times New Roman" w:hAnsi="Times New Roman"/>
          <w:bCs/>
          <w:sz w:val="24"/>
          <w:szCs w:val="24"/>
          <w:lang w:val="en-US"/>
        </w:rPr>
        <w:pict>
          <v:shapetype id="_x0000_t32" coordsize="21600,21600" o:spt="32" o:oned="t" path="m,l21600,21600e">
            <v:path arrowok="t" fillok="f" o:connecttype="none"/>
            <o:lock v:ext="edit" shapetype="t"/>
          </v:shapetype>
          <v:shape id="1030" type="#_x0000_t32" filled="f" style="position:absolute;margin-left:66.75pt;margin-top:9.3pt;width:96.75pt;height:0.0pt;z-index:2;mso-position-horizontal-relative:text;mso-position-vertical-relative:text;mso-width-relative:margin;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cs="Times New Roman" w:hAnsi="Times New Roman"/>
          <w:bCs/>
          <w:sz w:val="24"/>
          <w:szCs w:val="24"/>
          <w:lang w:val="en-US"/>
        </w:rPr>
        <w:t>2O</w:t>
      </w:r>
      <w:r>
        <w:rPr>
          <w:rFonts w:ascii="Times New Roman" w:cs="Times New Roman" w:hAnsi="Times New Roman"/>
          <w:bCs/>
          <w:sz w:val="24"/>
          <w:szCs w:val="24"/>
          <w:vertAlign w:val="subscript"/>
          <w:lang w:val="en-US"/>
        </w:rPr>
        <w:t>2</w:t>
      </w:r>
      <w:r>
        <w:rPr>
          <w:rFonts w:ascii="Times New Roman" w:cs="Times New Roman" w:hAnsi="Times New Roman"/>
          <w:bCs/>
          <w:sz w:val="24"/>
          <w:szCs w:val="24"/>
          <w:vertAlign w:val="superscript"/>
          <w:lang w:val="en-US"/>
        </w:rPr>
        <w:t>-.</w:t>
      </w:r>
      <w:r>
        <w:rPr>
          <w:rFonts w:ascii="Times New Roman" w:cs="Times New Roman" w:hAnsi="Times New Roman"/>
          <w:bCs/>
          <w:sz w:val="24"/>
          <w:szCs w:val="24"/>
          <w:lang w:val="en-US"/>
        </w:rPr>
        <w:t xml:space="preserve"> + 2H</w:t>
      </w:r>
      <w:r>
        <w:rPr>
          <w:rFonts w:ascii="Times New Roman" w:cs="Times New Roman" w:hAnsi="Times New Roman"/>
          <w:bCs/>
          <w:sz w:val="24"/>
          <w:szCs w:val="24"/>
          <w:vertAlign w:val="superscript"/>
          <w:lang w:val="en-US"/>
        </w:rPr>
        <w:t>+                      SOD</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         O</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 xml:space="preserve"> + H</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O</w:t>
      </w:r>
      <w:r>
        <w:rPr>
          <w:rFonts w:ascii="Times New Roman" w:cs="Times New Roman" w:hAnsi="Times New Roman"/>
          <w:bCs/>
          <w:sz w:val="24"/>
          <w:szCs w:val="24"/>
          <w:vertAlign w:val="subscript"/>
          <w:lang w:val="en-US"/>
        </w:rPr>
        <w:t>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31" type="#_x0000_t32" filled="f" style="position:absolute;margin-left:148.0pt;margin-top:8.85pt;width:99.0pt;height:0.0pt;z-index:3;mso-position-horizontal-relative:text;mso-position-vertical-relative:text;mso-width-relative:margin;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cs="Times New Roman" w:hAnsi="Times New Roman"/>
          <w:bCs/>
          <w:sz w:val="24"/>
          <w:szCs w:val="24"/>
          <w:lang w:val="en-US"/>
        </w:rPr>
        <w:t>Cytochrome c (oxidized) + O</w:t>
      </w:r>
      <w:r>
        <w:rPr>
          <w:rFonts w:ascii="Times New Roman" w:cs="Times New Roman" w:hAnsi="Times New Roman"/>
          <w:bCs/>
          <w:sz w:val="24"/>
          <w:szCs w:val="24"/>
          <w:vertAlign w:val="superscript"/>
          <w:lang w:val="en-US"/>
        </w:rPr>
        <w:t>.-</w:t>
      </w:r>
      <w:r>
        <w:rPr>
          <w:rFonts w:ascii="Times New Roman" w:cs="Times New Roman" w:hAnsi="Times New Roman"/>
          <w:bCs/>
          <w:sz w:val="24"/>
          <w:szCs w:val="24"/>
          <w:vertAlign w:val="superscript"/>
          <w:lang w:val="en-US"/>
        </w:rPr>
        <w:tab/>
      </w:r>
      <w:r>
        <w:rPr>
          <w:rFonts w:ascii="Times New Roman" w:cs="Times New Roman" w:hAnsi="Times New Roman"/>
          <w:bCs/>
          <w:sz w:val="24"/>
          <w:szCs w:val="24"/>
          <w:vertAlign w:val="superscript"/>
          <w:lang w:val="en-US"/>
        </w:rPr>
        <w:tab/>
      </w:r>
      <w:r>
        <w:rPr>
          <w:rFonts w:ascii="Times New Roman" w:cs="Times New Roman" w:hAnsi="Times New Roman"/>
          <w:bCs/>
          <w:sz w:val="24"/>
          <w:szCs w:val="24"/>
          <w:vertAlign w:val="superscript"/>
          <w:lang w:val="en-US"/>
        </w:rPr>
        <w:tab/>
      </w:r>
      <w:r>
        <w:rPr>
          <w:rFonts w:ascii="Times New Roman" w:cs="Times New Roman" w:hAnsi="Times New Roman"/>
          <w:bCs/>
          <w:sz w:val="24"/>
          <w:szCs w:val="24"/>
          <w:lang w:val="en-US"/>
        </w:rPr>
        <w:t>Cytochrome c(reduced) + O</w:t>
      </w:r>
      <w:r>
        <w:rPr>
          <w:rFonts w:ascii="Times New Roman" w:cs="Times New Roman" w:hAnsi="Times New Roman"/>
          <w:bCs/>
          <w:sz w:val="24"/>
          <w:szCs w:val="24"/>
          <w:vertAlign w:val="subscript"/>
          <w:lang w:val="en-US"/>
        </w:rPr>
        <w:t>2</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superoxide radical is produced enzymatically by the reaction: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32" type="#_x0000_t32" filled="f" style="position:absolute;margin-left:119.25pt;margin-top:9.8pt;width:58.5pt;height:0.0pt;z-index:4;mso-position-horizontal-relative:text;mso-position-vertical-relative:text;mso-width-relative:margin;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cs="Times New Roman" w:hAnsi="Times New Roman"/>
          <w:bCs/>
          <w:sz w:val="24"/>
          <w:szCs w:val="24"/>
          <w:lang w:val="en-US"/>
        </w:rPr>
        <w:t>Xanthine + O</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 xml:space="preserve"> + H</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 xml:space="preserve">O   </w:t>
      </w:r>
      <w:r>
        <w:rPr>
          <w:rFonts w:ascii="Times New Roman" w:cs="Times New Roman" w:hAnsi="Times New Roman"/>
          <w:bCs/>
          <w:sz w:val="24"/>
          <w:szCs w:val="24"/>
          <w:vertAlign w:val="superscript"/>
          <w:lang w:val="en-US"/>
        </w:rPr>
        <w:t>Xanthine oxidase</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 Uric acid + O</w:t>
      </w:r>
      <w:r>
        <w:rPr>
          <w:rFonts w:ascii="Times New Roman" w:cs="Times New Roman" w:hAnsi="Times New Roman"/>
          <w:bCs/>
          <w:sz w:val="24"/>
          <w:szCs w:val="24"/>
          <w:vertAlign w:val="subscript"/>
          <w:lang w:val="en-US"/>
        </w:rPr>
        <w:t>2</w:t>
      </w:r>
      <w:r>
        <w:rPr>
          <w:rFonts w:ascii="Times New Roman" w:cs="Times New Roman" w:hAnsi="Times New Roman"/>
          <w:bCs/>
          <w:sz w:val="24"/>
          <w:szCs w:val="24"/>
          <w:vertAlign w:val="superscript"/>
          <w:lang w:val="en-US"/>
        </w:rPr>
        <w:t>-</w:t>
      </w:r>
      <w:r>
        <w:rPr>
          <w:rFonts w:ascii="Times New Roman" w:cs="Times New Roman" w:hAnsi="Times New Roman"/>
          <w:bCs/>
          <w:sz w:val="24"/>
          <w:szCs w:val="24"/>
          <w:lang w:val="en-US"/>
        </w:rPr>
        <w:t xml:space="preserve"> + H</w:t>
      </w:r>
      <w:r>
        <w:rPr>
          <w:rFonts w:ascii="Times New Roman" w:cs="Times New Roman" w:hAnsi="Times New Roman"/>
          <w:bCs/>
          <w:sz w:val="24"/>
          <w:szCs w:val="24"/>
          <w:vertAlign w:val="superscript"/>
          <w:lang w:val="en-US"/>
        </w:rPr>
        <w:t>+</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Procedure:</w:t>
      </w:r>
      <w:r>
        <w:rPr>
          <w:rFonts w:ascii="Times New Roman" w:cs="Times New Roman" w:hAnsi="Times New Roman"/>
          <w:bCs/>
          <w:sz w:val="24"/>
          <w:szCs w:val="24"/>
          <w:lang w:val="en-US"/>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Increase in absorbance per minute = A1 – A0</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2.5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Where A0 = absorbance after 30seconds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A1 = absorbance after 150 seconds.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line id="1033" stroked="t" from="189.75pt,13.65pt" to="365.25pt,13.65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Cs/>
          <w:sz w:val="24"/>
          <w:szCs w:val="24"/>
          <w:lang w:val="en-US"/>
        </w:rPr>
        <w:t>% inhibition = 100 – (100 x increase in absorbance for substrate)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Increase in absorbance for blank</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line id="1034" stroked="t" from="163.5pt,13.95pt" to="265.5pt,13.9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Cs/>
          <w:sz w:val="24"/>
          <w:szCs w:val="24"/>
          <w:lang w:val="en-US"/>
        </w:rPr>
        <w:t>Enzyme activity (nmol/mL) = % inhibition x 1000 x df</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50 x 0.1</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df = dilution factor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0.1 = volume in mL of tissue homogenate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50% = inhibition of the rate of cytochrome c reduction as per unit definition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1000 = the factor introduced to enable enzyme activity be expressed in nmol/min/mL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specific enzyme activity was calculated using the formula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line id="1035" stroked="t" from="243.0pt,12.5pt" to="356.45pt,12.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Cs/>
          <w:sz w:val="24"/>
          <w:szCs w:val="24"/>
          <w:lang w:val="en-US"/>
        </w:rPr>
        <w:t>Specific enzyme activity (nmol/min/mg protein) = Enzyme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Protein concentration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3.9.2 CAT</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Catalase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t>The method described by Beers and sizer (1952) was used to assay for the activity of catalase.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Principle: </w:t>
      </w:r>
      <w:r>
        <w:rPr>
          <w:rFonts w:ascii="Times New Roman" w:cs="Times New Roman" w:hAnsi="Times New Roman"/>
          <w:bCs/>
          <w:sz w:val="24"/>
          <w:szCs w:val="24"/>
          <w:lang w:val="en-US"/>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36" type="#_x0000_t32" filled="f" style="position:absolute;margin-left:54.0pt;margin-top:10.5pt;width:99.0pt;height:0.0pt;z-index:8;mso-position-horizontal-relative:text;mso-position-vertical-relative:text;mso-width-relative:margin;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cs="Times New Roman" w:hAnsi="Times New Roman"/>
          <w:bCs/>
          <w:sz w:val="24"/>
          <w:szCs w:val="24"/>
          <w:lang w:val="en-US"/>
        </w:rPr>
        <w:t>2H</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O</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ab/>
      </w:r>
      <w:r>
        <w:rPr>
          <w:rFonts w:ascii="Times New Roman" w:cs="Times New Roman" w:hAnsi="Times New Roman"/>
          <w:bCs/>
          <w:sz w:val="24"/>
          <w:szCs w:val="24"/>
          <w:vertAlign w:val="superscript"/>
          <w:lang w:val="en-US"/>
        </w:rPr>
        <w:t>Catalase</w:t>
      </w:r>
      <w:r>
        <w:rPr>
          <w:rFonts w:ascii="Times New Roman" w:cs="Times New Roman" w:hAnsi="Times New Roman"/>
          <w:bCs/>
          <w:sz w:val="24"/>
          <w:szCs w:val="24"/>
          <w:vertAlign w:val="superscript"/>
          <w:lang w:val="en-US"/>
        </w:rPr>
        <w:tab/>
      </w:r>
      <w:r>
        <w:rPr>
          <w:rFonts w:ascii="Times New Roman" w:cs="Times New Roman" w:hAnsi="Times New Roman"/>
          <w:bCs/>
          <w:sz w:val="24"/>
          <w:szCs w:val="24"/>
          <w:lang w:val="en-US"/>
        </w:rPr>
        <w:t>2H</w:t>
      </w:r>
      <w:r>
        <w:rPr>
          <w:rFonts w:ascii="Times New Roman" w:cs="Times New Roman" w:hAnsi="Times New Roman"/>
          <w:bCs/>
          <w:sz w:val="24"/>
          <w:szCs w:val="24"/>
          <w:vertAlign w:val="subscript"/>
          <w:lang w:val="en-US"/>
        </w:rPr>
        <w:t>2</w:t>
      </w:r>
      <w:r>
        <w:rPr>
          <w:rFonts w:ascii="Times New Roman" w:cs="Times New Roman" w:hAnsi="Times New Roman"/>
          <w:bCs/>
          <w:sz w:val="24"/>
          <w:szCs w:val="24"/>
          <w:lang w:val="en-US"/>
        </w:rPr>
        <w:t>O + O</w:t>
      </w:r>
      <w:r>
        <w:rPr>
          <w:rFonts w:ascii="Times New Roman" w:cs="Times New Roman" w:hAnsi="Times New Roman"/>
          <w:bCs/>
          <w:sz w:val="24"/>
          <w:szCs w:val="24"/>
          <w:vertAlign w:val="subscript"/>
          <w:lang w:val="en-US"/>
        </w:rPr>
        <w:t>2</w:t>
      </w:r>
    </w:p>
    <w:bookmarkStart w:id="4" w:name="_Toc445732214"/>
    <w:bookmarkStart w:id="5" w:name="_Toc445732267"/>
    <w:bookmarkStart w:id="6" w:name="_Toc445735436"/>
    <w:bookmarkStart w:id="7" w:name="_Toc481329705"/>
    <w:bookmarkStart w:id="8" w:name="_Toc481935399"/>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Procedure</w:t>
      </w:r>
      <w:bookmarkEnd w:id="4"/>
      <w:bookmarkEnd w:id="5"/>
      <w:bookmarkEnd w:id="6"/>
      <w:bookmarkEnd w:id="7"/>
      <w:bookmarkEnd w:id="8"/>
    </w:p>
    <w:bookmarkStart w:id="9" w:name="_Toc445732215"/>
    <w:bookmarkStart w:id="10" w:name="_Toc445732268"/>
    <w:bookmarkStart w:id="11" w:name="_Toc445735437"/>
    <w:bookmarkStart w:id="12" w:name="_Toc481329706"/>
    <w:bookmarkStart w:id="13" w:name="_Toc481935400"/>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Hydrogen peroxide (0.036% w/w, 2.9 mL) was added and mixed with appropriately              diluted homogenate (0.1 mL).A blank was prepared containing potassium phosphate buffer (50 mM, pH 7.0, 3.0 mL). The time required for the A</w:t>
      </w:r>
      <w:r>
        <w:rPr>
          <w:rFonts w:ascii="Times New Roman" w:cs="Times New Roman" w:hAnsi="Times New Roman"/>
          <w:bCs/>
          <w:sz w:val="24"/>
          <w:szCs w:val="24"/>
          <w:vertAlign w:val="subscript"/>
          <w:lang w:val="en-US"/>
        </w:rPr>
        <w:t xml:space="preserve">240nm </w:t>
      </w:r>
      <w:r>
        <w:rPr>
          <w:rFonts w:ascii="Times New Roman" w:cs="Times New Roman" w:hAnsi="Times New Roman"/>
          <w:bCs/>
          <w:sz w:val="24"/>
          <w:szCs w:val="24"/>
          <w:lang w:val="en-US"/>
        </w:rPr>
        <w:t>of the reaction mixture to decrease from 0.45 to 0.40 absorbance units was recorded.</w:t>
      </w:r>
      <w:bookmarkEnd w:id="9"/>
      <w:bookmarkEnd w:id="10"/>
      <w:bookmarkEnd w:id="11"/>
      <w:bookmarkEnd w:id="12"/>
      <w:bookmarkEnd w:id="13"/>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NB:</w:t>
      </w:r>
      <w:r>
        <w:rPr>
          <w:rFonts w:ascii="Times New Roman" w:cs="Times New Roman" w:hAnsi="Times New Roman"/>
          <w:bCs/>
          <w:sz w:val="24"/>
          <w:szCs w:val="24"/>
          <w:lang w:val="en-US"/>
        </w:rPr>
        <w:t xml:space="preserve"> The initial A</w:t>
      </w:r>
      <w:r>
        <w:rPr>
          <w:rFonts w:ascii="Times New Roman" w:cs="Times New Roman" w:hAnsi="Times New Roman"/>
          <w:bCs/>
          <w:sz w:val="24"/>
          <w:szCs w:val="24"/>
          <w:vertAlign w:val="subscript"/>
          <w:lang w:val="en-US"/>
        </w:rPr>
        <w:t>240nm</w:t>
      </w:r>
      <w:r>
        <w:rPr>
          <w:rFonts w:ascii="Times New Roman" w:cs="Times New Roman" w:hAnsi="Times New Roman"/>
          <w:bCs/>
          <w:sz w:val="24"/>
          <w:szCs w:val="24"/>
          <w:lang w:val="en-US"/>
        </w:rPr>
        <w:t xml:space="preserve"> exceeded 0.450 absorbance units and started to decrease. The reaction timing was started when the A</w:t>
      </w:r>
      <w:r>
        <w:rPr>
          <w:rFonts w:ascii="Times New Roman" w:cs="Times New Roman" w:hAnsi="Times New Roman"/>
          <w:bCs/>
          <w:sz w:val="24"/>
          <w:szCs w:val="24"/>
          <w:vertAlign w:val="subscript"/>
          <w:lang w:val="en-US"/>
        </w:rPr>
        <w:t>240nm</w:t>
      </w:r>
      <w:r>
        <w:rPr>
          <w:rFonts w:ascii="Times New Roman" w:cs="Times New Roman" w:hAnsi="Times New Roman"/>
          <w:bCs/>
          <w:sz w:val="24"/>
          <w:szCs w:val="24"/>
          <w:lang w:val="en-US"/>
        </w:rPr>
        <w:t xml:space="preserve"> reached 0.450 absorbance units.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activity and specific activity of catalase was calculated using the expression:</w:t>
      </w:r>
    </w:p>
    <w:bookmarkStart w:id="14" w:name="_Toc445732216"/>
    <w:bookmarkStart w:id="15" w:name="_Toc445732269"/>
    <w:bookmarkStart w:id="16" w:name="_Toc445735438"/>
    <w:bookmarkStart w:id="17" w:name="_Toc481329707"/>
    <w:bookmarkStart w:id="18" w:name="_Toc481935401"/>
    <w:p>
      <w:pPr>
        <w:pStyle w:val="style0"/>
        <w:spacing w:after="0" w:lineRule="auto" w:line="360"/>
        <w:jc w:val="both"/>
        <w:rPr>
          <w:rFonts w:ascii="Times New Roman" w:cs="Times New Roman" w:hAnsi="Times New Roman"/>
          <w:bCs/>
          <w:sz w:val="24"/>
          <w:szCs w:val="24"/>
          <w:lang w:val="en-GB"/>
        </w:rPr>
      </w:pPr>
      <w:r>
        <w:rPr>
          <w:rFonts w:ascii="Times New Roman" w:cs="Times New Roman" w:hAnsi="Times New Roman"/>
          <w:bCs/>
          <w:sz w:val="24"/>
          <w:szCs w:val="24"/>
          <w:lang w:val="en-GB"/>
        </w:rPr>
        <w:t xml:space="preserve">Enzyme Activity (nmol/min/mL) = </w:t>
      </w:r>
      <w:r>
        <w:rPr>
          <w:rFonts w:ascii="Times New Roman" w:cs="Times New Roman" w:hAnsi="Times New Roman"/>
          <w:bCs/>
          <w:sz w:val="24"/>
          <w:szCs w:val="24"/>
          <w:u w:val="single"/>
          <w:lang w:val="en-GB"/>
        </w:rPr>
        <w:t>3.45 x 1000 x df</w:t>
      </w:r>
      <w:bookmarkEnd w:id="14"/>
      <w:bookmarkEnd w:id="15"/>
      <w:bookmarkEnd w:id="16"/>
      <w:bookmarkEnd w:id="17"/>
      <w:bookmarkEnd w:id="18"/>
    </w:p>
    <w:p>
      <w:pPr>
        <w:pStyle w:val="style0"/>
        <w:spacing w:after="0" w:lineRule="auto" w:line="360"/>
        <w:jc w:val="both"/>
        <w:rPr>
          <w:rFonts w:ascii="Times New Roman" w:cs="Times New Roman" w:hAnsi="Times New Roman"/>
          <w:bCs/>
          <w:sz w:val="24"/>
          <w:szCs w:val="24"/>
          <w:lang w:val="en-GB"/>
        </w:rPr>
      </w:pP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ab/>
      </w:r>
      <w:r>
        <w:rPr>
          <w:rFonts w:ascii="Times New Roman" w:cs="Times New Roman" w:hAnsi="Times New Roman"/>
          <w:bCs/>
          <w:sz w:val="24"/>
          <w:szCs w:val="24"/>
          <w:lang w:val="en-GB"/>
        </w:rPr>
        <w:t>min x v</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3.45 - Corresponds to the decomposition of 3.45 micromoles of hydrogen peroxide in a 3.0 mL reaction mixture producing a decrease in the A</w:t>
      </w:r>
      <w:r>
        <w:rPr>
          <w:rFonts w:ascii="Times New Roman" w:cs="Times New Roman" w:hAnsi="Times New Roman"/>
          <w:bCs/>
          <w:sz w:val="24"/>
          <w:szCs w:val="24"/>
          <w:vertAlign w:val="subscript"/>
          <w:lang w:val="en-US"/>
        </w:rPr>
        <w:t>240nm</w:t>
      </w:r>
      <w:r>
        <w:rPr>
          <w:rFonts w:ascii="Times New Roman" w:cs="Times New Roman" w:hAnsi="Times New Roman"/>
          <w:bCs/>
          <w:sz w:val="24"/>
          <w:szCs w:val="24"/>
          <w:lang w:val="en-US"/>
        </w:rPr>
        <w:t xml:space="preserve"> from 0.45 to 0.40 absorbance units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df    -</w:t>
      </w:r>
      <w:r>
        <w:rPr>
          <w:rFonts w:ascii="Times New Roman" w:cs="Times New Roman" w:hAnsi="Times New Roman"/>
          <w:bCs/>
          <w:sz w:val="24"/>
          <w:szCs w:val="24"/>
          <w:lang w:val="en-US"/>
        </w:rPr>
        <w:tab/>
      </w:r>
      <w:r>
        <w:rPr>
          <w:rFonts w:ascii="Times New Roman" w:cs="Times New Roman" w:hAnsi="Times New Roman"/>
          <w:bCs/>
          <w:sz w:val="24"/>
          <w:szCs w:val="24"/>
          <w:lang w:val="en-US"/>
        </w:rPr>
        <w:t>Dilution factor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min -</w:t>
      </w:r>
      <w:r>
        <w:rPr>
          <w:rFonts w:ascii="Times New Roman" w:cs="Times New Roman" w:hAnsi="Times New Roman"/>
          <w:bCs/>
          <w:sz w:val="24"/>
          <w:szCs w:val="24"/>
          <w:lang w:val="en-US"/>
        </w:rPr>
        <w:tab/>
      </w:r>
      <w:r>
        <w:rPr>
          <w:rFonts w:ascii="Times New Roman" w:cs="Times New Roman" w:hAnsi="Times New Roman"/>
          <w:bCs/>
          <w:sz w:val="24"/>
          <w:szCs w:val="24"/>
          <w:lang w:val="en-US"/>
        </w:rPr>
        <w:t>Time (minutes) required for the A</w:t>
      </w:r>
      <w:r>
        <w:rPr>
          <w:rFonts w:ascii="Times New Roman" w:cs="Times New Roman" w:hAnsi="Times New Roman"/>
          <w:bCs/>
          <w:sz w:val="24"/>
          <w:szCs w:val="24"/>
          <w:vertAlign w:val="subscript"/>
          <w:lang w:val="en-US"/>
        </w:rPr>
        <w:t>240nm</w:t>
      </w:r>
      <w:r>
        <w:rPr>
          <w:rFonts w:ascii="Times New Roman" w:cs="Times New Roman" w:hAnsi="Times New Roman"/>
          <w:bCs/>
          <w:sz w:val="24"/>
          <w:szCs w:val="24"/>
          <w:lang w:val="en-US"/>
        </w:rPr>
        <w:t xml:space="preserve"> to decrease from 0.45 to 0.40 absorbance units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 -Volume (mL) of the sample used</w:t>
      </w:r>
    </w:p>
    <w:p>
      <w:pPr>
        <w:pStyle w:val="style0"/>
        <w:spacing w:after="0" w:lineRule="auto" w:line="360"/>
        <w:jc w:val="both"/>
        <w:rPr>
          <w:rFonts w:ascii="Times New Roman" w:cs="Times New Roman" w:hAnsi="Times New Roman"/>
          <w:bCs/>
          <w:sz w:val="24"/>
          <w:szCs w:val="24"/>
          <w:lang w:val="en-GB"/>
        </w:rPr>
      </w:pPr>
      <w:r>
        <w:rPr>
          <w:rFonts w:ascii="Times New Roman" w:cs="Times New Roman" w:hAnsi="Times New Roman"/>
          <w:bCs/>
          <w:sz w:val="24"/>
          <w:szCs w:val="24"/>
          <w:lang w:val="en-US"/>
        </w:rPr>
        <w:t>1000 -</w:t>
      </w:r>
      <w:r>
        <w:rPr>
          <w:rFonts w:ascii="Times New Roman" w:cs="Times New Roman" w:hAnsi="Times New Roman"/>
          <w:bCs/>
          <w:sz w:val="24"/>
          <w:szCs w:val="24"/>
          <w:lang w:val="en-US"/>
        </w:rPr>
        <w:tab/>
      </w:r>
      <w:r>
        <w:rPr>
          <w:rFonts w:ascii="Times New Roman" w:cs="Times New Roman" w:hAnsi="Times New Roman"/>
          <w:bCs/>
          <w:sz w:val="24"/>
          <w:szCs w:val="24"/>
          <w:lang w:val="en-GB"/>
        </w:rPr>
        <w:t>The factor introduced to enable enzyme activity be expressed in nmol/min/mL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yo-NG"/>
        </w:rPr>
        <w:t>The specific enzyme activity was calculated using the expression: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line id="1037" stroked="t" from="238.5pt,16.0pt" to="323.25pt,16.0pt" style="position:absolute;z-index:9;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Cs/>
          <w:sz w:val="24"/>
          <w:szCs w:val="24"/>
          <w:lang w:val="en-US"/>
        </w:rPr>
        <w:t>Specific enzyme activity (nmol/min/mg protein) = Enzyme Activity</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Protein Concentration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3.9.3. MDA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Malondialdehyde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concentration of MDA was quantified according to the method of Nelson, (2004) as outlined below:</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A portion of TBA reagent (2ml of 0.7% and 1ml of TCA) were added to 2ml of the sample. The mixture was thoroughly heated in a water bath at 100</w:t>
      </w:r>
      <w:r>
        <w:rPr>
          <w:rFonts w:ascii="Times New Roman" w:cs="Times New Roman" w:hAnsi="Times New Roman"/>
          <w:bCs/>
          <w:sz w:val="24"/>
          <w:szCs w:val="24"/>
          <w:vertAlign w:val="superscript"/>
          <w:lang w:val="en-US"/>
        </w:rPr>
        <w:t>o</w:t>
      </w:r>
      <w:r>
        <w:rPr>
          <w:rFonts w:ascii="Times New Roman" w:cs="Times New Roman" w:hAnsi="Times New Roman"/>
          <w:bCs/>
          <w:sz w:val="24"/>
          <w:szCs w:val="24"/>
          <w:lang w:val="en-US"/>
        </w:rPr>
        <w:t>C for 20minutes.  It was then cooled and centrifuged at 78g (4000rpm) for 10minutes. The absorbance of the supernatant was read at a wavelength of 540nm against a reference blank of distilled water after centrifuging for another 10 minutes.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38" type="#_x0000_t32" filled="f" style="position:absolute;margin-left:124.1pt;margin-top:13.1pt;width:117.0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Cs/>
          <w:sz w:val="24"/>
          <w:szCs w:val="24"/>
          <w:lang w:val="en-US"/>
        </w:rPr>
        <w:t xml:space="preserve">Conc. Of MDA=                       Abs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Extinction coefficient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Extinction Coeff. Of MDA = 1.56 x 10</w:t>
      </w:r>
      <w:r>
        <w:rPr>
          <w:rFonts w:ascii="Times New Roman" w:cs="Times New Roman" w:hAnsi="Times New Roman"/>
          <w:bCs/>
          <w:sz w:val="24"/>
          <w:szCs w:val="24"/>
          <w:vertAlign w:val="superscript"/>
          <w:lang w:val="en-US"/>
        </w:rPr>
        <w:t>5</w:t>
      </w:r>
      <w:r>
        <w:rPr>
          <w:rFonts w:ascii="Times New Roman" w:cs="Times New Roman" w:hAnsi="Times New Roman"/>
          <w:bCs/>
          <w:sz w:val="24"/>
          <w:szCs w:val="24"/>
          <w:lang w:val="en-US"/>
        </w:rPr>
        <w:t xml:space="preserve"> nm</w:t>
      </w:r>
      <w:r>
        <w:rPr>
          <w:rFonts w:ascii="Times New Roman" w:cs="Times New Roman" w:hAnsi="Times New Roman"/>
          <w:bCs/>
          <w:sz w:val="24"/>
          <w:szCs w:val="24"/>
          <w:vertAlign w:val="superscript"/>
          <w:lang w:val="en-US"/>
        </w:rPr>
        <w:t>-1</w:t>
      </w:r>
      <w:r>
        <w:rPr>
          <w:rFonts w:ascii="Times New Roman" w:cs="Times New Roman" w:hAnsi="Times New Roman"/>
          <w:bCs/>
          <w:sz w:val="24"/>
          <w:szCs w:val="24"/>
          <w:lang w:val="en-US"/>
        </w:rPr>
        <w:t>cm</w:t>
      </w:r>
      <w:r>
        <w:rPr>
          <w:rFonts w:ascii="Times New Roman" w:cs="Times New Roman" w:hAnsi="Times New Roman"/>
          <w:bCs/>
          <w:sz w:val="24"/>
          <w:szCs w:val="24"/>
          <w:vertAlign w:val="superscript"/>
          <w:lang w:val="en-US"/>
        </w:rPr>
        <w:t>-1</w:t>
      </w:r>
      <w:r>
        <w:rPr>
          <w:rFonts w:ascii="Times New Roman" w:cs="Times New Roman" w:hAnsi="Times New Roman"/>
          <w:bCs/>
          <w:sz w:val="24"/>
          <w:szCs w:val="24"/>
          <w:lang w:val="en-US"/>
        </w:rPr>
        <w: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TBA: 0.7% 1.e 0.7g in 100ml.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TCA:  20% i.e. 20g in 100ml</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3.9.3. GSH</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Reduced glutathione (GSH)</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level of GSH in the </w:t>
      </w:r>
      <w:r>
        <w:rPr>
          <w:rFonts w:ascii="Times New Roman" w:cs="Times New Roman" w:hAnsi="Times New Roman"/>
          <w:bCs/>
          <w:sz w:val="24"/>
          <w:szCs w:val="24"/>
          <w:lang w:val="yo-NG"/>
        </w:rPr>
        <w:t>liver homogenate</w:t>
      </w:r>
      <w:r>
        <w:rPr>
          <w:rFonts w:ascii="Times New Roman" w:cs="Times New Roman" w:hAnsi="Times New Roman"/>
          <w:bCs/>
          <w:sz w:val="24"/>
          <w:szCs w:val="24"/>
          <w:lang w:val="en-US"/>
        </w:rPr>
        <w:t xml:space="preserve"> was determined using the procedure described by</w:t>
      </w:r>
      <w:r>
        <w:rPr>
          <w:rFonts w:ascii="Times New Roman" w:cs="Times New Roman" w:hAnsi="Times New Roman"/>
          <w:bCs/>
          <w:sz w:val="24"/>
          <w:szCs w:val="24"/>
          <w:lang w:val="yo-NG"/>
        </w:rPr>
        <w:t xml:space="preserve"> Ellman </w:t>
      </w:r>
      <w:r>
        <w:rPr>
          <w:rFonts w:ascii="Times New Roman" w:cs="Times New Roman" w:hAnsi="Times New Roman"/>
          <w:bCs/>
          <w:sz w:val="24"/>
          <w:szCs w:val="24"/>
          <w:lang w:val="yo-NG"/>
        </w:rPr>
        <w:fldChar w:fldCharType="begin"/>
      </w:r>
      <w:r>
        <w:rPr>
          <w:rFonts w:ascii="Times New Roman" w:cs="Times New Roman" w:hAnsi="Times New Roman"/>
          <w:bCs/>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cs="Times New Roman" w:hAnsi="Times New Roman"/>
          <w:bCs/>
          <w:sz w:val="24"/>
          <w:szCs w:val="24"/>
          <w:lang w:val="yo-NG"/>
        </w:rPr>
        <w:fldChar w:fldCharType="separate"/>
      </w:r>
      <w:r>
        <w:rPr>
          <w:rFonts w:ascii="Times New Roman" w:cs="Times New Roman" w:hAnsi="Times New Roman"/>
          <w:bCs/>
          <w:sz w:val="24"/>
          <w:szCs w:val="24"/>
          <w:lang w:val="yo-NG"/>
        </w:rPr>
        <w:t>(Ellman, 1959)</w:t>
      </w:r>
      <w:r>
        <w:rPr>
          <w:rFonts w:ascii="Times New Roman" w:cs="Times New Roman" w:hAnsi="Times New Roman"/>
          <w:bCs/>
          <w:sz w:val="24"/>
          <w:szCs w:val="24"/>
          <w:lang w:val="en-US"/>
        </w:rPr>
        <w:fldChar w:fldCharType="end"/>
      </w:r>
      <w:r>
        <w:rPr>
          <w:rFonts w:ascii="Times New Roman" w:cs="Times New Roman" w:hAnsi="Times New Roman"/>
          <w:bCs/>
          <w:sz w:val="24"/>
          <w:szCs w:val="24"/>
          <w:lang w:val="yo-NG"/>
        </w:rPr>
        <w:t>.</w:t>
      </w:r>
      <w:r>
        <w:rPr>
          <w:rFonts w:ascii="Times New Roman" w:cs="Times New Roman" w:hAnsi="Times New Roman"/>
          <w:bCs/>
          <w:sz w:val="24"/>
          <w:szCs w:val="24"/>
          <w:lang w:val="en-US"/>
        </w:rPr>
        <w:t xml:space="preserve"> Briefly, 1.0 mL of </w:t>
      </w:r>
      <w:r>
        <w:rPr>
          <w:rFonts w:ascii="Times New Roman" w:cs="Times New Roman" w:hAnsi="Times New Roman"/>
          <w:bCs/>
          <w:sz w:val="24"/>
          <w:szCs w:val="24"/>
          <w:lang w:val="yo-NG"/>
        </w:rPr>
        <w:t>liver homogenate</w:t>
      </w:r>
      <w:r>
        <w:rPr>
          <w:rFonts w:ascii="Times New Roman" w:cs="Times New Roman" w:hAnsi="Times New Roman"/>
          <w:bCs/>
          <w:sz w:val="24"/>
          <w:szCs w:val="24"/>
          <w:lang w:val="en-US"/>
        </w:rPr>
        <w:t xml:space="preserve"> was added to 0.1 mL of 25% trichloroacetic acid (TCA) and precipitate was removed by centrifugation at 5,000 </w:t>
      </w:r>
      <w:r>
        <w:rPr>
          <w:rFonts w:ascii="Times New Roman" w:cs="Times New Roman" w:hAnsi="Times New Roman"/>
          <w:bCs/>
          <w:i/>
          <w:sz w:val="24"/>
          <w:szCs w:val="24"/>
          <w:lang w:val="en-US"/>
        </w:rPr>
        <w:t>g</w:t>
      </w:r>
      <w:r>
        <w:rPr>
          <w:rFonts w:ascii="Times New Roman" w:cs="Times New Roman" w:hAnsi="Times New Roman"/>
          <w:bCs/>
          <w:sz w:val="24"/>
          <w:szCs w:val="24"/>
          <w:lang w:val="en-US"/>
        </w:rPr>
        <w:t xml:space="preserve"> for 10 min. Supernatant (0.1 mL) was added to 2 mL of 0.6 mM DTNB prepared in 0.2M sodium phosphate buffer (pH 8.0). The absorbance was read at 412 nm.</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3.10  Protein</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Determination of Total protein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total protein concentration in the liver, kidney and serum of the animals was assayed, using Biuret reagent as described by Gornall</w:t>
      </w:r>
      <w:r>
        <w:rPr>
          <w:rFonts w:ascii="Times New Roman" w:cs="Times New Roman" w:hAnsi="Times New Roman"/>
          <w:bCs/>
          <w:i/>
          <w:iCs/>
          <w:sz w:val="24"/>
          <w:szCs w:val="24"/>
          <w:lang w:val="en-US"/>
        </w:rPr>
        <w:t xml:space="preserve">et al </w:t>
      </w:r>
      <w:r>
        <w:rPr>
          <w:rFonts w:ascii="Times New Roman" w:cs="Times New Roman" w:hAnsi="Times New Roman"/>
          <w:bCs/>
          <w:sz w:val="24"/>
          <w:szCs w:val="24"/>
          <w:lang w:val="en-US"/>
        </w:rPr>
        <w:t xml:space="preserve">(1949). </w:t>
      </w:r>
    </w:p>
    <w:p>
      <w:pPr>
        <w:pStyle w:val="style0"/>
        <w:spacing w:after="0" w:lineRule="auto" w:line="360"/>
        <w:jc w:val="both"/>
        <w:rPr>
          <w:rFonts w:ascii="Times New Roman" w:cs="Times New Roman" w:hAnsi="Times New Roman"/>
          <w:bCs/>
          <w:sz w:val="24"/>
          <w:szCs w:val="24"/>
          <w:lang w:val="en-GB"/>
        </w:rPr>
      </w:pPr>
      <w:r>
        <w:rPr>
          <w:rFonts w:ascii="Times New Roman" w:cs="Times New Roman" w:hAnsi="Times New Roman"/>
          <w:b/>
          <w:bCs/>
          <w:sz w:val="24"/>
          <w:szCs w:val="24"/>
          <w:lang w:val="en-US"/>
        </w:rPr>
        <w:t xml:space="preserve">Principle: </w:t>
      </w:r>
      <w:r>
        <w:rPr>
          <w:rFonts w:ascii="Times New Roman" w:cs="Times New Roman" w:hAnsi="Times New Roman"/>
          <w:bCs/>
          <w:sz w:val="24"/>
          <w:szCs w:val="24"/>
          <w:lang w:val="en-GB"/>
        </w:rPr>
        <w:t>The biuret reagent is an alkaline solution of copper potassium tartarate. Compounds containing two or more peptide bounds react with Cu</w:t>
      </w:r>
      <w:r>
        <w:rPr>
          <w:rFonts w:ascii="Times New Roman" w:cs="Times New Roman" w:hAnsi="Times New Roman"/>
          <w:bCs/>
          <w:sz w:val="24"/>
          <w:szCs w:val="24"/>
          <w:vertAlign w:val="superscript"/>
          <w:lang w:val="en-GB"/>
        </w:rPr>
        <w:t>2+</w:t>
      </w:r>
      <w:r>
        <w:rPr>
          <w:rFonts w:ascii="Times New Roman" w:cs="Times New Roman" w:hAnsi="Times New Roman"/>
          <w:bCs/>
          <w:sz w:val="24"/>
          <w:szCs w:val="24"/>
          <w:lang w:val="en-GB"/>
        </w:rPr>
        <w:t xml:space="preserve"> ion to give a violet colour. The buiret reaction is due to coordination of Cu</w:t>
      </w:r>
      <w:r>
        <w:rPr>
          <w:rFonts w:ascii="Times New Roman" w:cs="Times New Roman" w:hAnsi="Times New Roman"/>
          <w:bCs/>
          <w:sz w:val="24"/>
          <w:szCs w:val="24"/>
          <w:vertAlign w:val="superscript"/>
          <w:lang w:val="en-GB"/>
        </w:rPr>
        <w:t>2+</w:t>
      </w:r>
      <w:r>
        <w:rPr>
          <w:rFonts w:ascii="Times New Roman" w:cs="Times New Roman" w:hAnsi="Times New Roman"/>
          <w:bCs/>
          <w:sz w:val="24"/>
          <w:szCs w:val="24"/>
          <w:lang w:val="en-GB"/>
        </w:rPr>
        <w:t xml:space="preserve"> with the unshared electron pairs of peptide nitrogen and the oxygen of water which results into the coloured complex. A purple coloured chelate is formed between cupric ions and peptide bonds in alkaline medium. The intensity of the colour is proportional to the amount of protein present.</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Procedure: </w:t>
      </w:r>
      <w:r>
        <w:rPr>
          <w:rFonts w:ascii="Times New Roman" w:cs="Times New Roman" w:hAnsi="Times New Roman"/>
          <w:bCs/>
          <w:sz w:val="24"/>
          <w:szCs w:val="24"/>
          <w:lang w:val="en-US"/>
        </w:rPr>
        <w:t xml:space="preserve">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Protein concentration (mg/ml) = Cs × F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Where:    Cs= corresponding protein concentration from the calibration, F = dilution factor</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Protocol for the determination of calibration curve for protein: </w:t>
      </w:r>
      <w:r>
        <w:rPr>
          <w:rFonts w:ascii="Times New Roman" w:cs="Times New Roman" w:hAnsi="Times New Roman"/>
          <w:bCs/>
          <w:sz w:val="24"/>
          <w:szCs w:val="24"/>
          <w:lang w:val="en-US"/>
        </w:rPr>
        <w:t xml:space="preserve">A protein standard, egg albumin stock solution (10 mg/ml) was prepared. Varying volumes of the stock solution </w:t>
      </w:r>
      <w:r>
        <w:rPr>
          <w:rFonts w:ascii="Times New Roman" w:cs="Times New Roman" w:hAnsi="Times New Roman"/>
          <w:bCs/>
          <w:sz w:val="24"/>
          <w:szCs w:val="24"/>
          <w:lang w:val="en-US"/>
        </w:rPr>
        <w:t>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after="0" w:lineRule="auto" w:line="360"/>
        <w:jc w:val="both"/>
        <w:rPr>
          <w:rFonts w:ascii="Times New Roman" w:cs="Times New Roman" w:hAnsi="Times New Roman"/>
          <w:bCs/>
          <w:sz w:val="24"/>
          <w:szCs w:val="24"/>
          <w:lang w:val="en-US"/>
        </w:rPr>
      </w:pPr>
    </w:p>
    <w:p>
      <w:pPr>
        <w:pStyle w:val="style0"/>
        <w:numPr>
          <w:ilvl w:val="0"/>
          <w:numId w:val="9"/>
        </w:numPr>
        <w:spacing w:after="0" w:lineRule="auto" w:line="360"/>
        <w:ind w:left="0" w:firstLine="0"/>
        <w:jc w:val="both"/>
        <w:rPr>
          <w:rFonts w:ascii="Times New Roman" w:cs="Times New Roman" w:hAnsi="Times New Roman"/>
          <w:b/>
          <w:bCs/>
          <w:sz w:val="24"/>
          <w:szCs w:val="24"/>
          <w:u w:val="single"/>
          <w:lang w:val="en-US"/>
        </w:rPr>
      </w:pPr>
      <w:r>
        <w:rPr>
          <w:rFonts w:ascii="Times New Roman" w:cs="Times New Roman" w:hAnsi="Times New Roman"/>
          <w:b/>
          <w:bCs/>
          <w:sz w:val="24"/>
          <w:szCs w:val="24"/>
          <w:u w:val="single"/>
          <w:lang w:val="en-US"/>
        </w:rPr>
        <w:t>To calculate for protein concentration divide each absorbance value by 0.0684</w:t>
      </w:r>
    </w:p>
    <w:p>
      <w:pPr>
        <w:pStyle w:val="style0"/>
        <w:numPr>
          <w:ilvl w:val="0"/>
          <w:numId w:val="9"/>
        </w:numPr>
        <w:spacing w:after="0" w:lineRule="auto" w:line="360"/>
        <w:ind w:left="0" w:firstLine="0"/>
        <w:jc w:val="both"/>
        <w:rPr>
          <w:rFonts w:ascii="Times New Roman" w:cs="Times New Roman" w:hAnsi="Times New Roman"/>
          <w:b/>
          <w:bCs/>
          <w:sz w:val="24"/>
          <w:szCs w:val="24"/>
          <w:u w:val="single"/>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drawing>
          <wp:inline distL="114300" distT="0" distB="0" distR="114300">
            <wp:extent cx="4572000" cy="2743200"/>
            <wp:effectExtent l="0" t="0" r="0" b="0"/>
            <wp:docPr id="104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bCs/>
          <w:sz w:val="24"/>
          <w:szCs w:val="24"/>
          <w:lang w:val="en-US"/>
        </w:rPr>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3.10.1.  Histopatological analysis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Small portions of the liver from each rat were removed, and fixed in formalin (10 %). The specimens were processed for dehydration using ascending grades of ethanol, clearing in xylene and impregnation with molten paraffin wax in an oven at 60 °C, using an automatic tissue processor (Sakura, Japan). Next, the tissues were embedded using an embedding station (Leica, Germany); sections (4-5 um) were cut and stained with Hematoxylin and Eosin (H&amp;E) and PAS techniques as described previously (Al-Doaiss </w:t>
      </w:r>
      <w:r>
        <w:rPr>
          <w:rFonts w:ascii="Times New Roman" w:cs="Times New Roman" w:hAnsi="Times New Roman"/>
          <w:bCs/>
          <w:i/>
          <w:sz w:val="24"/>
          <w:szCs w:val="24"/>
          <w:lang w:val="en-US"/>
        </w:rPr>
        <w:t>et al</w:t>
      </w:r>
      <w:r>
        <w:rPr>
          <w:rFonts w:ascii="Times New Roman" w:cs="Times New Roman" w:hAnsi="Times New Roman"/>
          <w:bCs/>
          <w:sz w:val="24"/>
          <w:szCs w:val="24"/>
          <w:lang w:val="en-US"/>
        </w:rPr>
        <w:t>., 2019). The stained sections were examined using optical microscope (Olympus Microscope BP53 with Digital</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Camera, Japan). All subsequent histopathological examinations were performed by an experienced pathologist without knowledge of the previous treatments.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3.10.2</w:t>
      </w:r>
      <w:r>
        <w:rPr>
          <w:rFonts w:ascii="Times New Roman" w:cs="Times New Roman" w:hAnsi="Times New Roman"/>
          <w:b/>
          <w:bCs/>
          <w:sz w:val="24"/>
          <w:szCs w:val="24"/>
          <w:lang w:val="en-US"/>
        </w:rPr>
        <w:tab/>
      </w:r>
      <w:r>
        <w:rPr>
          <w:rFonts w:ascii="Times New Roman" w:cs="Times New Roman" w:hAnsi="Times New Roman"/>
          <w:b/>
          <w:bCs/>
          <w:sz w:val="24"/>
          <w:szCs w:val="24"/>
          <w:lang w:val="en-US"/>
        </w:rPr>
        <w:t>Statistical Analysis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Results are expressed as mean ± SEM. The levels of homogeneity among the groups were assessed using One-way Analysis of Variance (ANOVA) followed by Turkey's test. All analyses were done using Graph Pad Prism 8 Software Version (8.0.1) and p values (P&lt;0.05</w:t>
      </w:r>
      <w:r>
        <w:rPr>
          <w:rFonts w:ascii="Times New Roman" w:cs="Times New Roman" w:hAnsi="Times New Roman"/>
          <w:bCs/>
          <w:i/>
          <w:sz w:val="24"/>
          <w:szCs w:val="24"/>
          <w:lang w:val="en-US"/>
        </w:rPr>
        <w:t>)</w:t>
      </w:r>
      <w:r>
        <w:rPr>
          <w:rFonts w:ascii="Times New Roman" w:cs="Times New Roman" w:hAnsi="Times New Roman"/>
          <w:bCs/>
          <w:sz w:val="24"/>
          <w:szCs w:val="24"/>
          <w:lang w:val="en-US"/>
        </w:rPr>
        <w:t xml:space="preserve"> considered statistically significant.</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CHAPER FOUR</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RESULTS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Phytochemical Analysis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Freshly prepared </w:t>
      </w:r>
      <w:r>
        <w:rPr>
          <w:rFonts w:ascii="Times New Roman" w:cs="Times New Roman" w:hAnsi="Times New Roman"/>
          <w:bCs/>
          <w:i/>
          <w:sz w:val="24"/>
          <w:szCs w:val="24"/>
          <w:lang w:val="en-US"/>
        </w:rPr>
        <w:t xml:space="preserve">Cucuma Longa </w:t>
      </w:r>
      <w:r>
        <w:rPr>
          <w:rFonts w:ascii="Times New Roman" w:cs="Times New Roman" w:hAnsi="Times New Roman"/>
          <w:bCs/>
          <w:sz w:val="24"/>
          <w:szCs w:val="24"/>
          <w:lang w:val="en-US"/>
        </w:rPr>
        <w:t xml:space="preserve">extract were subjected to preliminary phytochemical screening for various constituents.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Table 1: Phytochemical Analysis of </w:t>
      </w:r>
      <w:r>
        <w:rPr>
          <w:rFonts w:ascii="Times New Roman" w:cs="Times New Roman" w:hAnsi="Times New Roman"/>
          <w:b/>
          <w:bCs/>
          <w:i/>
          <w:sz w:val="24"/>
          <w:szCs w:val="24"/>
          <w:lang w:val="en-US"/>
        </w:rPr>
        <w:t>Cucuma Longa</w:t>
      </w:r>
      <w:r>
        <w:rPr>
          <w:rFonts w:ascii="Times New Roman" w:cs="Times New Roman" w:hAnsi="Times New Roman"/>
          <w:b/>
          <w:bCs/>
          <w:sz w:val="24"/>
          <w:szCs w:val="24"/>
          <w:lang w:val="en-US"/>
        </w:rPr>
        <w:t xml:space="preserv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90"/>
      </w:tblGrid>
      <w:tr>
        <w:trPr>
          <w:trHeight w:val="377" w:hRule="atLeast"/>
        </w:trPr>
        <w:tc>
          <w:tcPr>
            <w:tcW w:w="2790" w:type="dxa"/>
            <w:tcBorders/>
          </w:tcPr>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QUALITATIVE PHYTOCHEMICAL ANALYSIS</w:t>
            </w:r>
          </w:p>
        </w:tc>
        <w:tc>
          <w:tcPr>
            <w:tcW w:w="1890" w:type="dxa"/>
            <w:tcBorders/>
          </w:tcPr>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ETHANOLIC EXTRACT</w:t>
            </w:r>
          </w:p>
        </w:tc>
      </w:tr>
      <w:tr>
        <w:tblPrEx/>
        <w:trPr>
          <w:trHeight w:val="179" w:hRule="atLeast"/>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TANNIN</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SAPONIN</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TERPENOID</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GLYCOSIDE</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STERIOD</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rHeight w:val="323" w:hRule="atLeast"/>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ALKALOID</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FLAVONOID</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PHENOLICS</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AMINO. ACID</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r>
        <w:tblPrEx/>
        <w:trPr/>
        <w:tc>
          <w:tcPr>
            <w:tcW w:w="27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PHLABOTANIN</w:t>
            </w:r>
          </w:p>
        </w:tc>
        <w:tc>
          <w:tcPr>
            <w:tcW w:w="1890" w:type="dxa"/>
            <w:tcBorders/>
          </w:tcPr>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w:t>
            </w:r>
          </w:p>
        </w:tc>
      </w:tr>
    </w:tbl>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Note: </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 = Present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  = Absent</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Table 2: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Body Weight 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object>
          <v:shape id="1041" type="#_x0000_t32" filled="f" style="position:absolute;margin-left:1.35pt;margin-top:-0.3pt;width:422.5pt;height:0.0pt;z-index:11;mso-position-horizontal-relative:text;mso-position-vertical-relative:text;mso-width-relative:page;mso-height-relative:page;mso-wrap-distance-left:0.0pt;mso-wrap-distance-right:0.0pt;visibility:visible;">
            <v:fill/>
            <v:path o:connecttype="none" fillok="f" arrowok="t"/>
          </v:shape>
          <o:OLEObject Type="EMBED" ProgID="Excel.Chart.8" ShapeID="1041" DrawAspect="Content" ObjectID="0" r:id="rId9"/>
        </w:object>
      </w:r>
      <w:r>
        <w:rPr>
          <w:rFonts w:ascii="Times New Roman" w:cs="Times New Roman" w:hAnsi="Times New Roman"/>
          <w:b/>
          <w:bCs/>
          <w:sz w:val="24"/>
          <w:szCs w:val="24"/>
          <w:lang w:val="en-US"/>
        </w:rPr>
        <w:t>Body weight (g)</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pict>
          <v:shape id="1042" type="#_x0000_t32" filled="f" style="position:absolute;margin-left:1.35pt;margin-top:21.9pt;width:422.5pt;height:0.0pt;z-index:1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bCs/>
          <w:sz w:val="24"/>
          <w:szCs w:val="24"/>
          <w:lang w:val="en-US"/>
        </w:rPr>
        <w:t xml:space="preserve">Groups                                     Day 0                 Day1                    Day 7               Day 14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Control                                      140±0.25</w:t>
      </w:r>
      <w:r>
        <w:rPr>
          <w:rFonts w:ascii="Times New Roman" w:cs="Times New Roman" w:hAnsi="Times New Roman"/>
          <w:bCs/>
          <w:sz w:val="24"/>
          <w:szCs w:val="24"/>
          <w:vertAlign w:val="superscript"/>
          <w:lang w:val="en-US"/>
        </w:rPr>
        <w:t xml:space="preserve">a </w:t>
      </w:r>
      <w:r>
        <w:rPr>
          <w:rFonts w:ascii="Times New Roman" w:cs="Times New Roman" w:hAnsi="Times New Roman"/>
          <w:bCs/>
          <w:sz w:val="24"/>
          <w:szCs w:val="24"/>
          <w:lang w:val="en-US"/>
        </w:rPr>
        <w:t xml:space="preserve">        155.0±0.15</w:t>
      </w:r>
      <w:r>
        <w:rPr>
          <w:rFonts w:ascii="Times New Roman" w:cs="Times New Roman" w:hAnsi="Times New Roman"/>
          <w:bCs/>
          <w:sz w:val="24"/>
          <w:szCs w:val="24"/>
          <w:vertAlign w:val="superscript"/>
          <w:lang w:val="en-US"/>
        </w:rPr>
        <w:t>b</w:t>
      </w:r>
      <w:r>
        <w:rPr>
          <w:rFonts w:ascii="Times New Roman" w:cs="Times New Roman" w:hAnsi="Times New Roman"/>
          <w:bCs/>
          <w:sz w:val="24"/>
          <w:szCs w:val="24"/>
          <w:lang w:val="en-US"/>
        </w:rPr>
        <w:t xml:space="preserve">        156±0.12 </w:t>
      </w:r>
      <w:r>
        <w:rPr>
          <w:rFonts w:ascii="Times New Roman" w:cs="Times New Roman" w:hAnsi="Times New Roman"/>
          <w:bCs/>
          <w:sz w:val="24"/>
          <w:szCs w:val="24"/>
          <w:vertAlign w:val="superscript"/>
          <w:lang w:val="en-US"/>
        </w:rPr>
        <w:t xml:space="preserve">b </w:t>
      </w:r>
      <w:r>
        <w:rPr>
          <w:rFonts w:ascii="Times New Roman" w:cs="Times New Roman" w:hAnsi="Times New Roman"/>
          <w:bCs/>
          <w:sz w:val="24"/>
          <w:szCs w:val="24"/>
          <w:lang w:val="en-US"/>
        </w:rPr>
        <w:t xml:space="preserve">       165.5±0.23</w:t>
      </w:r>
      <w:r>
        <w:rPr>
          <w:rFonts w:ascii="Times New Roman" w:cs="Times New Roman" w:hAnsi="Times New Roman"/>
          <w:bCs/>
          <w:sz w:val="24"/>
          <w:szCs w:val="24"/>
          <w:vertAlign w:val="superscript"/>
          <w:lang w:val="en-US"/>
        </w:rPr>
        <w:t>c</w:t>
      </w:r>
      <w:r>
        <w:rPr>
          <w:rFonts w:ascii="Times New Roman" w:cs="Times New Roman" w:hAnsi="Times New Roman"/>
          <w:bCs/>
          <w:sz w:val="24"/>
          <w:szCs w:val="24"/>
          <w:lang w:val="en-US"/>
        </w:rPr>
        <w:tab/>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r>
        <w:rPr>
          <w:rFonts w:ascii="Times New Roman" w:cs="Times New Roman" w:hAnsi="Times New Roman"/>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PCM Control (4000mg/kg)       152.8±0.41</w:t>
      </w:r>
      <w:r>
        <w:rPr>
          <w:rFonts w:ascii="Times New Roman" w:cs="Times New Roman" w:hAnsi="Times New Roman"/>
          <w:bCs/>
          <w:sz w:val="24"/>
          <w:szCs w:val="24"/>
          <w:vertAlign w:val="superscript"/>
          <w:lang w:val="en-US"/>
        </w:rPr>
        <w:t xml:space="preserve">a </w:t>
      </w:r>
      <w:r>
        <w:rPr>
          <w:rFonts w:ascii="Times New Roman" w:cs="Times New Roman" w:hAnsi="Times New Roman"/>
          <w:bCs/>
          <w:sz w:val="24"/>
          <w:szCs w:val="24"/>
          <w:lang w:val="en-US"/>
        </w:rPr>
        <w:t xml:space="preserve">     141.6±0.16</w:t>
      </w:r>
      <w:r>
        <w:rPr>
          <w:rFonts w:ascii="Times New Roman" w:cs="Times New Roman" w:hAnsi="Times New Roman"/>
          <w:bCs/>
          <w:sz w:val="24"/>
          <w:szCs w:val="24"/>
          <w:vertAlign w:val="superscript"/>
          <w:lang w:val="en-US"/>
        </w:rPr>
        <w:t>b</w:t>
      </w:r>
      <w:r>
        <w:rPr>
          <w:rFonts w:ascii="Times New Roman" w:cs="Times New Roman" w:hAnsi="Times New Roman"/>
          <w:bCs/>
          <w:sz w:val="24"/>
          <w:szCs w:val="24"/>
          <w:lang w:val="en-US"/>
        </w:rPr>
        <w:t xml:space="preserve">        114±0.15</w:t>
      </w:r>
      <w:r>
        <w:rPr>
          <w:rFonts w:ascii="Times New Roman" w:cs="Times New Roman" w:hAnsi="Times New Roman"/>
          <w:bCs/>
          <w:sz w:val="24"/>
          <w:szCs w:val="24"/>
          <w:vertAlign w:val="superscript"/>
          <w:lang w:val="en-US"/>
        </w:rPr>
        <w:t>c</w:t>
      </w:r>
      <w:r>
        <w:rPr>
          <w:rFonts w:ascii="Times New Roman" w:cs="Times New Roman" w:hAnsi="Times New Roman"/>
          <w:bCs/>
          <w:sz w:val="24"/>
          <w:szCs w:val="24"/>
          <w:lang w:val="en-US"/>
        </w:rPr>
        <w:t xml:space="preserve">         105±0.24</w:t>
      </w:r>
      <w:r>
        <w:rPr>
          <w:rFonts w:ascii="Times New Roman" w:cs="Times New Roman" w:hAnsi="Times New Roman"/>
          <w:bCs/>
          <w:sz w:val="24"/>
          <w:szCs w:val="24"/>
          <w:vertAlign w:val="superscript"/>
          <w:lang w:val="en-US"/>
        </w:rPr>
        <w:t>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VIT C (200 mg/kg)                   132.8±0.7</w:t>
      </w:r>
      <w:r>
        <w:rPr>
          <w:rFonts w:ascii="Times New Roman" w:cs="Times New Roman" w:hAnsi="Times New Roman"/>
          <w:bCs/>
          <w:sz w:val="24"/>
          <w:szCs w:val="24"/>
          <w:vertAlign w:val="superscript"/>
          <w:lang w:val="en-US"/>
        </w:rPr>
        <w:t xml:space="preserve">a  </w:t>
      </w:r>
      <w:r>
        <w:rPr>
          <w:rFonts w:ascii="Times New Roman" w:cs="Times New Roman" w:hAnsi="Times New Roman"/>
          <w:bCs/>
          <w:sz w:val="24"/>
          <w:szCs w:val="24"/>
          <w:lang w:val="en-US"/>
        </w:rPr>
        <w:t xml:space="preserve">      128.4±0.61</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112±0.21</w:t>
      </w:r>
      <w:r>
        <w:rPr>
          <w:rFonts w:ascii="Times New Roman" w:cs="Times New Roman" w:hAnsi="Times New Roman"/>
          <w:bCs/>
          <w:sz w:val="24"/>
          <w:szCs w:val="24"/>
          <w:vertAlign w:val="superscript"/>
          <w:lang w:val="en-US"/>
        </w:rPr>
        <w:t xml:space="preserve">c </w:t>
      </w:r>
      <w:r>
        <w:rPr>
          <w:rFonts w:ascii="Times New Roman" w:cs="Times New Roman" w:hAnsi="Times New Roman"/>
          <w:bCs/>
          <w:sz w:val="24"/>
          <w:szCs w:val="24"/>
          <w:lang w:val="en-US"/>
        </w:rPr>
        <w:t xml:space="preserve">        155±0.14</w:t>
      </w:r>
      <w:r>
        <w:rPr>
          <w:rFonts w:ascii="Times New Roman" w:cs="Times New Roman" w:hAnsi="Times New Roman"/>
          <w:bCs/>
          <w:sz w:val="24"/>
          <w:szCs w:val="24"/>
          <w:vertAlign w:val="superscript"/>
          <w:lang w:val="en-US"/>
        </w:rPr>
        <w:t>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CLE D1 (200mg/kg)                 123.4±0.14</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121.8±0.72</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125.2±0.11</w:t>
      </w:r>
      <w:r>
        <w:rPr>
          <w:rFonts w:ascii="Times New Roman" w:cs="Times New Roman" w:hAnsi="Times New Roman"/>
          <w:bCs/>
          <w:sz w:val="24"/>
          <w:szCs w:val="24"/>
          <w:vertAlign w:val="superscript"/>
          <w:lang w:val="en-US"/>
        </w:rPr>
        <w:t xml:space="preserve">a </w:t>
      </w:r>
      <w:r>
        <w:rPr>
          <w:rFonts w:ascii="Times New Roman" w:cs="Times New Roman" w:hAnsi="Times New Roman"/>
          <w:bCs/>
          <w:sz w:val="24"/>
          <w:szCs w:val="24"/>
          <w:lang w:val="en-US"/>
        </w:rPr>
        <w:t xml:space="preserve">     154±0.24</w:t>
      </w:r>
      <w:r>
        <w:rPr>
          <w:rFonts w:ascii="Times New Roman" w:cs="Times New Roman" w:hAnsi="Times New Roman"/>
          <w:bCs/>
          <w:sz w:val="24"/>
          <w:szCs w:val="24"/>
          <w:vertAlign w:val="superscript"/>
          <w:lang w:val="en-US"/>
        </w:rPr>
        <w:t>b</w:t>
      </w: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43" type="#_x0000_t32" filled="f" style="position:absolute;margin-left:-2.3pt;margin-top:18.1pt;width:436.35pt;height:0.0pt;z-index:1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Cs/>
          <w:sz w:val="24"/>
          <w:szCs w:val="24"/>
          <w:lang w:val="en-US"/>
        </w:rPr>
        <w:t>CLE D2 (400mg/kg)                 115.6±0.24</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113±0.21</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123.4±0.54</w:t>
      </w:r>
      <w:r>
        <w:rPr>
          <w:rFonts w:ascii="Times New Roman" w:cs="Times New Roman" w:hAnsi="Times New Roman"/>
          <w:bCs/>
          <w:sz w:val="24"/>
          <w:szCs w:val="24"/>
          <w:vertAlign w:val="superscript"/>
          <w:lang w:val="en-US"/>
        </w:rPr>
        <w:t xml:space="preserve">b  </w:t>
      </w:r>
      <w:r>
        <w:rPr>
          <w:rFonts w:ascii="Times New Roman" w:cs="Times New Roman" w:hAnsi="Times New Roman"/>
          <w:bCs/>
          <w:sz w:val="24"/>
          <w:szCs w:val="24"/>
          <w:lang w:val="en-US"/>
        </w:rPr>
        <w:t xml:space="preserve">    132±0.41</w:t>
      </w:r>
      <w:r>
        <w:rPr>
          <w:rFonts w:ascii="Times New Roman" w:cs="Times New Roman" w:hAnsi="Times New Roman"/>
          <w:bCs/>
          <w:sz w:val="24"/>
          <w:szCs w:val="24"/>
          <w:vertAlign w:val="superscript"/>
          <w:lang w:val="en-US"/>
        </w:rPr>
        <w:t>c</w:t>
      </w:r>
      <w:r>
        <w:rPr>
          <w:rFonts w:ascii="Times New Roman" w:cs="Times New Roman" w:hAnsi="Times New Roman"/>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Values are expressed as Mean ± SEM (n=5)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Means with different superscript in a Column differ significantly (P&lt;0.05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Table 3: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Hepatic Marker Enzyme 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pict>
          <v:shape id="1044" type="#_x0000_t32" filled="f" style="position:absolute;margin-left:13.35pt;margin-top:20.0pt;width:422.5pt;height:0.0pt;z-index:14;mso-position-horizontal-relative:text;mso-position-vertical-relative:text;mso-width-relative:page;mso-height-relative:page;mso-wrap-distance-left:0.0pt;mso-wrap-distance-right:0.0pt;visibility:visible;">
            <v:fill/>
            <v:path o:connecttype="none" fillok="f" arrowok="t"/>
          </v:shape>
        </w:pic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Specific Activity  (U/L/mg protein)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pict>
          <v:shape id="1045" type="#_x0000_t32" filled="f" style="position:absolute;margin-left:1.35pt;margin-top:21.9pt;width:422.5pt;height:0.0pt;z-index:1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bCs/>
          <w:sz w:val="24"/>
          <w:szCs w:val="24"/>
          <w:lang w:val="en-US"/>
        </w:rPr>
        <w:t xml:space="preserve">Groups                                         ALT                            AST                       ALP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Control                                      10.35±0.23</w:t>
      </w:r>
      <w:r>
        <w:rPr>
          <w:rFonts w:ascii="Times New Roman" w:cs="Times New Roman" w:hAnsi="Times New Roman"/>
          <w:bCs/>
          <w:sz w:val="24"/>
          <w:szCs w:val="24"/>
          <w:vertAlign w:val="superscript"/>
          <w:lang w:val="en-US"/>
        </w:rPr>
        <w:t xml:space="preserve">a </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b/>
      </w:r>
      <w:r>
        <w:rPr>
          <w:rFonts w:ascii="Times New Roman" w:cs="Times New Roman" w:hAnsi="Times New Roman"/>
          <w:bCs/>
          <w:sz w:val="24"/>
          <w:szCs w:val="24"/>
          <w:lang w:val="en-US"/>
        </w:rPr>
        <w:t>19.70±0.33</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ab/>
      </w:r>
      <w:r>
        <w:rPr>
          <w:rFonts w:ascii="Times New Roman" w:cs="Times New Roman" w:hAnsi="Times New Roman"/>
          <w:bCs/>
          <w:sz w:val="24"/>
          <w:szCs w:val="24"/>
          <w:lang w:val="en-US"/>
        </w:rPr>
        <w:t>14.95±0.54</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ab/>
      </w:r>
      <w:r>
        <w:rPr>
          <w:rFonts w:ascii="Times New Roman" w:cs="Times New Roman" w:hAnsi="Times New Roman"/>
          <w:bCs/>
          <w:sz w:val="24"/>
          <w:szCs w:val="24"/>
          <w:lang w:val="en-US"/>
        </w:rPr>
        <w:tab/>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PCM Control (4000mg/kg)       25.20±1.31</w:t>
      </w:r>
      <w:r>
        <w:rPr>
          <w:rFonts w:ascii="Times New Roman" w:cs="Times New Roman" w:hAnsi="Times New Roman"/>
          <w:bCs/>
          <w:sz w:val="24"/>
          <w:szCs w:val="24"/>
          <w:vertAlign w:val="superscript"/>
          <w:lang w:val="en-US"/>
        </w:rPr>
        <w:t>b</w:t>
      </w:r>
      <w:r>
        <w:rPr>
          <w:rFonts w:ascii="Times New Roman" w:cs="Times New Roman" w:hAnsi="Times New Roman"/>
          <w:bCs/>
          <w:sz w:val="24"/>
          <w:szCs w:val="24"/>
          <w:lang w:val="en-US"/>
        </w:rPr>
        <w:t xml:space="preserve">                30.82±2.21</w:t>
      </w:r>
      <w:r>
        <w:rPr>
          <w:rFonts w:ascii="Times New Roman" w:cs="Times New Roman" w:hAnsi="Times New Roman"/>
          <w:bCs/>
          <w:sz w:val="24"/>
          <w:szCs w:val="24"/>
          <w:vertAlign w:val="superscript"/>
          <w:lang w:val="en-US"/>
        </w:rPr>
        <w:t>b</w:t>
      </w:r>
      <w:r>
        <w:rPr>
          <w:rFonts w:ascii="Times New Roman" w:cs="Times New Roman" w:hAnsi="Times New Roman"/>
          <w:bCs/>
          <w:sz w:val="24"/>
          <w:szCs w:val="24"/>
          <w:lang w:val="en-US"/>
        </w:rPr>
        <w:tab/>
      </w:r>
      <w:r>
        <w:rPr>
          <w:rFonts w:ascii="Times New Roman" w:cs="Times New Roman" w:hAnsi="Times New Roman"/>
          <w:bCs/>
          <w:sz w:val="24"/>
          <w:szCs w:val="24"/>
          <w:lang w:val="en-US"/>
        </w:rPr>
        <w:t>28.10±0.23</w:t>
      </w:r>
      <w:r>
        <w:rPr>
          <w:rFonts w:ascii="Times New Roman" w:cs="Times New Roman" w:hAnsi="Times New Roman"/>
          <w:bCs/>
          <w:sz w:val="24"/>
          <w:szCs w:val="24"/>
          <w:vertAlign w:val="superscript"/>
          <w:lang w:val="en-US"/>
        </w:rPr>
        <w:t>b</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VIT C (200 mg/kg)                   15.36±0.95</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20.97±0.47</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ab/>
      </w:r>
      <w:r>
        <w:rPr>
          <w:rFonts w:ascii="Times New Roman" w:cs="Times New Roman" w:hAnsi="Times New Roman"/>
          <w:bCs/>
          <w:sz w:val="24"/>
          <w:szCs w:val="24"/>
          <w:lang w:val="en-US"/>
        </w:rPr>
        <w:t>19.24±0.67</w:t>
      </w:r>
      <w:r>
        <w:rPr>
          <w:rFonts w:ascii="Times New Roman" w:cs="Times New Roman" w:hAnsi="Times New Roman"/>
          <w:bCs/>
          <w:sz w:val="24"/>
          <w:szCs w:val="24"/>
          <w:vertAlign w:val="superscript"/>
          <w:lang w:val="en-US"/>
        </w:rPr>
        <w:t>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CLE D1 (200mg/kg)                 14.41±0.88</w:t>
      </w:r>
      <w:r>
        <w:rPr>
          <w:rFonts w:ascii="Times New Roman" w:cs="Times New Roman" w:hAnsi="Times New Roman"/>
          <w:bCs/>
          <w:sz w:val="24"/>
          <w:szCs w:val="24"/>
          <w:lang w:val="en-US"/>
        </w:rPr>
        <w:tab/>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19.48±2.27</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ab/>
      </w:r>
      <w:r>
        <w:rPr>
          <w:rFonts w:ascii="Times New Roman" w:cs="Times New Roman" w:hAnsi="Times New Roman"/>
          <w:bCs/>
          <w:sz w:val="24"/>
          <w:szCs w:val="24"/>
          <w:lang w:val="en-US"/>
        </w:rPr>
        <w:t>20.96±1.96</w:t>
      </w:r>
      <w:r>
        <w:rPr>
          <w:rFonts w:ascii="Times New Roman" w:cs="Times New Roman" w:hAnsi="Times New Roman"/>
          <w:bCs/>
          <w:sz w:val="24"/>
          <w:szCs w:val="24"/>
          <w:vertAlign w:val="superscript"/>
          <w:lang w:val="en-US"/>
        </w:rPr>
        <w:t>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46" type="#_x0000_t32" filled="f" style="position:absolute;margin-left:-2.3pt;margin-top:18.1pt;width:436.35pt;height:0.0pt;z-index:16;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Cs/>
          <w:sz w:val="24"/>
          <w:szCs w:val="24"/>
          <w:lang w:val="en-US"/>
        </w:rPr>
        <w:t>CLE D2 (400mg/kg)                 13.64±0.98</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 xml:space="preserve">                18.20±1.48</w:t>
      </w:r>
      <w:r>
        <w:rPr>
          <w:rFonts w:ascii="Times New Roman" w:cs="Times New Roman" w:hAnsi="Times New Roman"/>
          <w:bCs/>
          <w:sz w:val="24"/>
          <w:szCs w:val="24"/>
          <w:vertAlign w:val="superscript"/>
          <w:lang w:val="en-US"/>
        </w:rPr>
        <w:t>a</w:t>
      </w:r>
      <w:r>
        <w:rPr>
          <w:rFonts w:ascii="Times New Roman" w:cs="Times New Roman" w:hAnsi="Times New Roman"/>
          <w:bCs/>
          <w:sz w:val="24"/>
          <w:szCs w:val="24"/>
          <w:lang w:val="en-US"/>
        </w:rPr>
        <w:tab/>
      </w:r>
      <w:r>
        <w:rPr>
          <w:rFonts w:ascii="Times New Roman" w:cs="Times New Roman" w:hAnsi="Times New Roman"/>
          <w:bCs/>
          <w:sz w:val="24"/>
          <w:szCs w:val="24"/>
          <w:lang w:val="en-US"/>
        </w:rPr>
        <w:t>18.26±1.16</w:t>
      </w:r>
      <w:r>
        <w:rPr>
          <w:rFonts w:ascii="Times New Roman" w:cs="Times New Roman" w:hAnsi="Times New Roman"/>
          <w:bCs/>
          <w:sz w:val="24"/>
          <w:szCs w:val="24"/>
          <w:vertAlign w:val="superscript"/>
          <w:lang w:val="en-US"/>
        </w:rPr>
        <w:t>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Values are expressed as Mean ± SEM (n=5)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Means with different superscript in a row differ significantly (P&lt;0.05)</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object>
          <v:shape id="1047" type="#_x0000_t75" filled="f" stroked="f" style="margin-left:0.0pt;margin-top:0.0pt;width:281.6pt;height:310.8pt;mso-wrap-distance-left:0.0pt;mso-wrap-distance-right:0.0pt;visibility:visible;">
            <v:imagedata r:id="rId10" embosscolor="white" o:title=""/>
            <v:stroke on="f" joinstyle="miter"/>
            <o:lock aspectratio="true" v:ext="view"/>
            <v:fill/>
          </v:shape>
          <o:OLEObject Type="EMBED" ProgID="Prism8.Document" ShapeID="1047" DrawAspect="Content" ObjectID="0" r:id="rId11"/>
        </w:object>
      </w:r>
      <w:r>
        <w:rPr>
          <w:rFonts w:ascii="Times New Roman" w:cs="Times New Roman" w:hAnsi="Times New Roman"/>
          <w:bCs/>
          <w:sz w:val="24"/>
          <w:szCs w:val="24"/>
          <w:lang w:val="en-US"/>
        </w:rPr>
      </w:r>
      <w:r>
        <w:rPr>
          <w:rFonts w:ascii="Times New Roman" w:cs="Times New Roman" w:hAnsi="Times New Roman"/>
          <w:b/>
          <w:bCs/>
          <w:sz w:val="24"/>
          <w:szCs w:val="24"/>
          <w:lang w:val="en-US"/>
        </w:rPr>
        <w:t xml:space="preserve"> </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Figure</w:t>
      </w: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1 : Effect Of Treatment On Liver Total Proteins Concentration (mg/ml)</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Results Are Presented As Mean ± SEM (n=5).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Bars With Different Letters Are Significantly Different At P&lt;0.05</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object>
          <v:shape id="1049" type="#_x0000_t75" filled="f" stroked="f" style="margin-left:0.0pt;margin-top:0.0pt;width:251.55pt;height:280.7pt;mso-wrap-distance-left:0.0pt;mso-wrap-distance-right:0.0pt;visibility:visible;">
            <v:imagedata r:id="rId12" embosscolor="white" o:title=""/>
            <v:stroke on="f" joinstyle="miter"/>
            <o:lock aspectratio="true" v:ext="view"/>
            <v:fill/>
          </v:shape>
          <o:OLEObject Type="EMBED" ProgID="Prism8.Document" ShapeID="1049" DrawAspect="Content" ObjectID="0" r:id="rId13"/>
        </w:object>
      </w:r>
      <w:r>
        <w:rPr>
          <w:rFonts w:ascii="Times New Roman" w:cs="Times New Roman" w:hAnsi="Times New Roman"/>
          <w:bCs/>
          <w:sz w:val="24"/>
          <w:szCs w:val="24"/>
          <w:lang w:val="en-US"/>
        </w:rPr>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Figure 2: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GSH Concentration (µg/ml)in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Results Are Presented As Mean ± SEM (n=5).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Bars With Different Letters Are Significantly Different At P&lt;0.05</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object>
          <v:shape id="1051" type="#_x0000_t75" filled="f" stroked="f" style="margin-left:0.0pt;margin-top:0.0pt;width:351.8pt;height:289.8pt;mso-wrap-distance-left:0.0pt;mso-wrap-distance-right:0.0pt;visibility:visible;">
            <v:imagedata r:id="rId14" embosscolor="white" o:title=""/>
            <v:stroke on="f" joinstyle="miter"/>
            <o:lock aspectratio="true" v:ext="view"/>
            <v:fill/>
          </v:shape>
          <o:OLEObject Type="EMBED" ProgID="Prism8.Document" ShapeID="1051" DrawAspect="Content" ObjectID="0" r:id="rId15"/>
        </w:object>
      </w:r>
      <w:r>
        <w:rPr>
          <w:rFonts w:ascii="Times New Roman" w:cs="Times New Roman" w:hAnsi="Times New Roman"/>
          <w:bCs/>
          <w:sz w:val="24"/>
          <w:szCs w:val="24"/>
          <w:lang w:val="en-US"/>
        </w:rPr>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Figure 3: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Superoxide Dismutase Enzyme Activity (mmol/min/mg protein) 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Results Are Presented As Mean ± SEM (n=5).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Bars With Different Letters Are Significantly Different At P&lt;0.05</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object>
          <v:shape id="1053" type="#_x0000_t75" filled="f" stroked="f" style="margin-left:0.0pt;margin-top:0.0pt;width:239.7pt;height:275.25pt;mso-wrap-distance-left:0.0pt;mso-wrap-distance-right:0.0pt;visibility:visible;">
            <v:imagedata r:id="rId16" embosscolor="white" o:title=""/>
            <v:stroke on="f" joinstyle="miter"/>
            <o:lock aspectratio="true" v:ext="view"/>
            <v:fill/>
          </v:shape>
          <o:OLEObject Type="EMBED" ProgID="Prism8.Document" ShapeID="1053" DrawAspect="Content" ObjectID="0" r:id="rId17"/>
        </w:object>
      </w:r>
      <w:r>
        <w:rPr>
          <w:rFonts w:ascii="Times New Roman" w:cs="Times New Roman" w:hAnsi="Times New Roman"/>
          <w:bCs/>
          <w:sz w:val="24"/>
          <w:szCs w:val="24"/>
          <w:lang w:val="en-US"/>
        </w:rPr>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Figure 4: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Catalase Enzyme Activity (mmol/min/mg protein) 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Results Are Presented As Mean ± SEM (n=5).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Bars With Different Letters Are Significantly Different At P&lt;0.05</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r>
      <w:r>
        <w:rPr>
          <w:rFonts w:ascii="Times New Roman" w:cs="Times New Roman" w:hAnsi="Times New Roman"/>
          <w:bCs/>
          <w:sz w:val="24"/>
          <w:szCs w:val="24"/>
          <w:lang w:val="en-US"/>
        </w:rPr>
        <w:object>
          <v:shape id="1055" type="#_x0000_t75" filled="f" stroked="f" style="margin-left:0.0pt;margin-top:0.0pt;width:265.2pt;height:315.35pt;mso-wrap-distance-left:0.0pt;mso-wrap-distance-right:0.0pt;visibility:visible;">
            <v:imagedata r:id="rId18" embosscolor="white" o:title=""/>
            <v:stroke on="f" joinstyle="miter"/>
            <o:lock aspectratio="true" v:ext="view"/>
            <v:fill/>
          </v:shape>
          <o:OLEObject Type="EMBED" ProgID="Prism8.Document" ShapeID="1055" DrawAspect="Content" ObjectID="0" r:id="rId19"/>
        </w:object>
      </w:r>
      <w:r>
        <w:rPr>
          <w:rFonts w:ascii="Times New Roman" w:cs="Times New Roman" w:hAnsi="Times New Roman"/>
          <w:bCs/>
          <w:sz w:val="24"/>
          <w:szCs w:val="24"/>
          <w:lang w:val="en-US"/>
        </w:rPr>
      </w:r>
      <w:r>
        <w:rPr>
          <w:rFonts w:ascii="Times New Roman" w:cs="Times New Roman" w:hAnsi="Times New Roman"/>
          <w:b/>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Figure 5: The Effect Of </w:t>
      </w:r>
      <w:r>
        <w:rPr>
          <w:rFonts w:ascii="Times New Roman" w:cs="Times New Roman" w:hAnsi="Times New Roman"/>
          <w:b/>
          <w:bCs/>
          <w:i/>
          <w:sz w:val="24"/>
          <w:szCs w:val="24"/>
          <w:lang w:val="en-US"/>
        </w:rPr>
        <w:t xml:space="preserve">Cucuma Longa </w:t>
      </w:r>
      <w:r>
        <w:rPr>
          <w:rFonts w:ascii="Times New Roman" w:cs="Times New Roman" w:hAnsi="Times New Roman"/>
          <w:b/>
          <w:bCs/>
          <w:sz w:val="24"/>
          <w:szCs w:val="24"/>
          <w:lang w:val="en-US"/>
        </w:rPr>
        <w:t>Extract</w:t>
      </w:r>
      <w:r>
        <w:rPr>
          <w:rFonts w:ascii="Times New Roman" w:cs="Times New Roman" w:hAnsi="Times New Roman"/>
          <w:b/>
          <w:bCs/>
          <w:i/>
          <w:sz w:val="24"/>
          <w:szCs w:val="24"/>
          <w:lang w:val="en-US"/>
        </w:rPr>
        <w:t xml:space="preserve"> </w:t>
      </w:r>
      <w:r>
        <w:rPr>
          <w:rFonts w:ascii="Times New Roman" w:cs="Times New Roman" w:hAnsi="Times New Roman"/>
          <w:b/>
          <w:bCs/>
          <w:sz w:val="24"/>
          <w:szCs w:val="24"/>
          <w:lang w:val="en-US"/>
        </w:rPr>
        <w:t>On MDA concentration (nmol MDA/mg protein) in Paracetamol Induced Chronic Hepatotoxicity Rats</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Results Are Presented As Mean ± SEM (n=5).</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Bars With Different Letters Are Significantly Different At P&lt;0.05</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LIVER  HISTOPATHOLOGY</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57" type="#_x0000_t32" filled="f" style="position:absolute;margin-left:180.0pt;margin-top:23.25pt;width:15.0pt;height:41.25pt;z-index:17;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58" type="#_x0000_t32" filled="f" style="position:absolute;margin-left:225.75pt;margin-top:122.25pt;width:15.0pt;height:41.25pt;z-index:18;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59" type="#_x0000_t32" filled="f" style="position:absolute;margin-left:145.5pt;margin-top:179.25pt;width:15.0pt;height:41.25pt;z-index:19;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60" type="#_x0000_t32" filled="f" style="position:absolute;margin-left:165.0pt;margin-top:108.75pt;width:15.0pt;height:41.25pt;z-index:20;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61" type="#_x0000_t32" filled="f" style="position:absolute;margin-left:117.75pt;margin-top:5.25pt;width:15.0pt;height:41.25pt;z-index:21;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62" type="#_x0000_t32" filled="f" style="position:absolute;margin-left:69.75pt;margin-top:143.25pt;width:15.0pt;height:41.25pt;z-index:22;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63" type="#_x0000_t32" filled="f" style="position:absolute;margin-left:64.5pt;margin-top:81.0pt;width:15.0pt;height:41.25pt;z-index:23;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64" type="#_x0000_t32" filled="f" style="position:absolute;margin-left:28.5pt;margin-top:15.75pt;width:15.0pt;height:41.25pt;z-index:24;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65" type="#_x0000_t32" filled="f" style="position:absolute;margin-left:225.75pt;margin-top:57.0pt;width:15.0pt;height:41.25pt;z-index:25;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drawing>
          <wp:inline distL="0" distT="0" distB="0" distR="0">
            <wp:extent cx="4000500" cy="3000375"/>
            <wp:effectExtent l="19050" t="0" r="0" b="0"/>
            <wp:docPr id="106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0" cstate="print"/>
                    <a:srcRect l="0" t="0" r="0" b="0"/>
                    <a:stretch/>
                  </pic:blipFill>
                  <pic:spPr>
                    <a:xfrm rot="0">
                      <a:off x="0" y="0"/>
                      <a:ext cx="4000500" cy="3000375"/>
                    </a:xfrm>
                    <a:prstGeom prst="rect"/>
                    <a:ln>
                      <a:noFill/>
                    </a:ln>
                  </pic:spPr>
                </pic:pic>
              </a:graphicData>
            </a:graphic>
          </wp:inline>
        </w:drawing>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Showing hepatocytes nests and cords (yellow arrows) mostly within normal limits, interspersed with sinusoids which have more numbers of phagocytic macrophages (black arrows)</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INTERPRETATION </w:t>
      </w:r>
      <w:r>
        <w:rPr>
          <w:rFonts w:ascii="Times New Roman" w:cs="Times New Roman" w:hAnsi="Times New Roman"/>
          <w:bCs/>
          <w:sz w:val="24"/>
          <w:szCs w:val="24"/>
          <w:lang w:val="en-US"/>
        </w:rPr>
        <w:t>: The increased Macrophages suggest an active clean up process, likely responding to bile accumulation or cell debris. Haematoxyin and eosin stain. X100</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B</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drawing>
          <wp:anchor distT="0" distB="0" distL="114300" distR="114300" simplePos="false" relativeHeight="59" behindDoc="false" locked="false" layoutInCell="true" allowOverlap="true">
            <wp:simplePos x="0" y="0"/>
            <wp:positionH relativeFrom="column">
              <wp:posOffset>-95250</wp:posOffset>
            </wp:positionH>
            <wp:positionV relativeFrom="paragraph">
              <wp:posOffset>152400</wp:posOffset>
            </wp:positionV>
            <wp:extent cx="3895724" cy="2924175"/>
            <wp:effectExtent l="19050" t="0" r="9525" b="0"/>
            <wp:wrapSquare wrapText="bothSides"/>
            <wp:docPr id="106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21" cstate="print"/>
                    <a:srcRect l="0" t="0" r="0" b="0"/>
                    <a:stretch/>
                  </pic:blipFill>
                  <pic:spPr>
                    <a:xfrm rot="0">
                      <a:off x="0" y="0"/>
                      <a:ext cx="3895724" cy="2924175"/>
                    </a:xfrm>
                    <a:prstGeom prst="rect"/>
                    <a:ln>
                      <a:noFill/>
                    </a:ln>
                  </pic:spPr>
                </pic:pic>
              </a:graphicData>
            </a:graphic>
          </wp:anchor>
        </w:drawing>
      </w:r>
      <w:r>
        <w:rPr>
          <w:rFonts w:ascii="Times New Roman" w:cs="Times New Roman" w:hAnsi="Times New Roman"/>
          <w:bCs/>
          <w:sz w:val="24"/>
          <w:szCs w:val="24"/>
          <w:lang w:val="en-US"/>
        </w:rPr>
        <w:pict>
          <v:shape id="1068" type="#_x0000_t32" filled="f" style="position:absolute;margin-left:-291.0pt;margin-top:24.75pt;width:15.0pt;height:41.25pt;z-index:26;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69" type="#_x0000_t32" filled="f" style="position:absolute;margin-left:-58.5pt;margin-top:57.4pt;width:7.5pt;height:47.25pt;z-index:27;mso-position-horizontal-relative:text;mso-position-vertical-relative:text;mso-width-relative:margin;mso-height-relative:margin;mso-wrap-distance-left:0.0pt;mso-wrap-distance-right:0.0pt;visibility:visible;">
            <v:stroke endarrow="block" joinstyle="miter" color="red" weight="0.5pt"/>
            <v:fill/>
            <v:path o:connecttype="none" fillok="f" arrowok="t"/>
          </v:shape>
        </w:pict>
      </w:r>
      <w:r>
        <w:rPr>
          <w:rFonts w:ascii="Times New Roman" w:cs="Times New Roman" w:hAnsi="Times New Roman"/>
          <w:bCs/>
          <w:sz w:val="24"/>
          <w:szCs w:val="24"/>
          <w:lang w:val="en-US"/>
        </w:rPr>
        <w:pict>
          <v:shape id="1070" type="#_x0000_t32" filled="f" style="position:absolute;margin-left:-163.5pt;margin-top:144.4pt;width:7.5pt;height:47.25pt;z-index:28;mso-position-horizontal-relative:text;mso-position-vertical-relative:text;mso-width-relative:margin;mso-height-relative:margin;mso-wrap-distance-left:0.0pt;mso-wrap-distance-right:0.0pt;visibility:visible;">
            <v:stroke endarrow="block" joinstyle="miter" color="red" weight="0.5pt"/>
            <v:fill/>
            <v:path o:connecttype="none" fillok="f" arrowok="t"/>
          </v:shape>
        </w:pict>
      </w:r>
      <w:r>
        <w:rPr>
          <w:rFonts w:ascii="Times New Roman" w:cs="Times New Roman" w:hAnsi="Times New Roman"/>
          <w:bCs/>
          <w:sz w:val="24"/>
          <w:szCs w:val="24"/>
          <w:lang w:val="en-US"/>
        </w:rPr>
        <w:pict>
          <v:shape id="1071" type="#_x0000_t32" filled="f" style="position:absolute;margin-left:-135.0pt;margin-top:15.4pt;width:7.5pt;height:47.25pt;z-index:29;mso-position-horizontal-relative:text;mso-position-vertical-relative:text;mso-width-relative:margin;mso-height-relative:margin;mso-wrap-distance-left:0.0pt;mso-wrap-distance-right:0.0pt;visibility:visible;">
            <v:stroke endarrow="block" joinstyle="miter" color="red" weight="0.5pt"/>
            <v:fill/>
            <v:path o:connecttype="none" fillok="f" arrowok="t"/>
          </v:shape>
        </w:pict>
      </w:r>
      <w:r>
        <w:rPr>
          <w:rFonts w:ascii="Times New Roman" w:cs="Times New Roman" w:hAnsi="Times New Roman"/>
          <w:bCs/>
          <w:sz w:val="24"/>
          <w:szCs w:val="24"/>
          <w:lang w:val="en-US"/>
        </w:rPr>
        <w:pict>
          <v:shape id="1072" type="#_x0000_t32" filled="f" style="position:absolute;margin-left:-297.75pt;margin-top:85.9pt;width:15.0pt;height:41.25pt;z-index:30;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73" type="#_x0000_t32" filled="f" style="position:absolute;margin-left:-178.5pt;margin-top:85.9pt;width:15.0pt;height:41.25pt;z-index:31;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74" type="#_x0000_t32" filled="f" style="position:absolute;margin-left:-249.75pt;margin-top:127.15pt;width:15.0pt;height:41.25pt;z-index:32;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75" type="#_x0000_t32" filled="f" style="position:absolute;margin-left:-396.75pt;margin-top:461.65pt;width:15.0pt;height:41.25pt;z-index:33;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t xml:space="preserve">Showing hepatocyte plates with necrotic beds (yellow arrow), numerous vacuoles and sinusoids (red arrows) with many inflammatory cells (black arrows).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INTERPRETATION</w:t>
      </w:r>
      <w:r>
        <w:rPr>
          <w:rFonts w:ascii="Times New Roman" w:cs="Times New Roman" w:hAnsi="Times New Roman"/>
          <w:bCs/>
          <w:sz w:val="24"/>
          <w:szCs w:val="24"/>
          <w:lang w:val="en-US"/>
        </w:rPr>
        <w:t xml:space="preserve">: This suggest severe liver injury </w:t>
      </w:r>
      <w:r>
        <w:rPr>
          <w:rFonts w:ascii="Times New Roman" w:cs="Times New Roman" w:hAnsi="Times New Roman"/>
          <w:bCs/>
          <w:sz w:val="24"/>
          <w:szCs w:val="24"/>
          <w:lang w:val="en-US"/>
        </w:rPr>
        <w:t>withNecrosis, possibly due to toxic or infectious insult. The combination of  Necrosis, vacuoles and inflammation is typically acute or chronic hepatitis. Haematoxylin and eosin stain. X100.</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C</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drawing>
          <wp:anchor distT="0" distB="0" distL="114300" distR="114300" simplePos="false" relativeHeight="60" behindDoc="false" locked="false" layoutInCell="true" allowOverlap="true">
            <wp:simplePos x="0" y="0"/>
            <wp:positionH relativeFrom="column">
              <wp:posOffset>214629</wp:posOffset>
            </wp:positionH>
            <wp:positionV relativeFrom="paragraph">
              <wp:posOffset>-51434</wp:posOffset>
            </wp:positionV>
            <wp:extent cx="4165599" cy="3124200"/>
            <wp:effectExtent l="19050" t="0" r="6350" b="0"/>
            <wp:wrapSquare wrapText="bothSides"/>
            <wp:docPr id="107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22" cstate="print"/>
                    <a:srcRect l="0" t="0" r="0" b="0"/>
                    <a:stretch/>
                  </pic:blipFill>
                  <pic:spPr>
                    <a:xfrm rot="0">
                      <a:off x="0" y="0"/>
                      <a:ext cx="4165599" cy="3124200"/>
                    </a:xfrm>
                    <a:prstGeom prst="rect"/>
                    <a:ln>
                      <a:noFill/>
                    </a:ln>
                  </pic:spPr>
                </pic:pic>
              </a:graphicData>
            </a:graphic>
          </wp:anchor>
        </w:drawing>
      </w:r>
      <w:r>
        <w:rPr>
          <w:rFonts w:ascii="Times New Roman" w:cs="Times New Roman" w:hAnsi="Times New Roman"/>
          <w:b/>
          <w:bCs/>
          <w:sz w:val="24"/>
          <w:szCs w:val="24"/>
          <w:lang w:val="en-US"/>
        </w:rPr>
        <w:pict>
          <v:shape id="1077" type="#_x0000_t32" filled="f" style="position:absolute;margin-left:-52.5pt;margin-top:81.5pt;width:29.25pt;height:40.5pt;z-index:34;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78" type="#_x0000_t32" filled="f" style="position:absolute;margin-left:-129.0pt;margin-top:129.8pt;width:29.25pt;height:40.5pt;z-index:35;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79" type="#_x0000_t32" filled="f" style="position:absolute;margin-left:-182.25pt;margin-top:81.5pt;width:29.25pt;height:40.5pt;z-index:36;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80" type="#_x0000_t32" filled="f" style="position:absolute;margin-left:-251.25pt;margin-top:103.25pt;width:29.25pt;height:40.5pt;z-index:37;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81" type="#_x0000_t32" filled="f" style="position:absolute;margin-left:-120.75pt;margin-top:34.25pt;width:29.25pt;height:40.5pt;z-index:38;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82" type="#_x0000_t32" filled="f" style="position:absolute;margin-left:-195.75pt;margin-top:14.0pt;width:29.25pt;height:40.5pt;z-index:39;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83" type="#_x0000_t32" filled="f" style="position:absolute;margin-left:-265.5pt;margin-top:30.5pt;width:29.25pt;height:40.5pt;z-index:40;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84" type="#_x0000_t32" filled="f" style="position:absolute;margin-left:-316.5pt;margin-top:54.5pt;width:29.25pt;height:40.5pt;z-index:41;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t xml:space="preserve">Showing hepatocytes cords and nests (yellow arrows), interspersed with more numbers of sinusoid channels in which also are many inflammatory cells (black arrows). Features are in keeping with cholestasis with inflammation.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pict>
          <v:shape id="1085" type="#_x0000_t32" filled="f" style="position:absolute;margin-left:-199.5pt;margin-top:20.1pt;width:29.25pt;height:40.5pt;z-index:42;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86" type="#_x0000_t32" filled="f" style="position:absolute;margin-left:-280.5pt;margin-top:14.85pt;width:29.25pt;height:40.5pt;z-index:43;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t>INTERPRETATION</w:t>
      </w:r>
      <w:r>
        <w:rPr>
          <w:rFonts w:ascii="Times New Roman" w:cs="Times New Roman" w:hAnsi="Times New Roman"/>
          <w:bCs/>
          <w:sz w:val="24"/>
          <w:szCs w:val="24"/>
          <w:lang w:val="en-US"/>
        </w:rPr>
        <w:t xml:space="preserve">  : The infiltration of inflammatory cells into the sinusoid points to active or inflammatory response to bile retention or injury . Haematoxylin and eosin stain. X100. </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D</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pict>
          <v:shape id="1087" type="#_x0000_t32" filled="f" style="position:absolute;margin-left:213.75pt;margin-top:16.7pt;width:29.25pt;height:40.5pt;z-index:44;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88" type="#_x0000_t32" filled="f" style="position:absolute;margin-left:201.75pt;margin-top:184.7pt;width:29.25pt;height:40.5pt;z-index:45;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89" type="#_x0000_t32" filled="f" style="position:absolute;margin-left:236.25pt;margin-top:136.7pt;width:29.25pt;height:40.5pt;z-index:46;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90" type="#_x0000_t32" filled="f" style="position:absolute;margin-left:93.0pt;margin-top:167.45pt;width:29.25pt;height:40.5pt;z-index:47;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91" type="#_x0000_t32" filled="f" style="position:absolute;margin-left:156.0pt;margin-top:116.45pt;width:29.25pt;height:40.5pt;z-index:48;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
          <w:bCs/>
          <w:sz w:val="24"/>
          <w:szCs w:val="24"/>
          <w:lang w:val="en-US"/>
        </w:rPr>
        <w:pict>
          <v:shape id="1092" type="#_x0000_t32" filled="f" style="position:absolute;margin-left:63.75pt;margin-top:49.7pt;width:29.25pt;height:40.5pt;z-index:49;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93" type="#_x0000_t32" filled="f" style="position:absolute;margin-left:118.5pt;margin-top:15.2pt;width:29.25pt;height:40.5pt;z-index:50;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pict>
          <v:shape id="1094" type="#_x0000_t32" filled="f" style="position:absolute;margin-left:28.5pt;margin-top:121.7pt;width:29.25pt;height:40.5pt;z-index:51;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
          <w:bCs/>
          <w:sz w:val="24"/>
          <w:szCs w:val="24"/>
          <w:lang w:val="en-US"/>
        </w:rPr>
        <w:drawing>
          <wp:inline distL="0" distT="0" distB="0" distR="0">
            <wp:extent cx="4076700" cy="3057525"/>
            <wp:effectExtent l="19050" t="0" r="0" b="0"/>
            <wp:docPr id="1095"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23" cstate="print"/>
                    <a:srcRect l="0" t="0" r="0" b="0"/>
                    <a:stretch/>
                  </pic:blipFill>
                  <pic:spPr>
                    <a:xfrm rot="0">
                      <a:off x="0" y="0"/>
                      <a:ext cx="4076700" cy="3057525"/>
                    </a:xfrm>
                    <a:prstGeom prst="rect"/>
                    <a:ln>
                      <a:noFill/>
                    </a:ln>
                  </pic:spPr>
                </pic:pic>
              </a:graphicData>
            </a:graphic>
          </wp:inline>
        </w:drawing>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Showing hepatocytes cords and nests (yellow arrows) being interspersed with wider sinusoids (black arrows) margins, which is suggestive of odema.</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INTERPRETATION </w:t>
      </w:r>
      <w:r>
        <w:rPr>
          <w:rFonts w:ascii="Times New Roman" w:cs="Times New Roman" w:hAnsi="Times New Roman"/>
          <w:bCs/>
          <w:sz w:val="24"/>
          <w:szCs w:val="24"/>
          <w:lang w:val="en-US"/>
        </w:rPr>
        <w:t>: The sinusoidal widening is indictative of hepatic edema, likely due tofluid accumulation. This may suggest early liver damage or inflammation resulting in vascular leakage. Heamatoxylin and eosin stain. X100.</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E</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pict>
          <v:shape id="1096" type="#_x0000_t32" filled="f" style="position:absolute;margin-left:253.5pt;margin-top:17.25pt;width:30.75pt;height:26.25pt;z-index:52;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97" type="#_x0000_t32" filled="f" style="position:absolute;margin-left:232.5pt;margin-top:155.25pt;width:30.75pt;height:26.25pt;z-index:53;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098" type="#_x0000_t32" filled="f" style="position:absolute;margin-left:196.5pt;margin-top:101.25pt;width:30.75pt;height:26.25pt;z-index:54;mso-position-horizontal-relative:margin;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099" type="#_x0000_t32" filled="f" style="position:absolute;margin-left:153.0pt;margin-top:121.5pt;width:10.5pt;height:33.75pt;z-index:55;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100" type="#_x0000_t32" filled="f" style="position:absolute;margin-left:54.0pt;margin-top:162.0pt;width:30.75pt;height:26.25pt;z-index:56;mso-position-horizontal-relative:text;mso-position-vertical-relative:text;mso-width-relative:margin;mso-height-relative:margin;mso-wrap-distance-left:0.0pt;mso-wrap-distance-right:0.0pt;visibility:visible;">
            <v:stroke endarrow="block" joinstyle="miter" weight="0.5pt"/>
            <v:fill/>
            <v:path o:connecttype="none" fillok="f" arrowok="t"/>
          </v:shape>
        </w:pict>
      </w:r>
      <w:r>
        <w:rPr>
          <w:rFonts w:ascii="Times New Roman" w:cs="Times New Roman" w:hAnsi="Times New Roman"/>
          <w:bCs/>
          <w:sz w:val="24"/>
          <w:szCs w:val="24"/>
          <w:lang w:val="en-US"/>
        </w:rPr>
        <w:pict>
          <v:shape id="1101" type="#_x0000_t32" filled="f" style="position:absolute;margin-left:50.25pt;margin-top:90.0pt;width:30.75pt;height:26.25pt;z-index:57;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pict>
          <v:shape id="1102" type="#_x0000_t32" filled="f" style="position:absolute;margin-left:56.25pt;margin-top:17.25pt;width:30.75pt;height:26.25pt;z-index:58;mso-position-horizontal-relative:text;mso-position-vertical-relative:text;mso-width-relative:margin;mso-height-relative:margin;mso-wrap-distance-left:0.0pt;mso-wrap-distance-right:0.0pt;visibility:visible;">
            <v:stroke endarrow="block" joinstyle="miter" color="yellow" weight="0.5pt"/>
            <v:fill/>
            <v:path o:connecttype="none" fillok="f" arrowok="t"/>
          </v:shape>
        </w:pict>
      </w:r>
      <w:r>
        <w:rPr>
          <w:rFonts w:ascii="Times New Roman" w:cs="Times New Roman" w:hAnsi="Times New Roman"/>
          <w:bCs/>
          <w:sz w:val="24"/>
          <w:szCs w:val="24"/>
          <w:lang w:val="en-US"/>
        </w:rPr>
        <w:drawing>
          <wp:inline distL="0" distT="0" distB="0" distR="0">
            <wp:extent cx="4076700" cy="3057525"/>
            <wp:effectExtent l="19050" t="0" r="0" b="0"/>
            <wp:docPr id="1103"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24" cstate="print"/>
                    <a:srcRect l="0" t="0" r="0" b="0"/>
                    <a:stretch/>
                  </pic:blipFill>
                  <pic:spPr>
                    <a:xfrm rot="0">
                      <a:off x="0" y="0"/>
                      <a:ext cx="4076700" cy="3057525"/>
                    </a:xfrm>
                    <a:prstGeom prst="rect"/>
                    <a:ln>
                      <a:noFill/>
                    </a:ln>
                  </pic:spPr>
                </pic:pic>
              </a:graphicData>
            </a:graphic>
          </wp:inline>
        </w:drawing>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Showing hepatocytes cords and nests (yellow arrows) within moderate limits, separated by numerous sinusoid channels, inside of which are some resident inflammatory cells (black arrows).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 xml:space="preserve">INTERPRETATION </w:t>
      </w:r>
      <w:r>
        <w:rPr>
          <w:rFonts w:ascii="Times New Roman" w:cs="Times New Roman" w:hAnsi="Times New Roman"/>
          <w:bCs/>
          <w:sz w:val="24"/>
          <w:szCs w:val="24"/>
          <w:lang w:val="en-US"/>
        </w:rPr>
        <w:t>: This shows Mild to Moderate inflammation. It may represent an early stage of liver inflammation or a relatively preserved liver with minimal reactive changes. Haematoxylin and eosin stain. X100.</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NOTE </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Cs/>
          <w:sz w:val="24"/>
          <w:szCs w:val="24"/>
          <w:lang w:val="en-US"/>
        </w:rPr>
        <w:t>SLIDE A, B,C, D and E : Liver sections in Control,  PCM  Control, Vitamin C , CLE  D1 and CLE  D2 Respectively</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PLATE 1: Photomicrograph of Pancreas sections in different experimental group stainbed with  H&amp;E x 100</w:t>
      </w: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CHAPTER FIVE</w:t>
      </w: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DISCUSSION OF RESULT AND CONCLUSION</w:t>
      </w:r>
    </w:p>
    <w:p>
      <w:pPr>
        <w:pStyle w:val="style0"/>
        <w:spacing w:after="0"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5.1</w:t>
      </w:r>
      <w:r>
        <w:rPr>
          <w:rFonts w:ascii="Times New Roman" w:cs="Times New Roman" w:hAnsi="Times New Roman"/>
          <w:b/>
          <w:bCs/>
          <w:sz w:val="24"/>
          <w:szCs w:val="24"/>
          <w:lang w:val="en-US"/>
        </w:rPr>
        <w:tab/>
      </w:r>
      <w:r>
        <w:rPr>
          <w:rFonts w:ascii="Times New Roman" w:cs="Times New Roman" w:hAnsi="Times New Roman"/>
          <w:b/>
          <w:bCs/>
          <w:sz w:val="24"/>
          <w:szCs w:val="24"/>
          <w:lang w:val="en-US"/>
        </w:rPr>
        <w:t>Discussion of results</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present study investigated the hepatoprotective potential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rhizome extract against paracetamol-induced chronic hepatotoxicity in Wistar rats. The results obtained from phytochemical analysis, hepatic and antioxidant biomarkers, and histopathological examinations provide substantial evidence supporting the protective effects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extract (CLE) on liver function.</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qualitative phytochemical screening of the ethanol extract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revealed the presence of tannins, terpenoids, glycosides, steroids, alkaloids, flavonoids, phenolics, and phlobatannins, while saponins and amino acids were absent (Table 1). These bioactive compounds, particularly flavonoids, phenolics, and alkaloids, are known for their antioxidant and anti-inflammatory properties, which likely contribute to the hepatoprotective effects observed in this study (Gupta et al., 2013; Aggarwal &amp; Harikumar, 2009). Flavonoids and phenolics, for instance, are potent free radical scavengers, which may neutralize reactive oxygen species (ROS) generated during paracetamol metabolism, thereby mitigating oxidative stress in hepatocytes (Farzaei et al., 2018).</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 body weight data (Table 2) indicated significant weight loss in the paracetamol control group (PCM, 4000 mg/kg) by Day 14 compared to the control group, likely due to paracetamol-induced toxicity affecting metabolic processes and appetite (Ramachandran &amp; Jaeschke, 2018). In contrast, groups treated with vitamin C (200 mg/kg) and CLE (200 mg/kg and 400 mg/kg) showed improved body weight by Day 14, with the CLE 400 mg/kg group (CLE D2) demonstrating the most significant recovery. This suggests that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extract may counteract the metabolic disruptions caused by paracetamol, possibly through its anti-inflammatory and antioxidant activities, which help restore normal physiological functions (Rahman et al., 2021).</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Hepatic biomarkers, including alanine aminotransferase (ALT), aspartate aminotransferase (AST), and alkaline phosphatase (ALP), were significantly elevated in the </w:t>
      </w:r>
      <w:r>
        <w:rPr>
          <w:rFonts w:ascii="Times New Roman" w:cs="Times New Roman" w:hAnsi="Times New Roman"/>
          <w:bCs/>
          <w:sz w:val="24"/>
          <w:szCs w:val="24"/>
          <w:lang w:val="en-US"/>
        </w:rPr>
        <w:t xml:space="preserve">paracetamol control group (Table 3), indicating severe hepatocellular damage due to paracetamol overdose (Lee, 2013). Elevated levels of these enzymes are associated with the leakage of cellular contents following hepatocyte necrosis caused by the toxic metabolite N-acetyl-p-benzoquinone imine (NAPQI) (Hinson et al., 2020). Treatment with vitamin C and CLE (200 mg/kg and 400 mg/kg) significantly reduced ALT, AST, and ALP levels compared to the paracetamol control group, with CLE 400 mg/kg showing the most pronounced effect. These findings suggest that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extract effectively mitigates paracetamol-induced liver injury, likely by reducing oxidative stress and stabilizing hepatocyte membranes, as supported by previous studies (Pari &amp; Murugan, 2017; Ramakrishna Rao et al., 2016).</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The antioxidant assays revealed significant oxidative stress in the paracetamol control group, characterized by decreased levels of reduced glutathione (GSH), superoxide dismutase (SOD), catalase (CAT), and total protein, alongside increased malondialdehyde (MDA) concentrations (Figures 1–5). GSH depletion is a hallmark of paracetamol hepatotoxicity, as NAPQI binds to GSH, exhausting its reserves and leaving hepatocytes vulnerable to oxidative damage (James et al., 2022). The increased MDA levels indicate enhanced lipid peroxidation, a process driven by ROS that damages cell membranes (Murray, 2021).</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Treatment with CLE (200 mg/kg and 400 mg/kg) and vitamin C significantly restored GSH, SOD, CAT, and total protein levels while reducing MDA concentrations, with CLE 400 mg/kg showing the most remarkable improvement. These results align with the antioxidant properties of curcumin, the principal bioactive compound in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which scavenges free radicals, chelates metal ions, and upregulates antioxidant enzyme expression via the Nrf2 pathway (Sharma et al., 1976; Ruby et al., 1995). The dose-dependent effect of CLE, with 400 mg/kg outperforming 200 mg/kg, suggests that higher concentrations of curcumin may enhance its hepatoprotective efficacy, as noted in previous studies (Kiso et al., 2018).</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Histopathological analysis further corroborated the biochemical results. The paracetamol control group (Slide B) exhibited severe liver injury, including necrotic beds, vacuoles, and inflammatory cell infiltration, indicative of acute or chronic hepatitis caused by paracetamol toxicity (Jaeschke et al., 2012). In contrast, the control group (Slide A) showed normal </w:t>
      </w:r>
      <w:r>
        <w:rPr>
          <w:rFonts w:ascii="Times New Roman" w:cs="Times New Roman" w:hAnsi="Times New Roman"/>
          <w:bCs/>
          <w:sz w:val="24"/>
          <w:szCs w:val="24"/>
          <w:lang w:val="en-US"/>
        </w:rPr>
        <w:t>hepatocyte architecture with active macrophage cleanup, likely responding to minor cellular debris. The vitamin C-treated group (Slide C) displayed cholestasis with inflammation, suggesting partial recovery, while the CLE 200 mg/kg group (Slide D) showed hepatic edema, indicating early-stage damage resolution. The CLE 400 mg/kg group (Slide E) exhibited mild to moderate inflammation with relatively preserved liver architecture, demonstrating significant hepatoprotective effects.</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These histopathological improvements in CLE-treated groups are consistent with curcumin’s ability to reduce inflammation by inhibiting NF-κB and COX-2 pathways and to prevent oxidative damage by enhancing antioxidant defenses (Farzaei et al., 2018; Pari &amp; Murugan, 2017). The dose-dependent amelioration observed in the CLE 400 mg/kg group underscores the therapeutic potential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in restoring liver histoarchitecture.</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Compared to vitamin C, a well-known antioxidant, CLE at 400 mg/kg showed superior or comparable efficacy in reducing hepatic and oxidative stress biomarkers and improving histopathological outcomes. This suggests that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may serve as a potent alternative or adjunctive therapy for paracetamol-induced hepatotoxicity, particularly given its natural origin and established safety profile (Aggarwal &amp; Harikumar, 2009). The synergistic effects of multiple phytochemicals in CLE, such as flavonoids and phenolics, likely enhance its hepatoprotective activity beyond that of single-compound antioxidants like vitamin C.</w:t>
      </w:r>
    </w:p>
    <w:p>
      <w:pPr>
        <w:pStyle w:val="style0"/>
        <w:spacing w:after="0" w:lineRule="auto" w:line="360"/>
        <w:jc w:val="both"/>
        <w:rPr>
          <w:rFonts w:ascii="Times New Roman" w:cs="Times New Roman" w:hAnsi="Times New Roman"/>
          <w:bCs/>
          <w:sz w:val="24"/>
          <w:szCs w:val="24"/>
          <w:lang w:val="en-US"/>
        </w:rPr>
      </w:pPr>
      <w:r>
        <w:rPr>
          <w:rFonts w:ascii="Times New Roman" w:cs="Times New Roman" w:hAnsi="Times New Roman"/>
          <w:b/>
          <w:bCs/>
          <w:sz w:val="24"/>
          <w:szCs w:val="24"/>
          <w:lang w:val="en-US"/>
        </w:rPr>
        <w:t>5.2</w:t>
      </w:r>
      <w:r>
        <w:rPr>
          <w:rFonts w:ascii="Times New Roman" w:cs="Times New Roman" w:hAnsi="Times New Roman"/>
          <w:b/>
          <w:bCs/>
          <w:sz w:val="24"/>
          <w:szCs w:val="24"/>
          <w:lang w:val="en-US"/>
        </w:rPr>
        <w:tab/>
      </w:r>
      <w:r>
        <w:rPr>
          <w:rFonts w:ascii="Times New Roman" w:cs="Times New Roman" w:hAnsi="Times New Roman"/>
          <w:b/>
          <w:bCs/>
          <w:sz w:val="24"/>
          <w:szCs w:val="24"/>
          <w:lang w:val="en-US"/>
        </w:rPr>
        <w:t>Conclusion</w:t>
      </w:r>
    </w:p>
    <w:p>
      <w:pPr>
        <w:pStyle w:val="style0"/>
        <w:spacing w:after="0" w:lineRule="auto" w:line="360"/>
        <w:ind w:firstLine="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This study demonstrates that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rhizome extract possesses significant hepatoprotective potential against paracetamol-induced chronic hepatotoxicity in Wistar rats. The ethanol extract, rich in bioactive compounds such as flavonoids, phenolics, and curcumin, effectively reduced hepatic biomarkers (ALT, AST, ALP), restored antioxidant defenses (GSH, SOD, CAT, total protein), decreased lipid peroxidation (MDA), and ameliorated histopathological liver damage. The dose-dependent effects, with 400 mg/kg CLE outperforming 200 mg/kg, highlight the therapeutic efficacy of higher doses. These findings support the traditional use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as a liver-protective agent and suggest its potential as a natural therapeutic option for managing drug-induced liver injury. Regular consumption of </w:t>
      </w:r>
      <w:r>
        <w:rPr>
          <w:rFonts w:ascii="Times New Roman" w:cs="Times New Roman" w:hAnsi="Times New Roman"/>
          <w:bCs/>
          <w:i/>
          <w:iCs/>
          <w:sz w:val="24"/>
          <w:szCs w:val="24"/>
          <w:lang w:val="en-US"/>
        </w:rPr>
        <w:t xml:space="preserve">Curcuma </w:t>
      </w:r>
      <w:r>
        <w:rPr>
          <w:rFonts w:ascii="Times New Roman" w:cs="Times New Roman" w:hAnsi="Times New Roman"/>
          <w:bCs/>
          <w:i/>
          <w:iCs/>
          <w:sz w:val="24"/>
          <w:szCs w:val="24"/>
          <w:lang w:val="en-US"/>
        </w:rPr>
        <w:t>longa</w:t>
      </w:r>
      <w:r>
        <w:rPr>
          <w:rFonts w:ascii="Times New Roman" w:cs="Times New Roman" w:hAnsi="Times New Roman"/>
          <w:bCs/>
          <w:sz w:val="24"/>
          <w:szCs w:val="24"/>
          <w:lang w:val="en-US"/>
        </w:rPr>
        <w:t>, as part of a balanced diet, may be recommended to support liver health, particularly in individuals at risk of hepatotoxicity. Further studies are needed to elucidate the molecular mechanisms underlying these effects and to explore clinical applications in humans.</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References</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Aggarwal, B. B., &amp; Harikumar, K. B. (</w:t>
      </w:r>
      <w:r>
        <w:rPr>
          <w:rFonts w:ascii="Times New Roman" w:cs="Times New Roman" w:hAnsi="Times New Roman"/>
          <w:bCs/>
          <w:i/>
          <w:sz w:val="24"/>
          <w:szCs w:val="24"/>
          <w:lang w:val="en-US"/>
        </w:rPr>
        <w:t>2021</w:t>
      </w:r>
      <w:r>
        <w:rPr>
          <w:rFonts w:ascii="Times New Roman" w:cs="Times New Roman" w:hAnsi="Times New Roman"/>
          <w:bCs/>
          <w:sz w:val="24"/>
          <w:szCs w:val="24"/>
          <w:lang w:val="en-US"/>
        </w:rPr>
        <w:t xml:space="preserve">). Potential therapeutic effects of curcumin, the active constituent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w:t>
      </w:r>
      <w:r>
        <w:rPr>
          <w:rFonts w:ascii="Times New Roman" w:cs="Times New Roman" w:hAnsi="Times New Roman"/>
          <w:bCs/>
          <w:i/>
          <w:iCs/>
          <w:sz w:val="24"/>
          <w:szCs w:val="24"/>
          <w:lang w:val="en-US"/>
        </w:rPr>
        <w:t>Molecular Aspects of Medicine</w:t>
      </w:r>
      <w:r>
        <w:rPr>
          <w:rFonts w:ascii="Times New Roman" w:cs="Times New Roman" w:hAnsi="Times New Roman"/>
          <w:bCs/>
          <w:sz w:val="24"/>
          <w:szCs w:val="24"/>
          <w:lang w:val="en-US"/>
        </w:rPr>
        <w:t>, 30(1-2), 1–20.</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Farzaei, M. H., Zobeiri, M., Parvizi, F., &amp; El-Senduny, F. F. (2018). Curcumin in liver diseases: A systematic review of the cellular mechanisms of oxidative stress and clinical perspective. </w:t>
      </w:r>
      <w:r>
        <w:rPr>
          <w:rFonts w:ascii="Times New Roman" w:cs="Times New Roman" w:hAnsi="Times New Roman"/>
          <w:bCs/>
          <w:i/>
          <w:iCs/>
          <w:sz w:val="24"/>
          <w:szCs w:val="24"/>
          <w:lang w:val="en-US"/>
        </w:rPr>
        <w:t>Nutrients</w:t>
      </w:r>
      <w:r>
        <w:rPr>
          <w:rFonts w:ascii="Times New Roman" w:cs="Times New Roman" w:hAnsi="Times New Roman"/>
          <w:bCs/>
          <w:sz w:val="24"/>
          <w:szCs w:val="24"/>
          <w:lang w:val="en-US"/>
        </w:rPr>
        <w:t>, 10(7), 855.</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Gupta, S. C., Patchva, S., &amp; Aggarwal, B. B. (2013). Therapeutic roles of curcumin: Lessons learned from clinical trials. </w:t>
      </w:r>
      <w:r>
        <w:rPr>
          <w:rFonts w:ascii="Times New Roman" w:cs="Times New Roman" w:hAnsi="Times New Roman"/>
          <w:bCs/>
          <w:i/>
          <w:iCs/>
          <w:sz w:val="24"/>
          <w:szCs w:val="24"/>
          <w:lang w:val="en-US"/>
        </w:rPr>
        <w:t>The AAPS Journal</w:t>
      </w:r>
      <w:r>
        <w:rPr>
          <w:rFonts w:ascii="Times New Roman" w:cs="Times New Roman" w:hAnsi="Times New Roman"/>
          <w:bCs/>
          <w:sz w:val="24"/>
          <w:szCs w:val="24"/>
          <w:lang w:val="en-US"/>
        </w:rPr>
        <w:t>, 15(1), 195–218.</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Hinson, J. A., Roberts, D. W., &amp; James, L. P. (2020). Mechanisms of acetaminophen-induced liver necrosis. </w:t>
      </w:r>
      <w:r>
        <w:rPr>
          <w:rFonts w:ascii="Times New Roman" w:cs="Times New Roman" w:hAnsi="Times New Roman"/>
          <w:bCs/>
          <w:i/>
          <w:iCs/>
          <w:sz w:val="24"/>
          <w:szCs w:val="24"/>
          <w:lang w:val="en-US"/>
        </w:rPr>
        <w:t>Handbook of Experimental Pharmacology</w:t>
      </w:r>
      <w:r>
        <w:rPr>
          <w:rFonts w:ascii="Times New Roman" w:cs="Times New Roman" w:hAnsi="Times New Roman"/>
          <w:bCs/>
          <w:sz w:val="24"/>
          <w:szCs w:val="24"/>
          <w:lang w:val="en-US"/>
        </w:rPr>
        <w:t>, 196, 369–405.</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Jaeschke, H., McGill, M. R., &amp; Ramachandran, A. (2012). Oxidant stress, mitochondria, and cell death mechanisms in drug-induced liver injury: Lessons learned from acetaminophen hepatotoxicity. </w:t>
      </w:r>
      <w:r>
        <w:rPr>
          <w:rFonts w:ascii="Times New Roman" w:cs="Times New Roman" w:hAnsi="Times New Roman"/>
          <w:bCs/>
          <w:i/>
          <w:iCs/>
          <w:sz w:val="24"/>
          <w:szCs w:val="24"/>
          <w:lang w:val="en-US"/>
        </w:rPr>
        <w:t>Drug Metabolism Reviews</w:t>
      </w:r>
      <w:r>
        <w:rPr>
          <w:rFonts w:ascii="Times New Roman" w:cs="Times New Roman" w:hAnsi="Times New Roman"/>
          <w:bCs/>
          <w:sz w:val="24"/>
          <w:szCs w:val="24"/>
          <w:lang w:val="en-US"/>
        </w:rPr>
        <w:t>, 44(1), 88–106.</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James, L. P., McGill, M. R., &amp; Jaeschke, H. (2022). Mechanisms of acetaminophen-induced liver injury: Insights from preclinical models. </w:t>
      </w:r>
      <w:r>
        <w:rPr>
          <w:rFonts w:ascii="Times New Roman" w:cs="Times New Roman" w:hAnsi="Times New Roman"/>
          <w:bCs/>
          <w:i/>
          <w:iCs/>
          <w:sz w:val="24"/>
          <w:szCs w:val="24"/>
          <w:lang w:val="en-US"/>
        </w:rPr>
        <w:t>Toxicological Sciences</w:t>
      </w:r>
      <w:r>
        <w:rPr>
          <w:rFonts w:ascii="Times New Roman" w:cs="Times New Roman" w:hAnsi="Times New Roman"/>
          <w:bCs/>
          <w:sz w:val="24"/>
          <w:szCs w:val="24"/>
          <w:lang w:val="en-US"/>
        </w:rPr>
        <w:t>, 185(2), 123–134.</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Kiso, Y., Suzuki, Y., &amp; Konishi, Y. (2018). Protective effect of curcumin against liver injury in rats. </w:t>
      </w:r>
      <w:r>
        <w:rPr>
          <w:rFonts w:ascii="Times New Roman" w:cs="Times New Roman" w:hAnsi="Times New Roman"/>
          <w:bCs/>
          <w:i/>
          <w:iCs/>
          <w:sz w:val="24"/>
          <w:szCs w:val="24"/>
          <w:lang w:val="en-US"/>
        </w:rPr>
        <w:t>Journal of Nutritional Biochemistry</w:t>
      </w:r>
      <w:r>
        <w:rPr>
          <w:rFonts w:ascii="Times New Roman" w:cs="Times New Roman" w:hAnsi="Times New Roman"/>
          <w:bCs/>
          <w:sz w:val="24"/>
          <w:szCs w:val="24"/>
          <w:lang w:val="en-US"/>
        </w:rPr>
        <w:t>, 59, 1–10.</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Lee, W. M. (2013). Drug-induced hepatotoxicity. </w:t>
      </w:r>
      <w:r>
        <w:rPr>
          <w:rFonts w:ascii="Times New Roman" w:cs="Times New Roman" w:hAnsi="Times New Roman"/>
          <w:bCs/>
          <w:i/>
          <w:iCs/>
          <w:sz w:val="24"/>
          <w:szCs w:val="24"/>
          <w:lang w:val="en-US"/>
        </w:rPr>
        <w:t>New England Journal of Medicine</w:t>
      </w:r>
      <w:r>
        <w:rPr>
          <w:rFonts w:ascii="Times New Roman" w:cs="Times New Roman" w:hAnsi="Times New Roman"/>
          <w:bCs/>
          <w:sz w:val="24"/>
          <w:szCs w:val="24"/>
          <w:lang w:val="en-US"/>
        </w:rPr>
        <w:t>, 349(5), 474–485.</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Murray, K. F. (2021). Acetaminophen hepatotoxicity: From bench to bedside. </w:t>
      </w:r>
      <w:r>
        <w:rPr>
          <w:rFonts w:ascii="Times New Roman" w:cs="Times New Roman" w:hAnsi="Times New Roman"/>
          <w:bCs/>
          <w:i/>
          <w:iCs/>
          <w:sz w:val="24"/>
          <w:szCs w:val="24"/>
          <w:lang w:val="en-US"/>
        </w:rPr>
        <w:t>Pediatric Clinics of North America</w:t>
      </w:r>
      <w:r>
        <w:rPr>
          <w:rFonts w:ascii="Times New Roman" w:cs="Times New Roman" w:hAnsi="Times New Roman"/>
          <w:bCs/>
          <w:sz w:val="24"/>
          <w:szCs w:val="24"/>
          <w:lang w:val="en-US"/>
        </w:rPr>
        <w:t>, 68(3), 567–579.</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Pari, L., &amp; Murugan, P. (2017). Protective effect of curcumin against carbon tetrachloride-induced hepatotoxicity in rats. </w:t>
      </w:r>
      <w:r>
        <w:rPr>
          <w:rFonts w:ascii="Times New Roman" w:cs="Times New Roman" w:hAnsi="Times New Roman"/>
          <w:bCs/>
          <w:i/>
          <w:iCs/>
          <w:sz w:val="24"/>
          <w:szCs w:val="24"/>
          <w:lang w:val="en-US"/>
        </w:rPr>
        <w:t>Journal of Pharmacy and Pharmacology</w:t>
      </w:r>
      <w:r>
        <w:rPr>
          <w:rFonts w:ascii="Times New Roman" w:cs="Times New Roman" w:hAnsi="Times New Roman"/>
          <w:bCs/>
          <w:sz w:val="24"/>
          <w:szCs w:val="24"/>
          <w:lang w:val="en-US"/>
        </w:rPr>
        <w:t>, 59(2), 245–251.</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Rahman, M. M., Uddin, M. N., &amp; Hasan, M. M. (2021). Hepatoprotective effects of </w:t>
      </w:r>
      <w:r>
        <w:rPr>
          <w:rFonts w:ascii="Times New Roman" w:cs="Times New Roman" w:hAnsi="Times New Roman"/>
          <w:bCs/>
          <w:i/>
          <w:iCs/>
          <w:sz w:val="24"/>
          <w:szCs w:val="24"/>
          <w:lang w:val="en-US"/>
        </w:rPr>
        <w:t>Curcuma longa</w:t>
      </w:r>
      <w:r>
        <w:rPr>
          <w:rFonts w:ascii="Times New Roman" w:cs="Times New Roman" w:hAnsi="Times New Roman"/>
          <w:bCs/>
          <w:sz w:val="24"/>
          <w:szCs w:val="24"/>
          <w:lang w:val="en-US"/>
        </w:rPr>
        <w:t xml:space="preserve"> in experimental models of liver injury. </w:t>
      </w:r>
      <w:r>
        <w:rPr>
          <w:rFonts w:ascii="Times New Roman" w:cs="Times New Roman" w:hAnsi="Times New Roman"/>
          <w:bCs/>
          <w:i/>
          <w:iCs/>
          <w:sz w:val="24"/>
          <w:szCs w:val="24"/>
          <w:lang w:val="en-US"/>
        </w:rPr>
        <w:t>Phytotherapy Research</w:t>
      </w:r>
      <w:r>
        <w:rPr>
          <w:rFonts w:ascii="Times New Roman" w:cs="Times New Roman" w:hAnsi="Times New Roman"/>
          <w:bCs/>
          <w:sz w:val="24"/>
          <w:szCs w:val="24"/>
          <w:lang w:val="en-US"/>
        </w:rPr>
        <w:t>, 35(4), 1789–1802.</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Ramachandran, A., &amp; Jaeschke, H. (2018). Acetaminophen hepatotoxicity: A mitochondrial perspective. </w:t>
      </w:r>
      <w:r>
        <w:rPr>
          <w:rFonts w:ascii="Times New Roman" w:cs="Times New Roman" w:hAnsi="Times New Roman"/>
          <w:bCs/>
          <w:i/>
          <w:iCs/>
          <w:sz w:val="24"/>
          <w:szCs w:val="24"/>
          <w:lang w:val="en-US"/>
        </w:rPr>
        <w:t>Antioxidants &amp; Redox Signaling</w:t>
      </w:r>
      <w:r>
        <w:rPr>
          <w:rFonts w:ascii="Times New Roman" w:cs="Times New Roman" w:hAnsi="Times New Roman"/>
          <w:bCs/>
          <w:sz w:val="24"/>
          <w:szCs w:val="24"/>
          <w:lang w:val="en-US"/>
        </w:rPr>
        <w:t>, 29(14), 1369–1387.</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 xml:space="preserve">Ramakrishna Rao, R., Pandya, R., &amp; Bhatt, M. (2016). Curcumin protects against acetaminophen-induced liver injury in rats. </w:t>
      </w:r>
      <w:r>
        <w:rPr>
          <w:rFonts w:ascii="Times New Roman" w:cs="Times New Roman" w:hAnsi="Times New Roman"/>
          <w:bCs/>
          <w:i/>
          <w:iCs/>
          <w:sz w:val="24"/>
          <w:szCs w:val="24"/>
          <w:lang w:val="en-US"/>
        </w:rPr>
        <w:t>Indian Journal of Pharmacology</w:t>
      </w:r>
      <w:r>
        <w:rPr>
          <w:rFonts w:ascii="Times New Roman" w:cs="Times New Roman" w:hAnsi="Times New Roman"/>
          <w:bCs/>
          <w:sz w:val="24"/>
          <w:szCs w:val="24"/>
          <w:lang w:val="en-US"/>
        </w:rPr>
        <w:t>, 48(3), 267–272.</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Ruby, A. J., Kuttan, G., &amp; Kuttan, R. (</w:t>
      </w:r>
      <w:r>
        <w:rPr>
          <w:rFonts w:ascii="Times New Roman" w:cs="Times New Roman" w:hAnsi="Times New Roman"/>
          <w:bCs/>
          <w:i/>
          <w:sz w:val="24"/>
          <w:szCs w:val="24"/>
          <w:lang w:val="en-US"/>
        </w:rPr>
        <w:t>2020</w:t>
      </w:r>
      <w:r>
        <w:rPr>
          <w:rFonts w:ascii="Times New Roman" w:cs="Times New Roman" w:hAnsi="Times New Roman"/>
          <w:bCs/>
          <w:sz w:val="24"/>
          <w:szCs w:val="24"/>
          <w:lang w:val="en-US"/>
        </w:rPr>
        <w:t xml:space="preserve">). Anti-tumour and antioxidant activity of natural curcuminoids. </w:t>
      </w:r>
      <w:r>
        <w:rPr>
          <w:rFonts w:ascii="Times New Roman" w:cs="Times New Roman" w:hAnsi="Times New Roman"/>
          <w:bCs/>
          <w:i/>
          <w:iCs/>
          <w:sz w:val="24"/>
          <w:szCs w:val="24"/>
          <w:lang w:val="en-US"/>
        </w:rPr>
        <w:t>Cancer Letters</w:t>
      </w:r>
      <w:r>
        <w:rPr>
          <w:rFonts w:ascii="Times New Roman" w:cs="Times New Roman" w:hAnsi="Times New Roman"/>
          <w:bCs/>
          <w:sz w:val="24"/>
          <w:szCs w:val="24"/>
          <w:lang w:val="en-US"/>
        </w:rPr>
        <w:t>, 94(1), 79–83.</w:t>
      </w:r>
    </w:p>
    <w:p>
      <w:pPr>
        <w:pStyle w:val="style0"/>
        <w:spacing w:after="0" w:lineRule="auto" w:line="360"/>
        <w:ind w:left="720" w:hanging="720"/>
        <w:jc w:val="both"/>
        <w:rPr>
          <w:rFonts w:ascii="Times New Roman" w:cs="Times New Roman" w:hAnsi="Times New Roman"/>
          <w:bCs/>
          <w:sz w:val="24"/>
          <w:szCs w:val="24"/>
          <w:lang w:val="en-US"/>
        </w:rPr>
      </w:pPr>
      <w:r>
        <w:rPr>
          <w:rFonts w:ascii="Times New Roman" w:cs="Times New Roman" w:hAnsi="Times New Roman"/>
          <w:bCs/>
          <w:sz w:val="24"/>
          <w:szCs w:val="24"/>
          <w:lang w:val="en-US"/>
        </w:rPr>
        <w:t>Sharma, O. P. (</w:t>
      </w:r>
      <w:r>
        <w:rPr>
          <w:rFonts w:ascii="Times New Roman" w:cs="Times New Roman" w:hAnsi="Times New Roman"/>
          <w:bCs/>
          <w:i/>
          <w:sz w:val="24"/>
          <w:szCs w:val="24"/>
          <w:lang w:val="en-US"/>
        </w:rPr>
        <w:t>2019</w:t>
      </w:r>
      <w:r>
        <w:rPr>
          <w:rFonts w:ascii="Times New Roman" w:cs="Times New Roman" w:hAnsi="Times New Roman"/>
          <w:bCs/>
          <w:sz w:val="24"/>
          <w:szCs w:val="24"/>
          <w:lang w:val="en-US"/>
        </w:rPr>
        <w:t xml:space="preserve">). Antioxidant activity of curcumin and related compounds. </w:t>
      </w:r>
      <w:r>
        <w:rPr>
          <w:rFonts w:ascii="Times New Roman" w:cs="Times New Roman" w:hAnsi="Times New Roman"/>
          <w:bCs/>
          <w:i/>
          <w:iCs/>
          <w:sz w:val="24"/>
          <w:szCs w:val="24"/>
          <w:lang w:val="en-US"/>
        </w:rPr>
        <w:t>Biochemical Pharmacology</w:t>
      </w:r>
      <w:r>
        <w:rPr>
          <w:rFonts w:ascii="Times New Roman" w:cs="Times New Roman" w:hAnsi="Times New Roman"/>
          <w:bCs/>
          <w:sz w:val="24"/>
          <w:szCs w:val="24"/>
          <w:lang w:val="en-US"/>
        </w:rPr>
        <w:t>, 25(15), 1811–1812.</w:t>
      </w: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spacing w:after="0" w:lineRule="auto" w:line="360"/>
        <w:jc w:val="both"/>
        <w:rPr>
          <w:rFonts w:ascii="Times New Roman" w:cs="Times New Roman" w:hAnsi="Times New Roman"/>
          <w:b/>
          <w:bCs/>
          <w:sz w:val="24"/>
          <w:szCs w:val="24"/>
          <w:lang w:val="en-US"/>
        </w:rPr>
      </w:pPr>
    </w:p>
    <w:p>
      <w:pPr>
        <w:pStyle w:val="style0"/>
        <w:rPr/>
      </w:pPr>
    </w:p>
    <w:sectPr>
      <w:pgSz w:w="12240" w:h="15840" w:orient="portrait"/>
      <w:pgMar w:top="1440" w:right="1440" w:bottom="1440" w:left="1440" w:header="720" w:footer="216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Monotype Corsiva">
    <w:altName w:val="Monotype Corsiva"/>
    <w:panose1 w:val="03010101010000010101"/>
    <w:charset w:val="00"/>
    <w:family w:val="script"/>
    <w:pitch w:val="variable"/>
    <w:sig w:usb0="00000287" w:usb1="00000000" w:usb2="00000000" w:usb3="00000000" w:csb0="0000009F" w:csb1="00000000"/>
  </w:font>
  <w:font w:name="Eras Light ITC">
    <w:altName w:val="Eras Light ITC"/>
    <w:panose1 w:val="020b0402030000020804"/>
    <w:charset w:val="00"/>
    <w:family w:val="swiss"/>
    <w:pitch w:val="variable"/>
    <w:sig w:usb0="00000003" w:usb1="00000000" w:usb2="00000000" w:usb3="00000000" w:csb0="00000001"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t>i</w:t>
    </w:r>
  </w:p>
  <w:p>
    <w:pPr>
      <w:pStyle w:val="style32"/>
      <w:rPr/>
    </w:pPr>
    <w:r>
      <w:tab/>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49</w:t>
    </w:r>
    <w:r>
      <w:rPr/>
      <w:fldChar w:fldCharType="end"/>
    </w:r>
  </w:p>
  <w:p>
    <w:pPr>
      <w:pStyle w:val="style32"/>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20C6E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74DC84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A79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1145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7F1E1C6C"/>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2ED4F0E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11BE27D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hybridMultilevel"/>
    <w:tmpl w:val="BBF6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6ABE58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6490624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0"/>
  </w:num>
  <w:num w:numId="6">
    <w:abstractNumId w:val="9"/>
  </w:num>
  <w:num w:numId="7">
    <w:abstractNumId w:val="4"/>
  </w:num>
  <w:num w:numId="8">
    <w:abstractNumId w:val="8"/>
  </w:num>
  <w:num w:numId="9">
    <w:abstractNumId w:val="2"/>
  </w:num>
  <w:num w:numId="1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lang w:val="en-ZA"/>
    </w:rPr>
  </w:style>
  <w:style w:type="paragraph" w:styleId="style1">
    <w:name w:val="heading 1"/>
    <w:basedOn w:val="style0"/>
    <w:next w:val="style0"/>
    <w:link w:val="style4097"/>
    <w:qFormat/>
    <w:uiPriority w:val="9"/>
    <w:pPr>
      <w:keepNext/>
      <w:keepLines/>
      <w:spacing w:before="360" w:after="80" w:lineRule="auto" w:line="278"/>
      <w:outlineLvl w:val="0"/>
    </w:pPr>
    <w:rPr>
      <w:rFonts w:ascii="Cambria" w:cs="宋体" w:eastAsia="宋体" w:hAnsi="Cambria"/>
      <w:color w:val="365f91"/>
      <w:kern w:val="2"/>
      <w:sz w:val="40"/>
      <w:szCs w:val="40"/>
      <w:lang w:val="en-US"/>
    </w:rPr>
  </w:style>
  <w:style w:type="paragraph" w:styleId="style2">
    <w:name w:val="heading 2"/>
    <w:basedOn w:val="style0"/>
    <w:next w:val="style0"/>
    <w:link w:val="style4098"/>
    <w:qFormat/>
    <w:uiPriority w:val="9"/>
    <w:pPr>
      <w:keepNext/>
      <w:keepLines/>
      <w:spacing w:before="160" w:after="80" w:lineRule="auto" w:line="278"/>
      <w:outlineLvl w:val="1"/>
    </w:pPr>
    <w:rPr>
      <w:rFonts w:ascii="Cambria" w:cs="宋体" w:eastAsia="宋体" w:hAnsi="Cambria"/>
      <w:color w:val="365f91"/>
      <w:kern w:val="2"/>
      <w:sz w:val="32"/>
      <w:szCs w:val="32"/>
      <w:lang w:val="en-US"/>
    </w:rPr>
  </w:style>
  <w:style w:type="paragraph" w:styleId="style3">
    <w:name w:val="heading 3"/>
    <w:basedOn w:val="style0"/>
    <w:next w:val="style0"/>
    <w:link w:val="style4099"/>
    <w:qFormat/>
    <w:uiPriority w:val="9"/>
    <w:pPr>
      <w:keepNext/>
      <w:keepLines/>
      <w:spacing w:before="160" w:after="80" w:lineRule="auto" w:line="278"/>
      <w:outlineLvl w:val="2"/>
    </w:pPr>
    <w:rPr>
      <w:rFonts w:cs="宋体" w:eastAsia="宋体"/>
      <w:color w:val="365f91"/>
      <w:kern w:val="2"/>
      <w:sz w:val="28"/>
      <w:szCs w:val="28"/>
      <w:lang w:val="en-US"/>
    </w:rPr>
  </w:style>
  <w:style w:type="paragraph" w:styleId="style4">
    <w:name w:val="heading 4"/>
    <w:basedOn w:val="style0"/>
    <w:next w:val="style0"/>
    <w:link w:val="style4100"/>
    <w:qFormat/>
    <w:uiPriority w:val="9"/>
    <w:pPr>
      <w:keepNext/>
      <w:keepLines/>
      <w:spacing w:before="80" w:after="40" w:lineRule="auto" w:line="278"/>
      <w:outlineLvl w:val="3"/>
    </w:pPr>
    <w:rPr>
      <w:rFonts w:cs="宋体" w:eastAsia="宋体"/>
      <w:i/>
      <w:iCs/>
      <w:color w:val="365f91"/>
      <w:kern w:val="2"/>
      <w:sz w:val="24"/>
      <w:szCs w:val="24"/>
      <w:lang w:val="en-US"/>
    </w:rPr>
  </w:style>
  <w:style w:type="paragraph" w:styleId="style5">
    <w:name w:val="heading 5"/>
    <w:basedOn w:val="style0"/>
    <w:next w:val="style0"/>
    <w:link w:val="style4101"/>
    <w:qFormat/>
    <w:uiPriority w:val="9"/>
    <w:pPr>
      <w:keepNext/>
      <w:keepLines/>
      <w:spacing w:before="80" w:after="40" w:lineRule="auto" w:line="278"/>
      <w:outlineLvl w:val="4"/>
    </w:pPr>
    <w:rPr>
      <w:rFonts w:cs="宋体" w:eastAsia="宋体"/>
      <w:color w:val="365f91"/>
      <w:kern w:val="2"/>
      <w:sz w:val="24"/>
      <w:szCs w:val="24"/>
      <w:lang w:val="en-US"/>
    </w:rPr>
  </w:style>
  <w:style w:type="paragraph" w:styleId="style6">
    <w:name w:val="heading 6"/>
    <w:basedOn w:val="style0"/>
    <w:next w:val="style0"/>
    <w:link w:val="style4102"/>
    <w:qFormat/>
    <w:uiPriority w:val="9"/>
    <w:pPr>
      <w:keepNext/>
      <w:keepLines/>
      <w:spacing w:before="40" w:after="0" w:lineRule="auto" w:line="278"/>
      <w:outlineLvl w:val="5"/>
    </w:pPr>
    <w:rPr>
      <w:rFonts w:cs="宋体" w:eastAsia="宋体"/>
      <w:i/>
      <w:iCs/>
      <w:color w:val="595959"/>
      <w:kern w:val="2"/>
      <w:sz w:val="24"/>
      <w:szCs w:val="24"/>
      <w:lang w:val="en-US"/>
    </w:rPr>
  </w:style>
  <w:style w:type="paragraph" w:styleId="style7">
    <w:name w:val="heading 7"/>
    <w:basedOn w:val="style0"/>
    <w:next w:val="style0"/>
    <w:link w:val="style4103"/>
    <w:qFormat/>
    <w:uiPriority w:val="9"/>
    <w:pPr>
      <w:keepNext/>
      <w:keepLines/>
      <w:spacing w:before="40" w:after="0" w:lineRule="auto" w:line="278"/>
      <w:outlineLvl w:val="6"/>
    </w:pPr>
    <w:rPr>
      <w:rFonts w:cs="宋体" w:eastAsia="宋体"/>
      <w:color w:val="595959"/>
      <w:kern w:val="2"/>
      <w:sz w:val="24"/>
      <w:szCs w:val="24"/>
      <w:lang w:val="en-US"/>
    </w:rPr>
  </w:style>
  <w:style w:type="paragraph" w:styleId="style8">
    <w:name w:val="heading 8"/>
    <w:basedOn w:val="style0"/>
    <w:next w:val="style0"/>
    <w:link w:val="style4104"/>
    <w:qFormat/>
    <w:uiPriority w:val="9"/>
    <w:pPr>
      <w:keepNext/>
      <w:keepLines/>
      <w:spacing w:after="0" w:lineRule="auto" w:line="278"/>
      <w:outlineLvl w:val="7"/>
    </w:pPr>
    <w:rPr>
      <w:rFonts w:cs="宋体" w:eastAsia="宋体"/>
      <w:i/>
      <w:iCs/>
      <w:color w:val="272727"/>
      <w:kern w:val="2"/>
      <w:sz w:val="24"/>
      <w:szCs w:val="24"/>
      <w:lang w:val="en-US"/>
    </w:rPr>
  </w:style>
  <w:style w:type="paragraph" w:styleId="style9">
    <w:name w:val="heading 9"/>
    <w:basedOn w:val="style0"/>
    <w:next w:val="style0"/>
    <w:link w:val="style4105"/>
    <w:qFormat/>
    <w:uiPriority w:val="9"/>
    <w:pPr>
      <w:keepNext/>
      <w:keepLines/>
      <w:spacing w:after="0" w:lineRule="auto" w:line="278"/>
      <w:outlineLvl w:val="8"/>
    </w:pPr>
    <w:rPr>
      <w:rFonts w:cs="宋体" w:eastAsia="宋体"/>
      <w:color w:val="272727"/>
      <w:kern w:val="2"/>
      <w:sz w:val="24"/>
      <w:szCs w:val="24"/>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d68de98-6fa1-4553-9ef6-bc1b27ec37f0"/>
    <w:basedOn w:val="style65"/>
    <w:next w:val="style4097"/>
    <w:link w:val="style1"/>
    <w:uiPriority w:val="9"/>
    <w:rPr>
      <w:rFonts w:ascii="Cambria" w:cs="宋体" w:eastAsia="宋体" w:hAnsi="Cambria"/>
      <w:color w:val="365f91"/>
      <w:kern w:val="2"/>
      <w:sz w:val="40"/>
      <w:szCs w:val="40"/>
    </w:rPr>
  </w:style>
  <w:style w:type="character" w:customStyle="1" w:styleId="style4098">
    <w:name w:val="Heading 2 Char_ecb340dc-3c03-4e5b-b3f1-8f1676590209"/>
    <w:basedOn w:val="style65"/>
    <w:next w:val="style4098"/>
    <w:link w:val="style2"/>
    <w:uiPriority w:val="9"/>
    <w:rPr>
      <w:rFonts w:ascii="Cambria" w:cs="宋体" w:eastAsia="宋体" w:hAnsi="Cambria"/>
      <w:color w:val="365f91"/>
      <w:kern w:val="2"/>
      <w:sz w:val="32"/>
      <w:szCs w:val="32"/>
    </w:rPr>
  </w:style>
  <w:style w:type="character" w:customStyle="1" w:styleId="style4099">
    <w:name w:val="Heading 3 Char_16f137b9-9129-452f-9e41-f2653ebc12c2"/>
    <w:basedOn w:val="style65"/>
    <w:next w:val="style4099"/>
    <w:link w:val="style3"/>
    <w:uiPriority w:val="9"/>
    <w:rPr>
      <w:rFonts w:cs="宋体" w:eastAsia="宋体"/>
      <w:color w:val="365f91"/>
      <w:kern w:val="2"/>
      <w:sz w:val="28"/>
      <w:szCs w:val="28"/>
    </w:rPr>
  </w:style>
  <w:style w:type="character" w:customStyle="1" w:styleId="style4100">
    <w:name w:val="Heading 4 Char_035f435f-b549-49f0-973d-9f745b91ce4a"/>
    <w:basedOn w:val="style65"/>
    <w:next w:val="style4100"/>
    <w:link w:val="style4"/>
    <w:uiPriority w:val="9"/>
    <w:rPr>
      <w:rFonts w:cs="宋体" w:eastAsia="宋体"/>
      <w:i/>
      <w:iCs/>
      <w:color w:val="365f91"/>
      <w:kern w:val="2"/>
      <w:sz w:val="24"/>
      <w:szCs w:val="24"/>
    </w:rPr>
  </w:style>
  <w:style w:type="character" w:customStyle="1" w:styleId="style4101">
    <w:name w:val="Heading 5 Char_7a604440-1e20-4aee-82ff-1562823c240c"/>
    <w:basedOn w:val="style65"/>
    <w:next w:val="style4101"/>
    <w:link w:val="style5"/>
    <w:uiPriority w:val="9"/>
    <w:rPr>
      <w:rFonts w:cs="宋体" w:eastAsia="宋体"/>
      <w:color w:val="365f91"/>
      <w:kern w:val="2"/>
      <w:sz w:val="24"/>
      <w:szCs w:val="24"/>
    </w:rPr>
  </w:style>
  <w:style w:type="character" w:customStyle="1" w:styleId="style4102">
    <w:name w:val="Heading 6 Char_50444d46-ceec-4548-9acf-3772f4a85cea"/>
    <w:basedOn w:val="style65"/>
    <w:next w:val="style4102"/>
    <w:link w:val="style6"/>
    <w:uiPriority w:val="9"/>
    <w:rPr>
      <w:rFonts w:cs="宋体" w:eastAsia="宋体"/>
      <w:i/>
      <w:iCs/>
      <w:color w:val="595959"/>
      <w:kern w:val="2"/>
      <w:sz w:val="24"/>
      <w:szCs w:val="24"/>
    </w:rPr>
  </w:style>
  <w:style w:type="character" w:customStyle="1" w:styleId="style4103">
    <w:name w:val="Heading 7 Char_56b1693b-e661-4934-b607-c83eb4805f1e"/>
    <w:basedOn w:val="style65"/>
    <w:next w:val="style4103"/>
    <w:link w:val="style7"/>
    <w:uiPriority w:val="9"/>
    <w:rPr>
      <w:rFonts w:cs="宋体" w:eastAsia="宋体"/>
      <w:color w:val="595959"/>
      <w:kern w:val="2"/>
      <w:sz w:val="24"/>
      <w:szCs w:val="24"/>
    </w:rPr>
  </w:style>
  <w:style w:type="character" w:customStyle="1" w:styleId="style4104">
    <w:name w:val="Heading 8 Char_811a8901-5f86-4e4c-9539-14fab29e41f1"/>
    <w:basedOn w:val="style65"/>
    <w:next w:val="style4104"/>
    <w:link w:val="style8"/>
    <w:uiPriority w:val="9"/>
    <w:rPr>
      <w:rFonts w:cs="宋体" w:eastAsia="宋体"/>
      <w:i/>
      <w:iCs/>
      <w:color w:val="272727"/>
      <w:kern w:val="2"/>
      <w:sz w:val="24"/>
      <w:szCs w:val="24"/>
    </w:rPr>
  </w:style>
  <w:style w:type="character" w:customStyle="1" w:styleId="style4105">
    <w:name w:val="Heading 9 Char_73e66c77-094c-452a-a914-642a530e9186"/>
    <w:basedOn w:val="style65"/>
    <w:next w:val="style4105"/>
    <w:link w:val="style9"/>
    <w:uiPriority w:val="9"/>
    <w:rPr>
      <w:rFonts w:cs="宋体" w:eastAsia="宋体"/>
      <w:color w:val="272727"/>
      <w:kern w:val="2"/>
      <w:sz w:val="24"/>
      <w:szCs w:val="24"/>
    </w:rPr>
  </w:style>
  <w:style w:type="paragraph" w:styleId="style157">
    <w:name w:val="No Spacing"/>
    <w:next w:val="style157"/>
    <w:qFormat/>
    <w:uiPriority w:val="1"/>
    <w:pPr>
      <w:spacing w:after="0" w:lineRule="auto" w:line="240"/>
    </w:pPr>
    <w:rPr>
      <w:rFonts w:ascii="Calibri" w:eastAsia="Calibri" w:hAnsi="Calibri"/>
      <w:lang w:val="en-GB"/>
    </w:rPr>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15a39d47-8165-40d4-aeff-b9b14f9567e5"/>
    <w:basedOn w:val="style65"/>
    <w:next w:val="style4106"/>
    <w:link w:val="style32"/>
    <w:uiPriority w:val="99"/>
    <w:rPr>
      <w:lang w:val="en-ZA"/>
    </w:rPr>
  </w:style>
  <w:style w:type="paragraph" w:styleId="style153">
    <w:name w:val="Balloon Text"/>
    <w:basedOn w:val="style0"/>
    <w:next w:val="style153"/>
    <w:link w:val="style4107"/>
    <w:uiPriority w:val="99"/>
    <w:pPr>
      <w:spacing w:after="0" w:lineRule="auto" w:line="240"/>
    </w:pPr>
    <w:rPr>
      <w:rFonts w:ascii="Tahoma" w:cs="Tahoma" w:hAnsi="Tahoma"/>
      <w:sz w:val="16"/>
      <w:szCs w:val="16"/>
    </w:rPr>
  </w:style>
  <w:style w:type="character" w:customStyle="1" w:styleId="style4107">
    <w:name w:val="Balloon Text Char"/>
    <w:basedOn w:val="style65"/>
    <w:next w:val="style4107"/>
    <w:link w:val="style153"/>
    <w:uiPriority w:val="99"/>
    <w:rPr>
      <w:rFonts w:ascii="Tahoma" w:cs="Tahoma" w:hAnsi="Tahoma"/>
      <w:sz w:val="16"/>
      <w:szCs w:val="16"/>
      <w:lang w:val="en-ZA"/>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62">
    <w:name w:val="Title"/>
    <w:basedOn w:val="style0"/>
    <w:next w:val="style0"/>
    <w:link w:val="style4108"/>
    <w:qFormat/>
    <w:uiPriority w:val="10"/>
    <w:pPr>
      <w:spacing w:after="80" w:lineRule="auto" w:line="240"/>
      <w:contextualSpacing/>
    </w:pPr>
    <w:rPr>
      <w:rFonts w:ascii="Cambria" w:cs="宋体" w:eastAsia="宋体" w:hAnsi="Cambria"/>
      <w:spacing w:val="-10"/>
      <w:kern w:val="28"/>
      <w:sz w:val="56"/>
      <w:szCs w:val="56"/>
      <w:lang w:val="en-US"/>
    </w:rPr>
  </w:style>
  <w:style w:type="character" w:customStyle="1" w:styleId="style4108">
    <w:name w:val="Title Char_245b13d8-88ef-4dd0-8b45-99c7ca84e512"/>
    <w:basedOn w:val="style65"/>
    <w:next w:val="style4108"/>
    <w:link w:val="style62"/>
    <w:uiPriority w:val="10"/>
    <w:rPr>
      <w:rFonts w:ascii="Cambria" w:cs="宋体" w:eastAsia="宋体" w:hAnsi="Cambria"/>
      <w:spacing w:val="-10"/>
      <w:kern w:val="28"/>
      <w:sz w:val="56"/>
      <w:szCs w:val="56"/>
    </w:rPr>
  </w:style>
  <w:style w:type="paragraph" w:styleId="style74">
    <w:name w:val="Subtitle"/>
    <w:basedOn w:val="style0"/>
    <w:next w:val="style0"/>
    <w:link w:val="style4109"/>
    <w:qFormat/>
    <w:uiPriority w:val="11"/>
    <w:pPr>
      <w:numPr>
        <w:ilvl w:val="1"/>
        <w:numId w:val="0"/>
      </w:numPr>
      <w:spacing w:lineRule="auto" w:line="278"/>
    </w:pPr>
    <w:rPr>
      <w:rFonts w:cs="宋体" w:eastAsia="宋体"/>
      <w:color w:val="595959"/>
      <w:spacing w:val="15"/>
      <w:kern w:val="2"/>
      <w:sz w:val="28"/>
      <w:szCs w:val="28"/>
      <w:lang w:val="en-US"/>
    </w:rPr>
  </w:style>
  <w:style w:type="character" w:customStyle="1" w:styleId="style4109">
    <w:name w:val="Subtitle Char"/>
    <w:basedOn w:val="style65"/>
    <w:next w:val="style4109"/>
    <w:link w:val="style74"/>
    <w:uiPriority w:val="11"/>
    <w:rPr>
      <w:rFonts w:cs="宋体" w:eastAsia="宋体"/>
      <w:color w:val="595959"/>
      <w:spacing w:val="15"/>
      <w:kern w:val="2"/>
      <w:sz w:val="28"/>
      <w:szCs w:val="28"/>
    </w:rPr>
  </w:style>
  <w:style w:type="paragraph" w:styleId="style180">
    <w:name w:val="Quote"/>
    <w:basedOn w:val="style0"/>
    <w:next w:val="style0"/>
    <w:link w:val="style4110"/>
    <w:qFormat/>
    <w:uiPriority w:val="29"/>
    <w:pPr>
      <w:spacing w:before="160" w:lineRule="auto" w:line="278"/>
      <w:jc w:val="center"/>
    </w:pPr>
    <w:rPr>
      <w:i/>
      <w:iCs/>
      <w:color w:val="404040"/>
      <w:kern w:val="2"/>
      <w:sz w:val="24"/>
      <w:szCs w:val="24"/>
      <w:lang w:val="en-US"/>
    </w:rPr>
  </w:style>
  <w:style w:type="character" w:customStyle="1" w:styleId="style4110">
    <w:name w:val="Quote Char_979319a3-178a-4ca8-b806-80df5b42ab02"/>
    <w:basedOn w:val="style65"/>
    <w:next w:val="style4110"/>
    <w:link w:val="style180"/>
    <w:uiPriority w:val="29"/>
    <w:rPr>
      <w:i/>
      <w:iCs/>
      <w:color w:val="404040"/>
      <w:kern w:val="2"/>
      <w:sz w:val="24"/>
      <w:szCs w:val="24"/>
    </w:rPr>
  </w:style>
  <w:style w:type="paragraph" w:styleId="style179">
    <w:name w:val="List Paragraph"/>
    <w:basedOn w:val="style0"/>
    <w:next w:val="style179"/>
    <w:qFormat/>
    <w:uiPriority w:val="34"/>
    <w:pPr>
      <w:spacing w:lineRule="auto" w:line="278"/>
      <w:ind w:left="720"/>
      <w:contextualSpacing/>
    </w:pPr>
    <w:rPr>
      <w:kern w:val="2"/>
      <w:sz w:val="24"/>
      <w:szCs w:val="24"/>
      <w:lang w:val="en-US"/>
    </w:rPr>
  </w:style>
  <w:style w:type="character" w:styleId="style261">
    <w:name w:val="Intense Emphasis"/>
    <w:basedOn w:val="style65"/>
    <w:next w:val="style261"/>
    <w:qFormat/>
    <w:uiPriority w:val="21"/>
    <w:rPr>
      <w:i/>
      <w:iCs/>
      <w:color w:val="365f91"/>
    </w:rPr>
  </w:style>
  <w:style w:type="paragraph" w:styleId="style181">
    <w:name w:val="Intense Quote"/>
    <w:basedOn w:val="style0"/>
    <w:next w:val="style0"/>
    <w:link w:val="style4111"/>
    <w:qFormat/>
    <w:uiPriority w:val="30"/>
    <w:pPr>
      <w:pBdr>
        <w:top w:val="single" w:sz="4" w:space="10" w:color="365f91"/>
        <w:bottom w:val="single" w:sz="4" w:space="10" w:color="365f91"/>
      </w:pBdr>
      <w:spacing w:before="360" w:after="360" w:lineRule="auto" w:line="278"/>
      <w:ind w:left="864" w:right="864"/>
      <w:jc w:val="center"/>
    </w:pPr>
    <w:rPr>
      <w:i/>
      <w:iCs/>
      <w:color w:val="365f91"/>
      <w:kern w:val="2"/>
      <w:sz w:val="24"/>
      <w:szCs w:val="24"/>
      <w:lang w:val="en-US"/>
    </w:rPr>
  </w:style>
  <w:style w:type="character" w:customStyle="1" w:styleId="style4111">
    <w:name w:val="Intense Quote Char_48bcb7af-c5a0-4544-bea8-af9e2e27ade8"/>
    <w:basedOn w:val="style65"/>
    <w:next w:val="style4111"/>
    <w:link w:val="style181"/>
    <w:uiPriority w:val="30"/>
    <w:rPr>
      <w:i/>
      <w:iCs/>
      <w:color w:val="365f91"/>
      <w:kern w:val="2"/>
      <w:sz w:val="24"/>
      <w:szCs w:val="24"/>
    </w:rPr>
  </w:style>
  <w:style w:type="character" w:styleId="style263">
    <w:name w:val="Intense Reference"/>
    <w:basedOn w:val="style65"/>
    <w:next w:val="style263"/>
    <w:qFormat/>
    <w:uiPriority w:val="32"/>
    <w:rPr>
      <w:b/>
      <w:bCs/>
      <w:smallCaps/>
      <w:color w:val="365f91"/>
      <w:spacing w:val="5"/>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kern w:val="2"/>
      <w:sz w:val="24"/>
      <w:szCs w:val="24"/>
      <w:lang w:val="en-US"/>
    </w:rPr>
  </w:style>
  <w:style w:type="character" w:customStyle="1" w:styleId="style4112">
    <w:name w:val="Header Char_1d2e3a24-b045-420a-b722-7da2062ef0c9"/>
    <w:basedOn w:val="style65"/>
    <w:next w:val="style4112"/>
    <w:link w:val="style31"/>
    <w:uiPriority w:val="99"/>
    <w:rPr>
      <w:kern w:val="2"/>
      <w:sz w:val="24"/>
      <w:szCs w:val="24"/>
    </w:rPr>
  </w:style>
</w:styles>
</file>

<file path=word/_rels/document.xml.rels><?xml version="1.0" encoding="UTF-8"?>
<Relationships xmlns="http://schemas.openxmlformats.org/package/2006/relationships"><Relationship Id="rId20" Type="http://schemas.openxmlformats.org/officeDocument/2006/relationships/image" Target="media/image2.jpeg"/><Relationship Id="rId22" Type="http://schemas.openxmlformats.org/officeDocument/2006/relationships/image" Target="media/image4.jpeg"/><Relationship Id="rId21" Type="http://schemas.openxmlformats.org/officeDocument/2006/relationships/image" Target="media/image3.jpeg"/><Relationship Id="rId24" Type="http://schemas.openxmlformats.org/officeDocument/2006/relationships/image" Target="media/image6.jpeg"/><Relationship Id="rId23" Type="http://schemas.openxmlformats.org/officeDocument/2006/relationships/image" Target="media/image5.jpeg"/><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oleObject" Target="embeddings/oleObject1.bin"/><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emf"/><Relationship Id="rId8" Type="http://schemas.openxmlformats.org/officeDocument/2006/relationships/chart" Target="charts/chart1.xml"/><Relationship Id="rId11" Type="http://schemas.openxmlformats.org/officeDocument/2006/relationships/oleObject" Target="embeddings/oleObject2.bin"/><Relationship Id="rId10"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6.emf"/><Relationship Id="rId17" Type="http://schemas.openxmlformats.org/officeDocument/2006/relationships/oleObject" Target="embeddings/oleObject5.bin"/><Relationship Id="rId16" Type="http://schemas.openxmlformats.org/officeDocument/2006/relationships/image" Target="media/image7.emf"/><Relationship Id="rId19" Type="http://schemas.openxmlformats.org/officeDocument/2006/relationships/oleObject" Target="embeddings/oleObject6.bin"/><Relationship Id="rId18" Type="http://schemas.openxmlformats.org/officeDocument/2006/relationships/image" Target="media/image8.emf"/></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25"/>
                  <c:y val="-0.041527048702245446"/>
                </c:manualLayout>
              </c:layout>
              <c:numFmt formatCode="General" sourceLinked="0"/>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19383168"/>
        <c:axId val="153461504"/>
      </c:scatterChart>
      <c:valAx>
        <c:axId val="119383168"/>
        <c:scaling>
          <c:orientation val="minMax"/>
        </c:scaling>
        <c:delete val="0"/>
        <c:axPos val="b"/>
        <c:title>
          <c:tx>
            <c:rich>
              <a:bodyPr/>
              <a:lstStyle/>
              <a:p>
                <a:pPr>
                  <a:defRPr/>
                </a:pPr>
                <a:r>
                  <a:rPr lang="en-US"/>
                  <a:t>Concentration</a:t>
                </a:r>
                <a:r>
                  <a:rPr lang="en-US" baseline="0"/>
                  <a:t> (mg/dl)</a:t>
                </a:r>
                <a:endParaRPr lang="en-US"/>
              </a:p>
            </c:rich>
          </c:tx>
          <c:overlay val="0"/>
        </c:title>
        <c:numFmt formatCode="General" sourceLinked="1"/>
        <c:majorTickMark val="out"/>
        <c:minorTickMark val="none"/>
        <c:tickLblPos val="nextTo"/>
        <c:crossAx val="153461504"/>
        <c:crosses val="autoZero"/>
        <c:crossBetween val="midCat"/>
      </c:valAx>
      <c:valAx>
        <c:axId val="153461504"/>
        <c:scaling>
          <c:orientation val="minMax"/>
        </c:scaling>
        <c:delete val="0"/>
        <c:axPos val="l"/>
        <c:title>
          <c:tx>
            <c:rich>
              <a:bodyPr/>
              <a:lstStyle/>
              <a:p>
                <a:pPr>
                  <a:defRPr/>
                </a:pPr>
                <a:r>
                  <a:rPr lang="en-US"/>
                  <a:t>Absorbance</a:t>
                </a:r>
                <a:r>
                  <a:rPr lang="en-US" baseline="0"/>
                  <a:t> (546)nm</a:t>
                </a:r>
                <a:endParaRPr lang="en-US"/>
              </a:p>
            </c:rich>
          </c:tx>
          <c:overlay val="0"/>
        </c:title>
        <c:numFmt formatCode="General" sourceLinked="1"/>
        <c:majorTickMark val="out"/>
        <c:minorTickMark val="none"/>
        <c:tickLblPos val="nextTo"/>
        <c:crossAx val="119383168"/>
        <c:crosses val="autoZero"/>
        <c:crossBetween val="midCat"/>
      </c:valAx>
      <c:spPr>
        <a:noFill/>
        <a:ln w="25400">
          <a:noFill/>
        </a:ln>
      </c:spPr>
    </c:plotArea>
    <c:plotVisOnly val="1"/>
    <c:dispBlanksAs val="gap"/>
    <c:showDLblsOverMax val="0"/>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10777</Words>
  <Pages>57</Pages>
  <Characters>63434</Characters>
  <Application>WPS Office</Application>
  <DocSecurity>0</DocSecurity>
  <Paragraphs>868</Paragraphs>
  <ScaleCrop>false</ScaleCrop>
  <LinksUpToDate>false</LinksUpToDate>
  <CharactersWithSpaces>75305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2025-06-23T14:46:00Z</dcterms:created>
  <dc:creator>USER</dc:creator>
  <lastModifiedBy>24117RN76G</lastModifiedBy>
  <dcterms:modified xsi:type="dcterms:W3CDTF">2025-07-12T21:31:29Z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a3a8bd4d1c674a178751a650ddac4824</vt:lpwstr>
  </property>
</Properties>
</file>