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738218D5">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OJOLOWO KORIBAT OMOLAYO</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46</w:t>
      </w:r>
    </w:p>
    <w:p w14:paraId="23880615">
      <w:pPr>
        <w:spacing w:after="0"/>
        <w:jc w:val="both"/>
        <w:rPr>
          <w:rFonts w:ascii="Times New Roman" w:hAnsi="Times New Roman" w:cs="Times New Roman"/>
          <w:b/>
          <w:sz w:val="30"/>
          <w:szCs w:val="26"/>
        </w:rPr>
      </w:pP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OJOLOWO KORIBAT OMOLAYO</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46</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346D22D0">
      <w:pPr>
        <w:spacing w:line="576" w:lineRule="auto"/>
        <w:ind w:firstLine="720" w:firstLineChars="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I dedicate this Project to Almighty Allah. I also dedicate this project to my parents because they are the reason why I strive to make this project successful.</w:t>
      </w:r>
    </w:p>
    <w:p w14:paraId="327469EC">
      <w:pPr>
        <w:spacing w:line="576" w:lineRule="auto"/>
        <w:ind w:firstLine="720" w:firstLineChars="0"/>
        <w:jc w:val="both"/>
        <w:rPr>
          <w:rFonts w:hint="default" w:ascii="Times New Roman" w:hAnsi="Times New Roman" w:eastAsia="Times New Roman"/>
          <w:sz w:val="26"/>
          <w:szCs w:val="26"/>
          <w:lang w:val="en-US"/>
        </w:rPr>
      </w:pPr>
    </w:p>
    <w:p w14:paraId="7C9333CD">
      <w:pPr>
        <w:spacing w:line="576" w:lineRule="auto"/>
        <w:ind w:firstLine="720" w:firstLineChars="0"/>
        <w:jc w:val="both"/>
        <w:rPr>
          <w:rFonts w:ascii="Arial" w:hAnsi="Arial" w:eastAsia="Arial" w:cs="Arial"/>
          <w:sz w:val="26"/>
          <w:szCs w:val="26"/>
        </w:rPr>
      </w:pP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48B77E4F">
      <w:pPr>
        <w:spacing w:line="576" w:lineRule="auto"/>
        <w:ind w:firstLine="54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rPr>
        <w:t xml:space="preserve">I </w:t>
      </w:r>
      <w:r>
        <w:rPr>
          <w:rFonts w:hint="default" w:ascii="Times New Roman" w:hAnsi="Times New Roman" w:eastAsia="Times New Roman"/>
          <w:sz w:val="26"/>
          <w:szCs w:val="26"/>
          <w:lang w:val="en-US"/>
        </w:rPr>
        <w:t>use</w:t>
      </w:r>
      <w:r>
        <w:rPr>
          <w:rFonts w:hint="default" w:ascii="Times New Roman" w:hAnsi="Times New Roman" w:eastAsia="Times New Roman"/>
          <w:sz w:val="26"/>
          <w:szCs w:val="26"/>
        </w:rPr>
        <w:t xml:space="preserve"> this opportunity to express my profound gratitude and deep regards to the creator of heaven and earth</w:t>
      </w:r>
      <w:r>
        <w:rPr>
          <w:rFonts w:hint="default" w:ascii="Times New Roman" w:hAnsi="Times New Roman" w:eastAsia="Times New Roman"/>
          <w:sz w:val="26"/>
          <w:szCs w:val="26"/>
          <w:lang w:val="en-US"/>
        </w:rPr>
        <w:t>.</w:t>
      </w:r>
    </w:p>
    <w:p w14:paraId="1E48540E">
      <w:pPr>
        <w:spacing w:line="576" w:lineRule="auto"/>
        <w:ind w:firstLine="540"/>
        <w:jc w:val="both"/>
        <w:rPr>
          <w:rFonts w:ascii="Times New Roman" w:hAnsi="Times New Roman" w:eastAsia="Times New Roman" w:cs="Times New Roman"/>
          <w:sz w:val="26"/>
          <w:szCs w:val="26"/>
        </w:rPr>
      </w:pPr>
      <w:r>
        <w:rPr>
          <w:rFonts w:hint="default" w:ascii="Times New Roman" w:hAnsi="Times New Roman" w:eastAsia="Times New Roman"/>
          <w:sz w:val="26"/>
          <w:szCs w:val="26"/>
        </w:rPr>
        <w:t>This project has been a significant learning experience, and I appreciate the contributions of everyone involved in its successful completion.</w:t>
      </w:r>
      <w:r>
        <w:rPr>
          <w:rFonts w:ascii="Times New Roman" w:hAnsi="Times New Roman" w:eastAsia="Times New Roman" w:cs="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14:paraId="21410180">
      <w:pPr>
        <w:spacing w:before="240" w:line="480" w:lineRule="auto"/>
        <w:ind w:firstLine="720" w:firstLineChars="0"/>
        <w:jc w:val="both"/>
        <w:rPr>
          <w:rFonts w:ascii="Times New Roman" w:hAnsi="Times New Roman"/>
          <w:b/>
          <w:sz w:val="28"/>
        </w:rPr>
      </w:pPr>
      <w:r>
        <w:rPr>
          <w:rFonts w:hint="default" w:ascii="Times New Roman" w:hAnsi="Times New Roman" w:eastAsia="Times New Roman"/>
          <w:sz w:val="26"/>
          <w:szCs w:val="26"/>
          <w:lang w:val="en-US"/>
        </w:rPr>
        <w:t>Many thanks to my parents Mr and Mrs Ojolowo may Almighty Allah continue to be with you, (Amen). and to my</w:t>
      </w:r>
      <w:r>
        <w:rPr>
          <w:rFonts w:hint="default" w:ascii="Times New Roman" w:hAnsi="Times New Roman" w:eastAsia="Times New Roman"/>
          <w:sz w:val="26"/>
          <w:szCs w:val="26"/>
        </w:rPr>
        <w:t xml:space="preserve"> friends who contributed ideas and perspectives that enriched the project.</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Thank you everyone for shaping this project and enhancing my learning experience</w:t>
      </w:r>
    </w:p>
    <w:p w14:paraId="1B83C2B1">
      <w:pPr>
        <w:spacing w:before="240" w:line="480" w:lineRule="auto"/>
        <w:jc w:val="both"/>
        <w:rPr>
          <w:rFonts w:ascii="Times New Roman" w:hAnsi="Times New Roman"/>
          <w:b/>
          <w:sz w:val="28"/>
        </w:rPr>
      </w:pPr>
    </w:p>
    <w:p w14:paraId="351A304F">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upperRoman" w:start="1"/>
          <w:cols w:space="708" w:num="1"/>
          <w:docGrid w:linePitch="360" w:charSpace="0"/>
        </w:sectPr>
      </w:pPr>
    </w:p>
    <w:p w14:paraId="228E1E80">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evaporated 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7F39FF39">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6308D0A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608B4C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6BB0FD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60089C6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Table 4.1: Results of detection of adulterants in </w:t>
      </w:r>
      <w:r>
        <w:rPr>
          <w:rFonts w:hint="default" w:ascii="Times New Roman" w:hAnsi="Times New Roman" w:cs="Times New Roman"/>
          <w:b/>
          <w:color w:val="auto"/>
          <w:sz w:val="28"/>
          <w:szCs w:val="28"/>
          <w:lang w:val="en-US"/>
        </w:rPr>
        <w:t>Evaporated</w:t>
      </w:r>
      <w:r>
        <w:rPr>
          <w:rFonts w:ascii="Times New Roman" w:hAnsi="Times New Roman" w:cs="Times New Roman"/>
          <w:b/>
          <w:color w:val="auto"/>
          <w:sz w:val="28"/>
          <w:szCs w:val="28"/>
        </w:rPr>
        <w:t xml:space="preserve"> milk samples</w:t>
      </w:r>
    </w:p>
    <w:tbl>
      <w:tblPr>
        <w:tblStyle w:val="7"/>
        <w:tblW w:w="84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070"/>
        <w:gridCol w:w="1800"/>
        <w:gridCol w:w="1260"/>
        <w:gridCol w:w="1440"/>
      </w:tblGrid>
      <w:tr w14:paraId="1DF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A7F1FAD">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2070" w:type="dxa"/>
          </w:tcPr>
          <w:p w14:paraId="60AB2EA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800" w:type="dxa"/>
          </w:tcPr>
          <w:p w14:paraId="064D36F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1260" w:type="dxa"/>
          </w:tcPr>
          <w:p w14:paraId="0DAE7694">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440" w:type="dxa"/>
          </w:tcPr>
          <w:p w14:paraId="6BE42BE2">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Hollandia</w:t>
            </w:r>
          </w:p>
        </w:tc>
      </w:tr>
      <w:tr w14:paraId="385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4384C4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2070" w:type="dxa"/>
          </w:tcPr>
          <w:p w14:paraId="08BAD8B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F78E19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7E5BF8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3A0E711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72D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42267E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2070" w:type="dxa"/>
          </w:tcPr>
          <w:p w14:paraId="3CE37FB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805622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AA1D61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1BA907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5F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83DCE0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2070" w:type="dxa"/>
          </w:tcPr>
          <w:p w14:paraId="4F5A577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18EECC6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6E29CE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539653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96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17F0B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2070" w:type="dxa"/>
          </w:tcPr>
          <w:p w14:paraId="2058E2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55B123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4DFBC67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7321478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C3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0E2E9D4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2070" w:type="dxa"/>
          </w:tcPr>
          <w:p w14:paraId="345D70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4F2E7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59DCAC7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348136F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1E3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3774D2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2070" w:type="dxa"/>
          </w:tcPr>
          <w:p w14:paraId="386061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33F89E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3AC2B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2892DB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61A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5F8AF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2070" w:type="dxa"/>
          </w:tcPr>
          <w:p w14:paraId="7C8A65B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128F89E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5DF79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1E5B594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C5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B1F5B89">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2070" w:type="dxa"/>
          </w:tcPr>
          <w:p w14:paraId="07380F2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0D605E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E031A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2487984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113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5C4971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2070" w:type="dxa"/>
          </w:tcPr>
          <w:p w14:paraId="2DE3F50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6A6F1AF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7FBC739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6F51AD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E11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83F0B3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2070" w:type="dxa"/>
          </w:tcPr>
          <w:p w14:paraId="1FACEBE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FCE9EA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F4804C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496A5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C0B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7977A6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2070" w:type="dxa"/>
          </w:tcPr>
          <w:p w14:paraId="29BF835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208BF20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C3918D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99E74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39C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353A98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2070" w:type="dxa"/>
          </w:tcPr>
          <w:p w14:paraId="162382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48F23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06AAE7C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2724068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11B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41FD30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2070" w:type="dxa"/>
          </w:tcPr>
          <w:p w14:paraId="4702ABD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669DB8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79AC8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51BE2EB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F6D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4D316C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2070" w:type="dxa"/>
          </w:tcPr>
          <w:p w14:paraId="20651A4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026C36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BEB5A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AEA09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F3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0E1799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2070" w:type="dxa"/>
          </w:tcPr>
          <w:p w14:paraId="6E2BCC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2D776EA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03CFEDF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C173E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bl>
    <w:p w14:paraId="498C33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p>
    <w:p w14:paraId="7D3AE5D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00A1D75C">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4019544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samples analyzed contain at least one adulterant. In this study, the adulterants may be 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14:paraId="369AC69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(four) of 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14:paraId="6E9CF5D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3E3B8AD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4EC0087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050D7666">
      <w:pPr>
        <w:spacing w:before="240" w:after="0" w:line="480" w:lineRule="auto"/>
        <w:jc w:val="both"/>
        <w:rPr>
          <w:rFonts w:ascii="Times New Roman" w:hAnsi="Times New Roman" w:cs="Times New Roman"/>
          <w:b/>
          <w:color w:val="auto"/>
          <w:sz w:val="28"/>
          <w:szCs w:val="28"/>
        </w:rPr>
      </w:pPr>
    </w:p>
    <w:p w14:paraId="40B6D4A8">
      <w:pPr>
        <w:spacing w:before="240" w:after="0" w:line="480" w:lineRule="auto"/>
        <w:jc w:val="both"/>
        <w:rPr>
          <w:rFonts w:ascii="Times New Roman" w:hAnsi="Times New Roman" w:cs="Times New Roman"/>
          <w:b/>
          <w:color w:val="auto"/>
          <w:sz w:val="28"/>
          <w:szCs w:val="28"/>
        </w:rPr>
      </w:pPr>
    </w:p>
    <w:p w14:paraId="452A0858">
      <w:pPr>
        <w:spacing w:before="240" w:after="0" w:line="480" w:lineRule="auto"/>
        <w:jc w:val="both"/>
        <w:rPr>
          <w:rFonts w:ascii="Times New Roman" w:hAnsi="Times New Roman" w:cs="Times New Roman"/>
          <w:b/>
          <w:color w:val="auto"/>
          <w:sz w:val="28"/>
          <w:szCs w:val="28"/>
        </w:rPr>
      </w:pPr>
    </w:p>
    <w:p w14:paraId="11C4A832">
      <w:pPr>
        <w:spacing w:before="240" w:after="0" w:line="480" w:lineRule="auto"/>
        <w:jc w:val="both"/>
        <w:rPr>
          <w:rFonts w:ascii="Times New Roman" w:hAnsi="Times New Roman" w:cs="Times New Roman"/>
          <w:b/>
          <w:color w:val="auto"/>
          <w:sz w:val="28"/>
          <w:szCs w:val="28"/>
        </w:rPr>
      </w:pPr>
      <w:bookmarkStart w:id="0" w:name="_GoBack"/>
      <w:bookmarkEnd w:id="0"/>
    </w:p>
    <w:p w14:paraId="6EF52A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4DC9AAB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evaporated milk</w:t>
      </w:r>
      <w:r>
        <w:rPr>
          <w:rFonts w:ascii="Times New Roman" w:hAnsi="Times New Roman" w:cs="Times New Roman"/>
          <w:color w:val="auto"/>
          <w:sz w:val="28"/>
          <w:szCs w:val="28"/>
        </w:rPr>
        <w:t xml:space="preserve"> samples analyzed. There is therefore the need for increased and more aggressive monitoring and standardization of these group of products.</w:t>
      </w:r>
    </w:p>
    <w:p w14:paraId="3961FBB6">
      <w:pPr>
        <w:spacing w:before="240" w:after="0" w:line="480" w:lineRule="auto"/>
        <w:ind w:left="0" w:firstLine="0"/>
        <w:rPr>
          <w:rFonts w:ascii="Times New Roman" w:hAnsi="Times New Roman" w:cs="Times New Roman"/>
          <w:sz w:val="28"/>
          <w:szCs w:val="28"/>
        </w:rPr>
      </w:pPr>
    </w:p>
    <w:p w14:paraId="0C3BE11F"/>
    <w:p w14:paraId="14B2EC4E"/>
    <w:p w14:paraId="6AD1B807"/>
    <w:p w14:paraId="3E868831"/>
    <w:sectPr>
      <w:footerReference r:id="rId6" w:type="default"/>
      <w:pgSz w:w="11520" w:h="14400"/>
      <w:pgMar w:top="1440" w:right="1440" w:bottom="1440" w:left="1440" w:header="706" w:footer="706"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4A2">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v:textbox>
            </v:shape>
          </w:pict>
        </mc:Fallback>
      </mc:AlternateContent>
    </w:r>
  </w:p>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5AC9"/>
    <w:rsid w:val="0D015AC9"/>
    <w:rsid w:val="11F47704"/>
    <w:rsid w:val="2344496B"/>
    <w:rsid w:val="3256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2025-07-12T18:56:00Z</dcterms:created>
  <dc:creator>HP</dc:creator>
  <cp:lastModifiedBy>HP</cp:lastModifiedBy>
  <dcterms:modified xsi:type="dcterms:W3CDTF">2025-07-12T21:24:46Z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CE4498BF473240ACBA4EBA3FFBC76A0E_11</vt:lpwstr>
  </property>
</Properties>
</file>