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ASHIRU HALIMAT OMOLARA</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331</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ASHIRU HALIMAT OMOLARA</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331</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left"/>
        <w:rPr/>
      </w:pPr>
      <w:r>
        <w:rPr>
          <w:lang w:val="en-US"/>
        </w:rPr>
        <w:t xml:space="preserve">                              </w:t>
      </w:r>
      <w:r>
        <w:t>DEDICATION</w:t>
      </w:r>
      <w:bookmarkEnd w:id="1"/>
    </w:p>
    <w:p>
      <w:pPr>
        <w:pStyle w:val="style0"/>
        <w:spacing w:lineRule="auto" w:line="360"/>
        <w:ind w:right="27" w:firstLine="720"/>
        <w:rPr>
          <w:rFonts w:ascii="Times New Roman" w:cs="Times New Roman" w:hAnsi="Times New Roman"/>
          <w:sz w:val="28"/>
          <w:szCs w:val="28"/>
        </w:rPr>
      </w:pPr>
      <w:r>
        <w:rPr>
          <w:rFonts w:ascii="Times New Roman" w:cs="Times New Roman" w:hAnsi="Times New Roman"/>
          <w:sz w:val="28"/>
          <w:szCs w:val="28"/>
          <w:lang w:val="en-US"/>
        </w:rPr>
        <w:t>I dedicate this project work to Almighty God, the source of all knowledge, wisdom and understanding, for being there for me throughout the period of my study and to my lovely mother, Mrs. Ashiru Oluwakemi for her parental care, who has always been my inspiration.</w:t>
      </w: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Cs w:val="28"/>
        </w:rPr>
      </w:pPr>
      <w:r>
        <w:t>ACKNOWLEDGEME</w:t>
      </w:r>
      <w:bookmarkEnd w:id="2"/>
      <w:r>
        <w:rPr>
          <w:lang w:val="en-US"/>
        </w:rPr>
        <w:t>NT</w:t>
      </w:r>
    </w:p>
    <w:p>
      <w:pPr>
        <w:pStyle w:val="style0"/>
        <w:spacing w:after="0" w:lineRule="auto" w:line="480"/>
        <w:ind w:left="0" w:firstLine="0"/>
        <w:rPr>
          <w:rFonts w:ascii="Times New Roman" w:cs="Times New Roman" w:hAnsi="Times New Roman"/>
          <w:szCs w:val="28"/>
        </w:rPr>
      </w:pPr>
      <w:r>
        <w:rPr>
          <w:rFonts w:ascii="Times New Roman" w:cs="Times New Roman" w:hAnsi="Times New Roman"/>
          <w:szCs w:val="28"/>
          <w:lang w:val="en-US"/>
        </w:rPr>
        <w:t xml:space="preserve">Praise to God the almighty for His blessings over the success of the project </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The success and final outcome of the project required a lot of guidance and assistant for many people and I'm extremely fortunate to have getting it.</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 xml:space="preserve">First of all, I would like to express my highest gratitude to my Final Year Project </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Supervisor,  Mrs. Dagba Idayat Bolajoko for her continuous support and guidance. She had given not only essential theories and ideas in completing this project but also informally guided me in developing my personal values to make me a better person.</w:t>
      </w:r>
    </w:p>
    <w:p>
      <w:pPr>
        <w:pStyle w:val="style0"/>
        <w:spacing w:after="0" w:lineRule="auto" w:line="480"/>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My earnest appreciation to the internal examiners, staffs and technicians in department of Science Laboratory Technologist for their guidance and assistance in helping me throughout the time of the project period.</w:t>
      </w:r>
    </w:p>
    <w:p>
      <w:pPr>
        <w:pStyle w:val="style0"/>
        <w:spacing w:after="0" w:lineRule="auto" w:line="480"/>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I would also like to acknowledge my thanks to my friends who have always willingly to share ideas and sincere comments and to the special one Omotosho Motunrayo who has always been there through tight and thick the support and encouragement from them all will always be pleasant memory throughout my life.</w:t>
      </w:r>
    </w:p>
    <w:p>
      <w:pPr>
        <w:pStyle w:val="style0"/>
        <w:spacing w:after="0" w:lineRule="auto" w:line="480"/>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Finally, an honorable mention goes to my family my mom and my sister's who have always prayed for my success and given their utmost moral support in my life. I hope I can always be there for them in the way they supported me acknowledgement is not complete without you my love Kazeem Tamitope thank you for your love, time and support I really appreciate everything bby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0"/>
        <w:tabs>
          <w:tab w:val="left" w:leader="none" w:pos="1049"/>
        </w:tabs>
        <w:spacing w:after="0" w:lineRule="auto" w:line="240"/>
        <w:rPr>
          <w:rFonts w:ascii="Times New Roman" w:cs="Times New Roman" w:eastAsia="Times New Roman" w:hAnsi="Times New Roman"/>
          <w:bCs/>
          <w:color w:val="auto"/>
          <w:szCs w:val="24"/>
        </w:rPr>
      </w:pP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spacing w:after="240" w:lineRule="auto" w:line="240"/>
        <w:ind w:left="567" w:hanging="560"/>
        <w:jc w:val="both"/>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53357b4-b11f-4c63-96b8-3e0f06772006"/>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6cc3b2e-ed71-40b8-932f-bd077e3afb83"/>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3f5143f7-f05d-49b7-9aa8-4624468f64a0"/>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2cfd3511-75be-4afd-b3dc-9362d12f14a8"/>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10e32db2-b992-4e86-829c-7e6a1214851c"/>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7e2d0ba2-5028-4139-9c1d-93608e661c3c"/>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12329</Words>
  <Pages>51</Pages>
  <Characters>72406</Characters>
  <Application>WPS Office</Application>
  <DocSecurity>0</DocSecurity>
  <Paragraphs>711</Paragraphs>
  <ScaleCrop>false</ScaleCrop>
  <LinksUpToDate>false</LinksUpToDate>
  <CharactersWithSpaces>84615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2025-07-12T20:10:06Z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ee864a2b1e1f4208989e7b1050cfdfb6</vt:lpwstr>
  </property>
</Properties>
</file>