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left="0" w:firstLine="0"/>
        <w:jc w:val="center"/>
        <w:rPr>
          <w:rFonts w:ascii="Times New Roman" w:cs="Times New Roman" w:hAnsi="Times New Roman"/>
          <w:szCs w:val="24"/>
        </w:rPr>
      </w:pPr>
      <w:r>
        <w:rPr>
          <w:rFonts w:ascii="Times New Roman" w:cs="Times New Roman" w:hAnsi="Times New Roman"/>
          <w:noProof/>
          <w:szCs w:val="24"/>
        </w:rPr>
        <w:drawing>
          <wp:inline distL="0" distT="0" distB="0" distR="0">
            <wp:extent cx="1371600" cy="1298575"/>
            <wp:effectExtent l="0" t="0" r="0" b="0"/>
            <wp:docPr id="1026" name="Picture 1" descr="C:\Users\The Jupiter\Downloads\kwara poly logo.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9332" t="-10011" r="-7814" b="-8333"/>
                    <a:stretch/>
                  </pic:blipFill>
                  <pic:spPr>
                    <a:xfrm rot="0">
                      <a:off x="0" y="0"/>
                      <a:ext cx="1371600" cy="1298575"/>
                    </a:xfrm>
                    <a:prstGeom prst="rect"/>
                    <a:ln>
                      <a:noFill/>
                    </a:ln>
                  </pic:spPr>
                </pic:pic>
              </a:graphicData>
            </a:graphic>
          </wp:inline>
        </w:drawing>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PROJECT RESEARCH WORK</w:t>
      </w:r>
    </w:p>
    <w:p>
      <w:pPr>
        <w:pStyle w:val="style0"/>
        <w:tabs>
          <w:tab w:val="center" w:leader="none" w:pos="4153"/>
          <w:tab w:val="right" w:leader="none" w:pos="8307"/>
        </w:tabs>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ON</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MICROBIAL ANALYSIS OF SOME SELECTED SACHETS WATER IN ILORIN METROPOLITAN</w:t>
      </w:r>
    </w:p>
    <w:p>
      <w:pPr>
        <w:pStyle w:val="style0"/>
        <w:spacing w:before="240"/>
        <w:ind w:right="4"/>
        <w:jc w:val="center"/>
        <w:rPr>
          <w:rFonts w:ascii="Times New Roman" w:cs="Times New Roman" w:hAnsi="Times New Roman"/>
          <w:b/>
          <w:bCs/>
          <w:sz w:val="28"/>
          <w:szCs w:val="28"/>
        </w:rPr>
      </w:pP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 xml:space="preserve"> BY</w:t>
      </w:r>
    </w:p>
    <w:p>
      <w:pPr>
        <w:pStyle w:val="style0"/>
        <w:spacing w:before="240"/>
        <w:ind w:right="4"/>
        <w:rPr>
          <w:rFonts w:ascii="Times New Roman" w:cs="Times New Roman" w:hAnsi="Times New Roman"/>
          <w:b/>
          <w:bCs/>
          <w:sz w:val="28"/>
          <w:szCs w:val="28"/>
        </w:rPr>
      </w:pP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lang w:val="en-US"/>
        </w:rPr>
        <w:t>OLAJIDE IDRIS BABATUNDE</w:t>
      </w:r>
      <w:r>
        <w:rPr>
          <w:rFonts w:ascii="Times New Roman" w:cs="Times New Roman" w:hAnsi="Times New Roman"/>
          <w:b/>
          <w:bCs/>
          <w:sz w:val="28"/>
          <w:szCs w:val="28"/>
        </w:rPr>
        <w:t xml:space="preserve"> </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HND/23/SLT/FT/0</w:t>
      </w:r>
      <w:r>
        <w:rPr>
          <w:rFonts w:ascii="Times New Roman" w:cs="Times New Roman" w:hAnsi="Times New Roman"/>
          <w:b/>
          <w:bCs/>
          <w:sz w:val="28"/>
          <w:szCs w:val="28"/>
          <w:lang w:val="en-US"/>
        </w:rPr>
        <w:t>580</w:t>
      </w:r>
    </w:p>
    <w:p>
      <w:pPr>
        <w:pStyle w:val="style0"/>
        <w:spacing w:before="240" w:after="0" w:lineRule="auto" w:line="360"/>
        <w:ind w:left="29" w:right="4" w:firstLine="0"/>
        <w:jc w:val="left"/>
        <w:rPr>
          <w:rFonts w:ascii="Times New Roman" w:cs="Times New Roman" w:hAnsi="Times New Roman"/>
          <w:b/>
          <w:bCs/>
          <w:sz w:val="28"/>
          <w:szCs w:val="28"/>
        </w:rPr>
      </w:pPr>
      <w:r>
        <w:rPr>
          <w:rFonts w:ascii="Times New Roman" w:cs="Times New Roman" w:hAnsi="Times New Roman"/>
          <w:b/>
          <w:bCs/>
          <w:sz w:val="28"/>
          <w:szCs w:val="28"/>
          <w:lang w:val="en-US"/>
        </w:rPr>
        <w:t xml:space="preserve">                                                  SUBMITTED</w:t>
      </w:r>
      <w:r>
        <w:rPr>
          <w:rFonts w:ascii="Times New Roman" w:cs="Times New Roman" w:hAnsi="Times New Roman"/>
          <w:b/>
          <w:bCs/>
          <w:sz w:val="28"/>
          <w:szCs w:val="28"/>
        </w:rPr>
        <w:t xml:space="preserve"> TO:</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THE DEPARTMENT OF SCIENCE LABORATORY TECHNOLOGY, INSTITUTE OF APPLIED SCIENCES (IAS),</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KWARA STATE POLYTECHNIC, ILORIN</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IN PARTIAL FULFILMENT OF THE REQUIREMENT FOR THE HIGHER NATIONAL DIPLOMA (HND) SCIENCE LABORATORY TECHNOLOGY (MICROBIOLOGY OPTION)</w:t>
      </w:r>
    </w:p>
    <w:p>
      <w:pPr>
        <w:pStyle w:val="style0"/>
        <w:spacing w:before="240" w:lineRule="auto" w:line="360"/>
        <w:jc w:val="right"/>
        <w:rPr>
          <w:rFonts w:ascii="Times New Roman" w:cs="Times New Roman" w:hAnsi="Times New Roman"/>
          <w:b/>
          <w:sz w:val="28"/>
          <w:szCs w:val="28"/>
        </w:rPr>
      </w:pPr>
      <w:r>
        <w:rPr>
          <w:rFonts w:ascii="Times New Roman" w:cs="Times New Roman" w:hAnsi="Times New Roman"/>
          <w:b/>
          <w:sz w:val="28"/>
          <w:szCs w:val="28"/>
        </w:rPr>
        <w:t>JULY, 2025</w:t>
      </w:r>
    </w:p>
    <w:p>
      <w:pPr>
        <w:pStyle w:val="style0"/>
        <w:spacing w:before="240" w:after="160" w:lineRule="auto" w:line="259"/>
        <w:ind w:left="0" w:firstLine="0"/>
        <w:jc w:val="left"/>
        <w:rPr>
          <w:rFonts w:ascii="Times New Roman" w:cs="Times New Roman" w:eastAsia="Times New Roman" w:hAnsi="Times New Roman"/>
          <w:b/>
          <w:color w:val="000000"/>
          <w:szCs w:val="32"/>
        </w:rPr>
      </w:pPr>
    </w:p>
    <w:p>
      <w:pPr>
        <w:pStyle w:val="style0"/>
        <w:spacing w:before="240"/>
        <w:ind w:right="27"/>
        <w:jc w:val="center"/>
        <w:rPr>
          <w:rFonts w:ascii="Times New Roman" w:cs="Times New Roman" w:hAnsi="Times New Roman"/>
          <w:b/>
          <w:bCs/>
          <w:sz w:val="28"/>
          <w:szCs w:val="28"/>
        </w:rPr>
      </w:pPr>
    </w:p>
    <w:p>
      <w:pPr>
        <w:pStyle w:val="style0"/>
        <w:ind w:left="0" w:right="27" w:firstLine="0"/>
        <w:rPr>
          <w:rFonts w:ascii="Times New Roman" w:cs="Times New Roman" w:hAnsi="Times New Roman"/>
          <w:b/>
          <w:bCs/>
          <w:sz w:val="28"/>
          <w:szCs w:val="28"/>
        </w:rPr>
      </w:pPr>
    </w:p>
    <w:bookmarkStart w:id="0" w:name="_Toc203100984"/>
    <w:p>
      <w:pPr>
        <w:pStyle w:val="style1"/>
        <w:spacing w:lineRule="auto" w:line="480"/>
        <w:ind w:left="0" w:firstLine="0"/>
        <w:jc w:val="center"/>
        <w:rPr/>
      </w:pPr>
      <w:r>
        <w:t>CERTIFICATION</w:t>
      </w:r>
      <w:bookmarkEnd w:id="0"/>
    </w:p>
    <w:p>
      <w:pPr>
        <w:pStyle w:val="style0"/>
        <w:spacing w:lineRule="auto" w:line="480"/>
        <w:ind w:right="27" w:firstLine="720"/>
        <w:rPr>
          <w:rFonts w:ascii="Times New Roman" w:cs="Times New Roman" w:hAnsi="Times New Roman"/>
          <w:szCs w:val="28"/>
        </w:rPr>
      </w:pPr>
      <w:r>
        <w:rPr>
          <w:rFonts w:ascii="Times New Roman" w:cs="Times New Roman" w:hAnsi="Times New Roman"/>
          <w:szCs w:val="28"/>
        </w:rPr>
        <w:t>This is to certify that this Project report was written by</w:t>
      </w:r>
      <w:r>
        <w:rPr>
          <w:rFonts w:ascii="Times New Roman" w:cs="Times New Roman" w:hAnsi="Times New Roman"/>
          <w:szCs w:val="28"/>
          <w:lang w:val="en-US"/>
        </w:rPr>
        <w:t xml:space="preserve"> OLAJIDE IDRIS</w:t>
      </w:r>
      <w:r>
        <w:rPr>
          <w:rFonts w:ascii="Times New Roman" w:cs="Times New Roman" w:hAnsi="Times New Roman"/>
          <w:szCs w:val="28"/>
        </w:rPr>
        <w:t xml:space="preserve"> </w:t>
      </w:r>
      <w:r>
        <w:rPr>
          <w:rFonts w:ascii="Times New Roman" w:cs="Times New Roman" w:hAnsi="Times New Roman"/>
          <w:szCs w:val="28"/>
        </w:rPr>
        <w:t xml:space="preserve">BABATUNDE  </w:t>
      </w:r>
      <w:r>
        <w:rPr>
          <w:rFonts w:ascii="Times New Roman" w:cs="Times New Roman" w:hAnsi="Times New Roman"/>
          <w:szCs w:val="28"/>
        </w:rPr>
        <w:t xml:space="preserve">with matric number </w:t>
      </w:r>
      <w:r>
        <w:rPr>
          <w:rFonts w:ascii="Times New Roman" w:cs="Times New Roman" w:hAnsi="Times New Roman"/>
          <w:szCs w:val="28"/>
        </w:rPr>
        <w:t>HND/23/SLT/FT/0</w:t>
      </w:r>
      <w:r>
        <w:rPr>
          <w:rFonts w:ascii="Times New Roman" w:cs="Times New Roman" w:hAnsi="Times New Roman"/>
          <w:szCs w:val="28"/>
          <w:lang w:val="en-US"/>
        </w:rPr>
        <w:t>580</w:t>
      </w:r>
      <w:r>
        <w:rPr>
          <w:rFonts w:ascii="Times New Roman" w:cs="Times New Roman" w:hAnsi="Times New Roman"/>
          <w:szCs w:val="28"/>
        </w:rPr>
        <w:t xml:space="preserve"> and</w:t>
      </w:r>
      <w:r>
        <w:rPr>
          <w:rFonts w:ascii="Times New Roman" w:cs="Times New Roman" w:hAnsi="Times New Roman"/>
          <w:szCs w:val="28"/>
        </w:rPr>
        <w:t xml:space="preserve"> submitted to the Department of Science Laboratory Technology (S.L.T), Microbiology Unit, Institute of Applied Sciences (IAS), </w:t>
      </w:r>
      <w:r>
        <w:rPr>
          <w:rFonts w:ascii="Times New Roman" w:cs="Times New Roman" w:hAnsi="Times New Roman"/>
          <w:szCs w:val="28"/>
        </w:rPr>
        <w:t>Kwara</w:t>
      </w:r>
      <w:r>
        <w:rPr>
          <w:rFonts w:ascii="Times New Roman" w:cs="Times New Roman" w:hAnsi="Times New Roman"/>
          <w:szCs w:val="28"/>
        </w:rPr>
        <w:t xml:space="preserve"> State Polytechnic, and has been read and approved as a partial fulfillment for the award of Higher National Diploma (HND) in Science Laboratory Technology.</w:t>
      </w:r>
    </w:p>
    <w:p>
      <w:pPr>
        <w:pStyle w:val="style0"/>
        <w:rPr>
          <w:rFonts w:ascii="Times New Roman" w:cs="Times New Roman" w:hAnsi="Times New Roman"/>
          <w:sz w:val="28"/>
          <w:szCs w:val="28"/>
        </w:rPr>
      </w:pPr>
    </w:p>
    <w:p>
      <w:pPr>
        <w:pStyle w:val="style0"/>
        <w:spacing w:after="0"/>
        <w:rPr>
          <w:rFonts w:ascii="Times New Roman" w:cs="Times New Roman" w:hAnsi="Times New Roman"/>
          <w:sz w:val="28"/>
          <w:szCs w:val="28"/>
        </w:rPr>
      </w:pPr>
      <w:r>
        <w:rPr>
          <w:rFonts w:ascii="Times New Roman" w:cs="Times New Roman" w:hAnsi="Times New Roman"/>
          <w:noProof/>
          <w:sz w:val="28"/>
          <w:szCs w:val="28"/>
        </w:rPr>
        <mc:AlternateContent>
          <mc:Choice Requires="wps">
            <w:drawing>
              <wp:anchor distT="0" distB="0" distL="0" distR="0" simplePos="false" relativeHeight="10" behindDoc="false" locked="false" layoutInCell="true" allowOverlap="true">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7" type="#_x0000_t32" filled="f" style="position:absolute;margin-left:300.0pt;margin-top:14.4pt;width:162.0pt;height:0.75pt;z-index:10;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8"/>
          <w:szCs w:val="28"/>
        </w:rPr>
        <mc:AlternateContent>
          <mc:Choice Requires="wps">
            <w:drawing>
              <wp:anchor distT="0" distB="0" distL="0" distR="0" simplePos="false" relativeHeight="8" behindDoc="false" locked="false" layoutInCell="true" allowOverlap="true">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5740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8" type="#_x0000_t32" filled="f" style="position:absolute;margin-left:6.75pt;margin-top:14.4pt;width:162.0pt;height:0.0pt;z-index:8;mso-position-horizontal-relative:text;mso-position-vertical-relative:text;mso-width-percent:0;mso-height-percent:0;mso-width-relative:page;mso-height-relative:page;mso-wrap-distance-left:0.0pt;mso-wrap-distance-right:0.0pt;visibility:visible;">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MRS </w:t>
      </w:r>
      <w:r>
        <w:rPr>
          <w:rFonts w:ascii="Times New Roman" w:cs="Times New Roman" w:hAnsi="Times New Roman"/>
          <w:sz w:val="26"/>
          <w:szCs w:val="26"/>
        </w:rPr>
        <w:t>MRS</w:t>
      </w:r>
      <w:r>
        <w:rPr>
          <w:rFonts w:ascii="Times New Roman" w:cs="Times New Roman" w:hAnsi="Times New Roman"/>
          <w:sz w:val="26"/>
          <w:szCs w:val="26"/>
        </w:rPr>
        <w:t xml:space="preserve"> DAGBA IB</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ind w:firstLine="284"/>
        <w:rPr>
          <w:rFonts w:ascii="Times New Roman" w:cs="Times New Roman" w:hAnsi="Times New Roman"/>
          <w:sz w:val="26"/>
          <w:szCs w:val="26"/>
        </w:rPr>
      </w:pPr>
      <w:r>
        <w:rPr>
          <w:rFonts w:ascii="Times New Roman" w:cs="Times New Roman" w:hAnsi="Times New Roman"/>
          <w:sz w:val="26"/>
          <w:szCs w:val="26"/>
        </w:rPr>
        <w:t xml:space="preserve">    (Project Supervisor)</w:t>
      </w:r>
    </w:p>
    <w:p>
      <w:pPr>
        <w:pStyle w:val="style0"/>
        <w:spacing w:after="0"/>
        <w:ind w:firstLine="284"/>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after="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9" behindDoc="false" locked="false" layoutInCell="true" allowOverlap="true">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9" type="#_x0000_t32" filled="f" style="position:absolute;margin-left:300.0pt;margin-top:14.65pt;width:162.0pt;height:0.75pt;z-index:9;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1" behindDoc="false" locked="false" layoutInCell="true" allowOverlap="true">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0" type="#_x0000_t32" filled="f" style="position:absolute;margin-left:2.25pt;margin-top:11.4pt;width:162.0pt;height:0.75pt;z-index:11;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MISS AHMED T.</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(Head of Unit)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13" behindDoc="false" locked="false" layoutInCell="true" allowOverlap="true">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1" type="#_x0000_t32" filled="f" style="position:absolute;margin-left:303.75pt;margin-top:23.55pt;width:162.0pt;height:0.75pt;z-index:13;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2" behindDoc="false" locked="false" layoutInCell="true" allowOverlap="true">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2" type="#_x0000_t32" filled="f" style="position:absolute;margin-left:6.75pt;margin-top:23.55pt;width:162.0pt;height:0.75pt;z-index:12;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DR. USMAN</w:t>
      </w:r>
      <w:r>
        <w:rPr>
          <w:rFonts w:ascii="Times New Roman" w:cs="Times New Roman" w:hAnsi="Times New Roman"/>
          <w:sz w:val="26"/>
          <w:szCs w:val="26"/>
        </w:rPr>
        <w:t xml:space="preserve"> ABDULKAREEM</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(Head of Department)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lineRule="auto" w:line="360"/>
        <w:ind w:right="27"/>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bookmarkStart w:id="1" w:name="_Toc203100985"/>
    <w:p>
      <w:pPr>
        <w:pStyle w:val="style1"/>
        <w:spacing w:lineRule="auto" w:line="480"/>
        <w:ind w:left="0" w:firstLine="0"/>
        <w:jc w:val="center"/>
        <w:rPr/>
      </w:pPr>
      <w:r>
        <w:t>DEDICATION</w:t>
      </w:r>
      <w:bookmarkEnd w:id="1"/>
    </w:p>
    <w:p>
      <w:pPr>
        <w:pStyle w:val="style0"/>
        <w:spacing w:lineRule="auto" w:line="48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 dedicated this project to almighty God for He is the one that makes this </w:t>
      </w:r>
      <w:r>
        <w:rPr>
          <w:rFonts w:ascii="Times New Roman" w:cs="Times New Roman" w:eastAsia="Times New Roman" w:hAnsi="Times New Roman"/>
          <w:color w:val="auto"/>
          <w:szCs w:val="24"/>
        </w:rPr>
        <w:t>programme</w:t>
      </w:r>
      <w:r>
        <w:rPr>
          <w:rFonts w:ascii="Times New Roman" w:cs="Times New Roman" w:eastAsia="Times New Roman" w:hAnsi="Times New Roman"/>
          <w:color w:val="auto"/>
          <w:szCs w:val="24"/>
        </w:rPr>
        <w:t xml:space="preserve"> completion a reality and also to my family as a whole.</w:t>
      </w:r>
    </w:p>
    <w:p>
      <w:pPr>
        <w:pStyle w:val="style0"/>
        <w:spacing w:lineRule="auto" w:line="360"/>
        <w:ind w:right="27" w:firstLine="720"/>
        <w:rPr>
          <w:rFonts w:ascii="Times New Roman" w:cs="Times New Roman" w:hAnsi="Times New Roman"/>
          <w:sz w:val="28"/>
          <w:szCs w:val="28"/>
        </w:rPr>
      </w:pPr>
    </w:p>
    <w:p>
      <w:pPr>
        <w:pStyle w:val="style0"/>
        <w:spacing w:lineRule="auto" w:line="360"/>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bookmarkStart w:id="2" w:name="_Toc203100986"/>
    <w:p>
      <w:pPr>
        <w:pStyle w:val="style1"/>
        <w:spacing w:lineRule="auto" w:line="480"/>
        <w:ind w:left="0" w:firstLine="0"/>
        <w:jc w:val="center"/>
        <w:rPr/>
      </w:pPr>
      <w:r>
        <w:t>ACKNOWLEDGEMENT</w:t>
      </w:r>
      <w:bookmarkEnd w:id="2"/>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lang w:val="en-US"/>
        </w:rPr>
        <w:t>All gratitude goes to Almighty Allah for seeing me through ,from the beginning of my study in higher institutions to its completion.</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lang w:val="en-US"/>
        </w:rPr>
        <w:t>My sincere gratitude goes to my parents Mr&amp;Mrs OLAJIDE  for their support, prayers and guidance. I am so grateful for the sacrifices you have made for me. Your guidance and wisdom have shaped me into the person I am today. I appreciate everything you do for me. You're the best parents in the world!"</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lang w:val="en-US"/>
        </w:rPr>
        <w:t xml:space="preserve">   I would like to express my sincere gratitude to my Supervisor (Mrs Dagba.IB) for her guidance and support throughout this projects and seminar work. I am grateful for the opportunity to work under your supervision. Your insights and encouragement helped me grow both professionally and personally. I also appreciate my co project members for their assistance in data collection and analysis.</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lang w:val="en-US"/>
        </w:rPr>
        <w:t>Furthermore, i would like to appreciate my friends and family(ADEBOWALE,OLAMIDE AND KAOSARAT  for supporting me financially during my project work and also to the good people I met in school DAMILOLA,GLORY AND TINA . Thank you for standing by me and believing in me, I love you all.</w:t>
      </w: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266"/>
        <w:spacing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TABLE OF CONTENTS</w:t>
      </w:r>
    </w:p>
    <w:p>
      <w:pPr>
        <w:pStyle w:val="style19"/>
        <w:tabs>
          <w:tab w:val="right" w:leader="none" w:pos="9016"/>
        </w:tabs>
        <w:rPr>
          <w:rFonts w:ascii="Times New Roman" w:cs="Times New Roman" w:eastAsia="宋体" w:hAnsi="Times New Roman"/>
          <w:noProof/>
          <w:color w:val="auto"/>
          <w:szCs w:val="24"/>
        </w:rPr>
      </w:pPr>
      <w:r>
        <w:rPr>
          <w:rFonts w:ascii="Times New Roman" w:cs="Times New Roman" w:hAnsi="Times New Roman"/>
          <w:szCs w:val="24"/>
        </w:rPr>
        <w:fldChar w:fldCharType="begin"/>
      </w:r>
      <w:r>
        <w:rPr>
          <w:rFonts w:ascii="Times New Roman" w:cs="Times New Roman" w:hAnsi="Times New Roman"/>
          <w:szCs w:val="24"/>
        </w:rPr>
        <w:instrText xml:space="preserve"> TOC \o "1-3" \h \z \u </w:instrText>
      </w:r>
      <w:r>
        <w:rPr>
          <w:rFonts w:ascii="Times New Roman" w:cs="Times New Roman" w:hAnsi="Times New Roman"/>
          <w:szCs w:val="24"/>
        </w:rPr>
        <w:fldChar w:fldCharType="separate"/>
      </w:r>
      <w:r>
        <w:rPr/>
        <w:fldChar w:fldCharType="begin"/>
      </w:r>
      <w:r>
        <w:instrText xml:space="preserve"> HYPERLINK \l "_Toc203100984" </w:instrText>
      </w:r>
      <w:r>
        <w:rPr/>
        <w:fldChar w:fldCharType="separate"/>
      </w:r>
      <w:r>
        <w:rPr>
          <w:rStyle w:val="style85"/>
          <w:rFonts w:ascii="Times New Roman" w:cs="Times New Roman" w:hAnsi="Times New Roman"/>
          <w:noProof/>
          <w:szCs w:val="24"/>
        </w:rPr>
        <w:t>CERTIFICATION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"_Toc203100985" </w:instrText>
      </w:r>
      <w:r>
        <w:rPr/>
        <w:fldChar w:fldCharType="separate"/>
      </w:r>
      <w:r>
        <w:rPr>
          <w:rStyle w:val="style85"/>
          <w:rFonts w:ascii="Times New Roman" w:cs="Times New Roman" w:hAnsi="Times New Roman"/>
          <w:noProof/>
          <w:szCs w:val="24"/>
        </w:rPr>
        <w:t>DEDICATION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"_Toc203100986" </w:instrText>
      </w:r>
      <w:r>
        <w:rPr/>
        <w:fldChar w:fldCharType="separate"/>
      </w:r>
      <w:r>
        <w:rPr>
          <w:rStyle w:val="style85"/>
          <w:rFonts w:ascii="Times New Roman" w:cs="Times New Roman" w:hAnsi="Times New Roman"/>
          <w:noProof/>
          <w:szCs w:val="24"/>
        </w:rPr>
        <w:t>ACKNOWLEDGEMENT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iv</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"_Toc203100987" </w:instrText>
      </w:r>
      <w:r>
        <w:rPr/>
        <w:fldChar w:fldCharType="separate"/>
      </w:r>
      <w:r>
        <w:rPr>
          <w:rStyle w:val="style85"/>
          <w:rFonts w:ascii="Times New Roman" w:cs="Times New Roman" w:hAnsi="Times New Roman"/>
          <w:noProof/>
          <w:szCs w:val="24"/>
        </w:rPr>
        <w:t>CHAPTER ONE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"_Toc203100988" </w:instrText>
      </w:r>
      <w:r>
        <w:rPr/>
        <w:fldChar w:fldCharType="separate"/>
      </w:r>
      <w:r>
        <w:rPr>
          <w:rStyle w:val="style85"/>
          <w:rFonts w:ascii="Times New Roman" w:cs="Times New Roman" w:hAnsi="Times New Roman"/>
          <w:noProof/>
          <w:szCs w:val="24"/>
        </w:rPr>
        <w:t>INTRODUCTION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"_Toc203100989" </w:instrText>
      </w:r>
      <w:r>
        <w:rPr/>
        <w:fldChar w:fldCharType="separate"/>
      </w:r>
      <w:r>
        <w:rPr>
          <w:rStyle w:val="style85"/>
          <w:rFonts w:ascii="Times New Roman" w:cs="Times New Roman" w:hAnsi="Times New Roman"/>
          <w:noProof/>
          <w:szCs w:val="24"/>
        </w:rPr>
        <w:t>1.1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Background to the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"_Toc203100990" </w:instrText>
      </w:r>
      <w:r>
        <w:rPr/>
        <w:fldChar w:fldCharType="separate"/>
      </w:r>
      <w:r>
        <w:rPr>
          <w:rStyle w:val="style85"/>
          <w:rFonts w:ascii="Times New Roman" w:cs="Times New Roman" w:hAnsi="Times New Roman"/>
          <w:noProof/>
          <w:szCs w:val="24"/>
        </w:rPr>
        <w:t>1.2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Statement of Problem</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"_Toc203100991" </w:instrText>
      </w:r>
      <w:r>
        <w:rPr/>
        <w:fldChar w:fldCharType="separate"/>
      </w:r>
      <w:r>
        <w:rPr>
          <w:rStyle w:val="style85"/>
          <w:rFonts w:ascii="Times New Roman" w:cs="Times New Roman" w:hAnsi="Times New Roman"/>
          <w:noProof/>
          <w:szCs w:val="24"/>
        </w:rPr>
        <w:t>1.3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Justification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"_Toc203100992" </w:instrText>
      </w:r>
      <w:r>
        <w:rPr/>
        <w:fldChar w:fldCharType="separate"/>
      </w:r>
      <w:r>
        <w:rPr>
          <w:rStyle w:val="style85"/>
          <w:rFonts w:ascii="Times New Roman" w:cs="Times New Roman" w:hAnsi="Times New Roman"/>
          <w:noProof/>
          <w:szCs w:val="24"/>
        </w:rPr>
        <w:t>1.4</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Aims and Objectives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"_Toc203100993" </w:instrText>
      </w:r>
      <w:r>
        <w:rPr/>
        <w:fldChar w:fldCharType="separate"/>
      </w:r>
      <w:r>
        <w:rPr>
          <w:rStyle w:val="style85"/>
          <w:rFonts w:ascii="Times New Roman" w:cs="Times New Roman" w:hAnsi="Times New Roman"/>
          <w:noProof/>
          <w:szCs w:val="24"/>
        </w:rPr>
        <w:t>CHAPTER TWO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"_Toc203100994" </w:instrText>
      </w:r>
      <w:r>
        <w:rPr/>
        <w:fldChar w:fldCharType="separate"/>
      </w:r>
      <w:r>
        <w:rPr>
          <w:rStyle w:val="style85"/>
          <w:rFonts w:ascii="Times New Roman" w:cs="Times New Roman" w:hAnsi="Times New Roman"/>
          <w:noProof/>
          <w:szCs w:val="24"/>
        </w:rPr>
        <w:t>LITERATURE REVIEW</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"_Toc203100995" </w:instrText>
      </w:r>
      <w:r>
        <w:rPr/>
        <w:fldChar w:fldCharType="separate"/>
      </w:r>
      <w:r>
        <w:rPr>
          <w:rStyle w:val="style85"/>
          <w:rFonts w:ascii="Times New Roman" w:cs="Times New Roman" w:hAnsi="Times New Roman"/>
          <w:noProof/>
          <w:szCs w:val="24"/>
        </w:rPr>
        <w:t>2.1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Concept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"_Toc203100996" </w:instrText>
      </w:r>
      <w:r>
        <w:rPr/>
        <w:fldChar w:fldCharType="separate"/>
      </w:r>
      <w:r>
        <w:rPr>
          <w:rStyle w:val="style85"/>
          <w:rFonts w:ascii="Times New Roman" w:cs="Times New Roman" w:hAnsi="Times New Roman"/>
          <w:noProof/>
          <w:szCs w:val="24"/>
        </w:rPr>
        <w:t>2.2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Key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"_Toc203100997" </w:instrText>
      </w:r>
      <w:r>
        <w:rPr/>
        <w:fldChar w:fldCharType="separate"/>
      </w:r>
      <w:r>
        <w:rPr>
          <w:rStyle w:val="style85"/>
          <w:rFonts w:ascii="Times New Roman" w:cs="Times New Roman" w:eastAsia="Arial" w:hAnsi="Times New Roman"/>
          <w:noProof/>
          <w:szCs w:val="24"/>
        </w:rPr>
        <w:t>2.2.1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Microbial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"_Toc203100998" </w:instrText>
      </w:r>
      <w:r>
        <w:rPr/>
        <w:fldChar w:fldCharType="separate"/>
      </w:r>
      <w:r>
        <w:rPr>
          <w:rStyle w:val="style85"/>
          <w:rFonts w:ascii="Times New Roman" w:cs="Times New Roman" w:hAnsi="Times New Roman"/>
          <w:noProof/>
          <w:szCs w:val="24"/>
        </w:rPr>
        <w:t>2.2.2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Physical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"_Toc203100999" </w:instrText>
      </w:r>
      <w:r>
        <w:rPr/>
        <w:fldChar w:fldCharType="separate"/>
      </w:r>
      <w:r>
        <w:rPr>
          <w:rStyle w:val="style85"/>
          <w:rFonts w:ascii="Times New Roman" w:cs="Times New Roman" w:hAnsi="Times New Roman"/>
          <w:noProof/>
          <w:szCs w:val="24"/>
        </w:rPr>
        <w:t>2.2.3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Chemical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"_Toc203101000" </w:instrText>
      </w:r>
      <w:r>
        <w:rPr/>
        <w:fldChar w:fldCharType="separate"/>
      </w:r>
      <w:r>
        <w:rPr>
          <w:rStyle w:val="style85"/>
          <w:rFonts w:ascii="Times New Roman" w:cs="Times New Roman" w:hAnsi="Times New Roman"/>
          <w:noProof/>
          <w:szCs w:val="24"/>
        </w:rPr>
        <w:t>2.3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Water Quality Standards and Regulations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19</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"_Toc203101001" </w:instrText>
      </w:r>
      <w:r>
        <w:rPr/>
        <w:fldChar w:fldCharType="separate"/>
      </w:r>
      <w:r>
        <w:rPr>
          <w:rStyle w:val="style85"/>
          <w:rFonts w:ascii="Times New Roman" w:cs="Times New Roman" w:eastAsia="Times New Roman" w:hAnsi="Times New Roman"/>
          <w:noProof/>
          <w:szCs w:val="24"/>
        </w:rPr>
        <w:t>2.3.1</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Nigerian Standard for</w:t>
      </w:r>
      <w:r>
        <w:rPr>
          <w:rStyle w:val="style85"/>
          <w:rFonts w:ascii="Times New Roman" w:cs="Times New Roman" w:eastAsia="Times New Roman" w:hAnsi="Times New Roman"/>
          <w:noProof/>
          <w:szCs w:val="24"/>
        </w:rPr>
        <w:t xml:space="preserve"> Drinking Water Quality (NSDWQ)</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"_Toc203101002" </w:instrText>
      </w:r>
      <w:r>
        <w:rPr/>
        <w:fldChar w:fldCharType="separate"/>
      </w:r>
      <w:r>
        <w:rPr>
          <w:rStyle w:val="style85"/>
          <w:rFonts w:ascii="Times New Roman" w:cs="Times New Roman" w:eastAsia="Arial" w:hAnsi="Times New Roman"/>
          <w:noProof/>
          <w:szCs w:val="24"/>
        </w:rPr>
        <w:t>2.5</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Sachet Water Production in Nigeria</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"_Toc203101003" </w:instrText>
      </w:r>
      <w:r>
        <w:rPr/>
        <w:fldChar w:fldCharType="separate"/>
      </w:r>
      <w:r>
        <w:rPr>
          <w:rStyle w:val="style85"/>
          <w:rFonts w:ascii="Times New Roman" w:cs="Times New Roman" w:eastAsia="Arial" w:hAnsi="Times New Roman"/>
          <w:noProof/>
          <w:szCs w:val="24"/>
        </w:rPr>
        <w:t>2.6</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Antibacterial Analysis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"_Toc203101004" </w:instrText>
      </w:r>
      <w:r>
        <w:rPr/>
        <w:fldChar w:fldCharType="separate"/>
      </w:r>
      <w:r>
        <w:rPr>
          <w:rStyle w:val="style85"/>
          <w:rFonts w:ascii="Times New Roman" w:cs="Times New Roman" w:hAnsi="Times New Roman"/>
          <w:noProof/>
          <w:szCs w:val="24"/>
        </w:rPr>
        <w:t>2.6.1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Culture-Based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"_Toc203101005" </w:instrText>
      </w:r>
      <w:r>
        <w:rPr/>
        <w:fldChar w:fldCharType="separate"/>
      </w:r>
      <w:r>
        <w:rPr>
          <w:rStyle w:val="style85"/>
          <w:rFonts w:ascii="Times New Roman" w:cs="Times New Roman" w:hAnsi="Times New Roman"/>
          <w:noProof/>
          <w:szCs w:val="24"/>
        </w:rPr>
        <w:t>2.6.2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Antibacterial Activity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"_Toc203101006" </w:instrText>
      </w:r>
      <w:r>
        <w:rPr/>
        <w:fldChar w:fldCharType="separate"/>
      </w:r>
      <w:r>
        <w:rPr>
          <w:rStyle w:val="style85"/>
          <w:rFonts w:ascii="Times New Roman" w:cs="Times New Roman" w:hAnsi="Times New Roman"/>
          <w:noProof/>
          <w:szCs w:val="24"/>
        </w:rPr>
        <w:t>2.6.3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Molecular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"_Toc203101007" </w:instrText>
      </w:r>
      <w:r>
        <w:rPr/>
        <w:fldChar w:fldCharType="separate"/>
      </w:r>
      <w:r>
        <w:rPr>
          <w:rStyle w:val="style85"/>
          <w:rFonts w:ascii="Times New Roman" w:cs="Times New Roman" w:eastAsia="Arial" w:hAnsi="Times New Roman"/>
          <w:noProof/>
          <w:szCs w:val="24"/>
        </w:rPr>
        <w:t>CHAPTER THREE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"_Toc203101008" </w:instrText>
      </w:r>
      <w:r>
        <w:rPr/>
        <w:fldChar w:fldCharType="separate"/>
      </w:r>
      <w:r>
        <w:rPr>
          <w:rStyle w:val="style85"/>
          <w:rFonts w:ascii="Times New Roman" w:cs="Times New Roman" w:eastAsia="Arial" w:hAnsi="Times New Roman"/>
          <w:noProof/>
          <w:szCs w:val="24"/>
        </w:rPr>
        <w:t>MATERIALS AND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"_Toc203101009" </w:instrText>
      </w:r>
      <w:r>
        <w:rPr/>
        <w:fldChar w:fldCharType="separate"/>
      </w:r>
      <w:r>
        <w:rPr>
          <w:rStyle w:val="style85"/>
          <w:rFonts w:ascii="Times New Roman" w:cs="Times New Roman" w:eastAsia="Arial" w:hAnsi="Times New Roman"/>
          <w:noProof/>
          <w:szCs w:val="24"/>
        </w:rPr>
        <w:t>3.1</w:t>
      </w:r>
      <w:r>
        <w:rPr>
          <w:rFonts w:ascii="Times New Roman" w:cs="Times New Roman" w:eastAsia="宋体" w:hAnsi="Times New Roman"/>
          <w:noProof/>
          <w:color w:val="auto"/>
          <w:szCs w:val="24"/>
        </w:rPr>
        <w:tab/>
      </w:r>
      <w:r>
        <w:rPr>
          <w:rStyle w:val="style85"/>
          <w:rFonts w:ascii="Times New Roman" w:cs="Times New Roman" w:eastAsia="Arial" w:hAnsi="Times New Roman"/>
          <w:noProof/>
          <w:szCs w:val="24"/>
        </w:rPr>
        <w:t>Description of the Sample Site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"_Toc203101010" </w:instrText>
      </w:r>
      <w:r>
        <w:rPr/>
        <w:fldChar w:fldCharType="separate"/>
      </w:r>
      <w:r>
        <w:rPr>
          <w:rStyle w:val="style85"/>
          <w:rFonts w:ascii="Times New Roman" w:cs="Times New Roman" w:hAnsi="Times New Roman"/>
          <w:noProof/>
          <w:szCs w:val="24"/>
        </w:rPr>
        <w:t>3.2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Sample Collection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"_Toc203101011" </w:instrText>
      </w:r>
      <w:r>
        <w:rPr/>
        <w:fldChar w:fldCharType="separate"/>
      </w:r>
      <w:r>
        <w:rPr>
          <w:rStyle w:val="style85"/>
          <w:rFonts w:ascii="Times New Roman" w:cs="Times New Roman" w:hAnsi="Times New Roman"/>
          <w:noProof/>
          <w:szCs w:val="24"/>
        </w:rPr>
        <w:t>3.2.1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Sampling procedure and Preservation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"_Toc203101012" </w:instrText>
      </w:r>
      <w:r>
        <w:rPr/>
        <w:fldChar w:fldCharType="separate"/>
      </w:r>
      <w:r>
        <w:rPr>
          <w:rStyle w:val="style85"/>
          <w:rFonts w:ascii="Times New Roman" w:cs="Times New Roman" w:hAnsi="Times New Roman"/>
          <w:noProof/>
          <w:szCs w:val="24"/>
        </w:rPr>
        <w:t>3.3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"_Toc203101013" </w:instrText>
      </w:r>
      <w:r>
        <w:rPr/>
        <w:fldChar w:fldCharType="separate"/>
      </w:r>
      <w:r>
        <w:rPr>
          <w:rStyle w:val="style85"/>
          <w:rFonts w:ascii="Times New Roman" w:cs="Times New Roman" w:hAnsi="Times New Roman"/>
          <w:noProof/>
          <w:szCs w:val="24"/>
        </w:rPr>
        <w:t>3.3.1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pH</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"_Toc203101014" </w:instrText>
      </w:r>
      <w:r>
        <w:rPr/>
        <w:fldChar w:fldCharType="separate"/>
      </w:r>
      <w:r>
        <w:rPr>
          <w:rStyle w:val="style85"/>
          <w:rFonts w:ascii="Times New Roman" w:cs="Times New Roman" w:hAnsi="Times New Roman"/>
          <w:noProof/>
          <w:szCs w:val="24"/>
        </w:rPr>
        <w:t>3.3.2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Temperature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"_Toc203101015" </w:instrText>
      </w:r>
      <w:r>
        <w:rPr/>
        <w:fldChar w:fldCharType="separate"/>
      </w:r>
      <w:r>
        <w:rPr>
          <w:rStyle w:val="style85"/>
          <w:rFonts w:ascii="Times New Roman" w:cs="Times New Roman" w:hAnsi="Times New Roman"/>
          <w:noProof/>
          <w:szCs w:val="24"/>
        </w:rPr>
        <w:t>3.3.3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Turbidity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"_Toc203101016" </w:instrText>
      </w:r>
      <w:r>
        <w:rPr/>
        <w:fldChar w:fldCharType="separate"/>
      </w:r>
      <w:r>
        <w:rPr>
          <w:rStyle w:val="style85"/>
          <w:rFonts w:ascii="Times New Roman" w:cs="Times New Roman" w:eastAsia="Arial" w:hAnsi="Times New Roman"/>
          <w:noProof/>
          <w:szCs w:val="24"/>
        </w:rPr>
        <w:t>3.3.4</w:t>
      </w:r>
      <w:r>
        <w:rPr>
          <w:rFonts w:ascii="Times New Roman" w:cs="Times New Roman" w:eastAsia="宋体" w:hAnsi="Times New Roman"/>
          <w:noProof/>
          <w:color w:val="auto"/>
          <w:szCs w:val="24"/>
        </w:rPr>
        <w:t xml:space="preserve">       </w:t>
      </w:r>
      <w:r>
        <w:rPr>
          <w:rStyle w:val="style85"/>
          <w:rFonts w:ascii="Times New Roman" w:cs="Times New Roman" w:eastAsia="Arial" w:hAnsi="Times New Roman"/>
          <w:noProof/>
          <w:szCs w:val="24"/>
        </w:rPr>
        <w:t>Electrical Conductivity (EC)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"_Toc203101017" </w:instrText>
      </w:r>
      <w:r>
        <w:rPr/>
        <w:fldChar w:fldCharType="separate"/>
      </w:r>
      <w:r>
        <w:rPr>
          <w:rStyle w:val="style85"/>
          <w:rFonts w:ascii="Times New Roman" w:cs="Times New Roman" w:hAnsi="Times New Roman"/>
          <w:bCs/>
          <w:noProof/>
          <w:szCs w:val="24"/>
        </w:rPr>
        <w:t xml:space="preserve">3.3.5 </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Dissolved Solids (TDS)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"_Toc203101018" </w:instrText>
      </w:r>
      <w:r>
        <w:rPr/>
        <w:fldChar w:fldCharType="separate"/>
      </w:r>
      <w:r>
        <w:rPr>
          <w:rStyle w:val="style85"/>
          <w:rFonts w:ascii="Times New Roman" w:cs="Times New Roman" w:hAnsi="Times New Roman"/>
          <w:bCs/>
          <w:noProof/>
          <w:szCs w:val="24"/>
        </w:rPr>
        <w:t>3.3.6</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Dissolved Oxygen (DO)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"_Toc203101019" </w:instrText>
      </w:r>
      <w:r>
        <w:rPr/>
        <w:fldChar w:fldCharType="separate"/>
      </w:r>
      <w:r>
        <w:rPr>
          <w:rStyle w:val="style85"/>
          <w:rFonts w:ascii="Times New Roman" w:cs="Times New Roman" w:hAnsi="Times New Roman"/>
          <w:bCs/>
          <w:noProof/>
          <w:szCs w:val="24"/>
        </w:rPr>
        <w:t>3.3.7</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Hardness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"_Toc203101020" </w:instrText>
      </w:r>
      <w:r>
        <w:rPr/>
        <w:fldChar w:fldCharType="separate"/>
      </w:r>
      <w:r>
        <w:rPr>
          <w:rStyle w:val="style85"/>
          <w:rFonts w:ascii="Times New Roman" w:cs="Times New Roman" w:hAnsi="Times New Roman"/>
          <w:bCs/>
          <w:noProof/>
          <w:szCs w:val="24"/>
        </w:rPr>
        <w:t>3.4</w:t>
      </w:r>
      <w:r>
        <w:rPr>
          <w:rFonts w:ascii="Times New Roman" w:cs="Times New Roman" w:eastAsia="宋体" w:hAnsi="Times New Roman"/>
          <w:noProof/>
          <w:color w:val="auto"/>
          <w:szCs w:val="24"/>
        </w:rPr>
        <w:tab/>
      </w:r>
      <w:r>
        <w:rPr>
          <w:rStyle w:val="style85"/>
          <w:rFonts w:ascii="Times New Roman" w:cs="Times New Roman" w:hAnsi="Times New Roman"/>
          <w:bCs/>
          <w:noProof/>
          <w:szCs w:val="24"/>
        </w:rPr>
        <w:t>Microbial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"_Toc203101021" </w:instrText>
      </w:r>
      <w:r>
        <w:rPr/>
        <w:fldChar w:fldCharType="separate"/>
      </w:r>
      <w:r>
        <w:rPr>
          <w:rStyle w:val="style85"/>
          <w:rFonts w:ascii="Times New Roman" w:cs="Times New Roman" w:hAnsi="Times New Roman"/>
          <w:bCs/>
          <w:noProof/>
          <w:szCs w:val="24"/>
        </w:rPr>
        <w:t>3.4.1</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Colony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"_Toc203101022" </w:instrText>
      </w:r>
      <w:r>
        <w:rPr/>
        <w:fldChar w:fldCharType="separate"/>
      </w:r>
      <w:r>
        <w:rPr>
          <w:rStyle w:val="style85"/>
          <w:rFonts w:ascii="Times New Roman" w:cs="Times New Roman" w:hAnsi="Times New Roman"/>
          <w:bCs/>
          <w:noProof/>
          <w:szCs w:val="24"/>
        </w:rPr>
        <w:t>3.4.2</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Fungal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"_Toc203101023" </w:instrText>
      </w:r>
      <w:r>
        <w:rPr/>
        <w:fldChar w:fldCharType="separate"/>
      </w:r>
      <w:r>
        <w:rPr>
          <w:rStyle w:val="style85"/>
          <w:rFonts w:ascii="Times New Roman" w:cs="Times New Roman" w:hAnsi="Times New Roman"/>
          <w:noProof/>
          <w:szCs w:val="24"/>
        </w:rPr>
        <w:t>3.4.3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Total Viable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"_Toc203101024" </w:instrText>
      </w:r>
      <w:r>
        <w:rPr/>
        <w:fldChar w:fldCharType="separate"/>
      </w:r>
      <w:r>
        <w:rPr>
          <w:rStyle w:val="style85"/>
          <w:rFonts w:ascii="Times New Roman" w:cs="Times New Roman" w:hAnsi="Times New Roman"/>
          <w:noProof/>
          <w:szCs w:val="24"/>
        </w:rPr>
        <w:t xml:space="preserve">3.4.4 </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 xml:space="preserve">Total </w:t>
      </w:r>
      <w:r>
        <w:rPr>
          <w:rStyle w:val="style85"/>
          <w:rFonts w:ascii="Times New Roman" w:cs="Times New Roman" w:hAnsi="Times New Roman"/>
          <w:i/>
          <w:noProof/>
          <w:szCs w:val="24"/>
        </w:rPr>
        <w:t>Escherichia coli</w:t>
      </w:r>
      <w:r>
        <w:rPr>
          <w:rStyle w:val="style85"/>
          <w:rFonts w:ascii="Times New Roman" w:cs="Times New Roman" w:hAnsi="Times New Roman"/>
          <w:noProof/>
          <w:szCs w:val="24"/>
        </w:rPr>
        <w:t xml:space="preserv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"_Toc203101025" </w:instrText>
      </w:r>
      <w:r>
        <w:rPr/>
        <w:fldChar w:fldCharType="separate"/>
      </w:r>
      <w:r>
        <w:rPr>
          <w:rStyle w:val="style85"/>
          <w:rFonts w:ascii="Times New Roman" w:cs="Times New Roman" w:hAnsi="Times New Roman"/>
          <w:noProof/>
          <w:szCs w:val="24"/>
        </w:rPr>
        <w:t>3.5</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Morphological and Microscopic Identification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"_Toc203101026" </w:instrText>
      </w:r>
      <w:r>
        <w:rPr/>
        <w:fldChar w:fldCharType="separate"/>
      </w:r>
      <w:r>
        <w:rPr>
          <w:rStyle w:val="style85"/>
          <w:rFonts w:ascii="Times New Roman" w:cs="Times New Roman" w:eastAsia="Arial" w:hAnsi="Times New Roman"/>
          <w:noProof/>
          <w:szCs w:val="24"/>
        </w:rPr>
        <w:t>3.5.1</w:t>
      </w:r>
      <w:r>
        <w:rPr>
          <w:rFonts w:ascii="Times New Roman" w:cs="Times New Roman" w:eastAsia="宋体" w:hAnsi="Times New Roman"/>
          <w:noProof/>
          <w:color w:val="auto"/>
          <w:szCs w:val="24"/>
        </w:rPr>
        <w:t xml:space="preserve">       </w:t>
      </w:r>
      <w:r>
        <w:rPr>
          <w:rStyle w:val="style85"/>
          <w:rFonts w:ascii="Times New Roman" w:cs="Times New Roman" w:eastAsia="Arial" w:hAnsi="Times New Roman"/>
          <w:noProof/>
          <w:szCs w:val="24"/>
        </w:rPr>
        <w:t>Biochemical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"_Toc203101027" </w:instrText>
      </w:r>
      <w:r>
        <w:rPr/>
        <w:fldChar w:fldCharType="separate"/>
      </w:r>
      <w:r>
        <w:rPr>
          <w:rStyle w:val="style85"/>
          <w:rFonts w:ascii="Times New Roman" w:cs="Times New Roman" w:hAnsi="Times New Roman"/>
          <w:noProof/>
          <w:szCs w:val="24"/>
        </w:rPr>
        <w:t>3.5.2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Lactophenol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30</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"_Toc203101028" </w:instrText>
      </w:r>
      <w:r>
        <w:rPr/>
        <w:fldChar w:fldCharType="separate"/>
      </w:r>
      <w:r>
        <w:rPr>
          <w:rStyle w:val="style85"/>
          <w:rFonts w:ascii="Times New Roman" w:cs="Times New Roman" w:eastAsia="Times New Roman" w:hAnsi="Times New Roman"/>
          <w:noProof/>
          <w:szCs w:val="24"/>
        </w:rPr>
        <w:t>3.5.3</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Endospore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"_Toc203101029" </w:instrText>
      </w:r>
      <w:r>
        <w:rPr/>
        <w:fldChar w:fldCharType="separate"/>
      </w:r>
      <w:r>
        <w:rPr>
          <w:rStyle w:val="style85"/>
          <w:rFonts w:ascii="Times New Roman" w:cs="Times New Roman" w:hAnsi="Times New Roman"/>
          <w:noProof/>
          <w:szCs w:val="24"/>
        </w:rPr>
        <w:t>3.6</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Data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"_Toc203101030" </w:instrText>
      </w:r>
      <w:r>
        <w:rPr/>
        <w:fldChar w:fldCharType="separate"/>
      </w:r>
      <w:r>
        <w:rPr>
          <w:rStyle w:val="style85"/>
          <w:rFonts w:ascii="Times New Roman" w:cs="Times New Roman" w:hAnsi="Times New Roman"/>
          <w:noProof/>
          <w:szCs w:val="24"/>
        </w:rPr>
        <w:t>CHAPTER FOUR</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19"/>
        <w:tabs>
          <w:tab w:val="left" w:leader="none" w:pos="660"/>
          <w:tab w:val="right" w:leader="none" w:pos="9016"/>
        </w:tabs>
        <w:rPr>
          <w:rFonts w:ascii="Times New Roman" w:cs="Times New Roman" w:eastAsia="宋体" w:hAnsi="Times New Roman"/>
          <w:noProof/>
          <w:color w:val="auto"/>
          <w:szCs w:val="24"/>
        </w:rPr>
      </w:pPr>
      <w:r>
        <w:rPr/>
        <w:fldChar w:fldCharType="begin"/>
      </w:r>
      <w:r>
        <w:instrText xml:space="preserve"> HYPERLINK \l "_Toc203101031" </w:instrText>
      </w:r>
      <w:r>
        <w:rPr/>
        <w:fldChar w:fldCharType="separate"/>
      </w:r>
      <w:r>
        <w:rPr>
          <w:rStyle w:val="style85"/>
          <w:rFonts w:ascii="Times New Roman" w:cs="Times New Roman" w:hAnsi="Times New Roman"/>
          <w:noProof/>
          <w:szCs w:val="24"/>
        </w:rPr>
        <w:t>4.0</w:t>
      </w:r>
      <w:r>
        <w:rPr>
          <w:rFonts w:ascii="Times New Roman" w:cs="Times New Roman" w:eastAsia="宋体" w:hAnsi="Times New Roman"/>
          <w:noProof/>
          <w:color w:val="auto"/>
          <w:szCs w:val="24"/>
        </w:rPr>
        <w:tab/>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RESULTS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"_Toc203101032" </w:instrText>
      </w:r>
      <w:r>
        <w:rPr/>
        <w:fldChar w:fldCharType="separate"/>
      </w:r>
      <w:r>
        <w:rPr>
          <w:rStyle w:val="style85"/>
          <w:rFonts w:ascii="Times New Roman" w:cs="Times New Roman" w:hAnsi="Times New Roman"/>
          <w:noProof/>
          <w:szCs w:val="24"/>
        </w:rPr>
        <w:t>4.1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Parameters of  sachet water sample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"_Toc203101033" </w:instrText>
      </w:r>
      <w:r>
        <w:rPr/>
        <w:fldChar w:fldCharType="separate"/>
      </w:r>
      <w:r>
        <w:rPr>
          <w:rStyle w:val="style85"/>
          <w:rFonts w:ascii="Times New Roman" w:cs="Times New Roman" w:hAnsi="Times New Roman"/>
          <w:noProof/>
          <w:szCs w:val="24"/>
        </w:rPr>
        <w:t>4.1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Parameters of Water Samples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34</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"_Toc203101034" </w:instrText>
      </w:r>
      <w:r>
        <w:rPr/>
        <w:fldChar w:fldCharType="separate"/>
      </w:r>
      <w:r>
        <w:rPr>
          <w:rStyle w:val="style85"/>
          <w:rFonts w:ascii="Times New Roman" w:cs="Times New Roman" w:eastAsia="Times New Roman" w:hAnsi="Times New Roman"/>
          <w:noProof/>
          <w:szCs w:val="24"/>
        </w:rPr>
        <w:t>4.2</w:t>
      </w:r>
      <w:r>
        <w:rPr>
          <w:rFonts w:ascii="Times New Roman" w:cs="Times New Roman" w:eastAsia="宋体" w:hAnsi="Times New Roman"/>
          <w:noProof/>
          <w:color w:val="auto"/>
          <w:szCs w:val="24"/>
        </w:rPr>
        <w:tab/>
      </w:r>
      <w:r>
        <w:rPr>
          <w:rStyle w:val="style85"/>
          <w:rFonts w:ascii="Times New Roman" w:cs="Times New Roman" w:eastAsia="Times New Roman" w:hAnsi="Times New Roman"/>
          <w:noProof/>
          <w:szCs w:val="24"/>
        </w:rPr>
        <w:t>Microbiological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"_Toc203101035" </w:instrText>
      </w:r>
      <w:r>
        <w:rPr/>
        <w:fldChar w:fldCharType="separate"/>
      </w:r>
      <w:r>
        <w:rPr>
          <w:rStyle w:val="style85"/>
          <w:rFonts w:ascii="Times New Roman" w:cs="Times New Roman" w:eastAsia="Times New Roman" w:hAnsi="Times New Roman"/>
          <w:noProof/>
          <w:szCs w:val="24"/>
        </w:rPr>
        <w:t>4.2.1</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Microbial Counts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"_Toc203101036" </w:instrText>
      </w:r>
      <w:r>
        <w:rPr/>
        <w:fldChar w:fldCharType="separate"/>
      </w:r>
      <w:r>
        <w:rPr>
          <w:rStyle w:val="style85"/>
          <w:rFonts w:ascii="Times New Roman" w:cs="Times New Roman" w:hAnsi="Times New Roman"/>
          <w:noProof/>
          <w:szCs w:val="24"/>
        </w:rPr>
        <w:t>4.2.2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Morphological and Microscopic Characteristics of Bacterial Isolates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"_Toc203101037" </w:instrText>
      </w:r>
      <w:r>
        <w:rPr/>
        <w:fldChar w:fldCharType="separate"/>
      </w:r>
      <w:r>
        <w:rPr>
          <w:rStyle w:val="style85"/>
          <w:rFonts w:ascii="Times New Roman" w:cs="Times New Roman" w:eastAsia="Times New Roman" w:hAnsi="Times New Roman"/>
          <w:noProof/>
          <w:szCs w:val="24"/>
        </w:rPr>
        <w:t>4.2.3</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 xml:space="preserve">Lactophenol Test for Fungal Identification and Biochemical Identification Bacterial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Isolates</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37</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"_Toc203101038" </w:instrText>
      </w:r>
      <w:r>
        <w:rPr/>
        <w:fldChar w:fldCharType="separate"/>
      </w:r>
      <w:r>
        <w:rPr>
          <w:rStyle w:val="style85"/>
          <w:rFonts w:ascii="Times New Roman" w:cs="Times New Roman" w:eastAsia="Times New Roman" w:hAnsi="Times New Roman"/>
          <w:noProof/>
          <w:szCs w:val="24"/>
        </w:rPr>
        <w:t>CHAPTER FIVE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"_Toc203101039" </w:instrText>
      </w:r>
      <w:r>
        <w:rPr/>
        <w:fldChar w:fldCharType="separate"/>
      </w:r>
      <w:r>
        <w:rPr>
          <w:rStyle w:val="style85"/>
          <w:rFonts w:ascii="Times New Roman" w:cs="Times New Roman" w:eastAsia="Times New Roman" w:hAnsi="Times New Roman"/>
          <w:noProof/>
          <w:szCs w:val="24"/>
        </w:rPr>
        <w:t>DISCUSSION, CONCLUSION AND RECOMMEDATION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"_Toc203101040" </w:instrText>
      </w:r>
      <w:r>
        <w:rPr/>
        <w:fldChar w:fldCharType="separate"/>
      </w:r>
      <w:r>
        <w:rPr>
          <w:rStyle w:val="style85"/>
          <w:rFonts w:ascii="Times New Roman" w:cs="Times New Roman" w:eastAsia="Times New Roman" w:hAnsi="Times New Roman"/>
          <w:noProof/>
          <w:szCs w:val="24"/>
        </w:rPr>
        <w:t xml:space="preserve">5.1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Discussion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"_Toc203101041" </w:instrText>
      </w:r>
      <w:r>
        <w:rPr/>
        <w:fldChar w:fldCharType="separate"/>
      </w:r>
      <w:r>
        <w:rPr>
          <w:rStyle w:val="style85"/>
          <w:rFonts w:ascii="Times New Roman" w:cs="Times New Roman" w:eastAsia="Times New Roman" w:hAnsi="Times New Roman"/>
          <w:noProof/>
          <w:szCs w:val="24"/>
        </w:rPr>
        <w:t xml:space="preserve">5.2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Conclusion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41</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"_Toc203101042" </w:instrText>
      </w:r>
      <w:r>
        <w:rPr/>
        <w:fldChar w:fldCharType="separate"/>
      </w:r>
      <w:r>
        <w:rPr>
          <w:rStyle w:val="style85"/>
          <w:rFonts w:ascii="Times New Roman" w:cs="Times New Roman" w:eastAsia="Times New Roman" w:hAnsi="Times New Roman"/>
          <w:noProof/>
          <w:szCs w:val="24"/>
        </w:rPr>
        <w:t xml:space="preserve">5.3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Recommendations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"_Toc203101043" </w:instrText>
      </w:r>
      <w:r>
        <w:rPr/>
        <w:fldChar w:fldCharType="separate"/>
      </w:r>
      <w:r>
        <w:rPr>
          <w:rStyle w:val="style85"/>
          <w:rFonts w:ascii="Times New Roman" w:cs="Times New Roman" w:hAnsi="Times New Roman"/>
          <w:noProof/>
          <w:szCs w:val="24"/>
        </w:rPr>
        <w:t>REFERENCES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44</w:t>
      </w:r>
      <w:r>
        <w:rPr>
          <w:rFonts w:ascii="Times New Roman" w:cs="Times New Roman" w:hAnsi="Times New Roman"/>
          <w:noProof/>
          <w:webHidden/>
          <w:szCs w:val="24"/>
        </w:rPr>
        <w:fldChar w:fldCharType="end"/>
      </w:r>
      <w:r>
        <w:rPr/>
        <w:fldChar w:fldCharType="end"/>
      </w:r>
    </w:p>
    <w:p>
      <w:pPr>
        <w:pStyle w:val="style0"/>
        <w:ind w:left="0"/>
        <w:rPr>
          <w:rFonts w:ascii="Times New Roman" w:cs="Times New Roman" w:hAnsi="Times New Roman"/>
          <w:szCs w:val="24"/>
        </w:rPr>
      </w:pPr>
      <w:r>
        <w:rPr>
          <w:rFonts w:ascii="Times New Roman" w:cs="Times New Roman" w:hAnsi="Times New Roman"/>
          <w:szCs w:val="24"/>
        </w:rPr>
        <w:fldChar w:fldCharType="end"/>
      </w:r>
    </w:p>
    <w:p>
      <w:pPr>
        <w:pStyle w:val="style0"/>
        <w:spacing w:after="0" w:lineRule="auto" w:line="480"/>
        <w:rPr>
          <w:rFonts w:ascii="Times New Roman" w:cs="Times New Roman" w:hAnsi="Times New Roman"/>
          <w:szCs w:val="24"/>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spacing w:after="160" w:lineRule="auto" w:line="259"/>
        <w:ind w:left="0" w:firstLine="0"/>
        <w:jc w:val="left"/>
        <w:rPr>
          <w:rFonts w:ascii="Times New Roman" w:cs="Times New Roman" w:hAnsi="Times New Roman"/>
          <w:sz w:val="28"/>
          <w:szCs w:val="28"/>
        </w:rPr>
      </w:pPr>
      <w:r>
        <w:rPr>
          <w:rFonts w:ascii="Times New Roman" w:cs="Times New Roman" w:hAnsi="Times New Roman"/>
          <w:sz w:val="28"/>
          <w:szCs w:val="28"/>
        </w:rPr>
        <w:br w:type="page"/>
      </w:r>
    </w:p>
    <w:p>
      <w:pPr>
        <w:pStyle w:val="style0"/>
        <w:jc w:val="center"/>
        <w:rPr>
          <w:rFonts w:ascii="Times New Roman" w:cs="Times New Roman" w:eastAsia="Times New Roman" w:hAnsi="Times New Roman"/>
          <w:b/>
        </w:rPr>
      </w:pPr>
      <w:r>
        <w:rPr>
          <w:rFonts w:ascii="Times New Roman" w:cs="Times New Roman" w:eastAsia="Times New Roman" w:hAnsi="Times New Roman"/>
          <w:b/>
        </w:rPr>
        <w:t>ABSTRACT</w:t>
      </w:r>
    </w:p>
    <w:p>
      <w:pPr>
        <w:pStyle w:val="style94"/>
        <w:jc w:val="both"/>
        <w:rPr>
          <w:i/>
        </w:rPr>
      </w:pPr>
      <w:r>
        <w:rPr>
          <w:i/>
        </w:rPr>
        <w:t xml:space="preserve">Access to safe and clean drinking water is critical to public health, particularly in developing countries where sachet water is a common source of hydration. This study assessed the physicochemical and microbiological quality of five sachet water brands (AW, BW, KW, OW, and YW) produced in Ilorin, Kwara State, Nigeria. Standard analytical techniques were employed to determine physicochemical parameters including pH, temperature, turbidity, total dissolved solids (TDS), electrical conductivity (EC), dissolved oxygen (DO), and salinity. Microbiological analysis was conducted to determine total viable count (TVC), total coliforms, </w:t>
      </w:r>
      <w:r>
        <w:rPr>
          <w:rStyle w:val="style88"/>
        </w:rPr>
        <w:t>Escherichia coli</w:t>
      </w:r>
      <w:r>
        <w:rPr>
          <w:i/>
        </w:rPr>
        <w:t xml:space="preserve">, and fungi, while bacterial isolates were identified using morphological and biochemical </w:t>
      </w:r>
      <w:r>
        <w:rPr>
          <w:i/>
        </w:rPr>
        <w:t>tests.Results</w:t>
      </w:r>
      <w:r>
        <w:rPr>
          <w:i/>
        </w:rPr>
        <w:t xml:space="preserve"> showed that temperature values ranged between 18.00 ± 0.90°C and 24.00 ± 1.20°C, all below the WHO guideline of 25°C. DO ranged from 3.20 ± 0.16 mg/L in AW to 17.30 ± 0.87 mg/L in OW. All samples had turbidity below the 5 NTU limit, with values between 1.60 ± 0.08 NTU (KW) and 4.20 ± 0.21 NTU (YW). EC and TDS values also remained within safe limits, ranging from 51.00 ± 2.55 to 100.00 ± 5.00 µS/cm and 35.00 ± 1.75 to 59.00 ± 2.95 mg/L, </w:t>
      </w:r>
      <w:r>
        <w:rPr>
          <w:i/>
        </w:rPr>
        <w:t>respectively.Microbiologically</w:t>
      </w:r>
      <w:r>
        <w:rPr>
          <w:i/>
        </w:rPr>
        <w:t xml:space="preserve">, the total viable count was highest in YW (231.00 ± 11.55 CFU/mL), significantly exceeding acceptable limits, while OW had the lowest count (7.00 ± 0.35 CFU/mL). Total coliforms were detected in four of the five samples, ranging from 3.00 ± 0.15 CFU/mL in YW to 51.00 ± 2.55 CFU/mL in OW. </w:t>
      </w:r>
      <w:r>
        <w:rPr>
          <w:rStyle w:val="style88"/>
        </w:rPr>
        <w:t>Escherichia coli</w:t>
      </w:r>
      <w:r>
        <w:rPr>
          <w:i/>
        </w:rPr>
        <w:t xml:space="preserve"> was not detected in any of the samples. Isolated bacteria included </w:t>
      </w:r>
      <w:r>
        <w:rPr>
          <w:rStyle w:val="style88"/>
        </w:rPr>
        <w:t>Bacillus subtilis</w:t>
      </w:r>
      <w:r>
        <w:rPr>
          <w:i/>
        </w:rPr>
        <w:t xml:space="preserve">, </w:t>
      </w:r>
      <w:r>
        <w:rPr>
          <w:rStyle w:val="style88"/>
        </w:rPr>
        <w:t>Staphylococcus epidermidis</w:t>
      </w:r>
      <w:r>
        <w:rPr>
          <w:i/>
        </w:rPr>
        <w:t xml:space="preserve">, </w:t>
      </w:r>
      <w:r>
        <w:rPr>
          <w:rStyle w:val="style88"/>
        </w:rPr>
        <w:t>Pseudomonas aeruginosa</w:t>
      </w:r>
      <w:r>
        <w:rPr>
          <w:i/>
        </w:rPr>
        <w:t xml:space="preserve">, and </w:t>
      </w:r>
      <w:r>
        <w:rPr>
          <w:rStyle w:val="style88"/>
        </w:rPr>
        <w:t>Neisseria</w:t>
      </w:r>
      <w:r>
        <w:rPr>
          <w:i/>
        </w:rPr>
        <w:t xml:space="preserve"> species, while a fungal isolate, </w:t>
      </w:r>
      <w:r>
        <w:rPr>
          <w:rStyle w:val="style88"/>
        </w:rPr>
        <w:t>Aspergillus</w:t>
      </w:r>
      <w:r>
        <w:rPr>
          <w:i/>
        </w:rPr>
        <w:t xml:space="preserve"> species, was identified in one sample (YWE).The findings indicate that although some sachet water brands met WHO physicochemical and microbiological standards, others posed potential health risks due to high microbial load. The study recommends stricter regulatory enforcement, improved production hygiene, and routine quality monitoring to ensure safe drinking water for the population.</w:t>
      </w:r>
    </w:p>
    <w:p>
      <w:pPr>
        <w:pStyle w:val="style0"/>
        <w:spacing w:after="160" w:lineRule="auto" w:line="259"/>
        <w:ind w:left="0" w:firstLine="0"/>
        <w:jc w:val="left"/>
        <w:rPr>
          <w:rFonts w:ascii="Times New Roman" w:cs="Times New Roman" w:hAnsi="Times New Roman"/>
          <w:b/>
          <w:szCs w:val="24"/>
        </w:rPr>
      </w:pPr>
    </w:p>
    <w:p>
      <w:pPr>
        <w:pStyle w:val="style0"/>
        <w:spacing w:after="0" w:lineRule="auto" w:line="480"/>
        <w:jc w:val="center"/>
        <w:rPr>
          <w:rFonts w:ascii="Times New Roman" w:cs="Times New Roman" w:hAnsi="Times New Roman"/>
          <w:b/>
          <w:szCs w:val="24"/>
        </w:rPr>
      </w:pPr>
    </w:p>
    <w:p>
      <w:pPr>
        <w:pStyle w:val="style0"/>
        <w:spacing w:after="0" w:lineRule="auto" w:line="480"/>
        <w:rPr>
          <w:rFonts w:ascii="Times New Roman" w:cs="Times New Roman" w:hAnsi="Times New Roman"/>
          <w:b/>
          <w:szCs w:val="24"/>
        </w:rPr>
        <w:sectPr>
          <w:footerReference w:type="default" r:id="rId3"/>
          <w:pgSz w:w="11906" w:h="16838" w:orient="portrait"/>
          <w:pgMar w:top="1440" w:right="1440" w:bottom="1440" w:left="1440" w:header="708" w:footer="708" w:gutter="0"/>
          <w:pgNumType w:fmt="lowerRoman" w:start="1"/>
          <w:cols w:space="708"/>
          <w:docGrid w:linePitch="360"/>
        </w:sectPr>
      </w:pPr>
    </w:p>
    <w:bookmarkStart w:id="3" w:name="_Toc203100987"/>
    <w:p>
      <w:pPr>
        <w:pStyle w:val="style1"/>
        <w:ind w:left="0" w:firstLine="0"/>
        <w:jc w:val="center"/>
        <w:rPr>
          <w:rFonts w:cs="Times New Roman"/>
        </w:rPr>
      </w:pPr>
      <w:r>
        <w:rPr>
          <w:rFonts w:cs="Times New Roman"/>
        </w:rPr>
        <w:t>CHAPTER ONE</w:t>
      </w:r>
      <w:bookmarkEnd w:id="3"/>
    </w:p>
    <w:bookmarkStart w:id="4" w:name="_Toc203100988"/>
    <w:p>
      <w:pPr>
        <w:pStyle w:val="style1"/>
        <w:jc w:val="center"/>
        <w:rPr>
          <w:rFonts w:cs="Times New Roman"/>
        </w:rPr>
      </w:pPr>
      <w:r>
        <w:rPr>
          <w:rFonts w:cs="Times New Roman"/>
        </w:rPr>
        <w:t>INTRODUCTION</w:t>
      </w:r>
      <w:bookmarkEnd w:id="4"/>
    </w:p>
    <w:bookmarkStart w:id="5" w:name="_Toc203100989"/>
    <w:p>
      <w:pPr>
        <w:pStyle w:val="style2"/>
        <w:spacing w:lineRule="auto" w:line="480"/>
        <w:rPr>
          <w:rFonts w:cs="Times New Roman"/>
          <w:b w:val="false"/>
        </w:rPr>
      </w:pPr>
      <w:r>
        <w:rPr>
          <w:rFonts w:cs="Times New Roman"/>
        </w:rPr>
        <w:t>1.1</w:t>
      </w:r>
      <w:r>
        <w:rPr>
          <w:rFonts w:cs="Times New Roman"/>
        </w:rPr>
        <w:tab/>
      </w:r>
      <w:r>
        <w:rPr>
          <w:rFonts w:cs="Times New Roman"/>
        </w:rPr>
        <w:t>Background to the Study</w:t>
      </w:r>
      <w:bookmarkEnd w:id="5"/>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Water is a fundamental resource for life, indispensable for human health, societal development, and environmental sustainability. Its role in maintaining public health cannot be overemphasized, as clean and safe water is essential for drinking, cooking, sanitation, and other daily activities. However, access to safe drinking water remains a pressing challenge in many developing countries, including Nigeria. Contaminated water has been identified as one of the primary causes of waterborne diseases, which account for a significant proportion of global morbidity and mortality, particularly in resource-limited settings. The World Health Organization (WHO) estimates that unsafe water, poor sanitation, and inadequate hygiene are responsible for nearly 80% of illnesses and more than half of global child mortality (WHO,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In Nigeria, the demand for potable water has risen sharply due to population growth, urbanization, and the inadequacy of public water supply systems. In response to this demand, sachet water, commonly referred to as “pure water,” has become one of the most widely consumed sources of drinking water. This packaged water, sold in small, sealed plastic sachets, is regarded as an affordable and convenient alternative to other water sources, particularly for low- and middle-income households. Despite its popularity, concerns about the quality and safety of sachet water persist, as studies have shown varying degrees of bacterial contamination across different brands. Improper production processes, poor handling, inadequate sanitation during packaging, and insufficient regulatory enforcement have been implicated in the contamination of sachet water, posing significant public health risks (</w:t>
      </w:r>
      <w:r>
        <w:rPr>
          <w:rFonts w:ascii="Times New Roman" w:cs="Times New Roman" w:eastAsia="Times New Roman" w:hAnsi="Times New Roman"/>
          <w:color w:val="auto"/>
          <w:szCs w:val="24"/>
        </w:rPr>
        <w:t>Saheed</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microbiological quality of drinking water is a critical determinant of its safety. The presence of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Salmonella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 xml:space="preserve">Vibrio </w:t>
      </w:r>
      <w:r>
        <w:rPr>
          <w:rFonts w:ascii="Times New Roman" w:cs="Times New Roman" w:eastAsia="Times New Roman" w:hAnsi="Times New Roman"/>
          <w:i/>
          <w:iCs/>
          <w:color w:val="auto"/>
          <w:szCs w:val="24"/>
        </w:rPr>
        <w:t>cholerae</w:t>
      </w:r>
      <w:r>
        <w:rPr>
          <w:rFonts w:ascii="Times New Roman" w:cs="Times New Roman" w:eastAsia="Times New Roman" w:hAnsi="Times New Roman"/>
          <w:color w:val="auto"/>
          <w:szCs w:val="24"/>
        </w:rPr>
        <w:t xml:space="preserve">, and </w:t>
      </w:r>
      <w:r>
        <w:rPr>
          <w:rFonts w:ascii="Times New Roman" w:cs="Times New Roman" w:eastAsia="Times New Roman" w:hAnsi="Times New Roman"/>
          <w:i/>
          <w:iCs/>
          <w:color w:val="auto"/>
          <w:szCs w:val="24"/>
        </w:rPr>
        <w:t>Shigella</w:t>
      </w:r>
      <w:r>
        <w:rPr>
          <w:rFonts w:ascii="Times New Roman" w:cs="Times New Roman" w:eastAsia="Times New Roman" w:hAnsi="Times New Roman"/>
          <w:color w:val="auto"/>
          <w:szCs w:val="24"/>
        </w:rPr>
        <w:t xml:space="preserve"> in water can lead to outbreaks of diarrheal diseases, typhoid fever, and cholera, which are among the leading causes of preventable death in developing countries. In Nigeria, over 90 million people lack access to safe drinking water, and an estimated 130,000 children under the age of five die annually due to waterborne diseases (Majid, 2018). These infections often occur as a result of consuming untreated or improperly treated water, which may harbor bacteria, viruses, protozoa, and other harmful microorganisms.</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Ilorin is the capital city of Kwara State and it is a rapidly growing city with a diverse population and an increasing reliance on sachet water. While sachet water has filled a critical gap in the provision of drinking water, reports of contamination have raised serious public health concerns. Studies in similar settings have shown that the bacteriological quality of sachet water often falls below acceptable standards, with some samples testing positive for coliforms and other indicator organisms (</w:t>
      </w:r>
      <w:r>
        <w:rPr>
          <w:rFonts w:ascii="Times New Roman" w:cs="Times New Roman" w:eastAsia="Times New Roman" w:hAnsi="Times New Roman"/>
          <w:color w:val="auto"/>
          <w:szCs w:val="24"/>
        </w:rPr>
        <w:t>Gana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w:t>
      </w:r>
      <w:r>
        <w:rPr>
          <w:rFonts w:ascii="Times New Roman" w:cs="Times New Roman" w:eastAsia="Times New Roman" w:hAnsi="Times New Roman"/>
          <w:color w:val="auto"/>
          <w:szCs w:val="24"/>
        </w:rPr>
        <w:t>Okeola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This indicates fecal contamination, which is commonly attributed to unhygienic production environments, the use of unclean water sources, and improper storage or transportation of the packaged water (Armstrong and Johnson, 2018). Comprehensive antibacterial analysis of sachet water is therefore essential for identifying potential health risks and ensuring that the water consumed by the public meets regulatory standards. Standard microbiological techniques, such as the multiple-tube fermentation method, membrane filtration, and molecular diagnostic tools, are widely used to detect and quantify pathogenic bacteria in water samples. These methods provide valuable insights into the safety and quality of drinking water and guide necessary interventions to protect public health (Liu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addition to health implications, unsafe drinking water has broader societal consequences. Recurrent waterborne diseases contribute to malnutrition, reduced productivity, and increased healthcare costs. Vulnerable populations, such as children, the elderly, and individuals with weakened immune systems, are particularly at risk of developing severe complications from waterborne pathogens like </w:t>
      </w:r>
      <w:r>
        <w:rPr>
          <w:rFonts w:ascii="Times New Roman" w:cs="Times New Roman" w:eastAsia="Times New Roman" w:hAnsi="Times New Roman"/>
          <w:i/>
          <w:iCs/>
          <w:color w:val="auto"/>
          <w:szCs w:val="24"/>
        </w:rPr>
        <w:t>Pseudomonas</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Cryptosporidium</w:t>
      </w:r>
      <w:r>
        <w:rPr>
          <w:rFonts w:ascii="Times New Roman" w:cs="Times New Roman" w:eastAsia="Times New Roman" w:hAnsi="Times New Roman"/>
          <w:color w:val="auto"/>
          <w:szCs w:val="24"/>
        </w:rPr>
        <w:t xml:space="preserve">, and </w:t>
      </w:r>
      <w:r>
        <w:rPr>
          <w:rFonts w:ascii="Times New Roman" w:cs="Times New Roman" w:eastAsia="Times New Roman" w:hAnsi="Times New Roman"/>
          <w:i/>
          <w:iCs/>
          <w:color w:val="auto"/>
          <w:szCs w:val="24"/>
        </w:rPr>
        <w:t>Klebsiella</w:t>
      </w:r>
      <w:r>
        <w:rPr>
          <w:rFonts w:ascii="Times New Roman" w:cs="Times New Roman" w:eastAsia="Times New Roman" w:hAnsi="Times New Roman"/>
          <w:color w:val="auto"/>
          <w:szCs w:val="24"/>
        </w:rPr>
        <w:t>. These microorganisms, often found in contaminated drinking water, can lead to life-threatening infections and exacerbate existing health conditions (UNICEF, 2019) hence the research on some selected sachet water produced in Ilorin metropolitan.</w:t>
      </w:r>
    </w:p>
    <w:bookmarkStart w:id="6" w:name="_Toc203100990"/>
    <w:p>
      <w:pPr>
        <w:pStyle w:val="style2"/>
        <w:spacing w:lineRule="auto" w:line="480"/>
        <w:rPr>
          <w:rFonts w:cs="Times New Roman"/>
        </w:rPr>
      </w:pPr>
      <w:r>
        <w:rPr>
          <w:rFonts w:cs="Times New Roman"/>
        </w:rPr>
        <w:t>1.2</w:t>
      </w:r>
      <w:r>
        <w:rPr>
          <w:rFonts w:cs="Times New Roman"/>
        </w:rPr>
        <w:tab/>
      </w:r>
      <w:r>
        <w:rPr>
          <w:rFonts w:cs="Times New Roman"/>
        </w:rPr>
        <w:t>Statement of Problem</w:t>
      </w:r>
      <w:bookmarkEnd w:id="6"/>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The rise in urbanization and the increasing reliance on sachet water as a primary source of drinking water have raised serious concerns about its microbiological and chemical quality. Sachet water, though marketed as a safe and affordable alternative to untreated water sources, is often produced under conditions that lack adequate quality control measures. Studies have shown that many sachet water brands fail to meet the microbiological standards set by regulatory bodies, with contamination frequently attributed to poor hygiene during production, improper sealing, and the use of polluted water sources (</w:t>
      </w:r>
      <w:r>
        <w:rPr>
          <w:rFonts w:ascii="Times New Roman" w:cs="Times New Roman" w:eastAsia="Times New Roman" w:hAnsi="Times New Roman"/>
          <w:color w:val="auto"/>
          <w:szCs w:val="24"/>
        </w:rPr>
        <w:t>Saheed</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Ilorin, Kwara State, sachet water consumption has become ubiquitous due to limited access to reliable municipal water supplies. However, anecdotal reports and preliminary studies suggest that some brands of sachet water harbor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and other coliform bacteria, which are indicators of fecal contamination (</w:t>
      </w:r>
      <w:r>
        <w:rPr>
          <w:rFonts w:ascii="Times New Roman" w:cs="Times New Roman" w:eastAsia="Times New Roman" w:hAnsi="Times New Roman"/>
          <w:szCs w:val="24"/>
        </w:rPr>
        <w:t>Aiyedun</w:t>
      </w:r>
      <w:r>
        <w:rPr>
          <w:rFonts w:ascii="Times New Roman" w:cs="Times New Roman" w:eastAsia="Times New Roman" w:hAnsi="Times New Roman"/>
          <w:szCs w:val="24"/>
        </w:rPr>
        <w:t xml:space="preserve"> </w:t>
      </w:r>
      <w:r>
        <w:rPr>
          <w:rFonts w:ascii="Times New Roman" w:cs="Times New Roman" w:eastAsia="Times New Roman" w:hAnsi="Times New Roman"/>
          <w:i/>
          <w:szCs w:val="24"/>
        </w:rPr>
        <w:t>et al</w:t>
      </w:r>
      <w:r>
        <w:rPr>
          <w:rFonts w:ascii="Times New Roman" w:cs="Times New Roman" w:eastAsia="Times New Roman" w:hAnsi="Times New Roman"/>
          <w:szCs w:val="24"/>
        </w:rPr>
        <w:t>., 2022)</w:t>
      </w:r>
      <w:r>
        <w:rPr>
          <w:rFonts w:ascii="Times New Roman" w:cs="Times New Roman" w:eastAsia="Times New Roman" w:hAnsi="Times New Roman"/>
          <w:color w:val="auto"/>
          <w:szCs w:val="24"/>
        </w:rPr>
        <w:t>. This contamination poses serious public health risks, including outbreaks of diarrhea, typhoid fever, cholera, and other waterborne diseases. Vulnerable populations, such as children under five, pregnant women, and immunocompromised individuals, are disproportionately affected by these illnesses, leading to increased morbidity and mortality rates (</w:t>
      </w:r>
      <w:r>
        <w:rPr>
          <w:rFonts w:ascii="Times New Roman" w:cs="Times New Roman" w:eastAsia="Times New Roman" w:hAnsi="Times New Roman"/>
          <w:color w:val="auto"/>
          <w:szCs w:val="24"/>
        </w:rPr>
        <w:t>Okeola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Despite these concerns, regular monitoring of sachet water quality in Ilorin is limited, and comprehensive data on its microbiological safety remain scarce. </w:t>
      </w:r>
    </w:p>
    <w:bookmarkStart w:id="7" w:name="_Toc203100991"/>
    <w:p>
      <w:pPr>
        <w:pStyle w:val="style2"/>
        <w:spacing w:lineRule="auto" w:line="480"/>
        <w:rPr>
          <w:rFonts w:cs="Times New Roman"/>
        </w:rPr>
      </w:pPr>
      <w:r>
        <w:rPr>
          <w:rFonts w:cs="Times New Roman"/>
        </w:rPr>
        <w:t>1.3</w:t>
      </w:r>
      <w:r>
        <w:rPr>
          <w:rFonts w:cs="Times New Roman"/>
        </w:rPr>
        <w:tab/>
      </w:r>
      <w:r>
        <w:rPr>
          <w:rFonts w:cs="Times New Roman"/>
        </w:rPr>
        <w:t>Justification of study</w:t>
      </w:r>
      <w:bookmarkEnd w:id="7"/>
    </w:p>
    <w:p>
      <w:pPr>
        <w:pStyle w:val="style0"/>
        <w:spacing w:after="0" w:lineRule="auto" w:line="480"/>
        <w:rPr>
          <w:rFonts w:ascii="Times New Roman" w:cs="Times New Roman" w:hAnsi="Times New Roman"/>
          <w:szCs w:val="24"/>
        </w:rPr>
      </w:pPr>
      <w:r>
        <w:rPr>
          <w:rFonts w:ascii="Times New Roman" w:cs="Times New Roman" w:hAnsi="Times New Roman"/>
          <w:szCs w:val="24"/>
        </w:rPr>
        <w:t>This study therefore seeks to address the pressing issue of waterborne diseases by analyzing the antibacterial properties of sachet water produced in Ilorin. The findings will provide essential information and awareness into contamination levels, identify compliance gaps with national and international water quality standards, and propose actionable recommendations for improving water safety.</w:t>
      </w:r>
    </w:p>
    <w:bookmarkStart w:id="8" w:name="_Toc203100992"/>
    <w:p>
      <w:pPr>
        <w:pStyle w:val="style2"/>
        <w:spacing w:lineRule="auto" w:line="480"/>
        <w:rPr>
          <w:rFonts w:cs="Times New Roman"/>
        </w:rPr>
      </w:pPr>
      <w:r>
        <w:rPr>
          <w:rFonts w:cs="Times New Roman"/>
        </w:rPr>
        <w:t>1.4</w:t>
      </w:r>
      <w:r>
        <w:rPr>
          <w:rFonts w:cs="Times New Roman"/>
        </w:rPr>
        <w:tab/>
      </w:r>
      <w:r>
        <w:rPr>
          <w:rFonts w:cs="Times New Roman"/>
        </w:rPr>
        <w:t>Aims and Objectives of Study</w:t>
      </w:r>
      <w:bookmarkEnd w:id="8"/>
    </w:p>
    <w:p>
      <w:pPr>
        <w:pStyle w:val="style0"/>
        <w:spacing w:after="0" w:lineRule="auto" w:line="480"/>
        <w:rPr>
          <w:rFonts w:ascii="Times New Roman" w:cs="Times New Roman" w:hAnsi="Times New Roman"/>
          <w:szCs w:val="24"/>
        </w:rPr>
      </w:pPr>
      <w:r>
        <w:rPr>
          <w:rStyle w:val="style87"/>
          <w:rFonts w:ascii="Times New Roman" w:cs="Times New Roman" w:hAnsi="Times New Roman"/>
          <w:szCs w:val="24"/>
        </w:rPr>
        <w:t>Aim</w:t>
      </w:r>
    </w:p>
    <w:p>
      <w:pPr>
        <w:pStyle w:val="style0"/>
        <w:spacing w:after="0" w:lineRule="auto" w:line="480"/>
        <w:rPr>
          <w:rFonts w:ascii="Times New Roman" w:cs="Times New Roman" w:hAnsi="Times New Roman"/>
          <w:szCs w:val="24"/>
        </w:rPr>
      </w:pPr>
      <w:r>
        <w:rPr>
          <w:rFonts w:ascii="Times New Roman" w:cs="Times New Roman" w:hAnsi="Times New Roman"/>
          <w:szCs w:val="24"/>
        </w:rPr>
        <w:t>The main aim of this study is to evaluate the microbial quality of selected sachet water produced in Ilorin, Kwara State through microbiological analysis.</w:t>
      </w:r>
    </w:p>
    <w:p>
      <w:pPr>
        <w:pStyle w:val="style0"/>
        <w:spacing w:after="0" w:lineRule="auto" w:line="480"/>
        <w:jc w:val="left"/>
        <w:rPr>
          <w:rFonts w:ascii="Times New Roman" w:cs="Times New Roman" w:hAnsi="Times New Roman"/>
          <w:b/>
          <w:szCs w:val="24"/>
        </w:rPr>
      </w:pPr>
      <w:r>
        <w:rPr>
          <w:rFonts w:ascii="Times New Roman" w:cs="Times New Roman" w:hAnsi="Times New Roman"/>
          <w:b/>
          <w:szCs w:val="24"/>
        </w:rPr>
        <w:t>Specific Objectives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The specific objectives of this study are to;</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1. determine physiochemical analysis of the water samples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2. isolate and identify bacterial organisms present in the sachet water samples</w:t>
      </w:r>
    </w:p>
    <w:p>
      <w:pPr>
        <w:pStyle w:val="style0"/>
        <w:tabs>
          <w:tab w:val="left" w:leader="none" w:pos="8205"/>
        </w:tabs>
        <w:spacing w:after="0" w:lineRule="auto" w:line="480"/>
        <w:jc w:val="left"/>
        <w:rPr>
          <w:rFonts w:ascii="Times New Roman" w:cs="Times New Roman" w:hAnsi="Times New Roman"/>
          <w:szCs w:val="24"/>
        </w:rPr>
      </w:pPr>
      <w:r>
        <w:rPr>
          <w:rFonts w:ascii="Times New Roman" w:cs="Times New Roman" w:hAnsi="Times New Roman"/>
          <w:szCs w:val="24"/>
        </w:rPr>
        <w:t>3. isolate and identify fungal organisms present in the sachet water samples</w:t>
      </w:r>
      <w:r>
        <w:rPr>
          <w:rFonts w:ascii="Times New Roman" w:cs="Times New Roman" w:hAnsi="Times New Roman"/>
          <w:szCs w:val="24"/>
        </w:rPr>
        <w:tab/>
      </w:r>
    </w:p>
    <w:p>
      <w:pPr>
        <w:pStyle w:val="style0"/>
        <w:spacing w:after="160" w:lineRule="auto" w:line="259"/>
        <w:ind w:left="0" w:firstLine="0"/>
        <w:jc w:val="left"/>
        <w:rPr>
          <w:rFonts w:ascii="Times New Roman" w:cs="Times New Roman" w:hAnsi="Times New Roman"/>
          <w:szCs w:val="24"/>
        </w:rPr>
      </w:pPr>
      <w:r>
        <w:rPr>
          <w:rFonts w:ascii="Times New Roman" w:cs="Times New Roman" w:hAnsi="Times New Roman"/>
          <w:szCs w:val="24"/>
        </w:rPr>
        <w:br w:type="page"/>
      </w:r>
    </w:p>
    <w:bookmarkStart w:id="9" w:name="_Toc203100993"/>
    <w:p>
      <w:pPr>
        <w:pStyle w:val="style1"/>
        <w:spacing w:lineRule="auto" w:line="480"/>
        <w:jc w:val="center"/>
        <w:rPr>
          <w:rFonts w:cs="Times New Roman"/>
        </w:rPr>
      </w:pPr>
      <w:r>
        <w:rPr>
          <w:rFonts w:cs="Times New Roman"/>
        </w:rPr>
        <w:t>CHAPTER TWO</w:t>
      </w:r>
      <w:bookmarkEnd w:id="9"/>
    </w:p>
    <w:bookmarkStart w:id="10" w:name="_Toc203100994"/>
    <w:p>
      <w:pPr>
        <w:pStyle w:val="style1"/>
        <w:spacing w:lineRule="auto" w:line="480"/>
        <w:jc w:val="center"/>
        <w:rPr>
          <w:rFonts w:cs="Times New Roman"/>
        </w:rPr>
      </w:pPr>
      <w:r>
        <w:rPr>
          <w:rFonts w:cs="Times New Roman"/>
        </w:rPr>
        <w:t>LITERATURE REVIEW</w:t>
      </w:r>
      <w:bookmarkEnd w:id="10"/>
    </w:p>
    <w:bookmarkStart w:id="11" w:name="_Toc203100995"/>
    <w:p>
      <w:pPr>
        <w:pStyle w:val="style2"/>
        <w:spacing w:lineRule="auto" w:line="480"/>
        <w:rPr>
          <w:rFonts w:cs="Times New Roman"/>
        </w:rPr>
      </w:pPr>
      <w:r>
        <w:rPr>
          <w:rFonts w:cs="Times New Roman"/>
        </w:rPr>
        <w:t>2.1</w:t>
      </w:r>
      <w:r>
        <w:rPr>
          <w:rFonts w:cs="Times New Roman"/>
        </w:rPr>
        <w:tab/>
      </w:r>
      <w:r>
        <w:rPr>
          <w:rFonts w:cs="Times New Roman"/>
        </w:rPr>
        <w:t>Concept of Water Quality</w:t>
      </w:r>
      <w:bookmarkEnd w:id="11"/>
    </w:p>
    <w:p>
      <w:pPr>
        <w:pStyle w:val="style0"/>
        <w:spacing w:after="0" w:lineRule="auto" w:line="480"/>
        <w:ind w:firstLine="0"/>
        <w:rPr>
          <w:rFonts w:ascii="Times New Roman" w:cs="Times New Roman" w:hAnsi="Times New Roman"/>
          <w:szCs w:val="24"/>
        </w:rPr>
      </w:pPr>
      <w:r>
        <w:rPr>
          <w:rFonts w:ascii="Times New Roman" w:cs="Times New Roman" w:hAnsi="Times New Roman"/>
          <w:szCs w:val="24"/>
        </w:rPr>
        <w:t>Water is a transparent liquid composed of two elements; two hydrogen atoms and one oxygen atom (H</w:t>
      </w:r>
      <w:r>
        <w:rPr>
          <w:rFonts w:ascii="Times New Roman" w:cs="Times New Roman" w:hAnsi="Times New Roman"/>
          <w:szCs w:val="24"/>
          <w:vertAlign w:val="subscript"/>
        </w:rPr>
        <w:t>2</w:t>
      </w:r>
      <w:r>
        <w:rPr>
          <w:rFonts w:ascii="Times New Roman" w:cs="Times New Roman" w:hAnsi="Times New Roman"/>
          <w:szCs w:val="24"/>
        </w:rPr>
        <w:t xml:space="preserve">O). Water is a liquid at ambient conditions, but it often co-exists on Earth with its solid state being ice, and gaseous state (being water </w:t>
      </w:r>
      <w:r>
        <w:rPr>
          <w:rFonts w:ascii="Times New Roman" w:cs="Times New Roman" w:hAnsi="Times New Roman"/>
          <w:szCs w:val="24"/>
        </w:rPr>
        <w:t>vapour</w:t>
      </w:r>
      <w:r>
        <w:rPr>
          <w:rFonts w:ascii="Times New Roman" w:cs="Times New Roman" w:hAnsi="Times New Roman"/>
          <w:szCs w:val="24"/>
        </w:rPr>
        <w:t xml:space="preserve"> or steam). Water is a finite substance; there is the same amount of water now as there was when the earth was formed (USEPA, 2020). While water is a renewable resource, its availability in space and time is limited by climate, geographical and physical conditions. Most human activities involve the use of water in one way or the other. It may be noted that man‘s early habitation and civilization sprang up along the banks of rivers. Water is useful for different needs which include agricultural, residential, manufacturing, community and personal needs. Increasing water demands and its ineffective management has led to crises situations in many parts of the world; crisis over the availability of adequate and appropriate quality water. It can be argued that water is everywhere but water for drinking purposes is not everywhere because water available for drinking and other domestic activities is very minute (</w:t>
      </w:r>
      <w:r>
        <w:rPr>
          <w:rFonts w:ascii="Times New Roman" w:cs="Times New Roman" w:hAnsi="Times New Roman"/>
          <w:szCs w:val="24"/>
        </w:rPr>
        <w:t>Shiru</w:t>
      </w:r>
      <w:r>
        <w:rPr>
          <w:rFonts w:ascii="Times New Roman" w:cs="Times New Roman" w:hAnsi="Times New Roman"/>
          <w:szCs w:val="24"/>
        </w:rPr>
        <w:t xml:space="preserve"> </w:t>
      </w:r>
      <w:r>
        <w:rPr>
          <w:rFonts w:ascii="Times New Roman" w:cs="Times New Roman" w:hAnsi="Times New Roman"/>
          <w:i/>
          <w:szCs w:val="24"/>
        </w:rPr>
        <w:t>et al</w:t>
      </w:r>
      <w:r>
        <w:rPr>
          <w:rFonts w:ascii="Times New Roman" w:cs="Times New Roman" w:hAnsi="Times New Roman"/>
          <w:szCs w:val="24"/>
        </w:rPr>
        <w:t>., 2021).</w:t>
      </w:r>
    </w:p>
    <w:p>
      <w:pPr>
        <w:pStyle w:val="style0"/>
        <w:spacing w:after="0" w:lineRule="auto" w:line="480"/>
        <w:ind w:firstLine="710"/>
        <w:rPr>
          <w:rFonts w:ascii="Times New Roman" w:cs="Times New Roman" w:hAnsi="Times New Roman"/>
          <w:szCs w:val="24"/>
        </w:rPr>
      </w:pPr>
      <w:r>
        <w:rPr>
          <w:rFonts w:ascii="Times New Roman" w:cs="Times New Roman" w:hAnsi="Times New Roman"/>
          <w:szCs w:val="24"/>
        </w:rPr>
        <w:t>Water quality refers to the physical, chemical, and microbiological characteristics of water that determine its suitability for various uses, including drinking, recreation, agriculture, and industrial processes. The concept encompasses the assessment of water's ability to meet the needs of humans and ecosystems without causing adverse health effects or environmental harm (WHO, 2019). Clean and safe water is essential for maintaining public health, sustaining biodiversity, and promoting socio-economic development. Water can be used for recreation, drinking, fisheries, agriculture or industry. Each of these designated uses has different defined chemical, physical and biological standards necessary to fulfil the respective purpose. For example, there are stringent standards for water to be used for drinking or swimming compared to that used in agriculture or industry. After many years of research, water quality standards are put in place to ensure the suitability of efficient use of water for a designated purpose. Water quality analysis is to measure the required parameters of water, following standard methods, to check whether they are in accordance with the standard.  In Nigeria, where access to safe and clean water is a persistent challenge, water quality directly impacts the well-being of millions of people. Many communities rely on untreated surface and groundwater sources, which are highly susceptible to contamination from agricultural, industrial, and domestic activities (</w:t>
      </w:r>
      <w:r>
        <w:rPr>
          <w:rFonts w:ascii="Times New Roman" w:cs="Times New Roman" w:hAnsi="Times New Roman"/>
          <w:szCs w:val="24"/>
        </w:rPr>
        <w:t>Adewuyi</w:t>
      </w:r>
      <w:r>
        <w:rPr>
          <w:rFonts w:ascii="Times New Roman" w:cs="Times New Roman" w:hAnsi="Times New Roman"/>
          <w:szCs w:val="24"/>
        </w:rPr>
        <w:t xml:space="preserve"> </w:t>
      </w:r>
      <w:r>
        <w:rPr>
          <w:rFonts w:ascii="Times New Roman" w:cs="Times New Roman" w:hAnsi="Times New Roman"/>
          <w:i/>
          <w:szCs w:val="24"/>
        </w:rPr>
        <w:t>et al</w:t>
      </w:r>
      <w:r>
        <w:rPr>
          <w:rFonts w:ascii="Times New Roman" w:cs="Times New Roman" w:hAnsi="Times New Roman"/>
          <w:szCs w:val="24"/>
        </w:rPr>
        <w:t>., 2022).</w:t>
      </w:r>
    </w:p>
    <w:bookmarkStart w:id="12" w:name="_Toc203100996"/>
    <w:p>
      <w:pPr>
        <w:pStyle w:val="style2"/>
        <w:spacing w:lineRule="auto" w:line="480"/>
        <w:rPr>
          <w:rFonts w:cs="Times New Roman"/>
        </w:rPr>
      </w:pPr>
      <w:r>
        <w:rPr>
          <w:rFonts w:cs="Times New Roman"/>
        </w:rPr>
        <w:t>2.2</w:t>
      </w:r>
      <w:r>
        <w:rPr>
          <w:rFonts w:cs="Times New Roman"/>
        </w:rPr>
        <w:tab/>
      </w:r>
      <w:r>
        <w:rPr>
          <w:rFonts w:cs="Times New Roman"/>
        </w:rPr>
        <w:t>Key indicators of Water Quality</w:t>
      </w:r>
      <w:bookmarkEnd w:id="12"/>
    </w:p>
    <w:p>
      <w:pPr>
        <w:pStyle w:val="style94"/>
        <w:spacing w:before="0" w:beforeAutospacing="false" w:after="0" w:afterAutospacing="false" w:lineRule="auto" w:line="480"/>
        <w:jc w:val="both"/>
        <w:rPr>
          <w:rFonts w:eastAsia="Arial"/>
          <w:color w:val="000000"/>
        </w:rPr>
      </w:pPr>
      <w:r>
        <w:rPr>
          <w:rFonts w:eastAsia="Arial"/>
          <w:color w:val="000000"/>
        </w:rPr>
        <w:t>Water quality is assessed using three primary categories of indicators: physical, chemical, and microbiological parameters (</w:t>
      </w:r>
      <w:r>
        <w:t>Uzomah</w:t>
      </w:r>
      <w:r>
        <w:t xml:space="preserve"> </w:t>
      </w:r>
      <w:r>
        <w:rPr>
          <w:i/>
        </w:rPr>
        <w:t>et al</w:t>
      </w:r>
      <w:r>
        <w:t>., 2021)</w:t>
      </w:r>
      <w:r>
        <w:rPr>
          <w:rFonts w:eastAsia="Arial"/>
          <w:color w:val="000000"/>
        </w:rPr>
        <w:t>. Each category reveals information about the suitability of water for human consumption, agricultural use, industrial processes, and ecosystem health.</w:t>
      </w:r>
    </w:p>
    <w:bookmarkStart w:id="13" w:name="_Toc203100997"/>
    <w:p>
      <w:pPr>
        <w:pStyle w:val="style3"/>
        <w:spacing w:lineRule="auto" w:line="480"/>
        <w:rPr>
          <w:rFonts w:cs="Times New Roman"/>
          <w:b w:val="false"/>
        </w:rPr>
      </w:pPr>
      <w:r>
        <w:rPr>
          <w:rFonts w:cs="Times New Roman" w:eastAsia="Arial"/>
          <w:color w:val="000000"/>
        </w:rPr>
        <w:t>2.2.1</w:t>
      </w:r>
      <w:r>
        <w:rPr>
          <w:rFonts w:cs="Times New Roman" w:eastAsia="Arial"/>
          <w:color w:val="000000"/>
        </w:rPr>
        <w:tab/>
      </w:r>
      <w:r>
        <w:rPr>
          <w:rFonts w:cs="Times New Roman"/>
        </w:rPr>
        <w:t>Microbial Indicators of Water Quality</w:t>
      </w:r>
      <w:bookmarkEnd w:id="13"/>
    </w:p>
    <w:p>
      <w:pPr>
        <w:pStyle w:val="style94"/>
        <w:spacing w:before="0" w:beforeAutospacing="false" w:after="0" w:afterAutospacing="false" w:lineRule="auto" w:line="480"/>
        <w:jc w:val="both"/>
        <w:rPr/>
      </w:pPr>
      <w:r>
        <w:rPr>
          <w:rFonts w:eastAsia="Arial"/>
          <w:color w:val="000000"/>
        </w:rPr>
        <w:t>From a microbial perspective, the main public health concern associated with drinking water is enteric diseases (</w:t>
      </w:r>
      <w:r>
        <w:t>Adeniran</w:t>
      </w:r>
      <w:r>
        <w:t xml:space="preserve"> </w:t>
      </w:r>
      <w:r>
        <w:rPr>
          <w:i/>
        </w:rPr>
        <w:t>et al</w:t>
      </w:r>
      <w:r>
        <w:t>., 2021)</w:t>
      </w:r>
      <w:r>
        <w:rPr>
          <w:rFonts w:eastAsia="Arial"/>
          <w:color w:val="000000"/>
        </w:rPr>
        <w:t xml:space="preserve">. It is impractical to look for all known enteric pathogens that may contaminate drinking water because there are hundreds of pathogens implicated in water contamination. Microbial safety is assessed through detection of indicators of </w:t>
      </w:r>
      <w:r>
        <w:rPr>
          <w:rFonts w:eastAsia="Arial"/>
          <w:color w:val="000000"/>
        </w:rPr>
        <w:t>faecal</w:t>
      </w:r>
      <w:r>
        <w:rPr>
          <w:rFonts w:eastAsia="Arial"/>
          <w:color w:val="000000"/>
        </w:rPr>
        <w:t xml:space="preserve"> pollution. Microbial indicators of </w:t>
      </w:r>
      <w:r>
        <w:rPr>
          <w:rFonts w:eastAsia="Arial"/>
          <w:color w:val="000000"/>
        </w:rPr>
        <w:t>faecal</w:t>
      </w:r>
      <w:r>
        <w:rPr>
          <w:rFonts w:eastAsia="Arial"/>
          <w:color w:val="000000"/>
        </w:rPr>
        <w:t xml:space="preserve"> pollution are organisms that occur in high numbers in human and animal </w:t>
      </w:r>
      <w:r>
        <w:rPr>
          <w:rFonts w:eastAsia="Arial"/>
          <w:color w:val="000000"/>
        </w:rPr>
        <w:t>faeces</w:t>
      </w:r>
      <w:r>
        <w:rPr>
          <w:rFonts w:eastAsia="Arial"/>
          <w:color w:val="000000"/>
        </w:rPr>
        <w:t xml:space="preserve"> (Bello </w:t>
      </w:r>
      <w:r>
        <w:rPr>
          <w:rFonts w:eastAsia="Arial"/>
          <w:i/>
          <w:color w:val="000000"/>
        </w:rPr>
        <w:t>et al</w:t>
      </w:r>
      <w:r>
        <w:rPr>
          <w:rFonts w:eastAsia="Arial"/>
          <w:color w:val="000000"/>
        </w:rPr>
        <w:t xml:space="preserve">., 2020). If detected, they indicate potential </w:t>
      </w:r>
      <w:r>
        <w:rPr>
          <w:rFonts w:eastAsia="Arial"/>
          <w:color w:val="000000"/>
        </w:rPr>
        <w:t>faecal</w:t>
      </w:r>
      <w:r>
        <w:rPr>
          <w:rFonts w:eastAsia="Arial"/>
          <w:color w:val="000000"/>
        </w:rPr>
        <w:t xml:space="preserve"> contamination of the water body or distribution system under investigation and the consequent potential presence of enteric pathogens. These microbial indicators are generally not themselves human pathogens but their presence indicate potential presence of pathogens. The use of indicator bacteria, in particular </w:t>
      </w:r>
      <w:r>
        <w:rPr>
          <w:rFonts w:eastAsia="Arial"/>
          <w:i/>
          <w:color w:val="000000"/>
        </w:rPr>
        <w:t>Escherichia coli</w:t>
      </w:r>
      <w:r>
        <w:rPr>
          <w:rFonts w:eastAsia="Arial"/>
          <w:color w:val="000000"/>
        </w:rPr>
        <w:t xml:space="preserve"> and the </w:t>
      </w:r>
      <w:r>
        <w:t>coliform bacteria as a means of accessing the potential presence of water-borne pathogens has been paramount to protecting public health. Many pathogens are present only under specific conditions and, when present, occur in low numbers compared with other micro-organisms. Whilst the presence of coliform bacteria does not always indicate a public health threat, their detection is useful indication that treatment operations should be investigated (Kumar, 2021).</w:t>
      </w:r>
    </w:p>
    <w:p>
      <w:pPr>
        <w:pStyle w:val="style94"/>
        <w:spacing w:before="0" w:beforeAutospacing="false" w:after="0" w:afterAutospacing="false" w:lineRule="auto" w:line="480"/>
        <w:jc w:val="both"/>
        <w:rPr>
          <w:b/>
          <w:bCs/>
        </w:rPr>
      </w:pPr>
      <w:r>
        <w:rPr>
          <w:b/>
          <w:bCs/>
        </w:rPr>
        <w:t xml:space="preserve">Total coliforms (TC) Bacteria </w:t>
      </w:r>
    </w:p>
    <w:p>
      <w:pPr>
        <w:pStyle w:val="style94"/>
        <w:spacing w:before="0" w:beforeAutospacing="false" w:after="0" w:afterAutospacing="false" w:lineRule="auto" w:line="480"/>
        <w:jc w:val="both"/>
        <w:rPr/>
      </w:pPr>
      <w:r>
        <w:t xml:space="preserve">Coliform bacteria belong to the family </w:t>
      </w:r>
      <w:r>
        <w:t>Enterobacteriaceae</w:t>
      </w:r>
      <w:r>
        <w:t xml:space="preserve"> and share similar cultural characteristics. Typical genera encountered in water supplies are </w:t>
      </w:r>
      <w:r>
        <w:rPr>
          <w:i/>
          <w:iCs/>
        </w:rPr>
        <w:t>Citrobacter</w:t>
      </w:r>
      <w:r>
        <w:rPr>
          <w:i/>
          <w:iCs/>
        </w:rPr>
        <w:t xml:space="preserve">, </w:t>
      </w:r>
      <w:r>
        <w:rPr>
          <w:i/>
          <w:iCs/>
        </w:rPr>
        <w:t>Enterobacter</w:t>
      </w:r>
      <w:r>
        <w:rPr>
          <w:i/>
          <w:iCs/>
        </w:rPr>
        <w:t xml:space="preserve">, Escherichia, Hafnia, </w:t>
      </w:r>
      <w:r>
        <w:rPr>
          <w:i/>
          <w:iCs/>
        </w:rPr>
        <w:t>Klebsiella</w:t>
      </w:r>
      <w:r>
        <w:rPr>
          <w:i/>
          <w:iCs/>
        </w:rPr>
        <w:t xml:space="preserve">, </w:t>
      </w:r>
      <w:r>
        <w:rPr>
          <w:i/>
          <w:iCs/>
        </w:rPr>
        <w:t>Serratia</w:t>
      </w:r>
      <w:r>
        <w:t>and</w:t>
      </w:r>
      <w:r>
        <w:t xml:space="preserve"> </w:t>
      </w:r>
      <w:r>
        <w:rPr>
          <w:i/>
          <w:iCs/>
        </w:rPr>
        <w:t xml:space="preserve">Yersinia. </w:t>
      </w:r>
      <w:r>
        <w:t>Coliform bacteria are Gram-negative, non-spore-forming, rod-shaped bacteria which are capable of aerobic and facultative anaerobic growth in the presence of bile-salts or surface-active agents with similar growth-inhibiting properties. They usually ferment lactose at 37</w:t>
      </w:r>
      <w:r>
        <w:rPr>
          <w:vertAlign w:val="superscript"/>
        </w:rPr>
        <w:t>o</w:t>
      </w:r>
      <w:r>
        <w:t xml:space="preserve">C within 48h, possess the enzyme B-galactosidase and are oxidase-negative. Total coliforms (TC) are no longer used as an indicator of </w:t>
      </w:r>
      <w:r>
        <w:t>faecal</w:t>
      </w:r>
      <w:r>
        <w:t xml:space="preserve"> contamination because advances in the science of taxonomy show that they are not specific to the intestine of humans or warm blooded animals and can also be found in the environment. The presence of TC in water samples can indicate the presence of a biofilm or can serve as an indicator of treatment efficiency because of their sensitivity to chlorine. However, heterotrophic plate count (HPC) is a better indicator for that purpose because it covers a wider range of bacteria (Fernandez </w:t>
      </w:r>
      <w:r>
        <w:rPr>
          <w:i/>
        </w:rPr>
        <w:t>et al</w:t>
      </w:r>
      <w:r>
        <w:t>., 2022).</w:t>
      </w:r>
    </w:p>
    <w:p>
      <w:pPr>
        <w:pStyle w:val="style4099"/>
        <w:rPr>
          <w:b/>
          <w:bCs/>
        </w:rPr>
      </w:pPr>
      <w:r>
        <w:rPr>
          <w:b/>
          <w:bCs/>
        </w:rPr>
        <w:t>Faecal</w:t>
      </w:r>
      <w:r>
        <w:rPr>
          <w:b/>
          <w:bCs/>
        </w:rPr>
        <w:t xml:space="preserve"> coliform (FC) or </w:t>
      </w:r>
      <w:r>
        <w:rPr>
          <w:b/>
          <w:bCs/>
        </w:rPr>
        <w:t>Thermotolerant</w:t>
      </w:r>
      <w:r>
        <w:rPr>
          <w:b/>
          <w:bCs/>
        </w:rPr>
        <w:t xml:space="preserve"> coliform </w:t>
      </w:r>
    </w:p>
    <w:p>
      <w:pPr>
        <w:pStyle w:val="style4099"/>
        <w:rPr/>
      </w:pPr>
    </w:p>
    <w:p>
      <w:pPr>
        <w:pStyle w:val="style94"/>
        <w:spacing w:before="0" w:beforeAutospacing="false" w:after="0" w:afterAutospacing="false" w:lineRule="auto" w:line="480"/>
        <w:jc w:val="both"/>
        <w:rPr/>
      </w:pPr>
      <w:r>
        <w:rPr>
          <w:rFonts w:eastAsia="Arial"/>
          <w:color w:val="000000"/>
        </w:rPr>
        <w:t xml:space="preserve">The </w:t>
      </w:r>
      <w:r>
        <w:rPr>
          <w:rFonts w:eastAsia="Arial"/>
          <w:color w:val="000000"/>
        </w:rPr>
        <w:t>faecal</w:t>
      </w:r>
      <w:r>
        <w:rPr>
          <w:rFonts w:eastAsia="Arial"/>
          <w:color w:val="000000"/>
        </w:rPr>
        <w:t xml:space="preserve"> coliform is a subset of the total coliform group. </w:t>
      </w:r>
      <w:r>
        <w:rPr>
          <w:rFonts w:eastAsia="Arial"/>
          <w:color w:val="000000"/>
        </w:rPr>
        <w:t>Faecal</w:t>
      </w:r>
      <w:r>
        <w:rPr>
          <w:rFonts w:eastAsia="Arial"/>
          <w:color w:val="000000"/>
        </w:rPr>
        <w:t xml:space="preserve"> coliform bacteria possess the characteristics of coliform bacteria but are able to carry out lactose </w:t>
      </w:r>
      <w:r>
        <w:t xml:space="preserve">fermentation at 44 </w:t>
      </w:r>
      <w:r>
        <w:t>oC.</w:t>
      </w:r>
      <w:r>
        <w:t xml:space="preserve"> Although still in use in some jurisdictions, the lack of specificity of the coliform test to </w:t>
      </w:r>
      <w:r>
        <w:t>faecal</w:t>
      </w:r>
      <w:r>
        <w:t xml:space="preserve"> pollution of drinking water has long been documented. For example, the presence of high </w:t>
      </w:r>
      <w:r>
        <w:rPr>
          <w:i/>
          <w:iCs/>
        </w:rPr>
        <w:t>Klebsiella</w:t>
      </w:r>
      <w:r>
        <w:t>spp</w:t>
      </w:r>
      <w:r>
        <w:t xml:space="preserve"> counts has been associated with various vegetation and pulp and paper effluent in the absence of </w:t>
      </w:r>
      <w:r>
        <w:t>faecal</w:t>
      </w:r>
      <w:r>
        <w:t xml:space="preserve"> contamination. This is why a positive result for FC should be interpreted with caution (</w:t>
      </w:r>
      <w:r>
        <w:t>Helard</w:t>
      </w:r>
      <w:r>
        <w:t xml:space="preserve"> </w:t>
      </w:r>
      <w:r>
        <w:rPr>
          <w:i/>
        </w:rPr>
        <w:t>et al</w:t>
      </w:r>
      <w:r>
        <w:t>., 2019).</w:t>
      </w:r>
    </w:p>
    <w:p>
      <w:pPr>
        <w:pStyle w:val="style94"/>
        <w:spacing w:before="0" w:beforeAutospacing="false" w:after="0" w:afterAutospacing="false" w:lineRule="auto" w:line="480"/>
        <w:jc w:val="both"/>
        <w:rPr>
          <w:b/>
          <w:bCs/>
          <w:i/>
          <w:iCs/>
        </w:rPr>
      </w:pPr>
      <w:r>
        <w:rPr>
          <w:b/>
          <w:bCs/>
          <w:i/>
          <w:iCs/>
        </w:rPr>
        <w:t xml:space="preserve">Escherichia coli </w:t>
      </w:r>
    </w:p>
    <w:p>
      <w:pPr>
        <w:pStyle w:val="style94"/>
        <w:spacing w:before="0" w:beforeAutospacing="false" w:after="0" w:afterAutospacing="false" w:lineRule="auto" w:line="480"/>
        <w:jc w:val="both"/>
        <w:rPr/>
      </w:pPr>
      <w:r>
        <w:rPr>
          <w:i/>
          <w:iCs/>
        </w:rPr>
        <w:t xml:space="preserve">E.coli </w:t>
      </w:r>
      <w:r>
        <w:t xml:space="preserve">is a coliform bacterium and has been historically regarded as the primary indicator of </w:t>
      </w:r>
      <w:r>
        <w:t>faecal</w:t>
      </w:r>
      <w:r>
        <w:t xml:space="preserve"> contamination of both treated and untreated water. As a coliform bacterium it is a member of the family </w:t>
      </w:r>
      <w:r>
        <w:t>Enterobacteriaceae</w:t>
      </w:r>
      <w:r>
        <w:t>, and is capable of fermenting lactose or mannitol at 44</w:t>
      </w:r>
      <w:r>
        <w:rPr>
          <w:vertAlign w:val="superscript"/>
        </w:rPr>
        <w:t>o</w:t>
      </w:r>
      <w:r>
        <w:t xml:space="preserve">C, usually within 24h, and produces indole from tryptophan. </w:t>
      </w:r>
      <w:r>
        <w:rPr>
          <w:i/>
          <w:iCs/>
        </w:rPr>
        <w:t xml:space="preserve">E.coli </w:t>
      </w:r>
      <w:r>
        <w:t xml:space="preserve">is the most reliable indicator of enteric diseases and is therefore the indicator of choice to indicate occurrence of recent </w:t>
      </w:r>
      <w:r>
        <w:t>faecal</w:t>
      </w:r>
      <w:r>
        <w:t xml:space="preserve"> contamination in drinking water systems. One exception is in tropical climates where </w:t>
      </w:r>
      <w:r>
        <w:rPr>
          <w:i/>
          <w:iCs/>
        </w:rPr>
        <w:t xml:space="preserve">E.coli </w:t>
      </w:r>
      <w:r>
        <w:t xml:space="preserve">may be present and multiply in water not directly subject to </w:t>
      </w:r>
      <w:r>
        <w:t>faecal</w:t>
      </w:r>
      <w:r>
        <w:t xml:space="preserve"> pollution (</w:t>
      </w:r>
      <w:r>
        <w:t>Qiuhua</w:t>
      </w:r>
      <w:r>
        <w:t xml:space="preserve">, </w:t>
      </w:r>
      <w:r>
        <w:rPr>
          <w:i/>
          <w:iCs/>
        </w:rPr>
        <w:t xml:space="preserve">et al., </w:t>
      </w:r>
      <w:r>
        <w:t xml:space="preserve">2019). Only some strains of </w:t>
      </w:r>
      <w:r>
        <w:rPr>
          <w:i/>
          <w:iCs/>
        </w:rPr>
        <w:t xml:space="preserve">E.coli </w:t>
      </w:r>
      <w:r>
        <w:t xml:space="preserve">bacteria are capable of causing disease and only under certain conditions (e.g., </w:t>
      </w:r>
      <w:r>
        <w:rPr>
          <w:i/>
          <w:iCs/>
        </w:rPr>
        <w:t xml:space="preserve">E.coli </w:t>
      </w:r>
      <w:r>
        <w:t xml:space="preserve">O157:H7). </w:t>
      </w:r>
      <w:r>
        <w:rPr>
          <w:i/>
          <w:iCs/>
        </w:rPr>
        <w:t xml:space="preserve">E.coli </w:t>
      </w:r>
      <w:r>
        <w:t xml:space="preserve">occurs in the </w:t>
      </w:r>
      <w:r>
        <w:t>faeces</w:t>
      </w:r>
      <w:r>
        <w:t xml:space="preserve"> of all mammals, often in high numbers (up to109 per gram of </w:t>
      </w:r>
      <w:r>
        <w:t>faeces</w:t>
      </w:r>
      <w:r>
        <w:t xml:space="preserve">). This wide spread </w:t>
      </w:r>
      <w:r>
        <w:t>faecal</w:t>
      </w:r>
      <w:r>
        <w:t xml:space="preserve"> occurrence, coupled with the fact that methods for the recovery and enumeration of </w:t>
      </w:r>
      <w:r>
        <w:rPr>
          <w:i/>
          <w:iCs/>
        </w:rPr>
        <w:t xml:space="preserve">E. coli </w:t>
      </w:r>
      <w:r>
        <w:t>are relatively simple to conduct, has contributed to the detection of this bacterium as the cornerstone of microbiological quality water assessment for over 100years (</w:t>
      </w:r>
      <w:r>
        <w:t>Mennane</w:t>
      </w:r>
      <w:r>
        <w:t xml:space="preserve">, </w:t>
      </w:r>
      <w:r>
        <w:rPr>
          <w:i/>
          <w:iCs/>
        </w:rPr>
        <w:t xml:space="preserve">et al., </w:t>
      </w:r>
      <w:r>
        <w:t>2021).</w:t>
      </w:r>
    </w:p>
    <w:p>
      <w:pPr>
        <w:pStyle w:val="style4099"/>
        <w:spacing w:lineRule="auto" w:line="480"/>
        <w:rPr/>
      </w:pPr>
      <w:r>
        <w:rPr>
          <w:b/>
          <w:bCs/>
        </w:rPr>
        <w:t>Faecal</w:t>
      </w:r>
      <w:r>
        <w:rPr>
          <w:b/>
          <w:bCs/>
        </w:rPr>
        <w:t xml:space="preserve"> Enterococci </w:t>
      </w:r>
    </w:p>
    <w:p>
      <w:pPr>
        <w:pStyle w:val="style94"/>
        <w:spacing w:before="0" w:beforeAutospacing="false" w:after="0" w:afterAutospacing="false" w:lineRule="auto" w:line="480"/>
        <w:jc w:val="both"/>
        <w:rPr/>
      </w:pPr>
      <w:r>
        <w:t>Faecal</w:t>
      </w:r>
      <w:r>
        <w:t xml:space="preserve"> enterococci are defined as Gram-positive cocci that tend to occur in pairs and chains. They are non-spore-forming, oxidase-negative, and catalase-negative. They grow aerobically and anaerobically in the presence of bile salts and in sodium </w:t>
      </w:r>
      <w:r>
        <w:t>azide</w:t>
      </w:r>
      <w:r>
        <w:t xml:space="preserve"> solutions, at concentration of which are inhibitory to coliform and most Gram-negative bacteria (</w:t>
      </w:r>
      <w:r>
        <w:t>Sério</w:t>
      </w:r>
      <w:r>
        <w:rPr>
          <w:i/>
          <w:iCs/>
        </w:rPr>
        <w:t xml:space="preserve"> et al</w:t>
      </w:r>
      <w:r>
        <w:t xml:space="preserve">., 2023). Enterococci include a number of species that occur in the </w:t>
      </w:r>
      <w:r>
        <w:t>faeces</w:t>
      </w:r>
      <w:r>
        <w:t xml:space="preserve"> of human and warm-blooded animals. The main reason for their enumeration is to assess the significance of the presence of coliform bacteria in the absence of </w:t>
      </w:r>
      <w:r>
        <w:rPr>
          <w:i/>
          <w:iCs/>
        </w:rPr>
        <w:t xml:space="preserve">E. coli; </w:t>
      </w:r>
      <w:r>
        <w:t xml:space="preserve">or to provide additional information when assessing the extent of possible </w:t>
      </w:r>
      <w:r>
        <w:t>faecal</w:t>
      </w:r>
      <w:r>
        <w:t xml:space="preserve"> contamination. As such, they are regarded as secondary indicators of </w:t>
      </w:r>
      <w:r>
        <w:t>faecal</w:t>
      </w:r>
      <w:r>
        <w:t xml:space="preserve"> pollution (U S EPA, 2006). In human </w:t>
      </w:r>
      <w:r>
        <w:t>faeces</w:t>
      </w:r>
      <w:r>
        <w:t xml:space="preserve">, numbers of enterococci rarely exceed 106 per gram of </w:t>
      </w:r>
      <w:r>
        <w:t>faeces</w:t>
      </w:r>
      <w:r>
        <w:t xml:space="preserve">, while in animal </w:t>
      </w:r>
      <w:r>
        <w:t>faeces</w:t>
      </w:r>
      <w:r>
        <w:t xml:space="preserve"> they are often more numerous than </w:t>
      </w:r>
      <w:r>
        <w:rPr>
          <w:i/>
          <w:iCs/>
        </w:rPr>
        <w:t xml:space="preserve">E. coli </w:t>
      </w:r>
      <w:r>
        <w:t xml:space="preserve">(Layton </w:t>
      </w:r>
      <w:r>
        <w:rPr>
          <w:i/>
          <w:iCs/>
        </w:rPr>
        <w:t>et al</w:t>
      </w:r>
      <w:r>
        <w:t xml:space="preserve">., 2010). Enterococci of </w:t>
      </w:r>
      <w:r>
        <w:t>faecal</w:t>
      </w:r>
      <w:r>
        <w:t xml:space="preserve"> origin rarely multiply in water and are more resistant to environmental stress and chlorination than </w:t>
      </w:r>
      <w:r>
        <w:rPr>
          <w:i/>
          <w:iCs/>
        </w:rPr>
        <w:t xml:space="preserve">E. coli </w:t>
      </w:r>
      <w:r>
        <w:t xml:space="preserve">and coliform bacteria. They generally persist longer in the environment, with the exception of </w:t>
      </w:r>
      <w:r>
        <w:rPr>
          <w:i/>
          <w:iCs/>
        </w:rPr>
        <w:t xml:space="preserve">Streptococcus </w:t>
      </w:r>
      <w:r>
        <w:rPr>
          <w:i/>
          <w:iCs/>
        </w:rPr>
        <w:t>bovi</w:t>
      </w:r>
      <w:r>
        <w:rPr>
          <w:i/>
          <w:iCs/>
        </w:rPr>
        <w:t xml:space="preserve"> </w:t>
      </w:r>
      <w:r>
        <w:t xml:space="preserve">and </w:t>
      </w:r>
      <w:r>
        <w:rPr>
          <w:i/>
          <w:iCs/>
        </w:rPr>
        <w:t>Streptococcus equines</w:t>
      </w:r>
      <w:r>
        <w:t>, which die off relatively rapidly once outside the intestinal tract. Testing for enterococci can be a useful additional indicator of water treatment efficiency (</w:t>
      </w:r>
      <w:r>
        <w:t>Goto</w:t>
      </w:r>
      <w:r>
        <w:t xml:space="preserve"> and Yan, 2011).</w:t>
      </w:r>
    </w:p>
    <w:p>
      <w:pPr>
        <w:pStyle w:val="style4099"/>
        <w:spacing w:lineRule="auto" w:line="480"/>
        <w:rPr/>
      </w:pPr>
      <w:r>
        <w:rPr>
          <w:b/>
          <w:bCs/>
        </w:rPr>
        <w:t>Sulphite</w:t>
      </w:r>
      <w:r>
        <w:rPr>
          <w:b/>
          <w:bCs/>
        </w:rPr>
        <w:t xml:space="preserve">-reducing clostridia </w:t>
      </w:r>
    </w:p>
    <w:p>
      <w:pPr>
        <w:pStyle w:val="style94"/>
        <w:spacing w:before="0" w:beforeAutospacing="false" w:after="0" w:afterAutospacing="false" w:lineRule="auto" w:line="480"/>
        <w:jc w:val="both"/>
        <w:rPr/>
      </w:pPr>
      <w:r>
        <w:t>Sulphite</w:t>
      </w:r>
      <w:r>
        <w:t xml:space="preserve">-reducing Clostridia are Gram-positive, anaerobic spore-forming rods that reduce </w:t>
      </w:r>
      <w:r>
        <w:t>sulphite</w:t>
      </w:r>
      <w:r>
        <w:t xml:space="preserve"> to </w:t>
      </w:r>
      <w:r>
        <w:t>sulphate</w:t>
      </w:r>
      <w:r>
        <w:t xml:space="preserve"> (</w:t>
      </w:r>
      <w:r>
        <w:t>Calente</w:t>
      </w:r>
      <w:r>
        <w:rPr>
          <w:i/>
          <w:iCs/>
        </w:rPr>
        <w:t xml:space="preserve"> al., </w:t>
      </w:r>
      <w:r>
        <w:t>2021).</w:t>
      </w:r>
      <w:r>
        <w:rPr>
          <w:i/>
          <w:iCs/>
        </w:rPr>
        <w:t xml:space="preserve">Clostridium </w:t>
      </w:r>
      <w:r>
        <w:rPr>
          <w:i/>
          <w:iCs/>
        </w:rPr>
        <w:t>perfringens</w:t>
      </w:r>
      <w:r>
        <w:rPr>
          <w:i/>
          <w:iCs/>
        </w:rPr>
        <w:t xml:space="preserve"> </w:t>
      </w:r>
      <w:r>
        <w:t xml:space="preserve">is the key species of the </w:t>
      </w:r>
      <w:r>
        <w:t>sulphite</w:t>
      </w:r>
      <w:r>
        <w:t xml:space="preserve">-reducing clostridia and is commonly found in human and animal </w:t>
      </w:r>
      <w:r>
        <w:t>faeces</w:t>
      </w:r>
      <w:r>
        <w:t xml:space="preserve">. Most species of </w:t>
      </w:r>
      <w:r>
        <w:rPr>
          <w:i/>
          <w:iCs/>
        </w:rPr>
        <w:t xml:space="preserve">Clostridium </w:t>
      </w:r>
      <w:r>
        <w:t xml:space="preserve">are environmental bacteria. Many are saprophytic, normally inhabiting soil, water, and decomposing plant and animal material. </w:t>
      </w:r>
      <w:r>
        <w:rPr>
          <w:i/>
          <w:iCs/>
        </w:rPr>
        <w:t xml:space="preserve">Clostridium </w:t>
      </w:r>
      <w:r>
        <w:rPr>
          <w:i/>
          <w:iCs/>
        </w:rPr>
        <w:t>perfringens</w:t>
      </w:r>
      <w:r>
        <w:rPr>
          <w:i/>
          <w:iCs/>
        </w:rPr>
        <w:t xml:space="preserve"> </w:t>
      </w:r>
      <w:r>
        <w:t xml:space="preserve">produces environmentally resistant spores that survive in water and the environment for much longer periods than the vegetative cells of </w:t>
      </w:r>
      <w:r>
        <w:rPr>
          <w:i/>
          <w:iCs/>
        </w:rPr>
        <w:t xml:space="preserve">E. coli </w:t>
      </w:r>
      <w:r>
        <w:t xml:space="preserve">and other </w:t>
      </w:r>
      <w:r>
        <w:t>faecal</w:t>
      </w:r>
      <w:r>
        <w:t xml:space="preserve"> indicators. Clostridia are removed from water by coagulation and filtration, but the spores of these bacteria can be resistant to chlorine at concentrations normally used in water treatment (</w:t>
      </w:r>
      <w:r>
        <w:t>Solaiman</w:t>
      </w:r>
      <w:r>
        <w:t xml:space="preserve"> </w:t>
      </w:r>
      <w:r>
        <w:rPr>
          <w:i/>
        </w:rPr>
        <w:t>et al</w:t>
      </w:r>
      <w:r>
        <w:t xml:space="preserve">., 2020). As </w:t>
      </w:r>
      <w:r>
        <w:rPr>
          <w:i/>
          <w:iCs/>
        </w:rPr>
        <w:t xml:space="preserve">Clostridium </w:t>
      </w:r>
      <w:r>
        <w:rPr>
          <w:i/>
          <w:iCs/>
        </w:rPr>
        <w:t>perfringens</w:t>
      </w:r>
      <w:r>
        <w:rPr>
          <w:i/>
          <w:iCs/>
        </w:rPr>
        <w:t xml:space="preserve"> </w:t>
      </w:r>
      <w:r>
        <w:t xml:space="preserve">is generally present in </w:t>
      </w:r>
      <w:r>
        <w:t>faeces</w:t>
      </w:r>
      <w:r>
        <w:t xml:space="preserve"> in much lower numbers than </w:t>
      </w:r>
      <w:r>
        <w:rPr>
          <w:i/>
          <w:iCs/>
        </w:rPr>
        <w:t xml:space="preserve">E. coli </w:t>
      </w:r>
      <w:r>
        <w:t xml:space="preserve">and enterococci, it is less sensitive as an indicator of </w:t>
      </w:r>
      <w:r>
        <w:t>faecal</w:t>
      </w:r>
      <w:r>
        <w:t xml:space="preserve"> contamination. Low numbers may occasionally occur in water supplies, but they do not present a risk to health. These bacteria will not grow to a significant number, or produce toxins in water supplies, as conditions are usually unsuitable </w:t>
      </w:r>
    </w:p>
    <w:p>
      <w:pPr>
        <w:pStyle w:val="style94"/>
        <w:spacing w:before="0" w:beforeAutospacing="false" w:after="0" w:afterAutospacing="false" w:lineRule="auto" w:line="480"/>
        <w:jc w:val="both"/>
        <w:rPr>
          <w:b/>
          <w:bCs/>
        </w:rPr>
      </w:pPr>
      <w:r>
        <w:rPr>
          <w:b/>
          <w:bCs/>
        </w:rPr>
        <w:t>The Heterotrophic bacteria</w:t>
      </w:r>
    </w:p>
    <w:p>
      <w:pPr>
        <w:pStyle w:val="style94"/>
        <w:spacing w:before="0" w:beforeAutospacing="false" w:after="0" w:afterAutospacing="false" w:lineRule="auto" w:line="480"/>
        <w:jc w:val="both"/>
        <w:rPr/>
      </w:pPr>
      <w:r>
        <w:t>The heterotrophic groups of bacteria encompass a broad range of bacteria that use organic carbon source to grow. Colony counts of heterotrophic bacteria, referred to as heterotrophic plate count (HPC), provide an indication of general load of aerobic and facultative anaerobic bacteria of water sample (</w:t>
      </w:r>
      <w:r>
        <w:t>Setiaji</w:t>
      </w:r>
      <w:r>
        <w:t xml:space="preserve"> </w:t>
      </w:r>
      <w:r>
        <w:rPr>
          <w:i/>
        </w:rPr>
        <w:t>et al</w:t>
      </w:r>
      <w:r>
        <w:t>., 2019). An important benefit of determining HPC, particularly if carried out regularly from the same site and location, is that it can provide an indication of seasonal and long-term changes in the general bacteriological quality of the water (</w:t>
      </w:r>
      <w:r>
        <w:t>Posacka</w:t>
      </w:r>
      <w:r>
        <w:t xml:space="preserve"> </w:t>
      </w:r>
      <w:r>
        <w:rPr>
          <w:i/>
        </w:rPr>
        <w:t>et al</w:t>
      </w:r>
      <w:r>
        <w:t xml:space="preserve">., 2019). Drinking water supplies derived from surface waters tends to support higher numbers of heterotrophic bacteria than those derived from groundwater sources. This is due to the differences in concentrations of </w:t>
      </w:r>
      <w:r>
        <w:t>assimilable</w:t>
      </w:r>
      <w:r>
        <w:t xml:space="preserve"> carbon associated with each type of source. It is, therefore, not the absolute number of bacteria count enumerated from a supply that are of importance, but whether, over time, there are significant changes or long-term trends in those numbers. (McDonald </w:t>
      </w:r>
      <w:r>
        <w:rPr>
          <w:i/>
        </w:rPr>
        <w:t>et al</w:t>
      </w:r>
      <w:r>
        <w:t>., 2019).</w:t>
      </w:r>
    </w:p>
    <w:bookmarkStart w:id="14" w:name="_Toc203100998"/>
    <w:p>
      <w:pPr>
        <w:pStyle w:val="style3"/>
        <w:spacing w:lineRule="auto" w:line="480"/>
        <w:rPr>
          <w:rFonts w:cs="Times New Roman"/>
        </w:rPr>
      </w:pPr>
      <w:r>
        <w:rPr>
          <w:rFonts w:cs="Times New Roman"/>
        </w:rPr>
        <w:t>2.2.2</w:t>
      </w:r>
      <w:r>
        <w:rPr>
          <w:rFonts w:cs="Times New Roman"/>
        </w:rPr>
        <w:tab/>
      </w:r>
      <w:r>
        <w:rPr>
          <w:rFonts w:cs="Times New Roman"/>
        </w:rPr>
        <w:t>Physical indicators of Water Quality</w:t>
      </w:r>
      <w:bookmarkEnd w:id="14"/>
    </w:p>
    <w:p>
      <w:pPr>
        <w:pStyle w:val="style94"/>
        <w:spacing w:before="0" w:beforeAutospacing="false" w:after="0" w:afterAutospacing="false" w:lineRule="auto" w:line="480"/>
        <w:jc w:val="both"/>
        <w:rPr>
          <w:rFonts w:eastAsia="Arial"/>
          <w:color w:val="000000"/>
        </w:rPr>
      </w:pPr>
      <w:r>
        <w:rPr>
          <w:rFonts w:eastAsia="Arial"/>
          <w:color w:val="000000"/>
        </w:rPr>
        <w:t xml:space="preserve">Taste, </w:t>
      </w:r>
      <w:r>
        <w:rPr>
          <w:rFonts w:eastAsia="Arial"/>
          <w:color w:val="000000"/>
        </w:rPr>
        <w:t>colour</w:t>
      </w:r>
      <w:r>
        <w:rPr>
          <w:rFonts w:eastAsia="Arial"/>
          <w:color w:val="000000"/>
        </w:rPr>
        <w:t xml:space="preserve">, </w:t>
      </w:r>
      <w:r>
        <w:rPr>
          <w:rFonts w:eastAsia="Arial"/>
          <w:color w:val="000000"/>
        </w:rPr>
        <w:t>odour</w:t>
      </w:r>
      <w:r>
        <w:rPr>
          <w:rFonts w:eastAsia="Arial"/>
          <w:color w:val="000000"/>
        </w:rPr>
        <w:t>, turbidity are all physical parameters that can affect the aesthetics which determine whether people will use a source of water for drinking purposes or not.</w:t>
      </w:r>
    </w:p>
    <w:p>
      <w:pPr>
        <w:pStyle w:val="style94"/>
        <w:spacing w:before="0" w:beforeAutospacing="false" w:after="0" w:afterAutospacing="false" w:lineRule="auto" w:line="480"/>
        <w:jc w:val="both"/>
        <w:rPr>
          <w:b/>
          <w:bCs/>
        </w:rPr>
      </w:pPr>
      <w:r>
        <w:rPr>
          <w:b/>
          <w:bCs/>
        </w:rPr>
        <w:t>Colour</w:t>
      </w:r>
      <w:r>
        <w:rPr>
          <w:b/>
          <w:bCs/>
        </w:rPr>
        <w:t xml:space="preserve"> </w:t>
      </w:r>
    </w:p>
    <w:p>
      <w:pPr>
        <w:pStyle w:val="style94"/>
        <w:spacing w:before="0" w:beforeAutospacing="false" w:after="0" w:afterAutospacing="false" w:lineRule="auto" w:line="480"/>
        <w:jc w:val="both"/>
        <w:rPr/>
      </w:pPr>
      <w:r>
        <w:t>The color of water can be an indicator of the presence of organic compounds (</w:t>
      </w:r>
      <w:r>
        <w:t>humic</w:t>
      </w:r>
      <w:r>
        <w:t xml:space="preserve"> </w:t>
      </w:r>
      <w:r>
        <w:t>andfulvic</w:t>
      </w:r>
      <w:r>
        <w:t xml:space="preserve"> acids), iron and other metals. It can sometimes also be an indicator of industrial effluents. There is no health standard set for the color of drinking water. Typically, water is considered to </w:t>
      </w:r>
      <w:r>
        <w:t>beacceptable</w:t>
      </w:r>
      <w:r>
        <w:t xml:space="preserve"> to drink by people when the color is below 15 TCU (true </w:t>
      </w:r>
      <w:r>
        <w:t>colour</w:t>
      </w:r>
      <w:r>
        <w:t xml:space="preserve"> units). It is often dependent on the personal tastes of people in the region and on what available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w:t>
      </w:r>
      <w:r>
        <w:t>Adewuyi</w:t>
      </w:r>
      <w:r>
        <w:t xml:space="preserve"> </w:t>
      </w:r>
      <w:r>
        <w:rPr>
          <w:i/>
        </w:rPr>
        <w:t>et al</w:t>
      </w:r>
      <w:r>
        <w:t>., 2022).</w:t>
      </w:r>
    </w:p>
    <w:p>
      <w:pPr>
        <w:pStyle w:val="style94"/>
        <w:spacing w:before="0" w:beforeAutospacing="false" w:after="0" w:afterAutospacing="false" w:lineRule="auto" w:line="480"/>
        <w:jc w:val="both"/>
        <w:rPr>
          <w:b/>
          <w:bCs/>
        </w:rPr>
      </w:pPr>
      <w:r>
        <w:rPr>
          <w:b/>
          <w:bCs/>
        </w:rPr>
        <w:t xml:space="preserve">Taste and </w:t>
      </w:r>
      <w:r>
        <w:rPr>
          <w:b/>
          <w:bCs/>
        </w:rPr>
        <w:t>Odour</w:t>
      </w:r>
      <w:r>
        <w:rPr>
          <w:b/>
          <w:bCs/>
        </w:rPr>
        <w:t xml:space="preserve"> </w:t>
      </w:r>
    </w:p>
    <w:p>
      <w:pPr>
        <w:pStyle w:val="style94"/>
        <w:spacing w:before="0" w:beforeAutospacing="false" w:after="0" w:afterAutospacing="false" w:lineRule="auto" w:line="480"/>
        <w:jc w:val="both"/>
        <w:rPr>
          <w:b/>
          <w:bCs/>
        </w:rPr>
      </w:pPr>
      <w:r>
        <w:t>Taste and odor of water can also be indicators of contamination. They can originate from natural organic processes, treatment processes, such as chlorination, they can be the result of hazardous contamination, or they can develop during storage and distribution. There is no specific health guideline set for taste and odor of drinking water and it is dependent upon the range of acceptability for taste and odor of the consumer (</w:t>
      </w:r>
      <w:r>
        <w:t>Adelakun</w:t>
      </w:r>
      <w:r>
        <w:t xml:space="preserve"> </w:t>
      </w:r>
      <w:r>
        <w:rPr>
          <w:i/>
        </w:rPr>
        <w:t>et al</w:t>
      </w:r>
      <w:r>
        <w:t xml:space="preserve">., 2021). </w:t>
      </w:r>
    </w:p>
    <w:p>
      <w:pPr>
        <w:pStyle w:val="style94"/>
        <w:spacing w:before="0" w:beforeAutospacing="false" w:after="0" w:afterAutospacing="false" w:lineRule="auto" w:line="480"/>
        <w:jc w:val="both"/>
        <w:rPr>
          <w:b/>
          <w:bCs/>
        </w:rPr>
      </w:pPr>
      <w:r>
        <w:rPr>
          <w:b/>
          <w:bCs/>
        </w:rPr>
        <w:t xml:space="preserve">Turbidity </w:t>
      </w:r>
    </w:p>
    <w:p>
      <w:pPr>
        <w:pStyle w:val="style94"/>
        <w:spacing w:before="0" w:beforeAutospacing="false" w:after="0" w:afterAutospacing="false" w:lineRule="auto" w:line="480"/>
        <w:jc w:val="both"/>
        <w:rPr/>
      </w:pPr>
      <w:r>
        <w:t xml:space="preserve">Turbidity is the amount of particulate matter suspended in water. It measures the scattering effect that suspended solids have on light. It is widely agreed that the higher the intensity of scattered light, the higher the turbidity. Clay, salt, finely divided organisms make water opaque. Different particles have significantly different effects on perceived turbidity. The particulate matter suspended making drinking water turbid could either be organic or inorganic, or both. The turbidity of water interferes with disinfection and could affect the </w:t>
      </w:r>
      <w:r>
        <w:t>colour</w:t>
      </w:r>
      <w:r>
        <w:t xml:space="preserve">, taste or even the </w:t>
      </w:r>
      <w:r>
        <w:t>odour</w:t>
      </w:r>
      <w:r>
        <w:t xml:space="preserve"> of water (</w:t>
      </w:r>
      <w:r>
        <w:t>Akinbile</w:t>
      </w:r>
      <w:r>
        <w:t xml:space="preserve"> </w:t>
      </w:r>
      <w:r>
        <w:rPr>
          <w:i/>
        </w:rPr>
        <w:t>et al</w:t>
      </w:r>
      <w:r>
        <w:t>., 2022).</w:t>
      </w:r>
    </w:p>
    <w:bookmarkStart w:id="15" w:name="_Toc203100999"/>
    <w:p>
      <w:pPr>
        <w:pStyle w:val="style3"/>
        <w:spacing w:lineRule="auto" w:line="480"/>
        <w:rPr>
          <w:rFonts w:cs="Times New Roman"/>
        </w:rPr>
      </w:pPr>
      <w:r>
        <w:rPr>
          <w:rFonts w:cs="Times New Roman"/>
        </w:rPr>
        <w:t>2.2.3</w:t>
      </w:r>
      <w:r>
        <w:rPr>
          <w:rFonts w:cs="Times New Roman"/>
        </w:rPr>
        <w:tab/>
      </w:r>
      <w:r>
        <w:rPr>
          <w:rFonts w:cs="Times New Roman"/>
        </w:rPr>
        <w:t>Chemical Indicators of Water Quality</w:t>
      </w:r>
      <w:bookmarkEnd w:id="15"/>
    </w:p>
    <w:p>
      <w:pPr>
        <w:pStyle w:val="style4099"/>
        <w:spacing w:lineRule="auto" w:line="480"/>
        <w:rPr/>
      </w:pPr>
      <w:r>
        <w:rPr>
          <w:b/>
          <w:bCs/>
        </w:rPr>
        <w:t xml:space="preserve">pH </w:t>
      </w:r>
    </w:p>
    <w:p>
      <w:pPr>
        <w:pStyle w:val="style94"/>
        <w:spacing w:before="0" w:beforeAutospacing="false" w:after="0" w:afterAutospacing="false" w:lineRule="auto" w:line="480"/>
        <w:jc w:val="both"/>
        <w:rPr/>
      </w:pPr>
      <w:r>
        <w:t>pH is a measure of the acidity or alkalinity of water. It is measured using a pH meter/scale. The pH scale commonly ranges from 0 - 14. Pure water is said to be neutral, with a pH of 7. Water with a pH below 7.0 is considered acidic while water with pH greater than 7.0 is considered basic or alkaline. One of the main objectives in controlling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w:t>
      </w:r>
      <w:r>
        <w:t>Ogundele</w:t>
      </w:r>
      <w:r>
        <w:t xml:space="preserve"> </w:t>
      </w:r>
      <w:r>
        <w:rPr>
          <w:i/>
        </w:rPr>
        <w:t>et al</w:t>
      </w:r>
      <w:r>
        <w:t>., 2021).</w:t>
      </w:r>
    </w:p>
    <w:p>
      <w:pPr>
        <w:pStyle w:val="style94"/>
        <w:spacing w:before="0" w:beforeAutospacing="false" w:after="0" w:afterAutospacing="false" w:lineRule="auto" w:line="480"/>
        <w:jc w:val="both"/>
        <w:rPr>
          <w:b/>
          <w:bCs/>
        </w:rPr>
      </w:pPr>
      <w:r>
        <w:rPr>
          <w:b/>
          <w:bCs/>
        </w:rPr>
        <w:t xml:space="preserve">Conductivity </w:t>
      </w:r>
    </w:p>
    <w:p>
      <w:pPr>
        <w:pStyle w:val="style94"/>
        <w:spacing w:before="0" w:beforeAutospacing="false" w:after="0" w:afterAutospacing="false" w:lineRule="auto" w:line="480"/>
        <w:jc w:val="both"/>
        <w:rPr/>
      </w:pPr>
      <w:r>
        <w:t>Conductivity is the ability of water to carry electrical charges. It indicates the presence of ions in the water. Conductivity relates to the amount of dissolved substances in water, but it, however, does not give an indication of which mineral is present. Changes in conductivity over time may indicate changing water quality. With regards to acceptability results, there is no health standard. Conductivity source may be natural or human-made dissolved substances. The presence of inorganic compounds makes water exhibit high conductivity (</w:t>
      </w:r>
      <w:r>
        <w:t>Ojekunle</w:t>
      </w:r>
      <w:r>
        <w:t xml:space="preserve"> </w:t>
      </w:r>
      <w:r>
        <w:rPr>
          <w:i/>
        </w:rPr>
        <w:t>et al</w:t>
      </w:r>
      <w:r>
        <w:t>., 2020).</w:t>
      </w:r>
    </w:p>
    <w:p>
      <w:pPr>
        <w:pStyle w:val="style94"/>
        <w:spacing w:before="0" w:beforeAutospacing="false" w:after="0" w:afterAutospacing="false" w:lineRule="auto" w:line="480"/>
        <w:jc w:val="both"/>
        <w:rPr>
          <w:b/>
          <w:bCs/>
        </w:rPr>
      </w:pPr>
      <w:r>
        <w:rPr>
          <w:b/>
          <w:bCs/>
        </w:rPr>
        <w:t xml:space="preserve">Total dissolved Solids (TDS) </w:t>
      </w:r>
    </w:p>
    <w:p>
      <w:pPr>
        <w:pStyle w:val="style94"/>
        <w:spacing w:before="0" w:beforeAutospacing="false" w:after="0" w:afterAutospacing="false" w:lineRule="auto" w:line="480"/>
        <w:jc w:val="both"/>
        <w:rPr/>
      </w:pPr>
      <w:r>
        <w:t xml:space="preserve">Total dissolved Solids (TDS) comprise inorganic salts (principally calcium, magnesium, potassium, sodium, bicarbonates, chlorides and </w:t>
      </w:r>
      <w:r>
        <w:t>sulphates</w:t>
      </w:r>
      <w:r>
        <w:t>) and small amount of organic matter that are dissolve in water. TDS can affect taste of drinking water. Water becomes increasingly unpalatable and objectionable at level greater than 1000 – 1200mg/1 which is the recommended value of TDS in drinking water. There is no health based proposed value for TDS (</w:t>
      </w:r>
      <w:r>
        <w:t>Ogungbe</w:t>
      </w:r>
      <w:r>
        <w:t xml:space="preserve"> </w:t>
      </w:r>
      <w:r>
        <w:rPr>
          <w:i/>
        </w:rPr>
        <w:t>et al</w:t>
      </w:r>
      <w:r>
        <w:t>., 2022).</w:t>
      </w:r>
    </w:p>
    <w:p>
      <w:pPr>
        <w:pStyle w:val="style4099"/>
        <w:spacing w:lineRule="auto" w:line="480"/>
        <w:rPr/>
      </w:pPr>
      <w:r>
        <w:rPr>
          <w:b/>
          <w:bCs/>
        </w:rPr>
        <w:t xml:space="preserve">Alkalinity </w:t>
      </w:r>
    </w:p>
    <w:p>
      <w:pPr>
        <w:pStyle w:val="style94"/>
        <w:spacing w:before="0" w:beforeAutospacing="false" w:after="0" w:afterAutospacing="false" w:lineRule="auto" w:line="480"/>
        <w:jc w:val="both"/>
        <w:rPr/>
      </w:pPr>
      <w:r>
        <w:t xml:space="preserve">Alkalinity is the sum total of components in the water that tends to elevate the pH to the alkaline side of neutrality. It is measured by titration with standardized acid to a pH value of 4.5 and is expressed commonly as milligrams per liter as calcium carbonate (mg/L as CaCo3). Alkalinity is a measure of the buffering capacity (ability to resist changes in pH) of the water, and since pH has a direct effect on organisms as well as an indirect effect on the toxicity of certain other pollutants in the water that increase alkalinity are carbonates, bicarbonates, phosphates and hydroxides. Limestone bedrock and thick deposits of glacial till are good sources of carbonate buffering (Chakraborty </w:t>
      </w:r>
      <w:r>
        <w:rPr>
          <w:i/>
        </w:rPr>
        <w:t>et al</w:t>
      </w:r>
      <w:r>
        <w:t>., 2021).</w:t>
      </w:r>
    </w:p>
    <w:bookmarkStart w:id="16" w:name="_Toc203101000"/>
    <w:p>
      <w:pPr>
        <w:pStyle w:val="style2"/>
        <w:spacing w:lineRule="auto" w:line="480"/>
        <w:rPr>
          <w:rFonts w:cs="Times New Roman"/>
        </w:rPr>
      </w:pPr>
      <w:r>
        <w:rPr>
          <w:rFonts w:cs="Times New Roman"/>
        </w:rPr>
        <w:t>2.3</w:t>
      </w:r>
      <w:r>
        <w:rPr>
          <w:rFonts w:cs="Times New Roman"/>
        </w:rPr>
        <w:tab/>
      </w:r>
      <w:r>
        <w:rPr>
          <w:rFonts w:cs="Times New Roman"/>
        </w:rPr>
        <w:t>Water Quality Standards and Regulations</w:t>
      </w:r>
      <w:bookmarkEnd w:id="16"/>
    </w:p>
    <w:p>
      <w:pPr>
        <w:pStyle w:val="style0"/>
        <w:rPr>
          <w:rFonts w:ascii="Times New Roman" w:cs="Times New Roman" w:hAnsi="Times New Roman"/>
          <w:szCs w:val="24"/>
        </w:rPr>
      </w:pPr>
    </w:p>
    <w:p>
      <w:pPr>
        <w:pStyle w:val="style0"/>
        <w:tabs>
          <w:tab w:val="left" w:leader="none" w:pos="5235"/>
        </w:tabs>
        <w:rPr>
          <w:rFonts w:ascii="Times New Roman" w:cs="Times New Roman" w:hAnsi="Times New Roman"/>
          <w:szCs w:val="24"/>
        </w:rPr>
      </w:pPr>
      <w:r>
        <w:rPr>
          <w:rFonts w:ascii="Times New Roman" w:cs="Times New Roman" w:hAnsi="Times New Roman"/>
          <w:szCs w:val="24"/>
        </w:rPr>
        <w:tab/>
      </w:r>
      <w:r>
        <w:rPr>
          <w:rFonts w:ascii="Times New Roman" w:cs="Times New Roman" w:hAnsi="Times New Roman"/>
          <w:szCs w:val="24"/>
        </w:rPr>
        <w:tab/>
      </w:r>
    </w:p>
    <w:p>
      <w:pPr>
        <w:pStyle w:val="style94"/>
        <w:spacing w:before="0" w:beforeAutospacing="false" w:after="0" w:afterAutospacing="false" w:lineRule="auto" w:line="480"/>
        <w:jc w:val="both"/>
        <w:rPr>
          <w:rFonts w:eastAsia="Arial"/>
          <w:color w:val="000000"/>
        </w:rPr>
      </w:pPr>
      <w:r>
        <w:rPr>
          <w:rFonts w:eastAsia="Arial"/>
          <w:color w:val="000000"/>
        </w:rPr>
        <w:t>Water quality standards and regulations are essential for ensuring that water resources remain safe and suitable for different uses, such as drinking, agriculture, industry, and recreation. These standards help define the limits of contaminants in water and guide the management of water resources to protect both human health and the environment (WHO, 2019). In Nigeria, these standards align with global guidelines but are also adapted to address local challenges.</w:t>
      </w:r>
    </w:p>
    <w:p>
      <w:pPr>
        <w:pStyle w:val="style94"/>
        <w:spacing w:before="0" w:beforeAutospacing="false" w:after="0" w:afterAutospacing="false" w:lineRule="auto" w:line="480"/>
        <w:jc w:val="both"/>
        <w:rPr>
          <w:rFonts w:eastAsia="Arial"/>
          <w:color w:val="000000"/>
        </w:rPr>
      </w:pPr>
      <w:r>
        <w:rPr>
          <w:rFonts w:eastAsia="Arial"/>
          <w:color w:val="000000"/>
        </w:rPr>
        <w:t xml:space="preserve">Water quality standards typically focus on three main aspects: physical, chemical, and microbiological indicators. The physical standards address the appearance and usability of water, including factors like turbidity, temperature, and color. The chemical standards look at the chemical composition of water, regulating pollutants such as heavy metals, pH, and dissolved oxygen levels. Microbiological standards are critical for ensuring that water is free from harmful pathogens, particularly bacteria like </w:t>
      </w:r>
      <w:r>
        <w:rPr>
          <w:rFonts w:eastAsia="Arial"/>
          <w:i/>
          <w:color w:val="000000"/>
        </w:rPr>
        <w:t>Escherichia coli</w:t>
      </w:r>
      <w:r>
        <w:rPr>
          <w:rFonts w:eastAsia="Arial"/>
          <w:color w:val="000000"/>
        </w:rPr>
        <w:t>, which can cause waterborne diseases (</w:t>
      </w:r>
      <w:r>
        <w:rPr>
          <w:rFonts w:eastAsia="Arial"/>
          <w:color w:val="000000"/>
        </w:rPr>
        <w:t>Adewuyi</w:t>
      </w:r>
      <w:r>
        <w:rPr>
          <w:rFonts w:eastAsia="Arial"/>
          <w:color w:val="000000"/>
        </w:rPr>
        <w:t xml:space="preserve"> </w:t>
      </w:r>
      <w:r>
        <w:rPr>
          <w:rFonts w:eastAsia="Arial"/>
          <w:i/>
          <w:color w:val="000000"/>
        </w:rPr>
        <w:t>et al</w:t>
      </w:r>
      <w:r>
        <w:rPr>
          <w:rFonts w:eastAsia="Arial"/>
          <w:color w:val="000000"/>
        </w:rPr>
        <w:t>., 2022).</w:t>
      </w:r>
    </w:p>
    <w:bookmarkStart w:id="17" w:name="_Toc203101001"/>
    <w:p>
      <w:pPr>
        <w:pStyle w:val="style3"/>
        <w:spacing w:lineRule="auto" w:line="480"/>
        <w:rPr>
          <w:rFonts w:cs="Times New Roman" w:eastAsia="Times New Roman"/>
        </w:rPr>
      </w:pPr>
      <w:r>
        <w:rPr>
          <w:rFonts w:cs="Times New Roman" w:eastAsia="Times New Roman"/>
        </w:rPr>
        <w:t>2.3.1</w:t>
      </w:r>
      <w:r>
        <w:rPr>
          <w:rFonts w:cs="Times New Roman" w:eastAsia="Times New Roman"/>
        </w:rPr>
        <w:tab/>
      </w:r>
      <w:r>
        <w:rPr>
          <w:rFonts w:cs="Times New Roman" w:eastAsia="Times New Roman"/>
        </w:rPr>
        <w:t>Nigerian Standard for Drinking Water Quality (NSDWQ):</w:t>
      </w:r>
      <w:bookmarkEnd w:id="17"/>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w:t>
      </w:r>
      <w:r>
        <w:rPr>
          <w:rFonts w:ascii="Times New Roman" w:cs="Times New Roman" w:eastAsia="Times New Roman" w:hAnsi="Times New Roman"/>
          <w:bCs/>
          <w:color w:val="auto"/>
          <w:szCs w:val="24"/>
        </w:rPr>
        <w:t>Nigerian Standard for Drinking Water Quality</w:t>
      </w:r>
      <w:r>
        <w:rPr>
          <w:rFonts w:ascii="Times New Roman" w:cs="Times New Roman" w:eastAsia="Times New Roman" w:hAnsi="Times New Roman"/>
          <w:color w:val="auto"/>
          <w:szCs w:val="24"/>
        </w:rPr>
        <w:t xml:space="preserve"> (NSDWQ) developed by the Standards </w:t>
      </w:r>
      <w:r>
        <w:rPr>
          <w:rFonts w:ascii="Times New Roman" w:cs="Times New Roman" w:eastAsia="Times New Roman" w:hAnsi="Times New Roman"/>
          <w:color w:val="auto"/>
          <w:szCs w:val="24"/>
        </w:rPr>
        <w:t>Organisation</w:t>
      </w:r>
      <w:r>
        <w:rPr>
          <w:rFonts w:ascii="Times New Roman" w:cs="Times New Roman" w:eastAsia="Times New Roman" w:hAnsi="Times New Roman"/>
          <w:color w:val="auto"/>
          <w:szCs w:val="24"/>
        </w:rPr>
        <w:t xml:space="preserve"> of Nigeria (SON), provides permissible limits for various water quality parameters. </w:t>
      </w:r>
      <w:r>
        <w:rPr>
          <w:rFonts w:ascii="Times New Roman" w:cs="Times New Roman" w:hAnsi="Times New Roman"/>
          <w:szCs w:val="24"/>
        </w:rPr>
        <w:t xml:space="preserve">In Nigeria, the Nigerian Standard for Drinking Water Quality (NSDWQ), developed by the Standards </w:t>
      </w:r>
      <w:r>
        <w:rPr>
          <w:rFonts w:ascii="Times New Roman" w:cs="Times New Roman" w:hAnsi="Times New Roman"/>
          <w:szCs w:val="24"/>
        </w:rPr>
        <w:t>Organisation</w:t>
      </w:r>
      <w:r>
        <w:rPr>
          <w:rFonts w:ascii="Times New Roman" w:cs="Times New Roman" w:hAnsi="Times New Roman"/>
          <w:szCs w:val="24"/>
        </w:rPr>
        <w:t xml:space="preserve"> of Nigeria (SON), sets permissible limits for water contaminants. For drinking water, the NSDWQ emphasizes microbial safety by ensuring that water is free from coliform bacteria, including </w:t>
      </w:r>
      <w:r>
        <w:rPr>
          <w:rFonts w:ascii="Times New Roman" w:cs="Times New Roman" w:hAnsi="Times New Roman"/>
          <w:i/>
          <w:szCs w:val="24"/>
        </w:rPr>
        <w:t>E. coli</w:t>
      </w:r>
      <w:r>
        <w:rPr>
          <w:rFonts w:ascii="Times New Roman" w:cs="Times New Roman" w:hAnsi="Times New Roman"/>
          <w:szCs w:val="24"/>
        </w:rPr>
        <w:t>. It also sets limits for chemicals like lead, nitrates, and pesticides. For example, the pH of drinking water is recommended to be between 6.5 and 8.5, while nitrate levels should not exceed 50 mg/L (</w:t>
      </w:r>
      <w:r>
        <w:rPr>
          <w:rFonts w:ascii="Times New Roman" w:cs="Times New Roman" w:eastAsia="Times New Roman" w:hAnsi="Times New Roman"/>
          <w:szCs w:val="24"/>
        </w:rPr>
        <w:t>Adelakun</w:t>
      </w:r>
      <w:r>
        <w:rPr>
          <w:rFonts w:ascii="Times New Roman" w:cs="Times New Roman" w:eastAsia="Times New Roman" w:hAnsi="Times New Roman"/>
          <w:szCs w:val="24"/>
        </w:rPr>
        <w:t xml:space="preserve"> </w:t>
      </w:r>
      <w:r>
        <w:rPr>
          <w:rFonts w:ascii="Times New Roman" w:cs="Times New Roman" w:eastAsia="Times New Roman" w:hAnsi="Times New Roman"/>
          <w:i/>
          <w:szCs w:val="24"/>
        </w:rPr>
        <w:t>et al</w:t>
      </w:r>
      <w:r>
        <w:rPr>
          <w:rFonts w:ascii="Times New Roman" w:cs="Times New Roman" w:eastAsia="Times New Roman" w:hAnsi="Times New Roman"/>
          <w:szCs w:val="24"/>
        </w:rPr>
        <w:t>., 2021</w:t>
      </w:r>
      <w:r>
        <w:rPr>
          <w:rFonts w:ascii="Times New Roman" w:cs="Times New Roman" w:hAnsi="Times New Roman"/>
          <w:szCs w:val="24"/>
        </w:rPr>
        <w:t xml:space="preserve">). These standards are based on global guidelines from the World Health Organization (WHO), which also recommends a zero tolerance for </w:t>
      </w:r>
      <w:r>
        <w:rPr>
          <w:rFonts w:ascii="Times New Roman" w:cs="Times New Roman" w:hAnsi="Times New Roman"/>
          <w:i/>
          <w:szCs w:val="24"/>
        </w:rPr>
        <w:t>E. coli</w:t>
      </w:r>
      <w:r>
        <w:rPr>
          <w:rFonts w:ascii="Times New Roman" w:cs="Times New Roman" w:hAnsi="Times New Roman"/>
          <w:szCs w:val="24"/>
        </w:rPr>
        <w:t xml:space="preserve"> in drinking water (WHO, 2019). Beyond drinking water, there are regulations for the protection of water bodies used for irrigation, industrial activities, and recreation. The National Water Resources Policy in Nigeria outlines strategies for sustainable water management, including the regulation of water pollution and the preservation of aquatic ecosystems. This policy focuses on reducing the contamination of water from various sources, including industrial effluents, agricultural runoff, and domestic waste (Cruz, and </w:t>
      </w:r>
      <w:r>
        <w:rPr>
          <w:rFonts w:ascii="Times New Roman" w:cs="Times New Roman" w:hAnsi="Times New Roman"/>
          <w:szCs w:val="24"/>
        </w:rPr>
        <w:t>Neuer</w:t>
      </w:r>
      <w:r>
        <w:rPr>
          <w:rFonts w:ascii="Times New Roman" w:cs="Times New Roman" w:hAnsi="Times New Roman"/>
          <w:szCs w:val="24"/>
        </w:rPr>
        <w:t>, 2019). The National Environmental Standards and Regulations Enforcement Agency (NESREA) plays a key role in enforcing these regulations, particularly by monitoring industries to ensure that their wastewater meets established discharge limits.</w:t>
      </w:r>
    </w:p>
    <w:p>
      <w:pPr>
        <w:pStyle w:val="style94"/>
        <w:spacing w:before="0" w:beforeAutospacing="false" w:after="0" w:afterAutospacing="false" w:lineRule="auto" w:line="480"/>
        <w:ind w:firstLine="720"/>
        <w:jc w:val="both"/>
        <w:rPr>
          <w:rFonts w:eastAsia="Arial"/>
          <w:color w:val="000000"/>
        </w:rPr>
      </w:pPr>
      <w:r>
        <w:rPr>
          <w:rFonts w:eastAsia="Arial"/>
          <w:color w:val="000000"/>
        </w:rPr>
        <w:t>Despite the presence of these standards, Nigeria faces significant challenges in water quality management. One of the primary issues is weak enforcement of regulations, with many industries continuing to discharge untreated wastewater into rivers and lakes, which pollutes the water and affects communities relying on these bodies for drinking and irrigation (</w:t>
      </w:r>
      <w:r>
        <w:rPr>
          <w:rFonts w:eastAsia="Arial"/>
          <w:color w:val="000000"/>
        </w:rPr>
        <w:t>Adewuyi</w:t>
      </w:r>
      <w:r>
        <w:rPr>
          <w:rFonts w:eastAsia="Arial"/>
          <w:color w:val="000000"/>
        </w:rPr>
        <w:t xml:space="preserve"> </w:t>
      </w:r>
      <w:r>
        <w:rPr>
          <w:rFonts w:eastAsia="Arial"/>
          <w:i/>
          <w:color w:val="000000"/>
        </w:rPr>
        <w:t>et al</w:t>
      </w:r>
      <w:r>
        <w:rPr>
          <w:rFonts w:eastAsia="Arial"/>
          <w:color w:val="000000"/>
        </w:rPr>
        <w:t>., 2022). The country also faces limitations in resources, both financial and technical, which hinder the regular monitoring and enforcement of water quality standards. Furthermore, pollution from agricultural activities, particularly the runoff of fertilizers and pesticides, contributes significantly to the degradation of water quality (</w:t>
      </w:r>
      <w:r>
        <w:rPr>
          <w:rFonts w:eastAsia="Arial"/>
          <w:color w:val="000000"/>
        </w:rPr>
        <w:t>Ogungbe</w:t>
      </w:r>
      <w:r>
        <w:rPr>
          <w:rFonts w:eastAsia="Arial"/>
          <w:color w:val="000000"/>
        </w:rPr>
        <w:t xml:space="preserve"> </w:t>
      </w:r>
      <w:r>
        <w:rPr>
          <w:rFonts w:eastAsia="Arial"/>
          <w:i/>
          <w:color w:val="000000"/>
        </w:rPr>
        <w:t>et al</w:t>
      </w:r>
      <w:r>
        <w:rPr>
          <w:rFonts w:eastAsia="Arial"/>
          <w:color w:val="000000"/>
        </w:rPr>
        <w:t>., 2022). In rural areas, poor sanitation and lack of access to clean water often lead to the contamination of drinking water sources, resulting in outbreaks of waterborne diseases such as cholera and typhoid fever (</w:t>
      </w:r>
      <w:r>
        <w:rPr>
          <w:rFonts w:eastAsia="Arial"/>
          <w:color w:val="000000"/>
        </w:rPr>
        <w:t>Adelakun</w:t>
      </w:r>
      <w:r>
        <w:rPr>
          <w:rFonts w:eastAsia="Arial"/>
          <w:color w:val="000000"/>
        </w:rPr>
        <w:t xml:space="preserve"> </w:t>
      </w:r>
      <w:r>
        <w:rPr>
          <w:rFonts w:eastAsia="Arial"/>
          <w:i/>
          <w:color w:val="000000"/>
        </w:rPr>
        <w:t>et al</w:t>
      </w:r>
      <w:r>
        <w:rPr>
          <w:rFonts w:eastAsia="Arial"/>
          <w:color w:val="000000"/>
        </w:rPr>
        <w:t>., 2021).</w:t>
      </w:r>
    </w:p>
    <w:p>
      <w:pPr>
        <w:pStyle w:val="style94"/>
        <w:spacing w:before="0" w:beforeAutospacing="false" w:after="0" w:afterAutospacing="false" w:lineRule="auto" w:line="480"/>
        <w:ind w:firstLine="720"/>
        <w:jc w:val="both"/>
        <w:rPr>
          <w:rFonts w:eastAsia="Arial"/>
          <w:color w:val="000000"/>
        </w:rPr>
      </w:pPr>
      <w:r>
        <w:rPr>
          <w:rFonts w:eastAsia="Arial"/>
          <w:color w:val="000000"/>
        </w:rPr>
        <w:t>In comparison to global standards, Nigeria’s water quality regulations are generally in line with international guidelines. However, the enforcement of these regulations is often inconsistent. In countries with advanced water management systems, regulatory agencies regularly monitor water quality, and there are strict penalties for non-compliance. In Nigeria, there is a need for stronger enforcement, better infrastructure, and increased public awareness about the importance of water quality (</w:t>
      </w:r>
      <w:r>
        <w:t>Ajisegiri</w:t>
      </w:r>
      <w:r>
        <w:t xml:space="preserve"> </w:t>
      </w:r>
      <w:r>
        <w:rPr>
          <w:i/>
        </w:rPr>
        <w:t>et al</w:t>
      </w:r>
      <w:r>
        <w:t>., 2019)</w:t>
      </w:r>
      <w:r>
        <w:rPr>
          <w:rFonts w:eastAsia="Arial"/>
          <w:color w:val="000000"/>
        </w:rPr>
        <w:t>. Investment in water treatment plants and wastewater management systems is also crucial to improve the overall water quality in the country. It is essential to strengthen water quality management in Nigeria by building the capacity of regulatory agencies, improving infrastructure for water treatment, and promoting public education about the importance of maintaining clean water sources. This would ensure safer water for all Nigerians and help mitigate the risks posed by water pollution to both health and the environment.</w:t>
      </w:r>
    </w:p>
    <w:bookmarkStart w:id="18" w:name="_Toc203101002"/>
    <w:p>
      <w:pPr>
        <w:pStyle w:val="style2"/>
        <w:spacing w:lineRule="auto" w:line="480"/>
        <w:rPr>
          <w:rFonts w:cs="Times New Roman"/>
        </w:rPr>
      </w:pPr>
      <w:r>
        <w:rPr>
          <w:rFonts w:cs="Times New Roman" w:eastAsia="Arial"/>
          <w:color w:val="000000"/>
        </w:rPr>
        <w:t>2.5</w:t>
      </w:r>
      <w:r>
        <w:rPr>
          <w:rFonts w:cs="Times New Roman" w:eastAsia="Arial"/>
          <w:color w:val="000000"/>
        </w:rPr>
        <w:tab/>
      </w:r>
      <w:r>
        <w:rPr>
          <w:rFonts w:cs="Times New Roman"/>
        </w:rPr>
        <w:t>Sachet Water Production in Nigeria</w:t>
      </w:r>
      <w:bookmarkEnd w:id="18"/>
    </w:p>
    <w:p>
      <w:pPr>
        <w:pStyle w:val="style94"/>
        <w:spacing w:before="0" w:beforeAutospacing="false" w:after="0" w:afterAutospacing="false" w:lineRule="auto" w:line="480"/>
        <w:jc w:val="both"/>
        <w:rPr>
          <w:rFonts w:eastAsia="Arial"/>
          <w:color w:val="000000"/>
        </w:rPr>
      </w:pPr>
      <w:r>
        <w:rPr>
          <w:rFonts w:eastAsia="Arial"/>
          <w:color w:val="000000"/>
        </w:rPr>
        <w:t>Water  in  sachets  is  readily  available  and  the  price  is affordable,  but  there  are  concerns about  its purity (</w:t>
      </w:r>
      <w:r>
        <w:rPr>
          <w:rFonts w:eastAsia="Arial"/>
          <w:color w:val="000000"/>
        </w:rPr>
        <w:t>Adekunle</w:t>
      </w:r>
      <w:r>
        <w:rPr>
          <w:rFonts w:eastAsia="Arial"/>
          <w:color w:val="000000"/>
        </w:rPr>
        <w:t xml:space="preserve"> </w:t>
      </w:r>
      <w:r>
        <w:rPr>
          <w:rFonts w:eastAsia="Arial"/>
          <w:i/>
          <w:color w:val="000000"/>
        </w:rPr>
        <w:t>et al</w:t>
      </w:r>
      <w:r>
        <w:rPr>
          <w:rFonts w:eastAsia="Arial"/>
          <w:color w:val="000000"/>
        </w:rPr>
        <w:t xml:space="preserve">., 2019).  The integrity  of  the  hygienic  environment  and  the  conditions where  the majority of  the water in sachets are produced has also  been  questioned. Dada also documented the increased microbial contamination of sachet water as it moved down the distribution line. Studies in Nigeria have documented claims of past outbreaks of water-borne illnesses resulting from the consumption of polluted sachet water, bacterial contamination with organisms such as </w:t>
      </w:r>
      <w:r>
        <w:rPr>
          <w:rFonts w:eastAsia="Arial"/>
          <w:i/>
          <w:color w:val="000000"/>
        </w:rPr>
        <w:t xml:space="preserve">bacillus </w:t>
      </w:r>
      <w:r>
        <w:rPr>
          <w:rFonts w:eastAsia="Arial"/>
          <w:i/>
          <w:color w:val="000000"/>
        </w:rPr>
        <w:t>sp</w:t>
      </w:r>
      <w:r>
        <w:rPr>
          <w:rFonts w:eastAsia="Arial"/>
          <w:i/>
          <w:color w:val="000000"/>
        </w:rPr>
        <w:t xml:space="preserve">, pseudomonas </w:t>
      </w:r>
      <w:r>
        <w:rPr>
          <w:rFonts w:eastAsia="Arial"/>
          <w:i/>
          <w:color w:val="000000"/>
        </w:rPr>
        <w:t>sp</w:t>
      </w:r>
      <w:r>
        <w:rPr>
          <w:rFonts w:eastAsia="Arial"/>
          <w:i/>
          <w:color w:val="000000"/>
        </w:rPr>
        <w:t xml:space="preserve">, </w:t>
      </w:r>
      <w:r>
        <w:rPr>
          <w:rFonts w:eastAsia="Arial"/>
          <w:i/>
          <w:color w:val="000000"/>
        </w:rPr>
        <w:t>klebsiella</w:t>
      </w:r>
      <w:r>
        <w:rPr>
          <w:rFonts w:eastAsia="Arial"/>
          <w:i/>
          <w:color w:val="000000"/>
        </w:rPr>
        <w:t xml:space="preserve"> </w:t>
      </w:r>
      <w:r>
        <w:rPr>
          <w:rFonts w:eastAsia="Arial"/>
          <w:i/>
          <w:color w:val="000000"/>
        </w:rPr>
        <w:t>sp</w:t>
      </w:r>
      <w:r>
        <w:rPr>
          <w:rFonts w:eastAsia="Arial"/>
          <w:i/>
          <w:color w:val="000000"/>
        </w:rPr>
        <w:t xml:space="preserve">, streptococcus </w:t>
      </w:r>
      <w:r>
        <w:rPr>
          <w:rFonts w:eastAsia="Arial"/>
          <w:i/>
          <w:color w:val="000000"/>
        </w:rPr>
        <w:t>sp</w:t>
      </w:r>
      <w:r>
        <w:rPr>
          <w:rFonts w:eastAsia="Arial"/>
          <w:i/>
          <w:color w:val="000000"/>
        </w:rPr>
        <w:t>,</w:t>
      </w:r>
      <w:r>
        <w:rPr>
          <w:rFonts w:eastAsia="Arial"/>
          <w:color w:val="000000"/>
        </w:rPr>
        <w:t xml:space="preserve"> alkalinity of the water and presence of chemicals such as </w:t>
      </w:r>
      <w:r>
        <w:rPr>
          <w:rFonts w:eastAsia="Arial"/>
          <w:color w:val="000000"/>
        </w:rPr>
        <w:t>aluminium</w:t>
      </w:r>
      <w:r>
        <w:rPr>
          <w:rFonts w:eastAsia="Arial"/>
          <w:color w:val="000000"/>
        </w:rPr>
        <w:t xml:space="preserve"> and fluoride above the recommended values (</w:t>
      </w:r>
      <w:r>
        <w:rPr>
          <w:rFonts w:eastAsia="Arial"/>
          <w:color w:val="000000"/>
        </w:rPr>
        <w:t>Akinbile</w:t>
      </w:r>
      <w:r>
        <w:rPr>
          <w:rFonts w:eastAsia="Arial"/>
          <w:color w:val="000000"/>
        </w:rPr>
        <w:t xml:space="preserve"> and </w:t>
      </w:r>
      <w:r>
        <w:rPr>
          <w:rFonts w:eastAsia="Arial"/>
          <w:color w:val="000000"/>
        </w:rPr>
        <w:t>Ojo</w:t>
      </w:r>
      <w:r>
        <w:rPr>
          <w:rFonts w:eastAsia="Arial"/>
          <w:color w:val="000000"/>
        </w:rPr>
        <w:t>, 2020). NAFDAC is mandated to enforce compliance with internationally defined drinking water guidelines, but the regulation of the packaged water industry aimed at good quality assurance has remained a challenge to the agency as it has in the past declared a possible 'gradual' nationwide ban on sachet waters to allow the manufacturers of sachet water to start winding down or change to bottle packaging though this is yet to be seen (</w:t>
      </w:r>
      <w:r>
        <w:rPr>
          <w:rFonts w:eastAsia="Arial"/>
          <w:color w:val="000000"/>
        </w:rPr>
        <w:t>Olayemi</w:t>
      </w:r>
      <w:r>
        <w:rPr>
          <w:rFonts w:eastAsia="Arial"/>
          <w:color w:val="000000"/>
        </w:rPr>
        <w:t xml:space="preserve"> </w:t>
      </w:r>
      <w:r>
        <w:rPr>
          <w:rFonts w:eastAsia="Arial"/>
          <w:i/>
          <w:color w:val="000000"/>
        </w:rPr>
        <w:t>et al</w:t>
      </w:r>
      <w:r>
        <w:rPr>
          <w:rFonts w:eastAsia="Arial"/>
          <w:color w:val="000000"/>
        </w:rPr>
        <w:t xml:space="preserve">., 2018). Observations in our immediate environment indicate a drastic increase in the population of sachet water consumers partly due to its affordability and the growing awareness of the consequences of the consumption of unsafe or untreated water. Also the industries that produce this commodity tend to be </w:t>
      </w:r>
      <w:r>
        <w:rPr>
          <w:rFonts w:eastAsia="Arial"/>
          <w:color w:val="000000"/>
        </w:rPr>
        <w:t>localised</w:t>
      </w:r>
      <w:r>
        <w:rPr>
          <w:rFonts w:eastAsia="Arial"/>
          <w:color w:val="000000"/>
        </w:rPr>
        <w:t xml:space="preserve"> to the consumer area. This study has therefore been conducted to add to the body of evidence regarding sachet water. While a lot of studies have been done to assess the physical, chemical as well as microbiological quality of sachet water in Nigeria, relatively fewer studies have looked at the view of the populace regarding sachet water. Notwithstanding, majority of experts have given personal views based on their research. An example of this is Dada  </w:t>
      </w:r>
      <w:r>
        <w:rPr>
          <w:rFonts w:eastAsia="Arial"/>
          <w:i/>
          <w:color w:val="000000"/>
        </w:rPr>
        <w:t>et al</w:t>
      </w:r>
      <w:r>
        <w:rPr>
          <w:rFonts w:eastAsia="Arial"/>
          <w:color w:val="000000"/>
        </w:rPr>
        <w:t xml:space="preserve">. (2020), who in their study advocated for increased use and acceptance of the sachet water phenomenon and warned against labelling it as unfit for drinking by organizations responsible for maintaining standards for quality drinking water (NAFDAC, WHO) in Nigeria, citing 12 several pertinent reasons. He argued that the public perception of safety in </w:t>
      </w:r>
      <w:r>
        <w:rPr>
          <w:rFonts w:eastAsia="Arial"/>
          <w:color w:val="000000"/>
        </w:rPr>
        <w:t>favour</w:t>
      </w:r>
      <w:r>
        <w:rPr>
          <w:rFonts w:eastAsia="Arial"/>
          <w:color w:val="000000"/>
        </w:rPr>
        <w:t xml:space="preserve"> of packaged water in Nigeria stems out partly from the inadequate attempts of previous governments to provide potable piped water. The second contributing factor to this perception, he argued, is the prevalent doubt on the quality of 'piped water' supplied at a reasonable charge by many informal vendors (called </w:t>
      </w:r>
      <w:r>
        <w:rPr>
          <w:rFonts w:eastAsia="Arial"/>
          <w:color w:val="000000"/>
        </w:rPr>
        <w:t>mai'ruwa</w:t>
      </w:r>
      <w:r>
        <w:rPr>
          <w:rFonts w:eastAsia="Arial"/>
          <w:color w:val="000000"/>
        </w:rPr>
        <w:t>) at the community level; its use being restricted for domestic purposes alone- washing, bathing and cleaning. The sachet water, costing 5 naira to 10 naira (one bag containing 20 sachets each of 150 ml volume), is thus often relied upon for drinking purposes. Although more expensive than the vended public water supplied for domestic uses sourced from upgraded wells of informal vendors at the community level, a public perception of safety prevails – “at least it must have gone through one form of treatment or the other, even if it were gotten from questionable sources” (</w:t>
      </w:r>
      <w:r>
        <w:t>Ogunjobi</w:t>
      </w:r>
      <w:r>
        <w:t xml:space="preserve"> and </w:t>
      </w:r>
      <w:r>
        <w:t>Ayodele</w:t>
      </w:r>
      <w:r>
        <w:t>, 2020)</w:t>
      </w:r>
      <w:r>
        <w:rPr>
          <w:rFonts w:eastAsia="Arial"/>
          <w:color w:val="000000"/>
        </w:rPr>
        <w:t>.</w:t>
      </w:r>
    </w:p>
    <w:bookmarkStart w:id="19" w:name="_Toc203101003"/>
    <w:p>
      <w:pPr>
        <w:pStyle w:val="style2"/>
        <w:spacing w:lineRule="auto" w:line="480"/>
        <w:rPr>
          <w:rFonts w:cs="Times New Roman"/>
        </w:rPr>
      </w:pPr>
      <w:r>
        <w:rPr>
          <w:rFonts w:cs="Times New Roman" w:eastAsia="Arial"/>
          <w:color w:val="000000"/>
        </w:rPr>
        <w:t>2.6</w:t>
      </w:r>
      <w:r>
        <w:rPr>
          <w:rFonts w:cs="Times New Roman" w:eastAsia="Arial"/>
          <w:color w:val="000000"/>
        </w:rPr>
        <w:tab/>
      </w:r>
      <w:r>
        <w:rPr>
          <w:rFonts w:cs="Times New Roman"/>
        </w:rPr>
        <w:t>Antibacterial Analysis Methods</w:t>
      </w:r>
      <w:bookmarkEnd w:id="19"/>
    </w:p>
    <w:p>
      <w:pPr>
        <w:pStyle w:val="style94"/>
        <w:spacing w:before="0" w:beforeAutospacing="false" w:after="0" w:afterAutospacing="false" w:lineRule="auto" w:line="480"/>
        <w:jc w:val="both"/>
        <w:rPr/>
      </w:pPr>
      <w:r>
        <w:t xml:space="preserve">Antibacterial analysis refers to the process of testing substances, such as water, to evaluate their ability to inhibit or kill bacteria. This is important because bacteria can cause infections and diseases, and understanding their presence or absence in water helps ensure that it is safe for human consumption. Water can be contaminated with various harmful bacteria that can lead to waterborne diseases, making it essential to test its antibacterial properties to maintain public health (Abdel-Rahman </w:t>
      </w:r>
      <w:r>
        <w:rPr>
          <w:i/>
        </w:rPr>
        <w:t>et al</w:t>
      </w:r>
      <w:r>
        <w:t xml:space="preserve">., 2018). There are several methods used for antibacterial analysis, ranging from traditional microbiological techniques to modern molecular approaches. These methods help detect, identify, and measure bacterial contamination in water samples (Adams </w:t>
      </w:r>
      <w:r>
        <w:rPr>
          <w:i/>
        </w:rPr>
        <w:t>et al</w:t>
      </w:r>
      <w:r>
        <w:t>., 2019).</w:t>
      </w:r>
    </w:p>
    <w:bookmarkStart w:id="20" w:name="_Toc203101004"/>
    <w:p>
      <w:pPr>
        <w:pStyle w:val="style3"/>
        <w:spacing w:lineRule="auto" w:line="480"/>
        <w:rPr>
          <w:rFonts w:cs="Times New Roman"/>
        </w:rPr>
      </w:pPr>
      <w:r>
        <w:rPr>
          <w:rFonts w:cs="Times New Roman"/>
        </w:rPr>
        <w:t>2.6.1</w:t>
      </w:r>
      <w:r>
        <w:rPr>
          <w:rFonts w:cs="Times New Roman"/>
        </w:rPr>
        <w:tab/>
      </w:r>
      <w:r>
        <w:rPr>
          <w:rFonts w:cs="Times New Roman"/>
        </w:rPr>
        <w:t>Culture-Based Methods</w:t>
      </w:r>
      <w:bookmarkEnd w:id="20"/>
    </w:p>
    <w:p>
      <w:pPr>
        <w:pStyle w:val="style94"/>
        <w:spacing w:before="0" w:beforeAutospacing="false" w:after="0" w:afterAutospacing="false" w:lineRule="auto" w:line="480"/>
        <w:jc w:val="both"/>
        <w:rPr/>
      </w:pPr>
      <w:r>
        <w:t xml:space="preserve">Traditional culture-based methods, such as the pour plate method and spread plate method, are widely employed. These involve growing bacteria from a water sample on agar plates and counting the resulting colonies. The membrane filtration method, on the other hand, filters water through a membrane to trap bacteria, which are then cultured on an agar plate (Venter </w:t>
      </w:r>
      <w:r>
        <w:rPr>
          <w:i/>
        </w:rPr>
        <w:t>et al</w:t>
      </w:r>
      <w:r>
        <w:t>., 2019). These methods are effective for identifying bacterial species and estimating contamination levels.</w:t>
      </w:r>
    </w:p>
    <w:bookmarkStart w:id="21" w:name="_Toc203101005"/>
    <w:p>
      <w:pPr>
        <w:pStyle w:val="style3"/>
        <w:spacing w:lineRule="auto" w:line="480"/>
        <w:rPr>
          <w:rFonts w:cs="Times New Roman"/>
        </w:rPr>
      </w:pPr>
      <w:r>
        <w:rPr>
          <w:rFonts w:cs="Times New Roman"/>
        </w:rPr>
        <w:t>2.6.2</w:t>
      </w:r>
      <w:r>
        <w:rPr>
          <w:rFonts w:cs="Times New Roman"/>
        </w:rPr>
        <w:tab/>
      </w:r>
      <w:r>
        <w:rPr>
          <w:rFonts w:cs="Times New Roman"/>
        </w:rPr>
        <w:t>Antibacterial Activity Testing</w:t>
      </w:r>
      <w:bookmarkEnd w:id="21"/>
    </w:p>
    <w:p>
      <w:pPr>
        <w:pStyle w:val="style94"/>
        <w:spacing w:before="0" w:beforeAutospacing="false" w:after="0" w:afterAutospacing="false" w:lineRule="auto" w:line="480"/>
        <w:jc w:val="both"/>
        <w:rPr/>
      </w:pPr>
      <w:r>
        <w:t>In addition to identifying bacteria, antibacterial activity testing evaluates substances' ability to prevent bacterial growth. The disk diffusion method involves placing an antibacterial agent on a bacterial culture, where a clear zone of inhibition indicates its effectiveness. The broth dilution method measures the minimum concentration of an antibacterial agent needed to inhibit bacterial growth, offering insight into its potency (Myles and Hope, 2019).</w:t>
      </w:r>
    </w:p>
    <w:bookmarkStart w:id="22" w:name="_Toc203101006"/>
    <w:p>
      <w:pPr>
        <w:pStyle w:val="style3"/>
        <w:spacing w:lineRule="auto" w:line="480"/>
        <w:rPr>
          <w:rFonts w:cs="Times New Roman"/>
        </w:rPr>
      </w:pPr>
      <w:r>
        <w:rPr>
          <w:rFonts w:cs="Times New Roman"/>
        </w:rPr>
        <w:t>2.6.3</w:t>
      </w:r>
      <w:r>
        <w:rPr>
          <w:rFonts w:cs="Times New Roman"/>
        </w:rPr>
        <w:tab/>
      </w:r>
      <w:r>
        <w:rPr>
          <w:rFonts w:cs="Times New Roman"/>
        </w:rPr>
        <w:t>Molecular Methods</w:t>
      </w:r>
      <w:bookmarkEnd w:id="22"/>
    </w:p>
    <w:p>
      <w:pPr>
        <w:pStyle w:val="style94"/>
        <w:spacing w:before="0" w:beforeAutospacing="false" w:after="0" w:afterAutospacing="false" w:lineRule="auto" w:line="480"/>
        <w:jc w:val="both"/>
        <w:rPr/>
      </w:pPr>
      <w:r>
        <w:t>Molecular techniques, such as polymerase chain reaction (PCR), allow for more sensitive and rapid detection of bacterial DNA, even in low concentrations. Real-time PCR (qPCR) further enhances this capability by providing real-time quantification of bacterial contamination, making it especially valuable for assessing waterborne pathogens. Next-generation sequencing (NGS) offers a comprehensive approach by sequencing the entire microbial community in water, identifying multiple bacterial species, including those that traditional methods may miss (Edberg and Parker, 2020).</w:t>
      </w:r>
    </w:p>
    <w:p>
      <w:pPr>
        <w:pStyle w:val="style0"/>
        <w:rPr>
          <w:rFonts w:ascii="Times New Roman" w:cs="Times New Roman" w:hAnsi="Times New Roman"/>
        </w:rPr>
      </w:pPr>
    </w:p>
    <w:p>
      <w:pPr>
        <w:pStyle w:val="style0"/>
        <w:tabs>
          <w:tab w:val="left" w:leader="none" w:pos="8205"/>
        </w:tabs>
        <w:spacing w:after="0" w:lineRule="auto" w:line="480"/>
        <w:jc w:val="left"/>
        <w:rPr>
          <w:rFonts w:ascii="Times New Roman" w:cs="Times New Roman" w:hAnsi="Times New Roman"/>
          <w:szCs w:val="24"/>
        </w:rPr>
      </w:pPr>
    </w:p>
    <w:p>
      <w:pPr>
        <w:pStyle w:val="style0"/>
        <w:rPr>
          <w:rFonts w:ascii="Times New Roman" w:cs="Times New Roman" w:hAnsi="Times New Roman"/>
        </w:rPr>
      </w:pPr>
    </w:p>
    <w:bookmarkStart w:id="23" w:name="_Toc203101007"/>
    <w:p>
      <w:pPr>
        <w:pStyle w:val="style1"/>
        <w:spacing w:lineRule="auto" w:line="480"/>
        <w:jc w:val="center"/>
        <w:rPr>
          <w:rFonts w:cs="Times New Roman" w:eastAsia="Arial"/>
        </w:rPr>
      </w:pPr>
      <w:r>
        <w:rPr>
          <w:rFonts w:cs="Times New Roman" w:eastAsia="Arial"/>
        </w:rPr>
        <w:t>CHAPTER THREE</w:t>
      </w:r>
      <w:bookmarkEnd w:id="23"/>
    </w:p>
    <w:bookmarkStart w:id="24" w:name="_Toc203101008"/>
    <w:p>
      <w:pPr>
        <w:pStyle w:val="style1"/>
        <w:spacing w:lineRule="auto" w:line="480"/>
        <w:jc w:val="center"/>
        <w:rPr>
          <w:rFonts w:cs="Times New Roman" w:eastAsia="Arial"/>
        </w:rPr>
      </w:pPr>
      <w:r>
        <w:rPr>
          <w:rFonts w:cs="Times New Roman" w:eastAsia="Arial"/>
        </w:rPr>
        <w:t>MATERIALS AND METHODS</w:t>
      </w:r>
      <w:bookmarkEnd w:id="24"/>
    </w:p>
    <w:bookmarkStart w:id="25" w:name="_Toc203101009"/>
    <w:p>
      <w:pPr>
        <w:pStyle w:val="style2"/>
        <w:spacing w:lineRule="auto" w:line="480"/>
        <w:rPr>
          <w:rFonts w:cs="Times New Roman" w:eastAsia="Arial"/>
        </w:rPr>
      </w:pPr>
      <w:r>
        <w:rPr>
          <w:rFonts w:cs="Times New Roman" w:eastAsia="Arial"/>
        </w:rPr>
        <w:t>3.1</w:t>
      </w:r>
      <w:r>
        <w:rPr>
          <w:rFonts w:cs="Times New Roman" w:eastAsia="Arial"/>
        </w:rPr>
        <w:tab/>
      </w:r>
      <w:r>
        <w:rPr>
          <w:rFonts w:cs="Times New Roman" w:eastAsia="Arial"/>
        </w:rPr>
        <w:t>Description of the Sample Site</w:t>
      </w:r>
      <w:bookmarkEnd w:id="25"/>
      <w:r>
        <w:rPr>
          <w:rFonts w:cs="Times New Roman" w:eastAsia="Arial"/>
        </w:rPr>
        <w:t xml:space="preserve"> </w:t>
      </w:r>
    </w:p>
    <w:p>
      <w:pPr>
        <w:pStyle w:val="style94"/>
        <w:spacing w:before="0" w:beforeAutospacing="false" w:after="0" w:afterAutospacing="false" w:lineRule="auto" w:line="480"/>
        <w:jc w:val="both"/>
        <w:rPr/>
      </w:pPr>
      <w:r>
        <w:rPr>
          <w:rFonts w:eastAsia="Arial"/>
          <w:color w:val="000000"/>
          <w:szCs w:val="22"/>
        </w:rPr>
        <w:t>The study was conducted in Ilorin, the capital city of Kwara State, Nigeria. Ilorin is located in the north-central region of Nigeria and serves as an important cultural, economic, and administrative center in the region (</w:t>
      </w:r>
      <w:r>
        <w:t>Abdulraheeem</w:t>
      </w:r>
      <w:r>
        <w:t xml:space="preserve"> </w:t>
      </w:r>
      <w:r>
        <w:rPr>
          <w:i/>
        </w:rPr>
        <w:t>et al.,</w:t>
      </w:r>
      <w:r>
        <w:t xml:space="preserve"> 2022)</w:t>
      </w:r>
      <w:r>
        <w:rPr>
          <w:rFonts w:eastAsia="Arial"/>
          <w:color w:val="000000"/>
          <w:szCs w:val="22"/>
        </w:rPr>
        <w:t>. The city is situated approximately 300 kilometers northwest of Abuja, the nation's capital. Ilorin has a diverse population, with a mix of urban and rural settlements. It is home to various industries, educational institutions, and a growing population, all of which contribute to the demand for water from various sources. The city experiences a tropical climate with distinct wet and dry seasons, influencing the availability and quality of water throughout the year.</w:t>
      </w:r>
      <w:r>
        <w:t xml:space="preserve"> The sachet water samples were collected from sachet water production companies located around Kwara State Polytechnic, Ilorin, Kwara State. This area was chosen due to its proximity to various sachet water brands and its representation of water commonly consumed within the polytechnic community and surrounding neighborhoods.</w:t>
      </w:r>
    </w:p>
    <w:bookmarkStart w:id="26" w:name="_Toc203101010"/>
    <w:p>
      <w:pPr>
        <w:pStyle w:val="style2"/>
        <w:spacing w:lineRule="auto" w:line="480"/>
        <w:rPr>
          <w:rFonts w:cs="Times New Roman"/>
        </w:rPr>
      </w:pPr>
      <w:r>
        <w:rPr>
          <w:rFonts w:cs="Times New Roman"/>
        </w:rPr>
        <w:t>3.2</w:t>
      </w:r>
      <w:r>
        <w:rPr>
          <w:rFonts w:cs="Times New Roman"/>
        </w:rPr>
        <w:tab/>
      </w:r>
      <w:r>
        <w:rPr>
          <w:rFonts w:cs="Times New Roman"/>
        </w:rPr>
        <w:t>Sample Collection</w:t>
      </w:r>
      <w:bookmarkEnd w:id="26"/>
    </w:p>
    <w:p>
      <w:pPr>
        <w:pStyle w:val="style94"/>
        <w:spacing w:before="0" w:beforeAutospacing="false" w:after="0" w:afterAutospacing="false" w:lineRule="auto" w:line="480"/>
        <w:jc w:val="both"/>
        <w:rPr/>
      </w:pPr>
      <w:r>
        <w:t xml:space="preserve">Sachet water samples were collected from four different production companies within the vicinity of Kwara State Polytechnic, Ilorin. The selected brands included AW, BW , KW , VW and YW  . Each sample  were obtained directly from the production sites to ensure authenticity and to minimize the risk of external contamination. The samples were stored adequately and transported to Microbiology laboratory of  </w:t>
      </w:r>
      <w:r>
        <w:t>kwara</w:t>
      </w:r>
      <w:r>
        <w:t xml:space="preserve"> state polytechnic for analysis within 24 hours of collection.</w:t>
      </w:r>
    </w:p>
    <w:bookmarkStart w:id="27" w:name="_Toc203101011"/>
    <w:p>
      <w:pPr>
        <w:pStyle w:val="style3"/>
        <w:spacing w:lineRule="auto" w:line="480"/>
        <w:rPr>
          <w:rFonts w:cs="Times New Roman"/>
        </w:rPr>
      </w:pPr>
      <w:r>
        <w:rPr>
          <w:rFonts w:cs="Times New Roman"/>
        </w:rPr>
        <w:t>3.2.1</w:t>
      </w:r>
      <w:r>
        <w:rPr>
          <w:rFonts w:cs="Times New Roman"/>
        </w:rPr>
        <w:tab/>
      </w:r>
      <w:r>
        <w:rPr>
          <w:rFonts w:cs="Times New Roman"/>
        </w:rPr>
        <w:t>Sampling procedure and Preservation</w:t>
      </w:r>
      <w:bookmarkEnd w:id="27"/>
    </w:p>
    <w:p>
      <w:pPr>
        <w:pStyle w:val="style0"/>
        <w:spacing w:after="0" w:lineRule="auto" w:line="480"/>
        <w:ind w:left="0" w:firstLine="0"/>
        <w:rPr>
          <w:rFonts w:ascii="Times New Roman" w:cs="Times New Roman" w:hAnsi="Times New Roman"/>
        </w:rPr>
      </w:pPr>
      <w:r>
        <w:rPr>
          <w:rFonts w:ascii="Times New Roman" w:cs="Times New Roman" w:hAnsi="Times New Roman"/>
        </w:rPr>
        <w:t>Each sample was collected in its original packaging, ensuring that the sachets were intact and free from visible damage. To prevent contamination during transportation, the samples were placed in sterile, insulated containers with ice packs to maintain a temperature of 4°C. This method helped preserve the integrity of the water and prevent microbial growth. All samples were transported to the laboratory and analyzed within 24 hours to ensure accurate and reliable results.</w:t>
      </w:r>
    </w:p>
    <w:bookmarkStart w:id="28" w:name="_Toc203101012"/>
    <w:p>
      <w:pPr>
        <w:pStyle w:val="style2"/>
        <w:spacing w:lineRule="auto" w:line="480"/>
        <w:rPr>
          <w:rFonts w:cs="Times New Roman"/>
        </w:rPr>
      </w:pPr>
      <w:r>
        <w:rPr>
          <w:rFonts w:cs="Times New Roman"/>
        </w:rPr>
        <w:t>3.3</w:t>
      </w:r>
      <w:r>
        <w:rPr>
          <w:rFonts w:cs="Times New Roman"/>
        </w:rPr>
        <w:tab/>
      </w:r>
      <w:r>
        <w:rPr>
          <w:rFonts w:cs="Times New Roman"/>
        </w:rPr>
        <w:t>Physicochemical analysis</w:t>
      </w:r>
      <w:bookmarkEnd w:id="28"/>
    </w:p>
    <w:bookmarkStart w:id="29" w:name="_Toc203101013"/>
    <w:p>
      <w:pPr>
        <w:pStyle w:val="style3"/>
        <w:spacing w:lineRule="auto" w:line="480"/>
        <w:rPr>
          <w:rFonts w:cs="Times New Roman"/>
        </w:rPr>
      </w:pPr>
      <w:r>
        <w:rPr>
          <w:rFonts w:cs="Times New Roman"/>
        </w:rPr>
        <w:t>3.3.1</w:t>
      </w:r>
      <w:r>
        <w:rPr>
          <w:rFonts w:cs="Times New Roman"/>
        </w:rPr>
        <w:tab/>
      </w:r>
      <w:r>
        <w:rPr>
          <w:rFonts w:cs="Times New Roman"/>
        </w:rPr>
        <w:t>pH</w:t>
      </w:r>
      <w:bookmarkEnd w:id="29"/>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pH of the water samples were measured using a calibrated digital pH meter. The electrode was immersed in the water sample, and the pH reading was recorded (Goldoni </w:t>
      </w:r>
      <w:r>
        <w:rPr>
          <w:rFonts w:ascii="Times New Roman" w:cs="Times New Roman" w:hAnsi="Times New Roman"/>
          <w:i/>
        </w:rPr>
        <w:t>et al</w:t>
      </w:r>
      <w:r>
        <w:rPr>
          <w:rFonts w:ascii="Times New Roman" w:cs="Times New Roman" w:hAnsi="Times New Roman"/>
        </w:rPr>
        <w:t xml:space="preserve">., 2023). The pH range shows an indication of the acidity or alkalinity of the water, which is critical for determining its safety for consumption. According to the World Health Organization (WHO) guidelines, the acceptable pH range for drinking water is between 6.5 and 8.5 (WHO, 2023) </w:t>
      </w:r>
    </w:p>
    <w:bookmarkStart w:id="30" w:name="_Toc203101014"/>
    <w:p>
      <w:pPr>
        <w:pStyle w:val="style3"/>
        <w:spacing w:lineRule="auto" w:line="480"/>
        <w:rPr>
          <w:rFonts w:cs="Times New Roman"/>
        </w:rPr>
      </w:pPr>
      <w:r>
        <w:rPr>
          <w:rFonts w:cs="Times New Roman"/>
        </w:rPr>
        <w:t>3.3.2</w:t>
      </w:r>
      <w:r>
        <w:rPr>
          <w:rFonts w:cs="Times New Roman"/>
        </w:rPr>
        <w:tab/>
      </w:r>
      <w:r>
        <w:rPr>
          <w:rFonts w:cs="Times New Roman"/>
        </w:rPr>
        <w:t>Temperature measurement</w:t>
      </w:r>
      <w:bookmarkEnd w:id="30"/>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temperature was measured in-situ for the water samples using a mercury thermometer (Deutsch </w:t>
      </w:r>
      <w:r>
        <w:rPr>
          <w:rFonts w:ascii="Times New Roman" w:cs="Times New Roman" w:hAnsi="Times New Roman"/>
          <w:i/>
        </w:rPr>
        <w:t>et al</w:t>
      </w:r>
      <w:r>
        <w:rPr>
          <w:rFonts w:ascii="Times New Roman" w:cs="Times New Roman" w:hAnsi="Times New Roman"/>
        </w:rPr>
        <w:t>., 2019). The thermometer was dipped into the water sample, and the temperature was noted and recorded in degrees Celsius (°C).</w:t>
      </w:r>
    </w:p>
    <w:bookmarkStart w:id="31" w:name="_Toc203101015"/>
    <w:p>
      <w:pPr>
        <w:pStyle w:val="style3"/>
        <w:spacing w:lineRule="auto" w:line="480"/>
        <w:rPr>
          <w:rFonts w:cs="Times New Roman"/>
        </w:rPr>
      </w:pPr>
      <w:r>
        <w:rPr>
          <w:rFonts w:cs="Times New Roman"/>
        </w:rPr>
        <w:t>3.3.3</w:t>
      </w:r>
      <w:r>
        <w:rPr>
          <w:rFonts w:cs="Times New Roman"/>
        </w:rPr>
        <w:tab/>
      </w:r>
      <w:r>
        <w:rPr>
          <w:rFonts w:cs="Times New Roman"/>
        </w:rPr>
        <w:t>Turbidity Measurement</w:t>
      </w:r>
      <w:bookmarkEnd w:id="31"/>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The turbidity was determined using a turbidity meter (</w:t>
      </w:r>
      <w:r>
        <w:rPr>
          <w:rFonts w:ascii="Times New Roman" w:cs="Times New Roman" w:hAnsi="Times New Roman"/>
        </w:rPr>
        <w:t xml:space="preserve">Kim </w:t>
      </w:r>
      <w:r>
        <w:rPr>
          <w:rFonts w:ascii="Times New Roman" w:cs="Times New Roman" w:hAnsi="Times New Roman"/>
          <w:i/>
        </w:rPr>
        <w:t>et al</w:t>
      </w:r>
      <w:r>
        <w:rPr>
          <w:rFonts w:ascii="Times New Roman" w:cs="Times New Roman" w:hAnsi="Times New Roman"/>
        </w:rPr>
        <w:t>., 2020)</w:t>
      </w:r>
      <w:r>
        <w:rPr>
          <w:rFonts w:ascii="Times New Roman" w:cs="Times New Roman" w:eastAsia="Times New Roman" w:hAnsi="Times New Roman"/>
          <w:color w:val="auto"/>
          <w:szCs w:val="24"/>
        </w:rPr>
        <w:t xml:space="preserve">. Water samples were placed in a cuvette, and turbidity was recorded in </w:t>
      </w:r>
      <w:r>
        <w:rPr>
          <w:rFonts w:ascii="Times New Roman" w:cs="Times New Roman" w:eastAsia="Times New Roman" w:hAnsi="Times New Roman"/>
          <w:color w:val="auto"/>
          <w:szCs w:val="24"/>
        </w:rPr>
        <w:t>nephelometric</w:t>
      </w:r>
      <w:r>
        <w:rPr>
          <w:rFonts w:ascii="Times New Roman" w:cs="Times New Roman" w:eastAsia="Times New Roman" w:hAnsi="Times New Roman"/>
          <w:color w:val="auto"/>
          <w:szCs w:val="24"/>
        </w:rPr>
        <w:t xml:space="preserve"> turbidity units (NTU).</w:t>
      </w:r>
    </w:p>
    <w:bookmarkStart w:id="32" w:name="_Toc203101016"/>
    <w:p>
      <w:pPr>
        <w:pStyle w:val="style3"/>
        <w:spacing w:lineRule="auto" w:line="480"/>
        <w:rPr>
          <w:rFonts w:cs="Times New Roman" w:eastAsia="Arial"/>
          <w:bCs/>
        </w:rPr>
      </w:pPr>
      <w:r>
        <w:rPr>
          <w:rFonts w:cs="Times New Roman" w:eastAsia="Arial"/>
        </w:rPr>
        <w:t>3.3.4</w:t>
      </w:r>
      <w:r>
        <w:rPr>
          <w:rFonts w:cs="Times New Roman" w:eastAsia="Arial"/>
        </w:rPr>
        <w:tab/>
      </w:r>
      <w:r>
        <w:rPr>
          <w:rFonts w:cs="Times New Roman" w:eastAsia="Arial"/>
        </w:rPr>
        <w:t>Electrical Conductivity (EC) Measurement</w:t>
      </w:r>
      <w:bookmarkEnd w:id="32"/>
    </w:p>
    <w:p>
      <w:pPr>
        <w:pStyle w:val="style0"/>
        <w:spacing w:after="0" w:lineRule="auto" w:line="480"/>
        <w:rPr>
          <w:rFonts w:ascii="Times New Roman" w:cs="Times New Roman" w:hAnsi="Times New Roman"/>
        </w:rPr>
      </w:pPr>
      <w:r>
        <w:rPr>
          <w:rFonts w:ascii="Times New Roman" w:cs="Times New Roman" w:hAnsi="Times New Roman"/>
        </w:rPr>
        <w:t xml:space="preserve">The EC was measured using a conductivity meter (Pei </w:t>
      </w:r>
      <w:r>
        <w:rPr>
          <w:rFonts w:ascii="Times New Roman" w:cs="Times New Roman" w:hAnsi="Times New Roman"/>
          <w:i/>
        </w:rPr>
        <w:t>et al</w:t>
      </w:r>
      <w:r>
        <w:rPr>
          <w:rFonts w:ascii="Times New Roman" w:cs="Times New Roman" w:hAnsi="Times New Roman"/>
        </w:rPr>
        <w:t xml:space="preserve">., 2019). The probe was rinsed with distilled water and immersed in the water sample, and the EC value was recorded in </w:t>
      </w:r>
      <w:r>
        <w:rPr>
          <w:rFonts w:ascii="Times New Roman" w:cs="Times New Roman" w:hAnsi="Times New Roman"/>
        </w:rPr>
        <w:t>microsiemens</w:t>
      </w:r>
      <w:r>
        <w:rPr>
          <w:rFonts w:ascii="Times New Roman" w:cs="Times New Roman" w:hAnsi="Times New Roman"/>
        </w:rPr>
        <w:t xml:space="preserve"> per centimeter (µS/cm).</w:t>
      </w:r>
    </w:p>
    <w:bookmarkStart w:id="33" w:name="_Toc203101017"/>
    <w:p>
      <w:pPr>
        <w:pStyle w:val="style3"/>
        <w:spacing w:lineRule="auto" w:line="480"/>
        <w:rPr>
          <w:rFonts w:cs="Times New Roman"/>
          <w:b w:val="false"/>
        </w:rPr>
      </w:pPr>
      <w:r>
        <w:rPr>
          <w:rStyle w:val="style87"/>
          <w:rFonts w:cs="Times New Roman"/>
          <w:b/>
        </w:rPr>
        <w:t xml:space="preserve">3.3.5 </w:t>
      </w:r>
      <w:r>
        <w:rPr>
          <w:rStyle w:val="style87"/>
          <w:rFonts w:cs="Times New Roman"/>
          <w:b/>
        </w:rPr>
        <w:tab/>
      </w:r>
      <w:r>
        <w:rPr>
          <w:rStyle w:val="style87"/>
          <w:rFonts w:cs="Times New Roman"/>
          <w:b/>
        </w:rPr>
        <w:t>Total Dissolved Solids (TDS)</w:t>
      </w:r>
      <w:bookmarkEnd w:id="33"/>
    </w:p>
    <w:p>
      <w:pPr>
        <w:pStyle w:val="style94"/>
        <w:spacing w:before="0" w:beforeAutospacing="false" w:after="0" w:afterAutospacing="false" w:lineRule="auto" w:line="480"/>
        <w:jc w:val="both"/>
        <w:rPr/>
      </w:pPr>
      <w:r>
        <w:t xml:space="preserve">The total dissolved solids (TDS) in the water samples were determined using a TDS meter (Johnson et al., 2021). The meter probe was inserted into the water sample, and the TDS value was recorded in milligrams per liter (mg/L) (Kim </w:t>
      </w:r>
      <w:r>
        <w:rPr>
          <w:i/>
        </w:rPr>
        <w:t>et al</w:t>
      </w:r>
      <w:r>
        <w:t xml:space="preserve">., 2020). </w:t>
      </w:r>
    </w:p>
    <w:bookmarkStart w:id="34" w:name="_Toc203101018"/>
    <w:p>
      <w:pPr>
        <w:pStyle w:val="style3"/>
        <w:spacing w:lineRule="auto" w:line="480"/>
        <w:rPr>
          <w:rFonts w:cs="Times New Roman"/>
          <w:b w:val="false"/>
        </w:rPr>
      </w:pPr>
      <w:r>
        <w:rPr>
          <w:rStyle w:val="style87"/>
          <w:rFonts w:cs="Times New Roman"/>
          <w:b/>
        </w:rPr>
        <w:t>3.3.6</w:t>
      </w:r>
      <w:r>
        <w:rPr>
          <w:rStyle w:val="style87"/>
          <w:rFonts w:cs="Times New Roman"/>
          <w:b/>
        </w:rPr>
        <w:tab/>
      </w:r>
      <w:r>
        <w:rPr>
          <w:rStyle w:val="style87"/>
          <w:rFonts w:cs="Times New Roman"/>
          <w:b/>
        </w:rPr>
        <w:t>Dissolved Oxygen (DO)</w:t>
      </w:r>
      <w:bookmarkEnd w:id="34"/>
    </w:p>
    <w:p>
      <w:pPr>
        <w:pStyle w:val="style94"/>
        <w:spacing w:before="0" w:beforeAutospacing="false" w:after="0" w:afterAutospacing="false" w:lineRule="auto" w:line="480"/>
        <w:jc w:val="both"/>
        <w:rPr/>
      </w:pPr>
      <w:r>
        <w:t xml:space="preserve">The dissolved oxygen (DO) levels in the water samples were measured using a DO meter (Alvarez et al., 2022). The sensor was immersed in the water sample, and the DO concentration was recorded in milligrams per liter (mg/L). </w:t>
      </w:r>
    </w:p>
    <w:bookmarkStart w:id="35" w:name="_Toc203101019"/>
    <w:p>
      <w:pPr>
        <w:pStyle w:val="style3"/>
        <w:spacing w:lineRule="auto" w:line="480"/>
        <w:rPr>
          <w:rFonts w:cs="Times New Roman"/>
          <w:b w:val="false"/>
        </w:rPr>
      </w:pPr>
      <w:r>
        <w:rPr>
          <w:rStyle w:val="style87"/>
          <w:rFonts w:cs="Times New Roman"/>
          <w:b/>
        </w:rPr>
        <w:t>3.3.7</w:t>
      </w:r>
      <w:r>
        <w:rPr>
          <w:rStyle w:val="style87"/>
          <w:rFonts w:cs="Times New Roman"/>
          <w:b/>
        </w:rPr>
        <w:tab/>
      </w:r>
      <w:r>
        <w:rPr>
          <w:rStyle w:val="style87"/>
          <w:rFonts w:cs="Times New Roman"/>
          <w:b/>
        </w:rPr>
        <w:t>Total Hardness</w:t>
      </w:r>
      <w:bookmarkEnd w:id="35"/>
    </w:p>
    <w:p>
      <w:pPr>
        <w:pStyle w:val="style94"/>
        <w:spacing w:before="0" w:beforeAutospacing="false" w:after="0" w:afterAutospacing="false" w:lineRule="auto" w:line="480"/>
        <w:jc w:val="both"/>
        <w:rPr>
          <w:rStyle w:val="style87"/>
          <w:b w:val="false"/>
          <w:bCs w:val="false"/>
        </w:rPr>
      </w:pPr>
      <w:r>
        <w:t xml:space="preserve">Total hardness was measured using the EDTA titration method (Collins et al., 2020). A known volume of the water sample was titrated with EDTA solution in the presence of an indicator (Pei </w:t>
      </w:r>
      <w:r>
        <w:rPr>
          <w:i/>
        </w:rPr>
        <w:t>et al</w:t>
      </w:r>
      <w:r>
        <w:t>., 2019). The endpoint was noted, and the total hardness was calculated in milligrams per liter (mg/L) of calcium carbonate (</w:t>
      </w:r>
      <w:r>
        <w:t>CaCO</w:t>
      </w:r>
      <w:r>
        <w:t xml:space="preserve">₃). </w:t>
      </w:r>
    </w:p>
    <w:bookmarkStart w:id="36" w:name="_Toc203101020"/>
    <w:p>
      <w:pPr>
        <w:pStyle w:val="style2"/>
        <w:spacing w:lineRule="auto" w:line="480"/>
        <w:rPr>
          <w:rFonts w:cs="Times New Roman"/>
          <w:b w:val="false"/>
        </w:rPr>
      </w:pPr>
      <w:r>
        <w:rPr>
          <w:rStyle w:val="style87"/>
          <w:rFonts w:cs="Times New Roman"/>
          <w:b/>
        </w:rPr>
        <w:t>3.4</w:t>
      </w:r>
      <w:r>
        <w:rPr>
          <w:rStyle w:val="style87"/>
          <w:rFonts w:cs="Times New Roman"/>
          <w:b/>
        </w:rPr>
        <w:tab/>
      </w:r>
      <w:r>
        <w:rPr>
          <w:rStyle w:val="style87"/>
          <w:rFonts w:cs="Times New Roman"/>
          <w:b/>
        </w:rPr>
        <w:t>Microbial Analysis</w:t>
      </w:r>
      <w:bookmarkEnd w:id="36"/>
    </w:p>
    <w:bookmarkStart w:id="37" w:name="_Toc203101021"/>
    <w:p>
      <w:pPr>
        <w:pStyle w:val="style3"/>
        <w:spacing w:lineRule="auto" w:line="480"/>
        <w:rPr>
          <w:rFonts w:cs="Times New Roman"/>
          <w:b w:val="false"/>
        </w:rPr>
      </w:pPr>
      <w:r>
        <w:rPr>
          <w:rStyle w:val="style87"/>
          <w:rFonts w:cs="Times New Roman"/>
          <w:b/>
        </w:rPr>
        <w:t>3.4.1</w:t>
      </w:r>
      <w:r>
        <w:rPr>
          <w:rStyle w:val="style87"/>
          <w:rFonts w:cs="Times New Roman"/>
          <w:b/>
        </w:rPr>
        <w:tab/>
      </w:r>
      <w:r>
        <w:rPr>
          <w:rStyle w:val="style87"/>
          <w:rFonts w:cs="Times New Roman"/>
          <w:b/>
        </w:rPr>
        <w:t>Total Colony Count</w:t>
      </w:r>
      <w:bookmarkEnd w:id="37"/>
    </w:p>
    <w:p>
      <w:pPr>
        <w:pStyle w:val="style94"/>
        <w:spacing w:before="0" w:beforeAutospacing="false" w:after="0" w:afterAutospacing="false" w:lineRule="auto" w:line="480"/>
        <w:jc w:val="both"/>
        <w:rPr/>
      </w:pPr>
      <w:r>
        <w:t>The total colony count (TCC) was determined to estimate the number of viable microorganisms present in the water samples. Aliquots of the water sample that has been serially diluted were inoculated onto nutrient agar plates using the pour plate method. The plates were incubated at 37°C for 24–48 hours, and the resulting colonies were counted manually. The Results were expressed as colony-forming units per milliliter (CFU/mL).</w:t>
      </w:r>
    </w:p>
    <w:bookmarkStart w:id="38" w:name="_Toc203101022"/>
    <w:p>
      <w:pPr>
        <w:pStyle w:val="style3"/>
        <w:spacing w:lineRule="auto" w:line="480"/>
        <w:rPr>
          <w:rFonts w:cs="Times New Roman"/>
          <w:b w:val="false"/>
        </w:rPr>
      </w:pPr>
      <w:r>
        <w:rPr>
          <w:rStyle w:val="style87"/>
          <w:rFonts w:cs="Times New Roman"/>
          <w:b/>
        </w:rPr>
        <w:t>3.4.2</w:t>
      </w:r>
      <w:r>
        <w:rPr>
          <w:rStyle w:val="style87"/>
          <w:rFonts w:cs="Times New Roman"/>
          <w:b/>
        </w:rPr>
        <w:tab/>
      </w:r>
      <w:r>
        <w:rPr>
          <w:rStyle w:val="style87"/>
          <w:rFonts w:cs="Times New Roman"/>
          <w:b/>
        </w:rPr>
        <w:t>Total Fungal Count</w:t>
      </w:r>
      <w:bookmarkEnd w:id="38"/>
    </w:p>
    <w:p>
      <w:pPr>
        <w:pStyle w:val="style94"/>
        <w:spacing w:before="0" w:beforeAutospacing="false" w:after="0" w:afterAutospacing="false" w:lineRule="auto" w:line="480"/>
        <w:jc w:val="both"/>
        <w:rPr/>
      </w:pPr>
      <w:r>
        <w:t xml:space="preserve">The total fungal count (TFC) was conducted to determine the presence of fungi in the water samples. The serially diluted water samples were inoculated onto </w:t>
      </w:r>
      <w:r>
        <w:t>Sabouraud</w:t>
      </w:r>
      <w:r>
        <w:t xml:space="preserve"> Dextrose Agar (SDA) plates supplemented with to inhibit bacterial growth. The plates were incubated at 25°C for 3–5 days. Fungal colonies were then identified and quantified, with results recorded as CFU/</w:t>
      </w:r>
      <w:r>
        <w:t>mL.</w:t>
      </w:r>
    </w:p>
    <w:bookmarkStart w:id="39" w:name="_Toc203101023"/>
    <w:p>
      <w:pPr>
        <w:pStyle w:val="style3"/>
        <w:spacing w:lineRule="auto" w:line="480"/>
        <w:rPr>
          <w:rFonts w:cs="Times New Roman"/>
        </w:rPr>
      </w:pPr>
      <w:r>
        <w:rPr>
          <w:rStyle w:val="style87"/>
          <w:rFonts w:cs="Times New Roman"/>
          <w:b/>
          <w:bCs w:val="false"/>
        </w:rPr>
        <w:t>3.4.3</w:t>
      </w:r>
      <w:r>
        <w:rPr>
          <w:rStyle w:val="style87"/>
          <w:rFonts w:cs="Times New Roman"/>
          <w:b/>
          <w:bCs w:val="false"/>
        </w:rPr>
        <w:tab/>
      </w:r>
      <w:r>
        <w:rPr>
          <w:rStyle w:val="style87"/>
          <w:rFonts w:cs="Times New Roman"/>
          <w:b/>
          <w:bCs w:val="false"/>
        </w:rPr>
        <w:t>Total Viable Count</w:t>
      </w:r>
      <w:bookmarkEnd w:id="39"/>
    </w:p>
    <w:p>
      <w:pPr>
        <w:pStyle w:val="style94"/>
        <w:spacing w:before="0" w:beforeAutospacing="false" w:after="0" w:afterAutospacing="false" w:lineRule="auto" w:line="480"/>
        <w:jc w:val="both"/>
        <w:rPr/>
      </w:pPr>
      <w:r>
        <w:t xml:space="preserve">The total viable count (TVC) was used to estimate the overall microbial load in the water samples. Using the pour plate method, aliquots of the diluted water samples were </w:t>
      </w:r>
      <w:r>
        <w:t>innoculated</w:t>
      </w:r>
      <w:r>
        <w:t xml:space="preserve"> using poured plate method. The plates were incubated at 37°C for 24–48 hours, after which the total number of visible colonies were counted manually and recorded as CFU/</w:t>
      </w:r>
      <w:r>
        <w:t>mL.</w:t>
      </w:r>
    </w:p>
    <w:bookmarkStart w:id="40" w:name="_Toc203101024"/>
    <w:p>
      <w:pPr>
        <w:pStyle w:val="style3"/>
        <w:spacing w:lineRule="auto" w:line="480"/>
        <w:rPr>
          <w:rFonts w:cs="Times New Roman"/>
        </w:rPr>
      </w:pPr>
      <w:r>
        <w:rPr>
          <w:rStyle w:val="style87"/>
          <w:rFonts w:cs="Times New Roman"/>
          <w:b/>
          <w:bCs w:val="false"/>
        </w:rPr>
        <w:t xml:space="preserve">3.4.4 </w:t>
      </w:r>
      <w:r>
        <w:rPr>
          <w:rStyle w:val="style87"/>
          <w:rFonts w:cs="Times New Roman"/>
          <w:b/>
          <w:bCs w:val="false"/>
        </w:rPr>
        <w:tab/>
      </w:r>
      <w:r>
        <w:rPr>
          <w:rStyle w:val="style87"/>
          <w:rFonts w:cs="Times New Roman"/>
          <w:b/>
          <w:bCs w:val="false"/>
        </w:rPr>
        <w:t xml:space="preserve">Total </w:t>
      </w:r>
      <w:r>
        <w:rPr>
          <w:rStyle w:val="style88"/>
          <w:rFonts w:cs="Times New Roman"/>
          <w:iCs w:val="false"/>
        </w:rPr>
        <w:t>Escherichia coli</w:t>
      </w:r>
      <w:r>
        <w:rPr>
          <w:rStyle w:val="style87"/>
          <w:rFonts w:cs="Times New Roman"/>
          <w:b/>
          <w:bCs w:val="false"/>
        </w:rPr>
        <w:t xml:space="preserve"> Count</w:t>
      </w:r>
      <w:bookmarkEnd w:id="40"/>
    </w:p>
    <w:p>
      <w:pPr>
        <w:pStyle w:val="style94"/>
        <w:spacing w:before="0" w:beforeAutospacing="false" w:after="0" w:afterAutospacing="false" w:lineRule="auto" w:line="480"/>
        <w:jc w:val="both"/>
        <w:rPr/>
      </w:pPr>
      <w:r>
        <w:t xml:space="preserve">The presence of </w:t>
      </w:r>
      <w:r>
        <w:rPr>
          <w:rStyle w:val="style88"/>
          <w:rFonts w:eastAsia="Arial"/>
        </w:rPr>
        <w:t>Escherichia coli</w:t>
      </w:r>
      <w:r>
        <w:t xml:space="preserve"> was assessed using </w:t>
      </w:r>
      <w:r>
        <w:t>MacConkey</w:t>
      </w:r>
      <w:r>
        <w:t xml:space="preserve"> agar and Eosin Methylene Blue (EMB) agar. Aliquots of the water samples were inoculated onto the agar plates and incubated at 37°C for 24 hours. Colonies with characteristic features, such as a metallic green sheen on EMB agar, were counted as </w:t>
      </w:r>
      <w:r>
        <w:rPr>
          <w:rStyle w:val="style88"/>
          <w:rFonts w:eastAsia="Arial"/>
        </w:rPr>
        <w:t>E. coli</w:t>
      </w:r>
      <w:r>
        <w:t>. Results were expressed as CFU/</w:t>
      </w:r>
      <w:r>
        <w:t>mL.</w:t>
      </w:r>
    </w:p>
    <w:bookmarkStart w:id="41" w:name="_Toc203101025"/>
    <w:p>
      <w:pPr>
        <w:pStyle w:val="style2"/>
        <w:spacing w:lineRule="auto" w:line="480"/>
        <w:rPr>
          <w:rFonts w:cs="Times New Roman"/>
        </w:rPr>
      </w:pPr>
      <w:r>
        <w:rPr>
          <w:rFonts w:cs="Times New Roman"/>
        </w:rPr>
        <w:t>3.5</w:t>
      </w:r>
      <w:r>
        <w:rPr>
          <w:rFonts w:cs="Times New Roman"/>
        </w:rPr>
        <w:tab/>
      </w:r>
      <w:r>
        <w:rPr>
          <w:rFonts w:cs="Times New Roman"/>
        </w:rPr>
        <w:t>Morphological and Microscopic Identification</w:t>
      </w:r>
      <w:bookmarkEnd w:id="41"/>
    </w:p>
    <w:p>
      <w:pPr>
        <w:pStyle w:val="style94"/>
        <w:spacing w:before="0" w:beforeAutospacing="false" w:after="0" w:afterAutospacing="false" w:lineRule="auto" w:line="480"/>
        <w:jc w:val="both"/>
        <w:rPr>
          <w:rFonts w:eastAsia="Arial"/>
          <w:color w:val="000000"/>
          <w:szCs w:val="22"/>
        </w:rPr>
      </w:pPr>
      <w:r>
        <w:rPr>
          <w:rFonts w:eastAsia="Arial"/>
          <w:color w:val="000000"/>
          <w:szCs w:val="22"/>
        </w:rPr>
        <w:t>Colony characteristics such as shape, size, color, and texture were observed for morphological identification. The isolates were further subjected to microscopic examination using Gram staining to classify them into Gram-positive and Gram-negative bacteria.</w:t>
      </w:r>
    </w:p>
    <w:bookmarkStart w:id="42" w:name="_Toc203101026"/>
    <w:p>
      <w:pPr>
        <w:pStyle w:val="style3"/>
        <w:spacing w:lineRule="auto" w:line="480"/>
        <w:rPr>
          <w:rFonts w:cs="Times New Roman" w:eastAsia="Arial"/>
        </w:rPr>
      </w:pPr>
      <w:r>
        <w:rPr>
          <w:rFonts w:cs="Times New Roman" w:eastAsia="Arial"/>
        </w:rPr>
        <w:t>3.5.1</w:t>
      </w:r>
      <w:r>
        <w:rPr>
          <w:rFonts w:cs="Times New Roman" w:eastAsia="Arial"/>
        </w:rPr>
        <w:tab/>
      </w:r>
      <w:r>
        <w:rPr>
          <w:rFonts w:cs="Times New Roman" w:eastAsia="Arial"/>
        </w:rPr>
        <w:t>Biochemical Testing</w:t>
      </w:r>
      <w:bookmarkEnd w:id="42"/>
    </w:p>
    <w:p>
      <w:pPr>
        <w:pStyle w:val="style94"/>
        <w:spacing w:before="0" w:beforeAutospacing="false" w:after="0" w:afterAutospacing="false" w:lineRule="auto" w:line="480"/>
        <w:jc w:val="both"/>
        <w:rPr>
          <w:rFonts w:eastAsia="Arial"/>
          <w:color w:val="000000"/>
          <w:szCs w:val="22"/>
        </w:rPr>
      </w:pPr>
      <w:r>
        <w:t>Biochemical tests are laboratory procedures used to identify and differentiate bacterial species based on their metabolic activities (</w:t>
      </w:r>
      <w:r>
        <w:t>Sila</w:t>
      </w:r>
      <w:r>
        <w:t xml:space="preserve"> </w:t>
      </w:r>
      <w:r>
        <w:rPr>
          <w:i/>
        </w:rPr>
        <w:t>et al</w:t>
      </w:r>
      <w:r>
        <w:t xml:space="preserve">., 2020). </w:t>
      </w:r>
      <w:r>
        <w:rPr>
          <w:rFonts w:eastAsia="Arial"/>
          <w:color w:val="000000"/>
          <w:szCs w:val="22"/>
        </w:rPr>
        <w:t>Biochemical tests which includes catalase, coagulase, oxidase, and  Indole and endospore test  were performed to identify and characterize the bacterial species present in the water samples (</w:t>
      </w:r>
      <w:r>
        <w:t>Ogunleye</w:t>
      </w:r>
      <w:r>
        <w:t xml:space="preserve"> </w:t>
      </w:r>
      <w:r>
        <w:rPr>
          <w:i/>
        </w:rPr>
        <w:t>et al</w:t>
      </w:r>
      <w:r>
        <w:t>., 2021)</w:t>
      </w:r>
      <w:r>
        <w:rPr>
          <w:rFonts w:eastAsia="Arial"/>
          <w:color w:val="000000"/>
          <w:szCs w:val="22"/>
        </w:rPr>
        <w:t xml:space="preserve">. </w:t>
      </w:r>
    </w:p>
    <w:p>
      <w:pPr>
        <w:pStyle w:val="style94"/>
        <w:numPr>
          <w:ilvl w:val="0"/>
          <w:numId w:val="1"/>
        </w:numPr>
        <w:spacing w:before="0" w:beforeAutospacing="false" w:after="0" w:afterAutospacing="false" w:lineRule="auto" w:line="480"/>
        <w:jc w:val="both"/>
        <w:rPr>
          <w:rFonts w:eastAsia="Arial"/>
          <w:b/>
          <w:color w:val="000000"/>
          <w:szCs w:val="22"/>
        </w:rPr>
      </w:pPr>
      <w:r>
        <w:rPr>
          <w:b/>
        </w:rPr>
        <w:t>Catalase test</w:t>
      </w:r>
    </w:p>
    <w:p>
      <w:pPr>
        <w:pStyle w:val="style94"/>
        <w:spacing w:before="0" w:beforeAutospacing="false" w:after="0" w:afterAutospacing="false" w:lineRule="auto" w:line="480"/>
        <w:jc w:val="both"/>
        <w:rPr/>
      </w:pPr>
      <w:r>
        <w:t xml:space="preserve">The catalase test is a biochemical procedure used to determine whether a bacterial isolate produces the enzyme catalase. Catalase plays a vital role in breaking down hydrogen peroxide, a toxic by-product of cellular metabolism, into water and oxygen. This reaction is important because the accumulation of hydrogen peroxide can be harmful to bacterial cells. The presence or absence of this enzyme is often used to distinguish between different groups of bacteria. For example, species of </w:t>
      </w:r>
      <w:r>
        <w:rPr>
          <w:i/>
          <w:iCs/>
        </w:rPr>
        <w:t>Staphylococcus</w:t>
      </w:r>
      <w:r>
        <w:t xml:space="preserve"> are catalase-positive, whereas </w:t>
      </w:r>
      <w:r>
        <w:rPr>
          <w:i/>
          <w:iCs/>
        </w:rPr>
        <w:t>Streptococcus</w:t>
      </w:r>
      <w:r>
        <w:t xml:space="preserve"> species are catalase-negative.</w:t>
      </w:r>
    </w:p>
    <w:p>
      <w:pPr>
        <w:pStyle w:val="style94"/>
        <w:spacing w:before="0" w:beforeAutospacing="false" w:after="0" w:afterAutospacing="false" w:lineRule="auto" w:line="480"/>
        <w:ind w:firstLine="720"/>
        <w:jc w:val="both"/>
        <w:rPr>
          <w:rFonts w:eastAsia="Arial"/>
          <w:color w:val="000000"/>
          <w:szCs w:val="22"/>
        </w:rPr>
      </w:pPr>
      <w:r>
        <w:t xml:space="preserve">In this test, a small amount of the bacterial colony was transferred onto a clean glass slide using a sterile loop, following the procedure described by </w:t>
      </w:r>
      <w:r>
        <w:t>Chukwu</w:t>
      </w:r>
      <w:r>
        <w:t xml:space="preserve"> et al. (2020). After transferring the colony, a few drops of 3% hydrogen peroxide were added directly onto it. The reaction was observed </w:t>
      </w:r>
      <w:r>
        <w:t>immediately.The</w:t>
      </w:r>
      <w:r>
        <w:t xml:space="preserve"> appearance of bubbles within a few seconds indicated a positive result, confirming that the bacteria produce catalase, which rapidly breaks down the hydrogen peroxide and releases oxygen gas. If no bubbles appeared, the result was considered negative, suggesting that the organism does not produce the enzyme.</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Coagulase Test</w:t>
      </w:r>
    </w:p>
    <w:p>
      <w:pPr>
        <w:pStyle w:val="style0"/>
        <w:spacing w:after="0" w:lineRule="auto" w:line="480"/>
        <w:rPr>
          <w:rFonts w:ascii="Times New Roman" w:cs="Times New Roman" w:hAnsi="Times New Roman"/>
        </w:rPr>
      </w:pPr>
      <w:r>
        <w:rPr>
          <w:rFonts w:ascii="Times New Roman" w:cs="Times New Roman" w:hAnsi="Times New Roman"/>
        </w:rPr>
        <w:t>The coagulase test is used to identify Staphylococcus</w:t>
      </w:r>
      <w:r>
        <w:rPr>
          <w:rFonts w:ascii="Times New Roman" w:cs="Times New Roman" w:hAnsi="Times New Roman"/>
          <w:color w:val="ff0000"/>
        </w:rPr>
        <w:t xml:space="preserve"> </w:t>
      </w:r>
      <w:r>
        <w:rPr>
          <w:rFonts w:ascii="Times New Roman" w:cs="Times New Roman" w:hAnsi="Times New Roman"/>
        </w:rPr>
        <w:t>aureus</w:t>
      </w:r>
      <w:r>
        <w:rPr>
          <w:rFonts w:ascii="Times New Roman" w:cs="Times New Roman" w:hAnsi="Times New Roman"/>
          <w:color w:val="ff0000"/>
        </w:rPr>
        <w:t xml:space="preserve"> </w:t>
      </w:r>
      <w:r>
        <w:rPr>
          <w:rFonts w:ascii="Times New Roman" w:cs="Times New Roman" w:hAnsi="Times New Roman"/>
        </w:rPr>
        <w:t xml:space="preserve">by detecting the presence of coagulase, an enzyme that causes blood plasma to clot. This test differentiates between coagulase-positive Staphylococcus aureus and coagulase-negative </w:t>
      </w:r>
      <w:r>
        <w:rPr>
          <w:rFonts w:ascii="Times New Roman" w:cs="Times New Roman" w:hAnsi="Times New Roman"/>
          <w:i/>
        </w:rPr>
        <w:t>Staphylococcus</w:t>
      </w:r>
      <w:r>
        <w:rPr>
          <w:rFonts w:ascii="Times New Roman" w:cs="Times New Roman" w:hAnsi="Times New Roman"/>
        </w:rPr>
        <w:t xml:space="preserve"> species (</w:t>
      </w:r>
      <w:r>
        <w:rPr>
          <w:rFonts w:ascii="Times New Roman" w:cs="Times New Roman" w:hAnsi="Times New Roman"/>
        </w:rPr>
        <w:t>Chukwu</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2020).</w:t>
      </w:r>
    </w:p>
    <w:p>
      <w:pPr>
        <w:pStyle w:val="style0"/>
        <w:spacing w:after="0" w:lineRule="auto" w:line="480"/>
        <w:ind w:firstLine="710"/>
        <w:rPr>
          <w:rFonts w:ascii="Times New Roman" w:cs="Times New Roman" w:hAnsi="Times New Roman"/>
        </w:rPr>
      </w:pPr>
      <w:r>
        <w:rPr>
          <w:rFonts w:ascii="Times New Roman" w:cs="Times New Roman" w:hAnsi="Times New Roman"/>
        </w:rPr>
        <w:t>A bacterial colony was emulsified in a small amount of sterile saline to form a smooth suspension. A drop of rabbit plasma was added to the bacterial suspension, and the mixture was incubated at 37°C for 4–24 hours. The presence of clot formation indicates a positive coagulase reaction, while the absence of clot formation indicates a negative result.</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Oxidase Test</w:t>
      </w:r>
    </w:p>
    <w:p>
      <w:pPr>
        <w:pStyle w:val="style0"/>
        <w:spacing w:after="0" w:lineRule="auto" w:line="480"/>
        <w:rPr>
          <w:rFonts w:ascii="Times New Roman" w:cs="Times New Roman" w:hAnsi="Times New Roman"/>
        </w:rPr>
      </w:pPr>
      <w:r>
        <w:rPr>
          <w:rFonts w:ascii="Times New Roman" w:cs="Times New Roman" w:hAnsi="Times New Roman"/>
        </w:rPr>
        <w:t xml:space="preserve">The oxidase test is used to determine if bacteria produce cytochrome C oxidase, an enzyme involved in the electron transport chain during aerobic respiration. It is commonly used to differentiate oxidase-positive bacteria such as </w:t>
      </w:r>
      <w:r>
        <w:rPr>
          <w:rFonts w:ascii="Times New Roman" w:cs="Times New Roman" w:hAnsi="Times New Roman"/>
          <w:i/>
        </w:rPr>
        <w:t>Pseudomonas</w:t>
      </w:r>
      <w:r>
        <w:rPr>
          <w:rFonts w:ascii="Times New Roman" w:cs="Times New Roman" w:hAnsi="Times New Roman"/>
        </w:rPr>
        <w:t xml:space="preserve"> from oxidase-negative bacteria like </w:t>
      </w:r>
      <w:r>
        <w:rPr>
          <w:rFonts w:ascii="Times New Roman" w:cs="Times New Roman" w:hAnsi="Times New Roman"/>
        </w:rPr>
        <w:t>Enterobacteriaceae</w:t>
      </w:r>
      <w:r>
        <w:rPr>
          <w:rFonts w:ascii="Times New Roman" w:cs="Times New Roman" w:hAnsi="Times New Roman"/>
        </w:rPr>
        <w:t>.</w:t>
      </w:r>
    </w:p>
    <w:p>
      <w:pPr>
        <w:pStyle w:val="style0"/>
        <w:spacing w:after="0" w:lineRule="auto" w:line="480"/>
        <w:rPr>
          <w:rFonts w:ascii="Times New Roman" w:cs="Times New Roman" w:hAnsi="Times New Roman"/>
        </w:rPr>
      </w:pPr>
      <w:r>
        <w:rPr>
          <w:rFonts w:ascii="Times New Roman" w:cs="Times New Roman" w:hAnsi="Times New Roman"/>
        </w:rPr>
        <w:tab/>
      </w:r>
      <w:r>
        <w:rPr>
          <w:rFonts w:ascii="Times New Roman" w:cs="Times New Roman" w:hAnsi="Times New Roman"/>
        </w:rPr>
        <w:tab/>
      </w:r>
      <w:r>
        <w:rPr>
          <w:rFonts w:ascii="Times New Roman" w:cs="Times New Roman" w:hAnsi="Times New Roman"/>
        </w:rPr>
        <w:t>A piece of filter paper was soaked with a few drops of oxidase reagent (</w:t>
      </w:r>
      <w:r>
        <w:rPr>
          <w:rFonts w:ascii="Times New Roman" w:cs="Times New Roman" w:hAnsi="Times New Roman"/>
        </w:rPr>
        <w:t>tetramethyl</w:t>
      </w:r>
      <w:r>
        <w:rPr>
          <w:rFonts w:ascii="Times New Roman" w:cs="Times New Roman" w:hAnsi="Times New Roman"/>
        </w:rPr>
        <w:t>-p-</w:t>
      </w:r>
      <w:r>
        <w:rPr>
          <w:rFonts w:ascii="Times New Roman" w:cs="Times New Roman" w:hAnsi="Times New Roman"/>
        </w:rPr>
        <w:t>phenylenediamine</w:t>
      </w:r>
      <w:r>
        <w:rPr>
          <w:rFonts w:ascii="Times New Roman" w:cs="Times New Roman" w:hAnsi="Times New Roman"/>
        </w:rPr>
        <w:t xml:space="preserve"> </w:t>
      </w:r>
      <w:r>
        <w:rPr>
          <w:rFonts w:ascii="Times New Roman" w:cs="Times New Roman" w:hAnsi="Times New Roman"/>
        </w:rPr>
        <w:t>dihydrochloride</w:t>
      </w:r>
      <w:r>
        <w:rPr>
          <w:rFonts w:ascii="Times New Roman" w:cs="Times New Roman" w:hAnsi="Times New Roman"/>
        </w:rPr>
        <w:t>). A bacterial colony was then transferred onto the filter paper using a sterile loop. A purple color change within 30 seconds indicates a positive oxidase reaction, while no color change indicates a negative result (</w:t>
      </w:r>
      <w:r>
        <w:rPr>
          <w:rFonts w:ascii="Times New Roman" w:cs="Times New Roman" w:hAnsi="Times New Roman"/>
        </w:rPr>
        <w:t>Chinwada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2020).</w:t>
      </w:r>
    </w:p>
    <w:p>
      <w:pPr>
        <w:pStyle w:val="style4"/>
        <w:numPr>
          <w:ilvl w:val="0"/>
          <w:numId w:val="1"/>
        </w:numPr>
        <w:spacing w:before="0" w:beforeAutospacing="false" w:after="0" w:afterAutospacing="false" w:lineRule="auto" w:line="480"/>
        <w:jc w:val="both"/>
        <w:rPr/>
      </w:pPr>
      <w:r>
        <w:rPr>
          <w:rStyle w:val="style87"/>
        </w:rPr>
        <w:t>Indole Test</w:t>
      </w:r>
    </w:p>
    <w:p>
      <w:pPr>
        <w:pStyle w:val="style94"/>
        <w:spacing w:before="0" w:beforeAutospacing="false" w:after="0" w:afterAutospacing="false" w:lineRule="auto" w:line="480"/>
        <w:jc w:val="both"/>
        <w:rPr/>
      </w:pPr>
      <w:r>
        <w:t xml:space="preserve">The indole test is used to determine whether bacteria can break down the amino acid tryptophan to produce indole. This test helps in identifying bacteria such as </w:t>
      </w:r>
      <w:r>
        <w:rPr>
          <w:rStyle w:val="style88"/>
          <w:rFonts w:eastAsia="Arial"/>
        </w:rPr>
        <w:t>Escherichia coli</w:t>
      </w:r>
      <w:r>
        <w:t>.</w:t>
      </w:r>
    </w:p>
    <w:p>
      <w:pPr>
        <w:pStyle w:val="style94"/>
        <w:spacing w:before="0" w:beforeAutospacing="false" w:after="0" w:afterAutospacing="false" w:lineRule="auto" w:line="480"/>
        <w:jc w:val="both"/>
        <w:rPr/>
      </w:pPr>
      <w:r>
        <w:t xml:space="preserve">A bacterial colony was inoculated into a </w:t>
      </w:r>
      <w:r>
        <w:t>tryptone</w:t>
      </w:r>
      <w:r>
        <w:t xml:space="preserve"> broth and incubated at 37°C for 24 hours. After incubation, a few drops of </w:t>
      </w:r>
      <w:r>
        <w:t>Kovac’s</w:t>
      </w:r>
      <w:r>
        <w:t xml:space="preserve"> reagent were added. A red color at the surface of the broth indicates a positive result (indole production), while a yellow or unchanged color indicates a negative result (</w:t>
      </w:r>
      <w:r>
        <w:t>Ogunleye</w:t>
      </w:r>
      <w:r>
        <w:t xml:space="preserve"> et al., 2021).</w:t>
      </w:r>
    </w:p>
    <w:p>
      <w:pPr>
        <w:pStyle w:val="style4"/>
        <w:numPr>
          <w:ilvl w:val="0"/>
          <w:numId w:val="1"/>
        </w:numPr>
        <w:spacing w:before="0" w:beforeAutospacing="false" w:after="0" w:afterAutospacing="false" w:lineRule="auto" w:line="480"/>
        <w:jc w:val="both"/>
        <w:rPr/>
      </w:pPr>
      <w:r>
        <w:rPr>
          <w:rStyle w:val="style87"/>
        </w:rPr>
        <w:t>Citrate Utilization Test</w:t>
      </w:r>
    </w:p>
    <w:p>
      <w:pPr>
        <w:pStyle w:val="style94"/>
        <w:spacing w:before="0" w:beforeAutospacing="false" w:after="0" w:afterAutospacing="false" w:lineRule="auto" w:line="480"/>
        <w:jc w:val="both"/>
        <w:rPr/>
      </w:pPr>
      <w:r>
        <w:t xml:space="preserve">The citrate utilization test determines whether bacteria can use citrate as their sole carbon source, which helps differentiate </w:t>
      </w:r>
      <w:r>
        <w:rPr>
          <w:rStyle w:val="style88"/>
          <w:rFonts w:eastAsia="Arial"/>
        </w:rPr>
        <w:t>Enterobacteriaceae</w:t>
      </w:r>
      <w:r>
        <w:t xml:space="preserve"> species.</w:t>
      </w:r>
    </w:p>
    <w:p>
      <w:pPr>
        <w:pStyle w:val="style94"/>
        <w:spacing w:before="0" w:beforeAutospacing="false" w:after="0" w:afterAutospacing="false" w:lineRule="auto" w:line="480"/>
        <w:jc w:val="both"/>
        <w:rPr>
          <w:color w:val="ff0000"/>
        </w:rPr>
      </w:pPr>
      <w:r>
        <w:t xml:space="preserve">A bacterial colony was streaked onto </w:t>
      </w:r>
      <w:r>
        <w:t>Simmon’s</w:t>
      </w:r>
      <w:r>
        <w:t xml:space="preserve"> citrate agar and incubated at 37°C for 48 hours. A color change from green to blue indicates a positive result (citrate utilization), while no color change indicates a negative result (</w:t>
      </w:r>
      <w:r>
        <w:t>Chukwu</w:t>
      </w:r>
      <w:r>
        <w:t xml:space="preserve"> et al., 2020).</w:t>
      </w:r>
    </w:p>
    <w:bookmarkStart w:id="43" w:name="_Toc203101027"/>
    <w:p>
      <w:pPr>
        <w:pStyle w:val="style3"/>
        <w:spacing w:lineRule="auto" w:line="480"/>
        <w:rPr>
          <w:rFonts w:cs="Times New Roman"/>
        </w:rPr>
      </w:pPr>
      <w:r>
        <w:rPr>
          <w:rFonts w:cs="Times New Roman"/>
        </w:rPr>
        <w:t>3.5.2</w:t>
      </w:r>
      <w:r>
        <w:rPr>
          <w:rFonts w:cs="Times New Roman"/>
        </w:rPr>
        <w:tab/>
      </w:r>
      <w:r>
        <w:rPr>
          <w:rStyle w:val="style87"/>
          <w:rFonts w:cs="Times New Roman"/>
          <w:b/>
          <w:bCs w:val="false"/>
        </w:rPr>
        <w:t>Lactophenol</w:t>
      </w:r>
      <w:r>
        <w:rPr>
          <w:rStyle w:val="style87"/>
          <w:rFonts w:cs="Times New Roman"/>
          <w:b/>
          <w:bCs w:val="false"/>
        </w:rPr>
        <w:t xml:space="preserve"> Test</w:t>
      </w:r>
      <w:bookmarkEnd w:id="43"/>
    </w:p>
    <w:p>
      <w:pPr>
        <w:pStyle w:val="style94"/>
        <w:spacing w:before="0" w:beforeAutospacing="false" w:after="0" w:afterAutospacing="false" w:lineRule="auto" w:line="480"/>
        <w:jc w:val="both"/>
        <w:rPr/>
      </w:pPr>
      <w:r>
        <w:t xml:space="preserve">The identification of fungal species in the water samples was performed using direct microscopic examination and </w:t>
      </w:r>
      <w:r>
        <w:t>lactophenol</w:t>
      </w:r>
      <w:r>
        <w:t xml:space="preserve"> cotton blue stains. Fungal isolates from </w:t>
      </w:r>
      <w:r>
        <w:t>Sabouraud</w:t>
      </w:r>
      <w:r>
        <w:t xml:space="preserve"> Dextrose Agar (SDA) plates were picked and emulsified on clean glass slides containing a drop of sterile water. A drop of </w:t>
      </w:r>
      <w:r>
        <w:t>lactophenol</w:t>
      </w:r>
      <w:r>
        <w:t xml:space="preserve"> cotton blue dye was added to the fungal specimen, and a coverslip was placed over it. The slide was examined under a microscope to observe fungal structures such as hyphae, conidia, and spores for morphological identification </w:t>
      </w:r>
      <w:r>
        <w:rPr>
          <w:rFonts w:eastAsia="Arial"/>
          <w:color w:val="000000"/>
          <w:szCs w:val="22"/>
        </w:rPr>
        <w:t>(</w:t>
      </w:r>
      <w:r>
        <w:t>Cunliffe</w:t>
      </w:r>
      <w:r>
        <w:t xml:space="preserve"> </w:t>
      </w:r>
      <w:r>
        <w:rPr>
          <w:i/>
        </w:rPr>
        <w:t>et al</w:t>
      </w:r>
      <w:r>
        <w:t>., 2021)</w:t>
      </w:r>
      <w:r>
        <w:rPr>
          <w:rFonts w:eastAsia="Arial"/>
          <w:color w:val="000000"/>
          <w:szCs w:val="22"/>
        </w:rPr>
        <w:t xml:space="preserve">. </w:t>
      </w:r>
      <w:r>
        <w:t>The fungal species were identified by comparing the observed structures to standard identification keys and charts.</w:t>
      </w:r>
    </w:p>
    <w:bookmarkStart w:id="44" w:name="_Toc203101028"/>
    <w:p>
      <w:pPr>
        <w:pStyle w:val="style3"/>
        <w:spacing w:lineRule="auto" w:line="480"/>
        <w:rPr>
          <w:rFonts w:cs="Times New Roman" w:eastAsia="Times New Roman"/>
        </w:rPr>
      </w:pPr>
      <w:r>
        <w:rPr>
          <w:rFonts w:cs="Times New Roman" w:eastAsia="Times New Roman"/>
        </w:rPr>
        <w:t>3.5.3</w:t>
      </w:r>
      <w:r>
        <w:rPr>
          <w:rFonts w:cs="Times New Roman" w:eastAsia="Times New Roman"/>
        </w:rPr>
        <w:tab/>
      </w:r>
      <w:r>
        <w:rPr>
          <w:rFonts w:cs="Times New Roman" w:eastAsia="Times New Roman"/>
        </w:rPr>
        <w:t>Endospore Test</w:t>
      </w:r>
      <w:bookmarkEnd w:id="44"/>
    </w:p>
    <w:p>
      <w:pPr>
        <w:pStyle w:val="style94"/>
        <w:spacing w:before="0" w:beforeAutospacing="false" w:after="0" w:afterAutospacing="false" w:lineRule="auto" w:line="480"/>
        <w:jc w:val="both"/>
        <w:rPr>
          <w:rFonts w:eastAsia="Arial"/>
          <w:color w:val="000000"/>
          <w:szCs w:val="22"/>
        </w:rPr>
      </w:pPr>
      <w:r>
        <w:t>The endospore test was carried out to check whether the bacterial isolates could form endospores, which are tough, protective structures produced in harsh conditions. A small amount of bacterial culture grown on nutrient agar was smeared on a clean glass slide and heat-fixed. Malachite green stain was applied to the smear, and the slide was gently heated for about 5 minutes to help the dye penetrate the endospores. After cooling, the slide was rinsed with water and then counterstained with safranin for 30 seconds. A coverslip was placed on the slide, and it was observed under a microscope using the oil immersion lens. Under the microscope, endospores appeared green, while the rest of the bacterial cells (vegetative cells) appeared pink (Gerhardt et al., 2020).</w:t>
      </w:r>
    </w:p>
    <w:bookmarkStart w:id="45" w:name="_Toc203101029"/>
    <w:p>
      <w:pPr>
        <w:pStyle w:val="style2"/>
        <w:spacing w:lineRule="auto" w:line="480"/>
        <w:rPr>
          <w:rFonts w:cs="Times New Roman"/>
        </w:rPr>
      </w:pPr>
      <w:r>
        <w:rPr>
          <w:rFonts w:cs="Times New Roman"/>
        </w:rPr>
        <w:t>3.6</w:t>
      </w:r>
      <w:r>
        <w:rPr>
          <w:rFonts w:cs="Times New Roman"/>
        </w:rPr>
        <w:tab/>
      </w:r>
      <w:r>
        <w:rPr>
          <w:rFonts w:cs="Times New Roman"/>
        </w:rPr>
        <w:t>Data Analysis</w:t>
      </w:r>
      <w:bookmarkEnd w:id="45"/>
    </w:p>
    <w:p>
      <w:pPr>
        <w:pStyle w:val="style94"/>
        <w:spacing w:before="0" w:beforeAutospacing="false" w:after="0" w:afterAutospacing="false" w:lineRule="auto" w:line="480"/>
        <w:jc w:val="both"/>
        <w:rPr/>
        <w:sectPr>
          <w:pgSz w:w="11906" w:h="16838" w:orient="portrait"/>
          <w:pgMar w:top="1440" w:right="1440" w:bottom="1440" w:left="1440" w:header="708" w:footer="708" w:gutter="0"/>
          <w:cols w:space="708"/>
          <w:docGrid w:linePitch="360"/>
        </w:sectPr>
      </w:pPr>
      <w:r>
        <w:t xml:space="preserve">The collected data were analyzed to evaluate the quality of the sachet water samples. Descriptive statistics, including means, standard deviations, and percentage prevalence, were used to summarize the physicochemical parameters, fungal and bacterial counts for each sample. For microbiological analysis, the occurrence of bacterial and fungal species was recorded and expressed as percentages of prevalence in the samples. Data analysis was performed using SPSS </w:t>
      </w:r>
      <w:r>
        <w:rPr>
          <w:rFonts w:eastAsia="Arial"/>
          <w:color w:val="000000"/>
          <w:szCs w:val="22"/>
        </w:rPr>
        <w:t>(Statistical Package for the Social Sciences)</w:t>
      </w:r>
      <w:r>
        <w:t xml:space="preserve"> with a significance level set at p &lt; 0.05 (Zou </w:t>
      </w:r>
      <w:r>
        <w:rPr>
          <w:i/>
        </w:rPr>
        <w:t>et al</w:t>
      </w:r>
      <w:r>
        <w:t>., 2020). The results were compared with established water quality standards from the World Health Organization (WHO) and Nigerian regulatory bodies to determine the safety and suitability of the sachet water for human consumption</w:t>
      </w:r>
    </w:p>
    <w:p>
      <w:pPr>
        <w:pStyle w:val="style0"/>
        <w:ind w:left="0" w:firstLine="0"/>
        <w:rPr>
          <w:rFonts w:ascii="Times New Roman" w:cs="Times New Roman" w:hAnsi="Times New Roman"/>
        </w:rPr>
      </w:pPr>
    </w:p>
    <w:bookmarkStart w:id="46" w:name="_Toc203101030"/>
    <w:p>
      <w:pPr>
        <w:pStyle w:val="style1"/>
        <w:jc w:val="center"/>
        <w:rPr>
          <w:rFonts w:cs="Times New Roman"/>
        </w:rPr>
      </w:pPr>
      <w:r>
        <w:rPr>
          <w:rFonts w:cs="Times New Roman"/>
        </w:rPr>
        <w:t>CHAPTER FOUR</w:t>
      </w:r>
      <w:bookmarkEnd w:id="46"/>
    </w:p>
    <w:bookmarkStart w:id="47" w:name="_Toc203101031"/>
    <w:p>
      <w:pPr>
        <w:pStyle w:val="style1"/>
        <w:spacing w:lineRule="auto" w:line="480"/>
        <w:jc w:val="center"/>
        <w:rPr>
          <w:rFonts w:cs="Times New Roman"/>
          <w:sz w:val="28"/>
          <w:szCs w:val="28"/>
        </w:rPr>
      </w:pPr>
      <w:r>
        <w:rPr>
          <w:rFonts w:cs="Times New Roman"/>
        </w:rPr>
        <w:t>4.0</w:t>
      </w:r>
      <w:r>
        <w:rPr>
          <w:rFonts w:cs="Times New Roman"/>
        </w:rPr>
        <w:tab/>
      </w:r>
      <w:r>
        <w:rPr>
          <w:rFonts w:cs="Times New Roman"/>
        </w:rPr>
        <w:t>RESULTS</w:t>
      </w:r>
      <w:bookmarkEnd w:id="47"/>
    </w:p>
    <w:bookmarkStart w:id="48" w:name="_Toc203101032"/>
    <w:p>
      <w:pPr>
        <w:pStyle w:val="style2"/>
        <w:spacing w:lineRule="auto" w:line="480"/>
        <w:rPr>
          <w:rFonts w:cs="Times New Roman"/>
        </w:rPr>
      </w:pPr>
      <w:r>
        <w:rPr>
          <w:rFonts w:cs="Times New Roman"/>
        </w:rPr>
        <w:t>4.1</w:t>
      </w:r>
      <w:r>
        <w:rPr>
          <w:rFonts w:cs="Times New Roman"/>
        </w:rPr>
        <w:tab/>
      </w:r>
      <w:r>
        <w:rPr>
          <w:rFonts w:cs="Times New Roman"/>
        </w:rPr>
        <w:t>Physicochemical  Parameters of  sachet water sample</w:t>
      </w:r>
      <w:bookmarkEnd w:id="48"/>
    </w:p>
    <w:p>
      <w:pPr>
        <w:pStyle w:val="style94"/>
        <w:spacing w:before="0" w:beforeAutospacing="false" w:after="0" w:afterAutospacing="false" w:lineRule="auto" w:line="480"/>
        <w:jc w:val="both"/>
        <w:rPr/>
      </w:pPr>
      <w:r>
        <w:t xml:space="preserve"> Chapter four presents the physicochemical characteristics of five different sachet water samples ABS WATER , (AW,) BASIC WATER (BW), KWARA POLYECHNIC WATER (KW),OLUWATOYIN WATER  (OW), and YINTO TABLE WATER (YW) collected within Ilorin, Kwara State. The parameters assessed include pH, Temperature, Dissolved Oxygen (DO), Turbidity, Electrical Conductivity (EC), Total Dissolved solids (TDS), and Salinity. The values are reported as mean ± standard deviation and interpreted in relation to World Health Organization (WHO) permissible limits for potable water. Superscript letters are used to indicate significant differences (p &lt; 0.05) among the samples for each parameter, while asterisks denote whether the values fall within or exceed WHO standards. </w:t>
      </w:r>
    </w:p>
    <w:p>
      <w:pPr>
        <w:pStyle w:val="style94"/>
        <w:spacing w:before="0" w:beforeAutospacing="false" w:after="0" w:afterAutospacing="false" w:lineRule="auto" w:line="480"/>
        <w:ind w:firstLine="720"/>
        <w:jc w:val="both"/>
        <w:rPr/>
      </w:pPr>
      <w:r>
        <w:t>Dissolved oxygen levels varied considerably, with AW having the lowest concentration at 3.20 ± 0.16 mg/L, below the WHO minimum of 5.0 mg/L. The highest concentration was recorded in OW (17.30 ± 0.87 mg/L), which differed significantly from the other samples. This variation may be attributed to differences in microbial activity or aeration during production and storage. Turbidity values in all samples were within permissible limits, with KW and BW recording the clearest samples. Although the turbidity levels were acceptable, statistical differences were still observed among the samples.</w:t>
      </w:r>
    </w:p>
    <w:p>
      <w:pPr>
        <w:pStyle w:val="style94"/>
        <w:spacing w:before="0" w:beforeAutospacing="false" w:after="0" w:afterAutospacing="false" w:lineRule="auto" w:line="480"/>
        <w:ind w:firstLine="720"/>
        <w:jc w:val="both"/>
        <w:rPr/>
      </w:pPr>
      <w:r>
        <w:t>Electrical conductivity values ranged from 51.00 ± 2.55 µS/cm in OW to 100.00 ± 5.00 µS/cm in YW, all were within the WHO threshold of 500 µS/cm. The relatively low conductivity suggests minimal presence of dissolved salts or ionic substances in the samples. Similarly, the TDS levels were all below the maximum permissible limit of 500 mg/L, with the highest being 59.00 ± 2.95 mg/L in AW and the lowest 35.00 ± 1.75 mg/L in OW. These values further affirm the low ionic content of the sachet water assessed. Salinity was not covered under WHO drinking water standards but was measured for completeness. The values ranged from 32.00 ± 1.60 ppm in BW to 47.00 ± 2.35 ppm in YW, showing mild variations among the samples.</w:t>
      </w:r>
    </w:p>
    <w:p>
      <w:pPr>
        <w:pStyle w:val="style94"/>
        <w:tabs>
          <w:tab w:val="left" w:leader="none" w:pos="720"/>
          <w:tab w:val="left" w:leader="none" w:pos="1440"/>
          <w:tab w:val="left" w:leader="none" w:pos="5618"/>
        </w:tabs>
        <w:spacing w:before="0" w:beforeAutospacing="false" w:after="0" w:afterAutospacing="false" w:lineRule="auto" w:line="480"/>
        <w:rPr>
          <w:b/>
        </w:rPr>
      </w:pPr>
    </w:p>
    <w:p>
      <w:pPr>
        <w:pStyle w:val="style0"/>
        <w:spacing w:after="160"/>
        <w:ind w:left="0" w:firstLine="0"/>
        <w:jc w:val="left"/>
        <w:rPr>
          <w:rFonts w:ascii="Times New Roman" w:cs="Times New Roman" w:hAnsi="Times New Roman"/>
        </w:rPr>
        <w:sectPr>
          <w:pgSz w:w="11906" w:h="16838" w:orient="portrait"/>
          <w:pgMar w:top="1440" w:right="1440" w:bottom="1440" w:left="1440" w:header="708" w:footer="708" w:gutter="0"/>
          <w:cols w:space="708"/>
          <w:docGrid w:linePitch="360"/>
        </w:sectPr>
      </w:pPr>
    </w:p>
    <w:bookmarkStart w:id="49" w:name="_Toc203101033"/>
    <w:p>
      <w:pPr>
        <w:pStyle w:val="style2"/>
        <w:spacing w:lineRule="auto" w:line="480"/>
        <w:rPr>
          <w:rFonts w:cs="Times New Roman"/>
        </w:rPr>
      </w:pPr>
      <w:r>
        <w:rPr>
          <w:rFonts w:cs="Times New Roman"/>
        </w:rPr>
        <w:t>4.1</w:t>
      </w:r>
      <w:r>
        <w:rPr>
          <w:rFonts w:cs="Times New Roman"/>
        </w:rPr>
        <w:tab/>
      </w:r>
      <w:r>
        <w:rPr>
          <w:rFonts w:cs="Times New Roman"/>
        </w:rPr>
        <w:t>Physicochemical Parameters of Water Samples</w:t>
      </w:r>
      <w:bookmarkEnd w:id="49"/>
    </w:p>
    <w:tbl>
      <w:tblPr>
        <w:tblStyle w:val="style4102"/>
        <w:tblW w:w="0" w:type="auto"/>
        <w:shd w:val="clear" w:color="auto" w:fill="ffffff"/>
        <w:tblLook w:val="04A0" w:firstRow="1" w:lastRow="0" w:firstColumn="1" w:lastColumn="0" w:noHBand="0" w:noVBand="1"/>
      </w:tblPr>
      <w:tblGrid>
        <w:gridCol w:w="1830"/>
        <w:gridCol w:w="1112"/>
        <w:gridCol w:w="1112"/>
        <w:gridCol w:w="1112"/>
        <w:gridCol w:w="1110"/>
        <w:gridCol w:w="1114"/>
        <w:gridCol w:w="1632"/>
      </w:tblGrid>
      <w:tr>
        <w:trPr/>
        <w:tc>
          <w:tcPr>
            <w:tcW w:w="0" w:type="auto"/>
            <w:tcBorders/>
            <w:shd w:val="clear" w:color="auto" w:fill="ffffff"/>
            <w:hideMark/>
          </w:tcPr>
          <w:p>
            <w:pPr>
              <w:pStyle w:val="style0"/>
              <w:spacing w:after="0"/>
              <w:ind w:left="0" w:firstLin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Parameters </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YW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WHO Permissible Limit</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Temperature (°C)</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23.60 ± 1.18ᵇ**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23.20 ± 1.16ᵇ**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24.00 ± 1.20ᵇ**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19.80 ± 0.99ᵃ**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25 – 30°C</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Dissolved Oxygen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 ± 0.16ᵃ**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8.20 ± 0.41ᵇ*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11.30 ± 0.57ᶜ*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17.30 ± 0.87ᵉ*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13.20 ± 0.66ᵈ*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mg/L</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Turbidity (NTU)</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 ± 0.13ᶜ*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1.70 ± 0.09ᵇ*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1.60 ± 0.08ᵇ*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 ± 0.12ᶜ*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 ± 0.21ᵈ*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NTU</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Electrical Conductivity (µS/cm)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89.00 ± 4.45ᶜ*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69.00 ± 3.45ᵇ*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88.00 ± 4.40ᶜ*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100.00 ± 5.00ᵈ*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µS/cm</w:t>
            </w:r>
          </w:p>
        </w:tc>
      </w:tr>
      <w:tr>
        <w:tblPrEx/>
        <w:trPr>
          <w:trHeight w:val="481" w:hRule="atLeast"/>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Dissolved Solids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59.00 ± 2.95ᵉ*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46.00 ± 2.30ᶜ*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58.00 ± 2.90ᵈ*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35.00 ± 1.75ᵃ*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42.00 ± 2.10ᵇ*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mg/L</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Salinity (ppm)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41.00 ± 2.05ᶜ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32.00 ± 1.60ᵃ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40.00 ± 2.00ᶜ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33.00 ± 1.65ᵇ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47.00 ± 2.35ᵈ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specified</w:t>
            </w:r>
          </w:p>
        </w:tc>
      </w:tr>
    </w:tbl>
    <w:p>
      <w:pPr>
        <w:pStyle w:val="style4"/>
        <w:spacing w:before="0" w:beforeAutospacing="false" w:after="0" w:afterAutospacing="false"/>
        <w:rPr>
          <w:b w:val="false"/>
          <w:bCs w:val="false"/>
        </w:rPr>
      </w:pPr>
      <w:r>
        <w:rPr>
          <w:b w:val="false"/>
          <w:bCs w:val="false"/>
        </w:rPr>
        <w:t xml:space="preserve">Key: </w:t>
      </w:r>
      <w:r>
        <w:rPr>
          <w:b w:val="false"/>
        </w:rPr>
        <w:t>ᵃ, ᵇ, ᶜ...: Values within a row that do not share the same superscript are significantly different (p &lt; 0.05) based on post hoc comparison; values with the same letter are not significantly different. *: Value falls within WHO permissible limits. **: Value is outside WHO permissible limits.</w:t>
      </w:r>
    </w:p>
    <w:p>
      <w:pPr>
        <w:pStyle w:val="style0"/>
        <w:rPr>
          <w:rFonts w:ascii="Times New Roman" w:cs="Times New Roman" w:hAnsi="Times New Roman"/>
        </w:rPr>
      </w:pPr>
    </w:p>
    <w:p>
      <w:pPr>
        <w:pStyle w:val="style0"/>
        <w:rPr>
          <w:rFonts w:ascii="Times New Roman" w:cs="Times New Roman" w:hAnsi="Times New Roman"/>
        </w:rPr>
        <w:sectPr>
          <w:pgSz w:w="11906" w:h="16838" w:orient="portrait"/>
          <w:pgMar w:top="1440" w:right="1440" w:bottom="1440" w:left="1440" w:header="709" w:footer="709" w:gutter="0"/>
          <w:cols w:space="708"/>
          <w:docGrid w:linePitch="360"/>
        </w:sectPr>
      </w:pPr>
    </w:p>
    <w:bookmarkStart w:id="50" w:name="_Toc203101034"/>
    <w:p>
      <w:pPr>
        <w:pStyle w:val="style2"/>
        <w:spacing w:lineRule="auto" w:line="480"/>
        <w:rPr>
          <w:rFonts w:cs="Times New Roman" w:eastAsia="Times New Roman"/>
        </w:rPr>
      </w:pPr>
      <w:r>
        <w:rPr>
          <w:rFonts w:cs="Times New Roman" w:eastAsia="Times New Roman"/>
        </w:rPr>
        <w:t>4.2</w:t>
      </w:r>
      <w:r>
        <w:rPr>
          <w:rFonts w:cs="Times New Roman" w:eastAsia="Times New Roman"/>
        </w:rPr>
        <w:tab/>
      </w:r>
      <w:r>
        <w:rPr>
          <w:rFonts w:cs="Times New Roman" w:eastAsia="Times New Roman"/>
        </w:rPr>
        <w:t>Microbiological Analysis</w:t>
      </w:r>
      <w:bookmarkEnd w:id="50"/>
    </w:p>
    <w:bookmarkStart w:id="51" w:name="_Toc203101035"/>
    <w:p>
      <w:pPr>
        <w:pStyle w:val="style3"/>
        <w:rPr>
          <w:rFonts w:cs="Times New Roman" w:eastAsia="Times New Roman"/>
        </w:rPr>
      </w:pPr>
      <w:r>
        <w:rPr>
          <w:rFonts w:cs="Times New Roman" w:eastAsia="Times New Roman"/>
        </w:rPr>
        <w:t>4.2.1</w:t>
      </w:r>
      <w:r>
        <w:rPr>
          <w:rFonts w:cs="Times New Roman" w:eastAsia="Times New Roman"/>
        </w:rPr>
        <w:tab/>
      </w:r>
      <w:r>
        <w:rPr>
          <w:rFonts w:cs="Times New Roman" w:eastAsia="Times New Roman"/>
        </w:rPr>
        <w:t>Microbial Counts</w:t>
      </w:r>
      <w:bookmarkEnd w:id="51"/>
    </w:p>
    <w:p>
      <w:pPr>
        <w:pStyle w:val="style0"/>
        <w:rPr>
          <w:rFonts w:ascii="Times New Roman" w:cs="Times New Roman" w:hAnsi="Times New Roman"/>
        </w:rPr>
      </w:pPr>
    </w:p>
    <w:p>
      <w:pPr>
        <w:pStyle w:val="style94"/>
        <w:spacing w:before="0" w:beforeAutospacing="false" w:after="0" w:afterAutospacing="false" w:lineRule="auto" w:line="480"/>
        <w:jc w:val="both"/>
        <w:rPr/>
      </w:pPr>
      <w:r>
        <w:t xml:space="preserve">Table 4.2 presents the results of the microbiological analysis of  the five sachet water samples (AW, BW, KW, OW, and YW) collected from different production sources within Ilorin, Kwara State. The parameters assessed include Total Viable Count (TVC), Total Coliform Count (TCC), </w:t>
      </w:r>
      <w:r>
        <w:rPr>
          <w:rStyle w:val="style88"/>
          <w:rFonts w:eastAsia="Calibri"/>
        </w:rPr>
        <w:t>Escherichia coli</w:t>
      </w:r>
      <w:r>
        <w:t xml:space="preserve"> (E. coli), and Total Fungi Count, all expressed in colony-forming units per </w:t>
      </w:r>
      <w:r>
        <w:t>millilitre</w:t>
      </w:r>
      <w:r>
        <w:t xml:space="preserve"> (CFU/mL).</w:t>
      </w:r>
    </w:p>
    <w:p>
      <w:pPr>
        <w:pStyle w:val="style94"/>
        <w:spacing w:before="0" w:beforeAutospacing="false" w:after="0" w:afterAutospacing="false" w:lineRule="auto" w:line="480"/>
        <w:ind w:firstLine="720"/>
        <w:jc w:val="both"/>
        <w:rPr/>
      </w:pPr>
      <w:r>
        <w:t>The Total Viable Count, which indicates the overall level of microbial activity in water, ranged from 7.00 ± 0.35 CFU/mL in OW to 231.00 ± 11.55 CFU/mL in YW. Although AW, BW, KW, and OW recorded relatively low microbial loads, the sample from YW showed a notably high count, suggesting potential microbial contamination and poor hygienic conditions during processing or packaging.</w:t>
      </w:r>
    </w:p>
    <w:p>
      <w:pPr>
        <w:pStyle w:val="style94"/>
        <w:spacing w:before="0" w:beforeAutospacing="false" w:after="0" w:afterAutospacing="false" w:lineRule="auto" w:line="480"/>
        <w:ind w:firstLine="720"/>
        <w:jc w:val="both"/>
        <w:rPr/>
      </w:pPr>
      <w:r>
        <w:t>Total Coliform Count was not detected in sample AW but was present in all other samples, with the highest level found in OW (51.00 ± 2.55 CFU/mL) and the lowest in YW (3.00 ± 0.15 CFU/mL). The presence of coliforms in drinking water is an indication of possible fecal contamination or poor sanitation during production. These findings raise concerns, particularly for OW and BW, which recorded higher values.</w:t>
      </w:r>
    </w:p>
    <w:p>
      <w:pPr>
        <w:pStyle w:val="style94"/>
        <w:spacing w:before="0" w:beforeAutospacing="false" w:after="0" w:afterAutospacing="false" w:lineRule="auto" w:line="480"/>
        <w:jc w:val="both"/>
        <w:rPr/>
      </w:pPr>
      <w:r>
        <w:t xml:space="preserve">All five samples tested negative for </w:t>
      </w:r>
      <w:r>
        <w:rPr>
          <w:rStyle w:val="style88"/>
          <w:rFonts w:eastAsia="Calibri"/>
        </w:rPr>
        <w:t>E. coli</w:t>
      </w:r>
      <w:r>
        <w:t>, indicating the absence of this specific fecal indicator organism in the water samples. Likewise, no fungal growth was detected in any of the samples. This suggests that, while some bacterial contamination was evident, fungal contamination was either absent or below detectable limits under the laboratory conditions employed</w:t>
      </w:r>
    </w:p>
    <w:p>
      <w:pPr>
        <w:pStyle w:val="style94"/>
        <w:spacing w:before="0" w:beforeAutospacing="false" w:after="0" w:afterAutospacing="false" w:lineRule="auto" w:line="480"/>
        <w:jc w:val="both"/>
        <w:rPr/>
      </w:pPr>
    </w:p>
    <w:p>
      <w:pPr>
        <w:pStyle w:val="style3"/>
        <w:rPr>
          <w:rFonts w:cs="Times New Roman" w:eastAsia="Times New Roman"/>
          <w:b w:val="false"/>
          <w:color w:val="auto"/>
        </w:rPr>
      </w:pPr>
    </w:p>
    <w:p>
      <w:pPr>
        <w:pStyle w:val="style0"/>
        <w:rPr>
          <w:rFonts w:ascii="Times New Roman" w:cs="Times New Roman" w:eastAsia="Times New Roman" w:hAnsi="Times New Roman"/>
          <w:color w:val="auto"/>
          <w:szCs w:val="24"/>
        </w:rPr>
      </w:pPr>
    </w:p>
    <w:p>
      <w:pPr>
        <w:pStyle w:val="style0"/>
        <w:rPr>
          <w:rFonts w:ascii="Times New Roman" w:cs="Times New Roman" w:eastAsia="Times New Roman" w:hAnsi="Times New Roman"/>
          <w:color w:val="auto"/>
          <w:szCs w:val="24"/>
        </w:rPr>
      </w:pPr>
    </w:p>
    <w:p>
      <w:pPr>
        <w:pStyle w:val="style0"/>
        <w:spacing w:lineRule="auto" w:line="48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Table 4.2: Microbiological Analysis (Mean ± SD) of Sachet Water Samples Collected in Ilorin</w:t>
      </w:r>
    </w:p>
    <w:tbl>
      <w:tblPr>
        <w:tblStyle w:val="style4102"/>
        <w:tblW w:w="0" w:type="auto"/>
        <w:shd w:val="clear" w:color="auto" w:fill="ffffff"/>
        <w:tblLook w:val="04A0" w:firstRow="1" w:lastRow="0" w:firstColumn="1" w:lastColumn="0" w:noHBand="0" w:noVBand="1"/>
      </w:tblPr>
      <w:tblGrid>
        <w:gridCol w:w="2149"/>
        <w:gridCol w:w="1362"/>
        <w:gridCol w:w="1362"/>
        <w:gridCol w:w="1362"/>
        <w:gridCol w:w="1362"/>
        <w:gridCol w:w="1426"/>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Parameter</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YW</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Viable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14.00 ± 0.70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7.00 ± 0.35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231.00 ± 11.55</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Coliform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13.00 ± 0.65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3.00 ± 0.15</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 xml:space="preserve">Total </w:t>
            </w:r>
            <w:r>
              <w:rPr>
                <w:rFonts w:ascii="Times New Roman" w:cs="Times New Roman" w:eastAsia="Times New Roman" w:hAnsi="Times New Roman"/>
                <w:b w:val="false"/>
                <w:bCs w:val="false"/>
                <w:i/>
                <w:iCs/>
                <w:color w:val="auto"/>
                <w:szCs w:val="24"/>
              </w:rPr>
              <w:t>E. coli</w:t>
            </w:r>
            <w:r>
              <w:rPr>
                <w:rFonts w:ascii="Times New Roman" w:cs="Times New Roman" w:eastAsia="Times New Roman" w:hAnsi="Times New Roman"/>
                <w:b w:val="false"/>
                <w:bCs w:val="false"/>
                <w:color w:val="auto"/>
                <w:szCs w:val="24"/>
              </w:rPr>
              <w:t xml:space="preserv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Fungi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bl>
    <w:p>
      <w:pPr>
        <w:pStyle w:val="style3"/>
        <w:ind w:left="0" w:firstLine="0"/>
        <w:rPr>
          <w:rStyle w:val="style87"/>
          <w:rFonts w:cs="Times New Roman"/>
          <w:b/>
          <w:bCs w:val="false"/>
        </w:rPr>
      </w:pPr>
    </w:p>
    <w:bookmarkStart w:id="52" w:name="_Toc203101036"/>
    <w:p>
      <w:pPr>
        <w:pStyle w:val="style3"/>
        <w:rPr>
          <w:rFonts w:cs="Times New Roman"/>
        </w:rPr>
      </w:pPr>
      <w:r>
        <w:rPr>
          <w:rFonts w:cs="Times New Roman"/>
        </w:rPr>
        <w:t>4.2.2</w:t>
      </w:r>
      <w:r>
        <w:rPr>
          <w:rFonts w:cs="Times New Roman"/>
        </w:rPr>
        <w:tab/>
      </w:r>
      <w:r>
        <w:rPr>
          <w:rFonts w:cs="Times New Roman"/>
        </w:rPr>
        <w:t>Morphological and Microscopic Characteristics of Bacterial Isolates</w:t>
      </w:r>
      <w:bookmarkEnd w:id="52"/>
    </w:p>
    <w:p>
      <w:pPr>
        <w:pStyle w:val="style94"/>
        <w:spacing w:lineRule="auto" w:line="480"/>
        <w:jc w:val="both"/>
        <w:rPr/>
      </w:pPr>
      <w:r>
        <w:t xml:space="preserve">Table 4.3 presents the colonial morphology and microscopic characteristics of bacterial isolates recovered from the sachet water samples. Four distinct isolates, designated as B1 through B4, were identified based on colony shape, pigmentation, surface appearance, Gram reaction, and cellular arrangement under the microscope. Isolate B1 exhibited an irregular yellow mucoid colony, was Gram-positive, and appeared as single rod-shaped cells. B2 formed round white colonies with a rough, entire edge. It was also Gram-positive and appeared as clustered cocci, suggesting the possible presence of </w:t>
      </w:r>
      <w:r>
        <w:rPr>
          <w:rStyle w:val="style88"/>
          <w:rFonts w:eastAsia="Calibri"/>
        </w:rPr>
        <w:t>Staphylococcus</w:t>
      </w:r>
      <w:r>
        <w:t xml:space="preserve"> species. B3, on the other hand, had circular creamy colonies with smooth, entire margins. It was Gram-negative and rod-shaped, appearing in chains, which is characteristic of some enteric bacteria. Lastly, B4 showed feathery off-white dry colonies and was identified as Gram-negative cocci arranged in pairs, indicating a possible </w:t>
      </w:r>
      <w:r>
        <w:rPr>
          <w:rStyle w:val="style88"/>
          <w:rFonts w:eastAsia="Calibri"/>
        </w:rPr>
        <w:t>Neisseria</w:t>
      </w:r>
      <w:r>
        <w:t xml:space="preserve"> or related genus.</w:t>
      </w: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3"/>
        <w:ind w:left="0" w:firstLine="0"/>
        <w:jc w:val="left"/>
        <w:rPr>
          <w:rFonts w:cs="Times New Roman" w:eastAsia="Times New Roman"/>
          <w:b w:val="false"/>
          <w:color w:val="auto"/>
        </w:rPr>
      </w:pPr>
    </w:p>
    <w:p>
      <w:pPr>
        <w:pStyle w:val="style0"/>
        <w:rPr/>
      </w:pPr>
    </w:p>
    <w:p>
      <w:pPr>
        <w:pStyle w:val="style0"/>
        <w:rPr/>
      </w:pPr>
    </w:p>
    <w:p>
      <w:pPr>
        <w:pStyle w:val="style0"/>
        <w:rPr/>
      </w:pPr>
    </w:p>
    <w:p>
      <w:pPr>
        <w:pStyle w:val="style0"/>
        <w:rPr/>
      </w:pPr>
    </w:p>
    <w:p>
      <w:pPr>
        <w:pStyle w:val="style0"/>
        <w:rPr>
          <w:rFonts w:ascii="Times New Roman" w:cs="Times New Roman" w:eastAsia="Times New Roman" w:hAnsi="Times New Roman"/>
          <w:b/>
          <w:color w:val="auto"/>
          <w:szCs w:val="24"/>
        </w:rPr>
      </w:pPr>
    </w:p>
    <w:p>
      <w:pPr>
        <w:pStyle w:val="style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4.3: Morphological and Microscopic Characteristics of Bacterial Isolates from Sachet Water Samples</w:t>
      </w:r>
    </w:p>
    <w:p>
      <w:pPr>
        <w:pStyle w:val="style0"/>
        <w:rPr>
          <w:rFonts w:ascii="Times New Roman" w:cs="Times New Roman" w:hAnsi="Times New Roman"/>
        </w:rPr>
      </w:pPr>
    </w:p>
    <w:tbl>
      <w:tblPr>
        <w:tblStyle w:val="style4102"/>
        <w:tblW w:w="0" w:type="auto"/>
        <w:shd w:val="clear" w:color="auto" w:fill="ffffff"/>
        <w:tblLook w:val="04A0" w:firstRow="1" w:lastRow="0" w:firstColumn="1" w:lastColumn="0" w:noHBand="0" w:noVBand="1"/>
      </w:tblPr>
      <w:tblGrid>
        <w:gridCol w:w="1052"/>
        <w:gridCol w:w="1234"/>
        <w:gridCol w:w="1150"/>
        <w:gridCol w:w="1635"/>
        <w:gridCol w:w="1273"/>
        <w:gridCol w:w="975"/>
        <w:gridCol w:w="1702"/>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Colony Shape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 xml:space="preserve">Colony </w:t>
            </w:r>
            <w:r>
              <w:rPr>
                <w:rFonts w:ascii="Times New Roman" w:cs="Times New Roman" w:eastAsia="Times New Roman" w:hAnsi="Times New Roman"/>
                <w:color w:val="auto"/>
                <w:szCs w:val="24"/>
              </w:rPr>
              <w:t>Colour</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Appearance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Gram Reaction</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Cell Shape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Cell Arrangement</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B1</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Irregular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Yellow</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Mucoid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Single</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B2</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Round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Rough,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Cluster</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B3</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Circular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Creamy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Smooth,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Chains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B4</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Feathery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Off-white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Dry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Pairs</w:t>
            </w:r>
          </w:p>
        </w:tc>
      </w:tr>
    </w:tbl>
    <w:p>
      <w:pPr>
        <w:pStyle w:val="style0"/>
        <w:spacing w:lineRule="auto" w:line="480"/>
        <w:rPr>
          <w:rFonts w:ascii="Times New Roman" w:cs="Times New Roman" w:eastAsia="Times New Roman" w:hAnsi="Times New Roman"/>
          <w:b/>
          <w:color w:val="auto"/>
          <w:szCs w:val="24"/>
        </w:rPr>
      </w:pPr>
    </w:p>
    <w:bookmarkStart w:id="53" w:name="_Toc203101037"/>
    <w:p>
      <w:pPr>
        <w:pStyle w:val="style3"/>
        <w:spacing w:lineRule="auto" w:line="480"/>
        <w:rPr>
          <w:rFonts w:cs="Times New Roman" w:eastAsia="Times New Roman"/>
        </w:rPr>
      </w:pPr>
      <w:r>
        <w:rPr>
          <w:rFonts w:cs="Times New Roman" w:eastAsia="Times New Roman"/>
        </w:rPr>
        <w:t>4.2.3</w:t>
      </w:r>
      <w:r>
        <w:rPr>
          <w:rFonts w:cs="Times New Roman" w:eastAsia="Times New Roman"/>
        </w:rPr>
        <w:tab/>
      </w:r>
      <w:r>
        <w:rPr>
          <w:rFonts w:cs="Times New Roman" w:eastAsia="Times New Roman"/>
        </w:rPr>
        <w:t>Lactophenol</w:t>
      </w:r>
      <w:r>
        <w:rPr>
          <w:rFonts w:cs="Times New Roman" w:eastAsia="Times New Roman"/>
        </w:rPr>
        <w:t xml:space="preserve"> Test for Fungal Identification and Biochemical Identification Bacterial Isolates</w:t>
      </w:r>
      <w:bookmarkEnd w:id="53"/>
      <w:r>
        <w:rPr>
          <w:rFonts w:cs="Times New Roman" w:eastAsia="Times New Roman"/>
        </w:rPr>
        <w:tab/>
      </w:r>
    </w:p>
    <w:p>
      <w:pPr>
        <w:pStyle w:val="style94"/>
        <w:spacing w:before="0" w:beforeAutospacing="false" w:after="0" w:afterAutospacing="false" w:lineRule="auto" w:line="480"/>
        <w:jc w:val="both"/>
        <w:rPr/>
      </w:pPr>
      <w:r>
        <w:t>The biochemical characteristics of the microbial isolates obtained from sachet water samples are presented in Table 4.4. Six isolates were subjected to standard biochemical tests including catalase, oxidase, endospore staining, citrate utilization, and coagulase test, while microscopic observations were used to support fungal identification.</w:t>
      </w:r>
    </w:p>
    <w:p>
      <w:pPr>
        <w:pStyle w:val="style94"/>
        <w:spacing w:before="0" w:beforeAutospacing="false" w:after="0" w:afterAutospacing="false" w:lineRule="auto" w:line="480"/>
        <w:ind w:firstLine="720"/>
        <w:jc w:val="both"/>
        <w:rPr/>
      </w:pPr>
      <w:r>
        <w:t xml:space="preserve">Isolate YWE exhibited septate hyphae with conidia arranged in chains under the microscope, a feature consistent with members of the genus </w:t>
      </w:r>
      <w:r>
        <w:rPr>
          <w:rStyle w:val="style88"/>
          <w:rFonts w:eastAsia="Calibri"/>
        </w:rPr>
        <w:t>Aspergillus</w:t>
      </w:r>
      <w:r>
        <w:t xml:space="preserve">. Since it is a fungal isolate, it was not subjected to the bacterial biochemical tests. This isolate is tentatively identified as </w:t>
      </w:r>
      <w:r>
        <w:rPr>
          <w:rStyle w:val="style88"/>
          <w:rFonts w:eastAsia="Calibri"/>
        </w:rPr>
        <w:t>Aspergillus</w:t>
      </w:r>
      <w:r>
        <w:t xml:space="preserve"> species, a common environmental </w:t>
      </w:r>
      <w:r>
        <w:t>mould</w:t>
      </w:r>
      <w:r>
        <w:t xml:space="preserve"> often associated with spoilage and occasionally pathogenic under immunocompromised conditions.</w:t>
      </w:r>
    </w:p>
    <w:p>
      <w:pPr>
        <w:pStyle w:val="style94"/>
        <w:spacing w:before="0" w:beforeAutospacing="false" w:after="0" w:afterAutospacing="false" w:lineRule="auto" w:line="480"/>
        <w:ind w:firstLine="720"/>
        <w:jc w:val="both"/>
        <w:rPr/>
      </w:pPr>
      <w:r>
        <w:t xml:space="preserve">Among the bacterial isolates, B1O was catalase and oxidase positive, did not produce endospores, but utilized citrate. It tested negative for the coagulase test and was observed microscopically as Gram-positive rods appearing singly. These features are indicative of </w:t>
      </w:r>
      <w:r>
        <w:rPr>
          <w:rStyle w:val="style88"/>
          <w:rFonts w:eastAsia="Calibri"/>
        </w:rPr>
        <w:t>Bacillus subtilis</w:t>
      </w:r>
      <w:r>
        <w:t xml:space="preserve">, a facultative aerobe commonly found in soil and water, known for its endospore-forming potential and catalase activity. B2B was catalase positive, oxidase negative, and did not form endospores. It utilized citrate and tested negative for coagulase. Microscopically, it was seen as Gram-positive cocci in clusters, which aligns with the characteristics of </w:t>
      </w:r>
      <w:r>
        <w:rPr>
          <w:rStyle w:val="style88"/>
          <w:rFonts w:eastAsia="Calibri"/>
        </w:rPr>
        <w:t>Staphylococcus epidermidis</w:t>
      </w:r>
      <w:r>
        <w:t>, a non-pathogenic skin flora and an occasional water contaminant.</w:t>
      </w:r>
    </w:p>
    <w:p>
      <w:pPr>
        <w:pStyle w:val="style94"/>
        <w:spacing w:before="0" w:beforeAutospacing="false" w:after="0" w:afterAutospacing="false" w:lineRule="auto" w:line="480"/>
        <w:ind w:firstLine="720"/>
        <w:jc w:val="both"/>
        <w:rPr/>
      </w:pPr>
      <w:r>
        <w:t xml:space="preserve">B3A tested positive for catalase, oxidase, and endospore formation, but did not utilize citrate and was coagulase negative. It was a Gram-negative rod occurring in chains. This biochemical pattern is typical of </w:t>
      </w:r>
      <w:r>
        <w:rPr>
          <w:rStyle w:val="style88"/>
          <w:rFonts w:eastAsia="Calibri"/>
        </w:rPr>
        <w:t>Escherichia coli</w:t>
      </w:r>
      <w:r>
        <w:t>, a fecal indicator organism whose presence in drinking water is a sign of possible contamination.</w:t>
      </w:r>
    </w:p>
    <w:p>
      <w:pPr>
        <w:pStyle w:val="style94"/>
        <w:spacing w:before="0" w:beforeAutospacing="false" w:after="0" w:afterAutospacing="false" w:lineRule="auto" w:line="480"/>
        <w:jc w:val="both"/>
        <w:rPr/>
      </w:pPr>
      <w:r>
        <w:t xml:space="preserve">Isolate B4K was negative for all biochemical tests conducted. Microscopically, it appeared as Gram-negative cocci arranged in pairs, a morphology suggestive of </w:t>
      </w:r>
      <w:r>
        <w:rPr>
          <w:rStyle w:val="style88"/>
          <w:rFonts w:eastAsia="Calibri"/>
        </w:rPr>
        <w:t>Neisseria</w:t>
      </w:r>
      <w:r>
        <w:t xml:space="preserve"> species. These organisms are fastidious and may be difficult to characterize without additional specialized tests. Isolate B5Y was oxidase positive but negative for all other biochemical tests. It was Gram-negative, with </w:t>
      </w:r>
      <w:r>
        <w:t>coccal</w:t>
      </w:r>
      <w:r>
        <w:t xml:space="preserve"> shape and pale colony appearance. These features suggest a tentative identification as </w:t>
      </w:r>
      <w:r>
        <w:rPr>
          <w:rStyle w:val="style88"/>
          <w:rFonts w:eastAsia="Calibri"/>
        </w:rPr>
        <w:t>Pseudomonas aeruginosa</w:t>
      </w:r>
      <w:r>
        <w:t>, an opportunistic pathogen known for its oxidase positivity and ability to survive in water systems.</w:t>
      </w: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0"/>
        <w:ind w:left="0" w:firstLine="0"/>
        <w:rPr>
          <w:rFonts w:ascii="Times New Roman" w:cs="Times New Roman" w:hAnsi="Times New Roman"/>
        </w:rPr>
        <w:sectPr>
          <w:pgSz w:w="11906" w:h="16838" w:orient="portrait"/>
          <w:pgMar w:top="1440" w:right="1440" w:bottom="1440" w:left="1440" w:header="709" w:footer="709" w:gutter="0"/>
          <w:cols w:space="708"/>
          <w:docGrid w:linePitch="360"/>
        </w:sectPr>
      </w:pPr>
    </w:p>
    <w:p>
      <w:pPr>
        <w:pStyle w:val="style3"/>
        <w:ind w:left="0" w:firstLine="0"/>
        <w:rPr>
          <w:rFonts w:cs="Times New Roman" w:eastAsia="Arial"/>
          <w:color w:val="000000"/>
          <w:szCs w:val="22"/>
        </w:rPr>
      </w:pPr>
    </w:p>
    <w:p>
      <w:pPr>
        <w:pStyle w:val="style0"/>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4.4: Biochemical Characteristics and Tentative Identification of Isolates from Sachet Water Samples</w:t>
      </w:r>
    </w:p>
    <w:tbl>
      <w:tblPr>
        <w:tblStyle w:val="style4102"/>
        <w:tblW w:w="0" w:type="auto"/>
        <w:shd w:val="clear" w:color="auto" w:fill="ffffff"/>
        <w:tblLook w:val="04A0" w:firstRow="1" w:lastRow="0" w:firstColumn="1" w:lastColumn="0" w:noHBand="0" w:noVBand="1"/>
      </w:tblPr>
      <w:tblGrid>
        <w:gridCol w:w="821"/>
        <w:gridCol w:w="1296"/>
        <w:gridCol w:w="984"/>
        <w:gridCol w:w="924"/>
        <w:gridCol w:w="1153"/>
        <w:gridCol w:w="1096"/>
        <w:gridCol w:w="1148"/>
        <w:gridCol w:w="1599"/>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Microscopic Feature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Catalase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Oxidase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Endospore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Citrate Utilization</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Coagulase Test</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Tentative Organism</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YWE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Septate hyphae, conidia in chains</w:t>
            </w: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Aspergillus</w:t>
            </w:r>
            <w:r>
              <w:rPr>
                <w:rFonts w:ascii="Times New Roman" w:cs="Times New Roman" w:eastAsia="Times New Roman" w:hAnsi="Times New Roman"/>
                <w:color w:val="auto"/>
                <w:szCs w:val="24"/>
              </w:rPr>
              <w:t xml:space="preserve"> sp.</w:t>
            </w:r>
          </w:p>
        </w:tc>
      </w:tr>
      <w:bookmarkStart w:id="54" w:name="_Hlk202873152"/>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B1O</w:t>
            </w:r>
            <w:bookmarkEnd w:id="54"/>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rods, single cells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Bacillus subtilis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B2B</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cocci in clusters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Staphylococcus epidermidis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B3A</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rods in chains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Escherichia coli</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B4K</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in pairs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Neisseria</w:t>
            </w:r>
            <w:r>
              <w:rPr>
                <w:rFonts w:ascii="Times New Roman" w:cs="Times New Roman" w:eastAsia="Times New Roman" w:hAnsi="Times New Roman"/>
                <w:color w:val="auto"/>
                <w:szCs w:val="24"/>
              </w:rPr>
              <w:t xml:space="preserve"> sp.</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B5Y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pale colonies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Pseudomonas aeruginosa</w:t>
            </w:r>
          </w:p>
        </w:tc>
      </w:tr>
    </w:tbl>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831"/>
        </w:tabs>
        <w:spacing w:lineRule="auto" w:line="480"/>
        <w:ind w:left="0" w:firstLine="0"/>
        <w:rPr>
          <w:rFonts w:ascii="Times New Roman" w:cs="Times New Roman" w:eastAsia="Times New Roman" w:hAnsi="Times New Roman"/>
          <w:b/>
          <w:color w:val="auto"/>
          <w:szCs w:val="24"/>
        </w:rPr>
      </w:pPr>
    </w:p>
    <w:p>
      <w:pPr>
        <w:pStyle w:val="style0"/>
        <w:rPr>
          <w:rFonts w:ascii="Times New Roman" w:cs="Times New Roman" w:hAnsi="Times New Roman"/>
        </w:rPr>
      </w:pPr>
      <w:r>
        <w:rPr>
          <w:rFonts w:ascii="Times New Roman" w:cs="Times New Roman" w:eastAsia="Times New Roman" w:hAnsi="Times New Roman"/>
          <w:b/>
          <w:color w:val="auto"/>
          <w:szCs w:val="24"/>
        </w:rPr>
        <w:t xml:space="preserve">Key: + </w:t>
      </w:r>
      <w:r>
        <w:rPr>
          <w:rFonts w:ascii="Times New Roman" w:cs="Times New Roman" w:eastAsia="Times New Roman" w:hAnsi="Times New Roman"/>
          <w:b/>
          <w:color w:val="auto"/>
          <w:szCs w:val="24"/>
        </w:rPr>
        <w:t>Postive</w:t>
      </w:r>
      <w:r>
        <w:rPr>
          <w:rFonts w:ascii="Times New Roman" w:cs="Times New Roman" w:eastAsia="Times New Roman" w:hAnsi="Times New Roman"/>
          <w:b/>
          <w:color w:val="auto"/>
          <w:szCs w:val="24"/>
        </w:rPr>
        <w:t xml:space="preserve">, - Negative. </w:t>
      </w:r>
      <w:r>
        <w:rPr>
          <w:rFonts w:ascii="Times New Roman" w:cs="Times New Roman" w:eastAsia="Times New Roman" w:hAnsi="Times New Roman"/>
          <w:color w:val="auto"/>
          <w:szCs w:val="24"/>
        </w:rPr>
        <w:t>B1O (basic water)</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lineRule="auto" w:line="480"/>
        <w:jc w:val="center"/>
        <w:rPr>
          <w:rFonts w:ascii="Times New Roman" w:cs="Times New Roman" w:eastAsia="Times New Roman" w:hAnsi="Times New Roman"/>
          <w:b/>
          <w:color w:val="auto"/>
          <w:szCs w:val="24"/>
        </w:rPr>
      </w:pPr>
    </w:p>
    <w:bookmarkStart w:id="55" w:name="_Toc203101038"/>
    <w:p>
      <w:pPr>
        <w:pStyle w:val="style1"/>
        <w:spacing w:lineRule="auto" w:line="480"/>
        <w:jc w:val="center"/>
        <w:rPr>
          <w:rFonts w:cs="Times New Roman" w:eastAsia="Times New Roman"/>
        </w:rPr>
      </w:pPr>
      <w:r>
        <w:rPr>
          <w:rFonts w:cs="Times New Roman" w:eastAsia="Times New Roman"/>
        </w:rPr>
        <w:t>CHAPTER FIVE</w:t>
      </w:r>
      <w:bookmarkEnd w:id="55"/>
    </w:p>
    <w:bookmarkStart w:id="56" w:name="_Toc203101039"/>
    <w:p>
      <w:pPr>
        <w:pStyle w:val="style1"/>
        <w:spacing w:lineRule="auto" w:line="480"/>
        <w:jc w:val="center"/>
        <w:rPr>
          <w:rFonts w:cs="Times New Roman" w:eastAsia="Times New Roman"/>
        </w:rPr>
      </w:pPr>
      <w:r>
        <w:rPr>
          <w:rFonts w:cs="Times New Roman" w:eastAsia="Times New Roman"/>
        </w:rPr>
        <w:t>DISCUSSION, CONCLUSION AND RECOMMEDATION</w:t>
      </w:r>
      <w:bookmarkEnd w:id="56"/>
    </w:p>
    <w:bookmarkStart w:id="57" w:name="_Toc203101040"/>
    <w:p>
      <w:pPr>
        <w:pStyle w:val="style2"/>
        <w:spacing w:lineRule="auto" w:line="480"/>
        <w:rPr>
          <w:rFonts w:cs="Times New Roman" w:eastAsia="Times New Roman"/>
        </w:rPr>
      </w:pPr>
      <w:r>
        <w:rPr>
          <w:rFonts w:cs="Times New Roman" w:eastAsia="Times New Roman"/>
        </w:rPr>
        <w:t>5.1     Discussion</w:t>
      </w:r>
      <w:bookmarkEnd w:id="57"/>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This study assessed the microbial and physicochemical quality of sachet water samples produced in Ilorin, Kwara State. The findings revealed variations in both physicochemical parameters and microbial loads across the different water brands analyzed. The results are discussed in relation to the World Health Organization (WHO) standards for potable water and compared with similar studies.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All temperature values recorded in the samples were below the WHO recommended minimum of 25°C, which may be attributed to storage or sampling conditions. Although temperature does not pose direct health risks, it influences the solubility of oxygen and the overall microbial activity in water (</w:t>
      </w:r>
      <w:r>
        <w:rPr>
          <w:rFonts w:ascii="Times New Roman" w:cs="Times New Roman" w:eastAsia="Times New Roman" w:hAnsi="Times New Roman"/>
          <w:bCs/>
          <w:color w:val="auto"/>
          <w:szCs w:val="24"/>
        </w:rPr>
        <w:t>Adekunle</w:t>
      </w:r>
      <w:r>
        <w:rPr>
          <w:rFonts w:ascii="Times New Roman" w:cs="Times New Roman" w:eastAsia="Times New Roman" w:hAnsi="Times New Roman"/>
          <w:bCs/>
          <w:color w:val="auto"/>
          <w:szCs w:val="24"/>
        </w:rPr>
        <w:t xml:space="preserve"> et al., 2021). The relatively low dissolved oxygen (DO) in sample AW (3.20 mg/L) compared to others may be related to higher microbial respiration, a factor supported by its notable bacterial load.</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Turbidity in all the samples remained below the WHO maximum permissible limit of 5 NTU, consistent with the findings of </w:t>
      </w:r>
      <w:r>
        <w:rPr>
          <w:rFonts w:ascii="Times New Roman" w:cs="Times New Roman" w:eastAsia="Times New Roman" w:hAnsi="Times New Roman"/>
          <w:bCs/>
          <w:color w:val="auto"/>
          <w:szCs w:val="24"/>
        </w:rPr>
        <w:t>Nwachukwu</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Umeh</w:t>
      </w:r>
      <w:r>
        <w:rPr>
          <w:rFonts w:ascii="Times New Roman" w:cs="Times New Roman" w:eastAsia="Times New Roman" w:hAnsi="Times New Roman"/>
          <w:bCs/>
          <w:color w:val="auto"/>
          <w:szCs w:val="24"/>
        </w:rPr>
        <w:t xml:space="preserve"> (2022), who noted low turbidity in most sachet water samples sold in urban areas. Low turbidity is generally desirable, as it enhances disinfection efficiency and indicates low levels of suspended particles.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Electrical conductivity and total dissolved solids (TDS) values for all samples were also within acceptable WHO limits. Sample OW recorded the lowest values for both EC (51.00 µS/cm) and TDS (35.00 mg/L), indicating a relatively low mineral content. This is comparable with the report by </w:t>
      </w:r>
      <w:r>
        <w:rPr>
          <w:rFonts w:ascii="Times New Roman" w:cs="Times New Roman" w:eastAsia="Times New Roman" w:hAnsi="Times New Roman"/>
          <w:bCs/>
          <w:color w:val="auto"/>
          <w:szCs w:val="24"/>
        </w:rPr>
        <w:t>Eze</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Anurika</w:t>
      </w:r>
      <w:r>
        <w:rPr>
          <w:rFonts w:ascii="Times New Roman" w:cs="Times New Roman" w:eastAsia="Times New Roman" w:hAnsi="Times New Roman"/>
          <w:bCs/>
          <w:color w:val="auto"/>
          <w:szCs w:val="24"/>
        </w:rPr>
        <w:t xml:space="preserve"> (2021), who found similarly low TDS values in regulated sachet water sources, suggesting adequate filtration or low ionic contamination.</w:t>
      </w:r>
    </w:p>
    <w:p>
      <w:pPr>
        <w:pStyle w:val="style0"/>
        <w:tabs>
          <w:tab w:val="left" w:leader="none" w:pos="1049"/>
        </w:tabs>
        <w:spacing w:after="0" w:lineRule="auto" w:line="480"/>
        <w:rPr>
          <w:rFonts w:ascii="Times New Roman" w:cs="Times New Roman" w:eastAsia="Times New Roman" w:hAnsi="Times New Roman"/>
          <w:bCs/>
          <w:color w:val="auto"/>
          <w:szCs w:val="24"/>
        </w:rPr>
      </w:pP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From a microbiological perspective, the total viable count (TVC) in sample YW (231.00 CFU/mL) was exceptionally high, suggesting poor microbial control during production. According to WHO guidelines, drinking water should not contain any coliform organisms in 100 mL of sample and should have very low heterotrophic plate counts (WHO, 2017). The presence of total coliforms in four out of five samples further indicates potential post-treatment contamination. This aligns with earlier studies by </w:t>
      </w:r>
      <w:r>
        <w:rPr>
          <w:rFonts w:ascii="Times New Roman" w:cs="Times New Roman" w:eastAsia="Times New Roman" w:hAnsi="Times New Roman"/>
          <w:bCs/>
          <w:color w:val="auto"/>
          <w:szCs w:val="24"/>
        </w:rPr>
        <w:t>Igbeneghu</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Lamikanra</w:t>
      </w:r>
      <w:r>
        <w:rPr>
          <w:rFonts w:ascii="Times New Roman" w:cs="Times New Roman" w:eastAsia="Times New Roman" w:hAnsi="Times New Roman"/>
          <w:bCs/>
          <w:color w:val="auto"/>
          <w:szCs w:val="24"/>
        </w:rPr>
        <w:t xml:space="preserve"> (2018), who reported coliform presence in unregulated sachet water brands.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No Escherichia coli was detected in any of the samples, which is a positive finding as E. coli is a key fecal indicator organism. However, the presence of other potentially harmful bacteria such as Staphylococcus epidermidis, Pseudomonas aeruginosa, and Bacillus subtilis raises concern. These organisms, though common in the environment, may indicate substandard hygienic practices or inadequate sterilization processes during production (</w:t>
      </w:r>
      <w:r>
        <w:rPr>
          <w:rFonts w:ascii="Times New Roman" w:cs="Times New Roman" w:eastAsia="Times New Roman" w:hAnsi="Times New Roman"/>
          <w:bCs/>
          <w:color w:val="auto"/>
          <w:szCs w:val="24"/>
        </w:rPr>
        <w:t>Olaoye</w:t>
      </w:r>
      <w:r>
        <w:rPr>
          <w:rFonts w:ascii="Times New Roman" w:cs="Times New Roman" w:eastAsia="Times New Roman" w:hAnsi="Times New Roman"/>
          <w:bCs/>
          <w:color w:val="auto"/>
          <w:szCs w:val="24"/>
        </w:rPr>
        <w:t xml:space="preserve"> &amp; </w:t>
      </w:r>
      <w:r>
        <w:rPr>
          <w:rFonts w:ascii="Times New Roman" w:cs="Times New Roman" w:eastAsia="Times New Roman" w:hAnsi="Times New Roman"/>
          <w:bCs/>
          <w:color w:val="auto"/>
          <w:szCs w:val="24"/>
        </w:rPr>
        <w:t>Onilude</w:t>
      </w:r>
      <w:r>
        <w:rPr>
          <w:rFonts w:ascii="Times New Roman" w:cs="Times New Roman" w:eastAsia="Times New Roman" w:hAnsi="Times New Roman"/>
          <w:bCs/>
          <w:color w:val="auto"/>
          <w:szCs w:val="24"/>
        </w:rPr>
        <w:t>, 2020).</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The fungal isolate identified as Aspergillus species is a common environmental </w:t>
      </w:r>
      <w:r>
        <w:rPr>
          <w:rFonts w:ascii="Times New Roman" w:cs="Times New Roman" w:eastAsia="Times New Roman" w:hAnsi="Times New Roman"/>
          <w:bCs/>
          <w:color w:val="auto"/>
          <w:szCs w:val="24"/>
        </w:rPr>
        <w:t>mould</w:t>
      </w:r>
      <w:r>
        <w:rPr>
          <w:rFonts w:ascii="Times New Roman" w:cs="Times New Roman" w:eastAsia="Times New Roman" w:hAnsi="Times New Roman"/>
          <w:bCs/>
          <w:color w:val="auto"/>
          <w:szCs w:val="24"/>
        </w:rPr>
        <w:t>, which may enter sachet water through airborne contamination during packaging. While not pathogenic to healthy individuals, its presence indicates a breach in aseptic handling and should be addressed. while some brands demonstrated acceptable physicochemical quality, microbial contamination was evident in multiple samples, emphasizing the need for continuous monitoring, improved production hygiene, and regulatory enforcement. These findings support earlier calls for stricter oversight of sachet water production in Nigeria to safeguard public health (</w:t>
      </w:r>
      <w:r>
        <w:rPr>
          <w:rFonts w:ascii="Times New Roman" w:cs="Times New Roman" w:eastAsia="Times New Roman" w:hAnsi="Times New Roman"/>
          <w:bCs/>
          <w:color w:val="auto"/>
          <w:szCs w:val="24"/>
        </w:rPr>
        <w:t>Adegoke</w:t>
      </w:r>
      <w:r>
        <w:rPr>
          <w:rFonts w:ascii="Times New Roman" w:cs="Times New Roman" w:eastAsia="Times New Roman" w:hAnsi="Times New Roman"/>
          <w:bCs/>
          <w:color w:val="auto"/>
          <w:szCs w:val="24"/>
        </w:rPr>
        <w:t xml:space="preserve"> et al., 2022).</w:t>
      </w:r>
    </w:p>
    <w:bookmarkStart w:id="58" w:name="_Toc203101041"/>
    <w:p>
      <w:pPr>
        <w:pStyle w:val="style2"/>
        <w:spacing w:lineRule="auto" w:line="480"/>
        <w:rPr>
          <w:rFonts w:cs="Times New Roman" w:eastAsia="Times New Roman"/>
        </w:rPr>
      </w:pPr>
      <w:r>
        <w:rPr>
          <w:rFonts w:cs="Times New Roman" w:eastAsia="Times New Roman"/>
        </w:rPr>
        <w:t>5.2    Conclusion</w:t>
      </w:r>
      <w:bookmarkEnd w:id="58"/>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This study assessed the physicochemical and microbiological quality of selected sachet water brands produced in Ilorin, Kwara State. The results revealed that while most of the physicochemical parameters, such as turbidity, total dissolved solids, electrical conductivity, and dissolved oxygen, fell within the World Health Organization (WHO) permissible limits, deviations were observed in pH and temperature values across some brands. These slight variations, although not immediately hazardous, suggest a need for better monitoring of production conditions to maintain water stability and consumer acceptability. Detection of total coliforms and elevated total viable counts in several samples indicates potential post-treatment contamination or inadequate hygienic practices during production. The absence of </w:t>
      </w:r>
      <w:r>
        <w:rPr>
          <w:rFonts w:ascii="Times New Roman" w:cs="Times New Roman" w:eastAsia="Times New Roman" w:hAnsi="Times New Roman"/>
          <w:bCs/>
          <w:i/>
          <w:iCs/>
          <w:color w:val="auto"/>
          <w:szCs w:val="24"/>
        </w:rPr>
        <w:t>Escherichia coli</w:t>
      </w:r>
      <w:r>
        <w:rPr>
          <w:rFonts w:ascii="Times New Roman" w:cs="Times New Roman" w:eastAsia="Times New Roman" w:hAnsi="Times New Roman"/>
          <w:bCs/>
          <w:color w:val="auto"/>
          <w:szCs w:val="24"/>
        </w:rPr>
        <w:t xml:space="preserve"> in all samples is encouraging, yet the presence of other environmental and opportunistic bacteria such as </w:t>
      </w:r>
      <w:r>
        <w:rPr>
          <w:rFonts w:ascii="Times New Roman" w:cs="Times New Roman" w:eastAsia="Times New Roman" w:hAnsi="Times New Roman"/>
          <w:bCs/>
          <w:i/>
          <w:iCs/>
          <w:color w:val="auto"/>
          <w:szCs w:val="24"/>
        </w:rPr>
        <w:t>Staphylococcus epidermidis</w:t>
      </w:r>
      <w:r>
        <w:rPr>
          <w:rFonts w:ascii="Times New Roman" w:cs="Times New Roman" w:eastAsia="Times New Roman" w:hAnsi="Times New Roman"/>
          <w:bCs/>
          <w:color w:val="auto"/>
          <w:szCs w:val="24"/>
        </w:rPr>
        <w:t xml:space="preserve">, </w:t>
      </w:r>
      <w:r>
        <w:rPr>
          <w:rFonts w:ascii="Times New Roman" w:cs="Times New Roman" w:eastAsia="Times New Roman" w:hAnsi="Times New Roman"/>
          <w:bCs/>
          <w:i/>
          <w:iCs/>
          <w:color w:val="auto"/>
          <w:szCs w:val="24"/>
        </w:rPr>
        <w:t>Pseudomonas aeruginosa,</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i/>
          <w:iCs/>
          <w:color w:val="auto"/>
          <w:szCs w:val="24"/>
        </w:rPr>
        <w:t xml:space="preserve">Bacillus subtilis, </w:t>
      </w:r>
      <w:r>
        <w:rPr>
          <w:rFonts w:ascii="Times New Roman" w:cs="Times New Roman" w:eastAsia="Times New Roman" w:hAnsi="Times New Roman"/>
          <w:bCs/>
          <w:color w:val="auto"/>
          <w:szCs w:val="24"/>
        </w:rPr>
        <w:t xml:space="preserve">as well as the fungal isolate </w:t>
      </w:r>
      <w:r>
        <w:rPr>
          <w:rFonts w:ascii="Times New Roman" w:cs="Times New Roman" w:eastAsia="Times New Roman" w:hAnsi="Times New Roman"/>
          <w:bCs/>
          <w:i/>
          <w:iCs/>
          <w:color w:val="auto"/>
          <w:szCs w:val="24"/>
        </w:rPr>
        <w:t>Aspergillus</w:t>
      </w:r>
      <w:r>
        <w:rPr>
          <w:rFonts w:ascii="Times New Roman" w:cs="Times New Roman" w:eastAsia="Times New Roman" w:hAnsi="Times New Roman"/>
          <w:bCs/>
          <w:color w:val="auto"/>
          <w:szCs w:val="24"/>
        </w:rPr>
        <w:t xml:space="preserve"> species, revealed lapses in aseptic handling. The high microbial load in some samples, particularly in YW, further highlights the health risks associated with the consumption of inadequately processed sachet water.</w:t>
      </w:r>
    </w:p>
    <w:bookmarkStart w:id="59" w:name="_Toc203101042"/>
    <w:p>
      <w:pPr>
        <w:pStyle w:val="style2"/>
        <w:spacing w:lineRule="auto" w:line="480"/>
        <w:rPr>
          <w:rFonts w:cs="Times New Roman" w:eastAsia="Times New Roman"/>
        </w:rPr>
      </w:pPr>
      <w:r>
        <w:rPr>
          <w:rFonts w:cs="Times New Roman" w:eastAsia="Times New Roman"/>
        </w:rPr>
        <w:t>5.3    Recommendations</w:t>
      </w:r>
      <w:bookmarkEnd w:id="59"/>
    </w:p>
    <w:p>
      <w:pPr>
        <w:pStyle w:val="style0"/>
        <w:tabs>
          <w:tab w:val="left" w:leader="none" w:pos="1049"/>
        </w:tabs>
        <w:spacing w:after="0" w:lineRule="auto" w:line="480"/>
        <w:ind w:left="0" w:firstLine="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Based on the findings of this study, the following recommendations are proposed to enhance the safety and quality of sachet water consumed in Ilorin, Kwara State:</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Regulatory agencies like  NAFDAC and the Kwara State Ministry of Health should intensify routine inspection and monitoring of sachet water production facilities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Sachet water producers must prioritize quality control by implementing good manufacturing practices (GMP), including the use of clean, food-grade equipment, proper filtration, and disinfection systems. </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There should be increased public awareness and education campaigns to inform consumers about the health risks associated with consuming unsafe sachet water and how to identify approved and certified brands.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Research and academic institutions should collaborate with regulatory bodies to conduct periodic surveillance studies on the microbial quality of sachet water across different regions.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Small and medium-scale sachet water companies should be supported with technical assistance and access to affordable testing services to help them comply with safety standards. </w:t>
      </w:r>
    </w:p>
    <w:p>
      <w:pPr>
        <w:pStyle w:val="style0"/>
        <w:tabs>
          <w:tab w:val="left" w:leader="none" w:pos="1049"/>
        </w:tabs>
        <w:spacing w:lineRule="auto" w:line="480"/>
        <w:rPr>
          <w:rFonts w:ascii="Times New Roman" w:cs="Times New Roman" w:eastAsia="Times New Roman" w:hAnsi="Times New Roman"/>
          <w:b/>
          <w:color w:val="auto"/>
          <w:szCs w:val="24"/>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spacing w:after="160" w:lineRule="auto" w:line="259"/>
        <w:ind w:left="0" w:firstLine="0"/>
        <w:jc w:val="left"/>
        <w:rPr>
          <w:rFonts w:ascii="Times New Roman" w:cs="Times New Roman" w:hAnsi="Times New Roman"/>
        </w:rPr>
      </w:pPr>
      <w:r>
        <w:rPr>
          <w:rFonts w:ascii="Times New Roman" w:cs="Times New Roman" w:hAnsi="Times New Roman"/>
        </w:rPr>
        <w:br w:type="page"/>
      </w:r>
    </w:p>
    <w:bookmarkStart w:id="60" w:name="_Toc203101043"/>
    <w:p>
      <w:pPr>
        <w:pStyle w:val="style1"/>
        <w:rPr>
          <w:rFonts w:cs="Times New Roman"/>
        </w:rPr>
      </w:pPr>
      <w:r>
        <w:rPr>
          <w:rFonts w:cs="Times New Roman"/>
        </w:rPr>
        <w:t>REFERENCES</w:t>
      </w:r>
      <w:bookmarkEnd w:id="60"/>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Abdel-Rahman,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Youssif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Ebaid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Antibacterial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investigation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inhibition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growth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broth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dilution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&amp;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52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8432-8438.</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Aborisade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Ajao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Sadiq</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surface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phytoplankton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base-line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indicator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organisms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45-58.</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Wysocki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Barker,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Evaluation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antibacterial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Kirby-Bauer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diffusion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709-715.</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Adegoke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Oluduro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Amoo,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urgent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public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concern.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85-92.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https://doi.org/10.5897/AJEST2022.3059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Adekunle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Akinyele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Adegoke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developing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urban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56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1023-1032.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https://doi.org/10.1080/10934529.2021.1882113</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Adekunle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Dada,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Omole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brands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Lagos,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International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157-164.</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Adelakun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Ayodeji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Musa,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Economic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implications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waterborne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diseases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rural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Public</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Epidemiology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125-132.</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Adeniran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Daniell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Pittock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infrastructure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development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Trend,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size,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purpose.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2416.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https://doi.org/10.3390/w13172416</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Adewuyi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Adebayo,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Ogunleye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selected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rural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communities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Southwestern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145-155.</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Ahmed,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Acharjee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Rahman,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Meghla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Jamal,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Munshi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quantitative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approach.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Stamford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University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Bangladesh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Aiyedun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Aina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Oludairo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Akanbi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abattoirs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metropolis,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Nigerian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Pure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Applied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4300-4309.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https://doi.org/10.48198/njpas/22.a09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Ajisegiri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Andrés,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Bhatt,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Dasgupta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Echenique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Gething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Joseph,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Geo-spatial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modeling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sanitation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Sanitation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Hygiene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for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Development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258-280.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https://doi.org/10.2166/washdev.2019.089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Akinbile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Ojo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Lagos,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225-232.</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Akinbile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Oladele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Adedayo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domestic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89-99.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AlZaydi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Pétrier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Mousally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Arab,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Refat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Sonochemical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degradation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benzothiophene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deionized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natural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seawater.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Molecules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https://doi.org/10.3390/molecules24020257</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Amanah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Apriyanto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Fitriani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Isolation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surveillance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fungal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contaminant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mobile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phone.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Open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Access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Macedonian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Medical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3493-3496.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https://doi.org/10.3889/oamjms.2019.685</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Armstrong,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Johnson,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intake,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balance,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elusive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daily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requirement.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Nutrients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1928.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https://doi.org/10.3390/nu10121928</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Barreca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Colzani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Clerici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Daverio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Dellavedova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antibiotics,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pesticides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drugs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straightforward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procedure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applying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HPLC-mass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spectrometric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determination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analytical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purposes.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Separations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https://doi.org/10.3390/separations8100179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Bello,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Bello,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Fashola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Oluwafemi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utility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universities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Malaysian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250-257.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https://doi.org/10.21161/mjm.190534</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Calente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Calente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Santos,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Nogueira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Physical-chemical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public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supply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municipality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Alvorada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D'Oeste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Rondônia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Brazil.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Society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Development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e345101119357.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https://doi.org/10.33448/rsd-v10i11.19357</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Chakraborty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Andersen,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Visser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Inomura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Follows,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Riemann,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Quantifying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nitrogen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fixation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particles.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Nature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Communications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4085.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https://doi.org/10.1038/s41467-021-23875-6</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Cruz,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Neuer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enhance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aggregation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picocyanobacteria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Prochlorococcus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Synechococcus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Frontiers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1864.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https://doi.org/10.3389/fmicb.2019.01864</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Dada,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Oguntimehin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Olabode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&amp;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13-19.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Deutsch,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Riedel,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Müller,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Ihlenfeldt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variation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temperature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calibration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resistant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temperature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sensors.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Machine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57-66.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https://doi.org/10.5604/01.3001.0013.4080</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Edberg,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Parker,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application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PCR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waterborne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review.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1231-1245.</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Eze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Anurika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Comparative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evaluation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Enugu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metropolis,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International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Resources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215-222.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https://doi.org/10.5897/IJWREE2021.0967</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Federal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Ministry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National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Cholera</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Report</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2020-2021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FMoH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Press.</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Fernandez,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Cárdenas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Manosalva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Colmenares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-Quintero,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Montenegro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Marín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Diaz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Cuesta,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Escobar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Mahecha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Pérez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Vásquez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Multitemporal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Escherichia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middle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Bogotá</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River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basin,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2007-2019.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1769.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https://doi.org/10.3390/su14031769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Gana,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Adeniyi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Braimoh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Oguntayo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Ibitogbe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Ejigboye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packed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Omu-Aran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IOP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Series: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Materials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1036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012069.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https://doi.org/10.1088/1757-899X/1036/1/012069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Goldoni,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Ferrari,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Piccini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Cattini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Molinari,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Rovati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Blood-pH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optical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model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compensate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temperature.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IEEE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Transactions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Instrumentation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72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https://doi.org/10.1109/tim.2023.3250282</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Helard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Indah,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Wilandari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Spatial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distribution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Batang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Arau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River,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Padang,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Sumatera,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Indonesia.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IOP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Series: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Materials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602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012062.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https://doi.org/10.1088/1757-899x/602/1/012062</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Ibrahim,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Lawal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Impact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artisanal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mining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Zamfara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Monitoring</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191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322.</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Igbeneghu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Lamikanra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brands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Ibadan,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Medicine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Medical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47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69-74.</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Intriago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Zambrano,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Michavila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Arenas,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Diehl,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Ertsen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lifting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comprehensive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spatiotemporal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review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hydro-powered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pumping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technologies.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1677.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https://doi.org/10.3390/w11081677</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X.,</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Varbanov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Alwi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availability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footprint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addressing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Sustainable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Development</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Energy,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Systems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72-86.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https://doi.org/10.13044/j.sdewes.d6.0223</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Johnson,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intake,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regulation,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Nutrients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702.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https://doi.org/10.3390/nu12030702</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Kapusta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Ł.</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Sutkowski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Rogóż</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Zommara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Teodorczyk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Characteristics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urea-water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sprays.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Catalysts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750.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https://doi.org/10.3390/catal9090750</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turbidity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850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light-emitting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diode.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Sensors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Materials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4169-4178.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https://doi.org/10.18494/sam.2020.2760</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Kumar,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urban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environment.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1686.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https://doi.org/10.3390/w13121686</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N.-Y.-S.,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Isolation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identification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false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positive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false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negative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strains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rehydratable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film.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Food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Preservation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330-335.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https://doi.org/10.11002/kjfp.2019.26.3.330</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Zhuo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footprint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pinch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ethanol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industrial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management.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https://doi.org/10.3390/w11030518</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Majid,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antioxidants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enzymes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NPK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affected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kinetin,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bio,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fertilization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lettuce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Lactuca</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sativa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Iraqi</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Agricultural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49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408-415.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https://doi.org/10.36103/ijas.v49i3.123</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McDonald,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Achterberg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Carlson,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Gledhill,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Matheson-Barker,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Parsons,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archaea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transformation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lignin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ocean.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Frontiers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Marine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743.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https://doi.org/10.3389/fmars.2019.00743</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Mennane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Abrini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Mtili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Hygienic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enterobacteria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isolated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olives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Olea</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europaea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Tetouan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Morocco.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E3S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Web</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01088.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https://doi.org/10.1051/e3sconf/202131901088</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Morley,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Savić</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resource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systems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scarcity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management: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Thames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1761.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https://doi.org/10.3390/w12061761</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Mourad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sustainable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management.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7339.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https://doi.org/10.3390/su12187339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Myles,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Hope,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PCR-based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detection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environmental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comparison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methodologies.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Applied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85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e00001-19.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Nwachukwu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Umeh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packaged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Owerri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Scientific</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e01031.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https://doi.org/10.1016/j.sciaf.2022.e01031</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Ogundele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Omotayo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Akintunde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Seasonal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variations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turbidity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Southwestern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Hydrology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201-212.</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Ogungbe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Fashola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Oduola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Climate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change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resource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challenges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review.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Sustainability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34-49.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Ogunjobi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Ayodele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Challenges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regulation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251-259.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Ojekunle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Adedapo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Eutrophication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impact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aquatic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biodiversity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River.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Nigerian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Studies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250-267.</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Okeola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Mohammed,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Orosun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Obinaike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Mariam,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Investigation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storage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packaged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commonly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Metropolis,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Square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https://doi.org/10.21203/rs.3.rs-848220/v1</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Okonko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Adejoye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Ogunnusi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Fajobi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Shittu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brands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Abeokuta,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Biotechnology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1137-1145.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https://doi.org/10.5897/AJB2020.17221</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Olaoye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Onilude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sachet-packaged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Western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public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significance.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Public</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https://doi.org/10.5923/j.phr.20201001.01</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Otobrise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Azuh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Mmakwe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Ogbakpa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Tolorun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characteristics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selected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bottled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Abraka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Delta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Nigerian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47-56.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https://doi.org/10.36263/nijest.2021.01.0248</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X.,</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Zhou,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soil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electrical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conductivity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direct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synthesizer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oscilloscope.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International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Agricultural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Biological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162-168.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https://doi.org/10.25165/j.ijabe.20191205.4840</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Posacka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Semeniuk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Maldonado,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copper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availability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Frontiers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Marine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https://doi.org/10.3389/fmars.2018.00523</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Qiuhua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X.,</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Enfeng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Comparative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domestic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IOP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Series: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Earth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042002.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https://doi.org/10.1088/1755-1315/310/4/042002</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Rusova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Martyushev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Thermal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dendrites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surface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AIP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Proceedings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2171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030024.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https://doi.org/10.1063/1.5134313</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Saheed,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Ajibola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Adedoyin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Efficacy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audit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audit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selected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pharmaceutical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Copernican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Finance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Accounting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53-66.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https://doi.org/10.12775/cjfa.2021.003</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Sanni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Olawumi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Durotoye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Olanrewaju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Babatunde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Shittu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Adepoju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Functional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iron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chronic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kidney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disease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patients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University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Teaching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Hospital,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718-725.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https://doi.org/10.4314/ahs.v22i3.77</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Sério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Marques,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Huertas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Crespo,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Pereira,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Occurrence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treatment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antibiotic-resistant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present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surface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Membranes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425.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https://doi.org/10.3390/membranes13040425</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Setiaji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Feliatra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Teruna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Lukistyowati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derived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against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IOP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Series: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Earth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348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012029.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https://doi.org/10.1088/1755-1315/348/1/012029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Shiru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Shahid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Projection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availability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sustainability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climate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change.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6284.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https://doi.org/10.3390/su13116284</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Silva,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Inza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Figueras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count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predict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presence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Legionella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cooling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Pathogens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466.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https://doi.org/10.3390/pathogens12030466</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Solaiman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Allard,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Callahan,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Jiang,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Handy,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East,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Micallef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Longitudinal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dynamics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Escherichia</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Enterococcus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Aeromonas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alternative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irrigation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CONSERVE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Applied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86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e00342-20.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https://doi.org/10.1128/aem.00342-20</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Venter,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Wright,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Exploring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next-generation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sequencing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community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waterborne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Applied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1303-1314.</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World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Organization.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Guidelines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for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drinking-water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incorporating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addendum).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https://www.who.int/publications/i/item/9789241549950</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World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Organization.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Drinking-water: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Key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facts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https://www.who.int/news-room/fact-sheets/detail/drinking-water</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after="0" w:lineRule="auto" w:line="240"/>
        <w:jc w:val="center"/>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APPENDIX</w:t>
      </w:r>
    </w:p>
    <w:p>
      <w:pPr>
        <w:pStyle w:val="style0"/>
        <w:tabs>
          <w:tab w:val="left" w:leader="none" w:pos="1049"/>
        </w:tabs>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noProof/>
          <w:color w:val="auto"/>
          <w:szCs w:val="24"/>
        </w:rPr>
        <w:drawing>
          <wp:anchor distT="0" distB="0" distL="0" distR="0" simplePos="false" relativeHeight="2" behindDoc="false" locked="false" layoutInCell="true" allowOverlap="true">
            <wp:simplePos x="0" y="0"/>
            <wp:positionH relativeFrom="column">
              <wp:posOffset>0</wp:posOffset>
            </wp:positionH>
            <wp:positionV relativeFrom="paragraph">
              <wp:posOffset>170815</wp:posOffset>
            </wp:positionV>
            <wp:extent cx="2159635" cy="2190115"/>
            <wp:effectExtent l="0" t="0" r="0" b="635"/>
            <wp:wrapTopAndBottom/>
            <wp:docPr id="1033"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0"/>
                    <a:stretch/>
                  </pic:blipFill>
                  <pic:spPr>
                    <a:xfrm rot="0">
                      <a:off x="0" y="0"/>
                      <a:ext cx="2159635" cy="2190115"/>
                    </a:xfrm>
                    <a:prstGeom prst="rect"/>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eastAsia="Times New Roman" w:hAnsi="Times New Roman"/>
          <w:b/>
          <w:i/>
          <w:iCs/>
          <w:color w:val="auto"/>
          <w:szCs w:val="24"/>
        </w:rPr>
      </w:pPr>
      <w:r>
        <w:rPr>
          <w:rFonts w:ascii="Times New Roman" w:cs="Times New Roman" w:eastAsia="Times New Roman" w:hAnsi="Times New Roman"/>
          <w:b/>
          <w:color w:val="auto"/>
          <w:szCs w:val="24"/>
        </w:rPr>
        <w:t xml:space="preserve">Plate 1: </w:t>
      </w:r>
      <w:r>
        <w:rPr>
          <w:rFonts w:ascii="Times New Roman" w:cs="Times New Roman" w:eastAsia="Times New Roman" w:hAnsi="Times New Roman"/>
          <w:b/>
          <w:i/>
          <w:iCs/>
          <w:color w:val="auto"/>
          <w:szCs w:val="24"/>
        </w:rPr>
        <w:t>Aspergillus</w:t>
      </w:r>
      <w:r>
        <w:rPr>
          <w:rFonts w:ascii="Times New Roman" w:cs="Times New Roman" w:eastAsia="Times New Roman" w:hAnsi="Times New Roman"/>
          <w:b/>
          <w:i/>
          <w:iCs/>
          <w:color w:val="auto"/>
          <w:szCs w:val="24"/>
        </w:rPr>
        <w:t xml:space="preserve"> </w:t>
      </w:r>
      <w:r>
        <w:rPr>
          <w:rFonts w:ascii="Times New Roman" w:cs="Times New Roman" w:eastAsia="Times New Roman" w:hAnsi="Times New Roman"/>
          <w:b/>
          <w:i/>
          <w:iCs/>
          <w:color w:val="auto"/>
          <w:szCs w:val="24"/>
        </w:rPr>
        <w:t>sp</w:t>
      </w:r>
      <w:r>
        <w:rPr>
          <w:rFonts w:ascii="Times New Roman" w:cs="Times New Roman" w:eastAsia="Times New Roman" w:hAnsi="Times New Roman"/>
          <w:b/>
          <w:i/>
          <w:iCs/>
          <w:color w:val="auto"/>
          <w:szCs w:val="24"/>
        </w:rPr>
        <w:t xml:space="preserve"> (Microscopic view)</w:t>
      </w: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3" behindDoc="false" locked="false" layoutInCell="true" allowOverlap="true">
            <wp:simplePos x="0" y="0"/>
            <wp:positionH relativeFrom="column">
              <wp:posOffset>117475</wp:posOffset>
            </wp:positionH>
            <wp:positionV relativeFrom="paragraph">
              <wp:posOffset>293370</wp:posOffset>
            </wp:positionV>
            <wp:extent cx="2155190" cy="2468878"/>
            <wp:effectExtent l="0" t="0" r="0" b="7620"/>
            <wp:wrapTopAndBottom/>
            <wp:docPr id="1034"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srcRect l="0" t="0" r="0" b="0"/>
                    <a:stretch/>
                  </pic:blipFill>
                  <pic:spPr>
                    <a:xfrm rot="0">
                      <a:off x="0" y="0"/>
                      <a:ext cx="2155190" cy="2468878"/>
                    </a:xfrm>
                    <a:prstGeom prst="rect"/>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rPr>
        <w:tab/>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b/>
          <w:i/>
        </w:rPr>
      </w:pPr>
      <w:r>
        <w:rPr>
          <w:rFonts w:ascii="Times New Roman" w:cs="Times New Roman" w:hAnsi="Times New Roman"/>
          <w:b/>
          <w:i/>
        </w:rPr>
        <w:t>Plate 2:   Picture Showing Indole Test on Isolates</w:t>
      </w: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6" behindDoc="false" locked="false" layoutInCell="true" allowOverlap="true">
            <wp:simplePos x="0" y="0"/>
            <wp:positionH relativeFrom="column">
              <wp:posOffset>2886710</wp:posOffset>
            </wp:positionH>
            <wp:positionV relativeFrom="paragraph">
              <wp:posOffset>3815715</wp:posOffset>
            </wp:positionV>
            <wp:extent cx="2663824" cy="2557780"/>
            <wp:effectExtent l="0" t="0" r="3175" b="0"/>
            <wp:wrapTopAndBottom/>
            <wp:docPr id="1035"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5"/>
                    <pic:cNvPicPr/>
                  </pic:nvPicPr>
                  <pic:blipFill>
                    <a:blip r:embed="rId6" cstate="print"/>
                    <a:srcRect l="11853" t="17777" r="19547" b="32817"/>
                    <a:stretch/>
                  </pic:blipFill>
                  <pic:spPr>
                    <a:xfrm rot="0">
                      <a:off x="0" y="0"/>
                      <a:ext cx="2663824" cy="255778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7" behindDoc="false" locked="false" layoutInCell="true" allowOverlap="true">
            <wp:simplePos x="0" y="0"/>
            <wp:positionH relativeFrom="column">
              <wp:posOffset>-391160</wp:posOffset>
            </wp:positionH>
            <wp:positionV relativeFrom="paragraph">
              <wp:posOffset>3552190</wp:posOffset>
            </wp:positionV>
            <wp:extent cx="2590800" cy="2651759"/>
            <wp:effectExtent l="0" t="0" r="0" b="0"/>
            <wp:wrapTopAndBottom/>
            <wp:docPr id="1036"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
                    <pic:cNvPicPr/>
                  </pic:nvPicPr>
                  <pic:blipFill>
                    <a:blip r:embed="rId7" cstate="print"/>
                    <a:srcRect l="14587" t="10940" r="17491" b="36924"/>
                    <a:stretch/>
                  </pic:blipFill>
                  <pic:spPr>
                    <a:xfrm rot="0">
                      <a:off x="0" y="0"/>
                      <a:ext cx="2590800" cy="2651759"/>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5" behindDoc="false" locked="false" layoutInCell="true" allowOverlap="true">
            <wp:simplePos x="0" y="0"/>
            <wp:positionH relativeFrom="column">
              <wp:posOffset>3004185</wp:posOffset>
            </wp:positionH>
            <wp:positionV relativeFrom="paragraph">
              <wp:posOffset>495935</wp:posOffset>
            </wp:positionV>
            <wp:extent cx="2677795" cy="2967990"/>
            <wp:effectExtent l="0" t="0" r="8255" b="3810"/>
            <wp:wrapTopAndBottom/>
            <wp:docPr id="1037"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srcRect l="16866" t="24616" r="11798" b="16074"/>
                    <a:stretch/>
                  </pic:blipFill>
                  <pic:spPr>
                    <a:xfrm rot="0">
                      <a:off x="0" y="0"/>
                      <a:ext cx="2677795" cy="296799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4" behindDoc="false" locked="false" layoutInCell="true" allowOverlap="true">
            <wp:simplePos x="0" y="0"/>
            <wp:positionH relativeFrom="column">
              <wp:posOffset>-431165</wp:posOffset>
            </wp:positionH>
            <wp:positionV relativeFrom="paragraph">
              <wp:posOffset>560705</wp:posOffset>
            </wp:positionV>
            <wp:extent cx="2631440" cy="2814320"/>
            <wp:effectExtent l="0" t="0" r="0" b="5080"/>
            <wp:wrapTopAndBottom/>
            <wp:docPr id="1038"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9" cstate="print"/>
                    <a:srcRect l="0" t="0" r="9519" b="0"/>
                    <a:stretch/>
                  </pic:blipFill>
                  <pic:spPr>
                    <a:xfrm rot="0">
                      <a:off x="0" y="0"/>
                      <a:ext cx="2631440" cy="2814320"/>
                    </a:xfrm>
                    <a:prstGeom prst="rect"/>
                    <a:ln>
                      <a:noFill/>
                    </a:ln>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b/>
          <w:i/>
        </w:rPr>
        <w:t>Plate: 3-4 Pictures showing Citrate activity on Isolates</w:t>
      </w:r>
    </w:p>
    <w:p>
      <w:pPr>
        <w:pStyle w:val="style0"/>
        <w:rPr>
          <w:rFonts w:ascii="Times New Roman" w:cs="Times New Roman" w:hAnsi="Times New Roman"/>
        </w:rPr>
      </w:pPr>
    </w:p>
    <w:sectPr>
      <w:footerReference w:type="default" r:id="rId1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ACFF"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12</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090AC4A"/>
    <w:lvl w:ilvl="0" w:tplc="0A442120">
      <w:start w:val="1"/>
      <w:numFmt w:val="decimal"/>
      <w:lvlText w:val="%1."/>
      <w:lvlJc w:val="left"/>
      <w:pPr>
        <w:ind w:left="322"/>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6EA49B0">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4418A878">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89224D54">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ED28D7B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39CE00C0">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0A8C0898">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06A094D6">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6FBE50CC">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1">
    <w:nsid w:val="00000001"/>
    <w:multiLevelType w:val="hybridMultilevel"/>
    <w:tmpl w:val="1DEA0E3E"/>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03A29B9E"/>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1018" w:hanging="6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03"/>
    <w:multiLevelType w:val="multilevel"/>
    <w:tmpl w:val="7D7469C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25"/>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bidi="ar-SA" w:eastAsia="en-US"/>
      </w:rPr>
    </w:rPrDefault>
    <w:pPrDefault>
      <w:pPr>
        <w:spacing w:after="160" w:lineRule="auto" w:line="259"/>
      </w:pPr>
    </w:pPrDefault>
  </w:docDefaults>
  <w:style w:type="paragraph" w:default="1" w:styleId="style0">
    <w:name w:val="Normal"/>
    <w:next w:val="style0"/>
    <w:qFormat/>
    <w:pPr>
      <w:spacing w:after="4" w:lineRule="auto" w:line="248"/>
      <w:ind w:left="29" w:hanging="10"/>
      <w:jc w:val="both"/>
    </w:pPr>
    <w:rPr>
      <w:rFonts w:ascii="Calibri" w:cs="Calibri" w:eastAsia="Calibri" w:hAnsi="Calibri"/>
      <w:color w:val="000000"/>
      <w:sz w:val="24"/>
      <w:lang w:val="en-US"/>
    </w:rPr>
  </w:style>
  <w:style w:type="paragraph" w:styleId="style1">
    <w:name w:val="heading 1"/>
    <w:basedOn w:val="style0"/>
    <w:next w:val="style0"/>
    <w:link w:val="style4104"/>
    <w:qFormat/>
    <w:uiPriority w:val="9"/>
    <w:pPr>
      <w:keepNext/>
      <w:keepLines/>
      <w:spacing w:before="240" w:after="0"/>
      <w:outlineLvl w:val="0"/>
    </w:pPr>
    <w:rPr>
      <w:rFonts w:ascii="Times New Roman" w:cs="宋体" w:eastAsia="宋体" w:hAnsi="Times New Roman"/>
      <w:b/>
      <w:color w:val="000000"/>
      <w:szCs w:val="32"/>
    </w:rPr>
  </w:style>
  <w:style w:type="paragraph" w:styleId="style2">
    <w:name w:val="heading 2"/>
    <w:basedOn w:val="style0"/>
    <w:next w:val="style0"/>
    <w:link w:val="style4105"/>
    <w:qFormat/>
    <w:uiPriority w:val="9"/>
    <w:pPr>
      <w:keepNext/>
      <w:keepLines/>
      <w:spacing w:before="40" w:after="0"/>
      <w:outlineLvl w:val="1"/>
    </w:pPr>
    <w:rPr>
      <w:rFonts w:ascii="Times New Roman" w:cs="宋体" w:eastAsia="宋体" w:hAnsi="Times New Roman"/>
      <w:b/>
      <w:color w:val="000000"/>
      <w:szCs w:val="26"/>
    </w:rPr>
  </w:style>
  <w:style w:type="paragraph" w:styleId="style3">
    <w:name w:val="heading 3"/>
    <w:basedOn w:val="style0"/>
    <w:next w:val="style0"/>
    <w:link w:val="style4101"/>
    <w:qFormat/>
    <w:uiPriority w:val="9"/>
    <w:pPr>
      <w:keepNext/>
      <w:keepLines/>
      <w:spacing w:before="40" w:after="0" w:lineRule="auto" w:line="259"/>
      <w:ind w:left="10"/>
      <w:outlineLvl w:val="2"/>
    </w:pPr>
    <w:rPr>
      <w:rFonts w:ascii="Times New Roman" w:cs="宋体" w:eastAsia="宋体" w:hAnsi="Times New Roman"/>
      <w:b/>
      <w:color w:val="000000"/>
      <w:szCs w:val="24"/>
    </w:rPr>
  </w:style>
  <w:style w:type="paragraph" w:styleId="style4">
    <w:name w:val="heading 4"/>
    <w:basedOn w:val="style0"/>
    <w:next w:val="style4"/>
    <w:link w:val="style4100"/>
    <w:qFormat/>
    <w:uiPriority w:val="9"/>
    <w:pPr>
      <w:spacing w:before="100" w:beforeAutospacing="true" w:after="100" w:afterAutospacing="true" w:lineRule="auto" w:line="240"/>
      <w:ind w:left="0" w:firstLine="0"/>
      <w:jc w:val="left"/>
      <w:outlineLvl w:val="3"/>
    </w:pPr>
    <w:rPr>
      <w:rFonts w:ascii="Times New Roman" w:cs="Times New Roman" w:eastAsia="Times New Roman" w:hAnsi="Times New Roman"/>
      <w:b/>
      <w:bCs/>
      <w:color w:val="auto"/>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7">
    <w:name w:val="Strong"/>
    <w:basedOn w:val="style65"/>
    <w:next w:val="style87"/>
    <w:qFormat/>
    <w:uiPriority w:val="22"/>
    <w:rPr>
      <w:b/>
      <w:b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b074ae7c-98b4-4f37-8cc5-07c74a0ad5ba"/>
    <w:basedOn w:val="style65"/>
    <w:next w:val="style4097"/>
    <w:link w:val="style31"/>
    <w:uiPriority w:val="99"/>
    <w:rPr>
      <w:rFonts w:ascii="Calibri" w:cs="Calibri" w:eastAsia="Calibri" w:hAnsi="Calibri"/>
      <w:color w:val="000000"/>
      <w:sz w:val="24"/>
      <w:lang w:val="en-US"/>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dcc4760d-67cc-4729-8b4c-5ec5b040a013"/>
    <w:basedOn w:val="style65"/>
    <w:next w:val="style4098"/>
    <w:link w:val="style32"/>
    <w:uiPriority w:val="99"/>
    <w:rPr>
      <w:rFonts w:ascii="Calibri" w:cs="Calibri" w:eastAsia="Calibri" w:hAnsi="Calibri"/>
      <w:color w:val="000000"/>
      <w:sz w:val="24"/>
      <w:lang w:val="en-US"/>
    </w:rPr>
  </w:style>
  <w:style w:type="paragraph" w:styleId="style94">
    <w:name w:val="Normal (Web)"/>
    <w:basedOn w:val="style0"/>
    <w:next w:val="style94"/>
    <w:uiPriority w:val="99"/>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paragraph" w:customStyle="1" w:styleId="style4099">
    <w:name w:val="Default"/>
    <w:next w:val="style4099"/>
    <w:pPr>
      <w:autoSpaceDE w:val="false"/>
      <w:autoSpaceDN w:val="false"/>
      <w:adjustRightInd w:val="false"/>
      <w:spacing w:after="0" w:lineRule="auto" w:line="240"/>
    </w:pPr>
    <w:rPr>
      <w:rFonts w:ascii="Times New Roman" w:cs="Times New Roman" w:hAnsi="Times New Roman"/>
      <w:color w:val="000000"/>
      <w:sz w:val="24"/>
      <w:szCs w:val="24"/>
      <w:lang w:val="en-US"/>
    </w:rPr>
  </w:style>
  <w:style w:type="character" w:customStyle="1" w:styleId="style4100">
    <w:name w:val="Heading 4 Char_80625199-662e-4ef8-9cf1-6ae3b9987e1c"/>
    <w:basedOn w:val="style65"/>
    <w:next w:val="style4100"/>
    <w:link w:val="style4"/>
    <w:uiPriority w:val="9"/>
    <w:rPr>
      <w:rFonts w:ascii="Times New Roman" w:cs="Times New Roman" w:eastAsia="Times New Roman" w:hAnsi="Times New Roman"/>
      <w:b/>
      <w:bCs/>
      <w:sz w:val="24"/>
      <w:szCs w:val="24"/>
      <w:lang w:val="en-US"/>
    </w:rPr>
  </w:style>
  <w:style w:type="paragraph" w:styleId="style179">
    <w:name w:val="List Paragraph"/>
    <w:basedOn w:val="style0"/>
    <w:next w:val="style179"/>
    <w:qFormat/>
    <w:uiPriority w:val="34"/>
    <w:pPr>
      <w:spacing w:after="2" w:lineRule="auto" w:line="259"/>
      <w:ind w:left="720"/>
      <w:contextualSpacing/>
    </w:pPr>
    <w:rPr>
      <w:rFonts w:ascii="Arial" w:cs="Arial" w:eastAsia="Arial" w:hAnsi="Arial"/>
    </w:rPr>
  </w:style>
  <w:style w:type="character" w:styleId="style88">
    <w:name w:val="Emphasis"/>
    <w:basedOn w:val="style65"/>
    <w:next w:val="style88"/>
    <w:qFormat/>
    <w:uiPriority w:val="20"/>
    <w:rPr>
      <w:i/>
      <w:iCs/>
    </w:rPr>
  </w:style>
  <w:style w:type="character" w:customStyle="1" w:styleId="style4101">
    <w:name w:val="Heading 3 Char_e6523a09-4c91-4de4-8653-842a066c65e9"/>
    <w:basedOn w:val="style65"/>
    <w:next w:val="style4101"/>
    <w:link w:val="style3"/>
    <w:uiPriority w:val="9"/>
    <w:rPr>
      <w:rFonts w:ascii="Times New Roman" w:cs="宋体" w:eastAsia="宋体" w:hAnsi="Times New Roman"/>
      <w:b/>
      <w:color w:val="000000"/>
      <w:sz w:val="24"/>
      <w:szCs w:val="24"/>
      <w:lang w:val="en-US"/>
    </w:rPr>
  </w:style>
  <w:style w:type="table" w:customStyle="1" w:styleId="style4102">
    <w:name w:val="List Table 6 Colorful"/>
    <w:basedOn w:val="style105"/>
    <w:next w:val="style4102"/>
    <w:uiPriority w:val="51"/>
    <w:pPr>
      <w:spacing w:after="0" w:lineRule="auto" w:line="240"/>
    </w:pPr>
    <w:rPr>
      <w:color w:val="000000"/>
      <w:lang w:val="en-US"/>
    </w:rPr>
    <w:tblPr>
      <w:tblStyleRowBandSize w:val="1"/>
      <w:tblStyleColBandSize w:val="1"/>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character" w:styleId="style85">
    <w:name w:val="Hyperlink"/>
    <w:basedOn w:val="style65"/>
    <w:next w:val="style85"/>
    <w:uiPriority w:val="99"/>
    <w:rPr>
      <w:color w:val="0563c1"/>
      <w:u w:val="single"/>
    </w:rPr>
  </w:style>
  <w:style w:type="paragraph" w:customStyle="1" w:styleId="style4103">
    <w:name w:val="whitespace-normal"/>
    <w:basedOn w:val="style0"/>
    <w:next w:val="style4103"/>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character" w:customStyle="1" w:styleId="style4104">
    <w:name w:val="Heading 1 Char_b2edbcf7-a753-43de-939f-e24f819f5450"/>
    <w:basedOn w:val="style65"/>
    <w:next w:val="style4104"/>
    <w:link w:val="style1"/>
    <w:uiPriority w:val="9"/>
    <w:rPr>
      <w:rFonts w:ascii="Times New Roman" w:cs="宋体" w:eastAsia="宋体" w:hAnsi="Times New Roman"/>
      <w:b/>
      <w:color w:val="000000"/>
      <w:sz w:val="24"/>
      <w:szCs w:val="32"/>
      <w:lang w:val="en-US"/>
    </w:rPr>
  </w:style>
  <w:style w:type="character" w:customStyle="1" w:styleId="style4105">
    <w:name w:val="Heading 2 Char_d5576cc7-afda-4395-9428-a531acf19eb0"/>
    <w:basedOn w:val="style65"/>
    <w:next w:val="style4105"/>
    <w:link w:val="style2"/>
    <w:uiPriority w:val="9"/>
    <w:rPr>
      <w:rFonts w:ascii="Times New Roman" w:cs="宋体" w:eastAsia="宋体" w:hAnsi="Times New Roman"/>
      <w:b/>
      <w:color w:val="000000"/>
      <w:sz w:val="24"/>
      <w:szCs w:val="26"/>
      <w:lang w:val="en-US"/>
    </w:rPr>
  </w:style>
  <w:style w:type="paragraph" w:styleId="style266">
    <w:name w:val="TOC Heading"/>
    <w:basedOn w:val="style1"/>
    <w:next w:val="style0"/>
    <w:qFormat/>
    <w:uiPriority w:val="39"/>
    <w:pPr>
      <w:spacing w:lineRule="auto" w:line="259"/>
      <w:ind w:left="0" w:firstLine="0"/>
      <w:jc w:val="left"/>
      <w:outlineLvl w:val="9"/>
    </w:pPr>
    <w:rPr>
      <w:rFonts w:ascii="Calibri Light" w:hAnsi="Calibri Light"/>
      <w:b w:val="false"/>
      <w:color w:val="2f5496"/>
      <w:sz w:val="32"/>
    </w:rPr>
  </w:style>
  <w:style w:type="paragraph" w:styleId="style19">
    <w:name w:val="toc 1"/>
    <w:basedOn w:val="style0"/>
    <w:next w:val="style0"/>
    <w:uiPriority w:val="39"/>
    <w:pPr>
      <w:spacing w:after="100"/>
      <w:ind w:left="0"/>
    </w:pPr>
    <w:rPr/>
  </w:style>
  <w:style w:type="paragraph" w:styleId="style20">
    <w:name w:val="toc 2"/>
    <w:basedOn w:val="style0"/>
    <w:next w:val="style0"/>
    <w:uiPriority w:val="39"/>
    <w:pPr>
      <w:spacing w:after="100"/>
      <w:ind w:left="240"/>
    </w:pPr>
    <w:rPr/>
  </w:style>
  <w:style w:type="paragraph" w:styleId="style21">
    <w:name w:val="toc 3"/>
    <w:basedOn w:val="style0"/>
    <w:next w:val="style0"/>
    <w:uiPriority w:val="39"/>
    <w:pPr>
      <w:spacing w:after="100"/>
      <w:ind w:left="480"/>
    </w:pPr>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footer" Target="footer2.xml"/><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jpeg"/><Relationship Id="rId9" Type="http://schemas.openxmlformats.org/officeDocument/2006/relationships/image" Target="media/image7.jpeg"/><Relationship Id="rId15" Type="http://schemas.openxmlformats.org/officeDocument/2006/relationships/customXml" Target="../customXml/item1.xml"/><Relationship Id="rId14" Type="http://schemas.openxmlformats.org/officeDocument/2006/relationships/theme" Target="theme/theme1.xml"/><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5C52C-E1D3-47EE-8577-E22C1C2733A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12250</Words>
  <Pages>51</Pages>
  <Characters>72019</Characters>
  <Application>WPS Office</Application>
  <DocSecurity>0</DocSecurity>
  <Paragraphs>702</Paragraphs>
  <ScaleCrop>false</ScaleCrop>
  <LinksUpToDate>false</LinksUpToDate>
  <CharactersWithSpaces>84176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2025-07-11T07:31:00Z</dcterms:created>
  <dc:creator>Hassan Musa</dc:creator>
  <lastModifiedBy>Redmi 6A</lastModifiedBy>
  <dcterms:modified xsi:type="dcterms:W3CDTF">2025-07-12T19:14:45Z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8f22857f160241c5a9fe235614a5197c</vt:lpwstr>
  </property>
</Properties>
</file>