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drawing>
          <wp:anchor distT="0" distB="0" distL="0" distR="0" simplePos="false" relativeHeight="2" behindDoc="false" locked="false" layoutInCell="true" allowOverlap="true">
            <wp:simplePos x="0" y="0"/>
            <wp:positionH relativeFrom="page">
              <wp:posOffset>3376929</wp:posOffset>
            </wp:positionH>
            <wp:positionV relativeFrom="page">
              <wp:posOffset>652780</wp:posOffset>
            </wp:positionV>
            <wp:extent cx="1121410" cy="1017904"/>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121410" cy="1017904"/>
                    </a:xfrm>
                    <a:prstGeom prst="rect"/>
                    <a:ln>
                      <a:noFill/>
                    </a:ln>
                  </pic:spPr>
                </pic:pic>
              </a:graphicData>
            </a:graphic>
          </wp:anchor>
        </w:drawing>
      </w: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lang w:val="en-US"/>
        </w:rPr>
      </w:pPr>
      <w:r>
        <w:rPr>
          <w:rFonts w:ascii="Times New Roman" w:cs="Times New Roman" w:hAnsi="Times New Roman"/>
          <w:b/>
          <w:sz w:val="28"/>
          <w:szCs w:val="28"/>
          <w:lang w:val="en-US"/>
        </w:rPr>
        <w:t xml:space="preserve">PROJECT REPORT </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lang w:val="en-US"/>
        </w:rPr>
        <w:t>ON</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EFFECT OF FUNGICIDE APPLICATION ON SOIL MYCOBIOME</w:t>
      </w:r>
    </w:p>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bCs/>
          <w:sz w:val="32"/>
          <w:szCs w:val="32"/>
        </w:rPr>
        <w:t>BY</w:t>
      </w:r>
      <w:r>
        <w:rPr>
          <w:rFonts w:ascii="Times New Roman" w:cs="Times New Roman" w:hAnsi="Times New Roman"/>
          <w:b/>
          <w:bCs/>
          <w:sz w:val="32"/>
          <w:szCs w:val="32"/>
          <w:lang w:val="en-US"/>
        </w:rPr>
        <w:t>:</w:t>
      </w: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lang w:val="en-US"/>
        </w:rPr>
        <w:t xml:space="preserve">                                      </w:t>
      </w:r>
      <w:r>
        <w:rPr>
          <w:rFonts w:ascii="Times New Roman" w:cs="Times New Roman" w:hAnsi="Times New Roman"/>
          <w:b/>
          <w:bCs/>
          <w:sz w:val="36"/>
          <w:szCs w:val="36"/>
        </w:rPr>
        <w:t>IDRIS TA</w:t>
      </w:r>
      <w:r>
        <w:rPr>
          <w:rFonts w:ascii="Times New Roman" w:cs="Times New Roman" w:hAnsi="Times New Roman"/>
          <w:b/>
          <w:bCs/>
          <w:sz w:val="36"/>
          <w:szCs w:val="36"/>
          <w:lang w:val="en-US"/>
        </w:rPr>
        <w:t>I</w:t>
      </w:r>
      <w:r>
        <w:rPr>
          <w:rFonts w:ascii="Times New Roman" w:cs="Times New Roman" w:hAnsi="Times New Roman"/>
          <w:b/>
          <w:bCs/>
          <w:sz w:val="36"/>
          <w:szCs w:val="36"/>
        </w:rPr>
        <w:t xml:space="preserve">YE HASSANAT   </w:t>
      </w: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rPr>
        <w:tab/>
      </w:r>
      <w:r>
        <w:rPr>
          <w:rFonts w:ascii="Times New Roman" w:cs="Times New Roman" w:hAnsi="Times New Roman"/>
          <w:b/>
          <w:bCs/>
          <w:sz w:val="28"/>
          <w:szCs w:val="28"/>
        </w:rPr>
        <w:tab/>
      </w: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8"/>
          <w:szCs w:val="28"/>
        </w:rPr>
        <w:tab/>
      </w:r>
      <w:r>
        <w:rPr>
          <w:rFonts w:ascii="Times New Roman" w:cs="Times New Roman" w:hAnsi="Times New Roman"/>
          <w:b/>
          <w:bCs/>
          <w:sz w:val="28"/>
          <w:szCs w:val="28"/>
          <w:lang w:val="en-US"/>
        </w:rPr>
        <w:t xml:space="preserve">              </w:t>
      </w:r>
      <w:r>
        <w:rPr>
          <w:rFonts w:ascii="Times New Roman" w:cs="Times New Roman" w:hAnsi="Times New Roman"/>
          <w:b/>
          <w:bCs/>
          <w:sz w:val="28"/>
          <w:szCs w:val="28"/>
        </w:rPr>
        <w:tab/>
      </w:r>
      <w:r>
        <w:rPr>
          <w:rFonts w:ascii="Times New Roman" w:cs="Times New Roman" w:hAnsi="Times New Roman"/>
          <w:b/>
          <w:bCs/>
          <w:sz w:val="28"/>
          <w:szCs w:val="28"/>
          <w:lang w:val="en-US"/>
        </w:rPr>
        <w:t xml:space="preserve">       </w:t>
      </w:r>
      <w:r>
        <w:rPr>
          <w:rFonts w:ascii="Times New Roman" w:cs="Times New Roman" w:hAnsi="Times New Roman"/>
          <w:b/>
          <w:bCs/>
          <w:sz w:val="36"/>
          <w:szCs w:val="36"/>
        </w:rPr>
        <w:t>HND/23/SLT/FT/0324</w:t>
      </w:r>
    </w:p>
    <w:p>
      <w:pPr>
        <w:pStyle w:val="style0"/>
        <w:spacing w:after="0" w:lineRule="auto" w:line="480"/>
        <w:jc w:val="left"/>
        <w:rPr>
          <w:rFonts w:ascii="Times New Roman" w:cs="Times New Roman" w:hAnsi="Times New Roman"/>
          <w:b/>
          <w:sz w:val="28"/>
          <w:szCs w:val="28"/>
        </w:rPr>
      </w:pPr>
    </w:p>
    <w:p>
      <w:pPr>
        <w:pStyle w:val="style0"/>
        <w:spacing w:after="0" w:lineRule="auto" w:line="480"/>
        <w:jc w:val="left"/>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SCIENCES (IAS), KWARA STATE POLYTECHNIC, ILORIN,</w:t>
      </w:r>
    </w:p>
    <w:p>
      <w:pPr>
        <w:pStyle w:val="style94"/>
        <w:spacing w:after="150" w:afterAutospacing="false" w:lineRule="atLeast" w:line="21"/>
        <w:jc w:val="center"/>
        <w:rPr>
          <w:b/>
          <w:sz w:val="28"/>
          <w:szCs w:val="28"/>
        </w:rPr>
      </w:pPr>
      <w:r>
        <w:rPr>
          <w:b/>
          <w:sz w:val="28"/>
          <w:szCs w:val="28"/>
        </w:rPr>
        <w:t>IN PARTIAL FULFILMENT OF THE REQUIREMENTS FOR THE AWARD OF HIGHER NATIONAL DIPLOMA (HND) IN SCIENCE LABORATORY TECHNOLOGY, INSTITUTE OF APPLIED SCIENCES (IAS),</w:t>
      </w:r>
      <w:r>
        <w:rPr>
          <w:b/>
          <w:sz w:val="28"/>
          <w:szCs w:val="28"/>
        </w:rPr>
        <w:t xml:space="preserve"> </w:t>
      </w:r>
      <w:r>
        <w:rPr>
          <w:b/>
          <w:sz w:val="28"/>
          <w:szCs w:val="28"/>
        </w:rPr>
        <w:t>MICROBIOLOGY UNIT</w:t>
      </w:r>
    </w:p>
    <w:p>
      <w:pPr>
        <w:pStyle w:val="style94"/>
        <w:spacing w:after="150" w:afterAutospacing="false" w:lineRule="atLeast" w:line="21"/>
        <w:jc w:val="center"/>
        <w:rPr>
          <w:b/>
          <w:sz w:val="28"/>
          <w:szCs w:val="28"/>
        </w:rPr>
      </w:pPr>
      <w:r>
        <w:rPr>
          <w:b/>
          <w:sz w:val="28"/>
          <w:szCs w:val="28"/>
        </w:rPr>
        <w:t>KWARA STATE POLYTECHNIC ILORIN</w:t>
      </w:r>
    </w:p>
    <w:p>
      <w:pPr>
        <w:pStyle w:val="style94"/>
        <w:spacing w:after="150" w:afterAutospacing="false" w:lineRule="atLeast" w:line="21"/>
        <w:ind w:left="6480" w:firstLine="720"/>
        <w:jc w:val="center"/>
        <w:rPr>
          <w:rFonts w:ascii="Times New Roman" w:cs="Times New Roman" w:hAnsi="Times New Roman"/>
          <w:b/>
          <w:bCs/>
          <w:sz w:val="28"/>
          <w:szCs w:val="28"/>
        </w:rPr>
      </w:pPr>
      <w:r>
        <w:rPr>
          <w:b/>
          <w:sz w:val="28"/>
          <w:szCs w:val="28"/>
        </w:rPr>
        <w:t>JULY, 202</w:t>
      </w:r>
      <w:r>
        <w:rPr>
          <w:b/>
          <w:sz w:val="28"/>
          <w:szCs w:val="28"/>
          <w:lang w:val="en-US"/>
        </w:rPr>
        <w:t>5</w:t>
      </w:r>
    </w:p>
    <w:p>
      <w:pPr>
        <w:pStyle w:val="style94"/>
        <w:spacing w:after="150" w:afterAutospacing="false" w:lineRule="atLeast" w:line="21"/>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w:t>
      </w:r>
      <w:r>
        <w:rPr>
          <w:rFonts w:ascii="Times New Roman" w:cs="Times New Roman" w:hAnsi="Times New Roman"/>
          <w:b/>
          <w:bCs/>
          <w:sz w:val="28"/>
          <w:szCs w:val="28"/>
        </w:rPr>
        <w:t>CERTIFICATION</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This is certify that this project is the original work carried out and reported by</w:t>
      </w:r>
      <w:r>
        <w:rPr>
          <w:rFonts w:ascii="Times New Roman" w:cs="Times New Roman" w:hAnsi="Times New Roman"/>
          <w:sz w:val="28"/>
          <w:szCs w:val="28"/>
        </w:rPr>
        <w:t xml:space="preserve"> </w:t>
      </w:r>
      <w:r>
        <w:rPr>
          <w:rFonts w:ascii="Times New Roman" w:cs="Times New Roman" w:hAnsi="Times New Roman"/>
          <w:b/>
          <w:bCs/>
          <w:sz w:val="28"/>
          <w:szCs w:val="28"/>
          <w:lang w:val="en-US"/>
        </w:rPr>
        <w:t>IDRIS TAIYE HASSANAT</w:t>
      </w:r>
      <w:r>
        <w:rPr>
          <w:rFonts w:ascii="Times New Roman" w:cs="Times New Roman" w:hAnsi="Times New Roman"/>
          <w:sz w:val="28"/>
          <w:szCs w:val="28"/>
          <w:lang w:val="en-US"/>
        </w:rPr>
        <w:t xml:space="preserve"> with Matric number </w:t>
      </w:r>
      <w:r>
        <w:rPr>
          <w:rFonts w:ascii="Times New Roman" w:cs="Times New Roman" w:hAnsi="Times New Roman"/>
          <w:b/>
          <w:bCs/>
          <w:sz w:val="28"/>
          <w:szCs w:val="28"/>
          <w:lang w:val="en-US"/>
        </w:rPr>
        <w:t>HND/23/SLT/FT/0324</w:t>
      </w:r>
      <w:r>
        <w:rPr>
          <w:rFonts w:ascii="Times New Roman" w:cs="Times New Roman" w:hAnsi="Times New Roman"/>
          <w:sz w:val="28"/>
          <w:szCs w:val="28"/>
          <w:lang w:val="en-US"/>
        </w:rPr>
        <w:t xml:space="preserve"> and submited </w:t>
      </w:r>
      <w:r>
        <w:rPr>
          <w:rFonts w:ascii="Times New Roman" w:cs="Times New Roman" w:hAnsi="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MRS. AHMED 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lang w:val="en-US"/>
        </w:rPr>
        <w:t xml:space="preserve">                 </w:t>
      </w:r>
      <w:r>
        <w:rPr>
          <w:rFonts w:ascii="Times New Roman" w:cs="Times New Roman" w:hAnsi="Times New Roman"/>
          <w:b/>
          <w:sz w:val="28"/>
          <w:szCs w:val="28"/>
        </w:rPr>
        <w:t>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(PROJECT SUPERVISOR)</w:t>
      </w: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 ____________________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MRS. AHMED T. </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lang w:val="en-US"/>
        </w:rPr>
        <w:t xml:space="preserve">        </w:t>
      </w:r>
      <w:r>
        <w:rPr>
          <w:rFonts w:ascii="Times New Roman" w:cs="Times New Roman" w:hAnsi="Times New Roman"/>
          <w:b/>
          <w:sz w:val="28"/>
          <w:szCs w:val="28"/>
        </w:rPr>
        <w:t>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(HOU MICROBIOLOGY)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DR. USMAN 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(HEAD OF DEPARTMENT)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External Examiner</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480"/>
        <w:jc w:val="center"/>
        <w:rPr>
          <w:rFonts w:ascii="Times New Roman" w:cs="Times New Roman" w:hAnsi="Times New Roman"/>
          <w:b/>
          <w:bCs/>
          <w:sz w:val="28"/>
          <w:szCs w:val="28"/>
        </w:rPr>
      </w:pPr>
    </w:p>
    <w:p>
      <w:pPr>
        <w:pStyle w:val="style0"/>
        <w:jc w:val="center"/>
        <w:rPr>
          <w:rFonts w:ascii="Times New Roman" w:cs="Times New Roman" w:hAnsi="Times New Roman"/>
          <w:b w:val="false"/>
          <w:bCs w:val="false"/>
          <w:color w:val="000000"/>
          <w:sz w:val="28"/>
          <w:szCs w:val="28"/>
        </w:rPr>
      </w:pPr>
      <w:r>
        <w:rPr>
          <w:rFonts w:ascii="Times New Roman" w:cs="Times New Roman" w:hAnsi="Times New Roman"/>
          <w:b/>
          <w:bCs/>
          <w:sz w:val="28"/>
          <w:szCs w:val="28"/>
        </w:rPr>
        <w:br w:type="page"/>
      </w:r>
      <w:r>
        <w:rPr>
          <w:rFonts w:ascii="Times New Roman" w:cs="Times New Roman" w:hAnsi="Times New Roman"/>
          <w:b/>
          <w:bCs/>
          <w:color w:val="000000"/>
          <w:sz w:val="28"/>
          <w:szCs w:val="28"/>
        </w:rPr>
        <w:t>DEDICATION</w:t>
      </w:r>
    </w:p>
    <w:p>
      <w:pPr>
        <w:pStyle w:val="style0"/>
        <w:spacing w:after="0" w:lineRule="auto" w:line="480"/>
        <w:jc w:val="both"/>
        <w:rPr>
          <w:rFonts w:ascii="Times New Roman" w:cs="Times New Roman" w:hAnsi="Times New Roman"/>
          <w:b w:val="false"/>
          <w:bCs w:val="false"/>
          <w:color w:val="000000"/>
          <w:sz w:val="28"/>
          <w:szCs w:val="28"/>
        </w:rPr>
      </w:pPr>
      <w:r>
        <w:rPr>
          <w:rFonts w:ascii="Times New Roman" w:cs="Times New Roman" w:hAnsi="Times New Roman"/>
          <w:b w:val="false"/>
          <w:bCs w:val="false"/>
          <w:color w:val="000000"/>
          <w:sz w:val="28"/>
          <w:szCs w:val="28"/>
          <w:lang w:val="en-US"/>
        </w:rPr>
        <w:t>I dedicate this project to Almighty Allah, the All-Knowing and the Supreme who has strengthened and guided me throughout the journey so far. He has also made it possible for me to achieve great success towards the completion of this project work. I also dedicate this special project to my parents, Mr. and Mrs. Idris for their love and unending support.</w:t>
      </w:r>
    </w:p>
    <w:p>
      <w:pPr>
        <w:pStyle w:val="style0"/>
        <w:spacing w:after="0" w:lineRule="auto" w:line="480"/>
        <w:rPr>
          <w:rFonts w:ascii="Times New Roman" w:cs="Times New Roman" w:hAnsi="Times New Roman"/>
          <w:b w:val="false"/>
          <w:bCs w:val="false"/>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ind w:leftChars="0" w:right="0" w:firstLine="0" w:firstLineChars="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ACKNOWLEDGEMENTS</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My profound gratitude goes to Almighty God who has made it possible for me to achieve great success towards the completion of this work.</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My appreciation also goes to my parents, </w:t>
      </w:r>
      <w:r>
        <w:rPr>
          <w:rFonts w:ascii="Times New Roman" w:cs="Times New Roman" w:hAnsi="Times New Roman"/>
          <w:b/>
          <w:bCs/>
          <w:color w:val="000000"/>
          <w:sz w:val="28"/>
          <w:szCs w:val="28"/>
          <w:lang w:val="en-US"/>
        </w:rPr>
        <w:t xml:space="preserve">MR. and MRS. IDRIS </w:t>
      </w:r>
      <w:r>
        <w:rPr>
          <w:rFonts w:ascii="Times New Roman" w:cs="Times New Roman" w:hAnsi="Times New Roman"/>
          <w:color w:val="000000"/>
          <w:sz w:val="28"/>
          <w:szCs w:val="28"/>
          <w:lang w:val="en-US"/>
        </w:rPr>
        <w:t>for their financial and moral support for making my undergraduate program an impressive one through their support.</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My Sincere appreciation goes to my Supervisor, </w:t>
      </w:r>
      <w:r>
        <w:rPr>
          <w:rFonts w:ascii="Times New Roman" w:cs="Times New Roman" w:hAnsi="Times New Roman"/>
          <w:b/>
          <w:bCs/>
          <w:color w:val="000000"/>
          <w:sz w:val="28"/>
          <w:szCs w:val="28"/>
          <w:lang w:val="en-US"/>
        </w:rPr>
        <w:t xml:space="preserve">MRS HAMMED T. </w:t>
      </w:r>
      <w:r>
        <w:rPr>
          <w:rFonts w:ascii="Times New Roman" w:cs="Times New Roman" w:hAnsi="Times New Roman"/>
          <w:color w:val="000000"/>
          <w:sz w:val="28"/>
          <w:szCs w:val="28"/>
          <w:lang w:val="en-US"/>
        </w:rPr>
        <w:t>for her love and constructive criticism together with her tireless supervision and support towards the completion of this project work in order to ensure that the best work is done. I am indeed very grateful and may the mercy and favor of God be with you and your family.</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My sincere gratitude goes to my twin, siblings and Fiancée for their unrelenting efforts, prayers and moral support throughout the course of my study, may God Almighty bless you all immensely. I also appreciate all my friends and colleagues, you are all part of this journey.</w:t>
      </w:r>
    </w:p>
    <w:p>
      <w:pPr>
        <w:pStyle w:val="style266"/>
        <w:jc w:val="center"/>
        <w:rPr>
          <w:rFonts w:ascii="Times New Roman" w:cs="Times New Roman" w:hAnsi="Times New Roman"/>
          <w:b/>
          <w:color w:val="auto"/>
          <w:sz w:val="28"/>
          <w:szCs w:val="28"/>
        </w:rPr>
      </w:pPr>
      <w:r>
        <w:rPr>
          <w:rFonts w:ascii="Times New Roman" w:cs="Times New Roman" w:hAnsi="Times New Roman"/>
          <w:b/>
          <w:color w:val="auto"/>
          <w:sz w:val="28"/>
          <w:szCs w:val="28"/>
          <w:lang w:val="en-US"/>
        </w:rPr>
        <w:t xml:space="preserve">                      </w:t>
      </w:r>
      <w:r>
        <w:rPr>
          <w:rFonts w:ascii="Times New Roman" w:cs="Times New Roman" w:hAnsi="Times New Roman"/>
          <w:b/>
          <w:color w:val="auto"/>
          <w:sz w:val="28"/>
          <w:szCs w:val="28"/>
        </w:rPr>
        <w:t>TABLE OF CONTENTS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OF TABLES                                                                              </w:t>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"_Toc202976447" </w:instrText>
      </w:r>
      <w:r>
        <w:rPr/>
        <w:fldChar w:fldCharType="separate"/>
      </w:r>
      <w:r>
        <w:rPr>
          <w:rStyle w:val="style85"/>
          <w:rFonts w:ascii="Times New Roman" w:cs="Times New Roman" w:hAnsi="Times New Roman"/>
          <w:b/>
          <w:noProof/>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"_Toc202976448" </w:instrText>
      </w:r>
      <w:r>
        <w:rPr/>
        <w:fldChar w:fldCharType="separate"/>
      </w:r>
      <w:r>
        <w:rPr>
          <w:rStyle w:val="style85"/>
          <w:rFonts w:ascii="Times New Roman" w:cs="Times New Roman" w:hAnsi="Times New Roman"/>
          <w:b/>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"_Toc202976449" </w:instrText>
      </w:r>
      <w:r>
        <w:rPr/>
        <w:fldChar w:fldCharType="separate"/>
      </w:r>
      <w:r>
        <w:rPr>
          <w:rStyle w:val="style85"/>
          <w:rFonts w:ascii="Times New Roman" w:cs="Times New Roman" w:hAnsi="Times New Roman"/>
          <w:b/>
          <w:noProof/>
          <w:sz w:val="28"/>
          <w:szCs w:val="28"/>
        </w:rPr>
        <w:t>1.1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"_Toc202976450" </w:instrText>
      </w:r>
      <w:r>
        <w:rPr/>
        <w:fldChar w:fldCharType="separate"/>
      </w:r>
      <w:r>
        <w:rPr>
          <w:rStyle w:val="style85"/>
          <w:rFonts w:ascii="Times New Roman" w:cs="Times New Roman" w:hAnsi="Times New Roman"/>
          <w:b/>
          <w:noProof/>
          <w:sz w:val="28"/>
          <w:szCs w:val="28"/>
        </w:rPr>
        <w:t>1.2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"_Toc202976451" </w:instrText>
      </w:r>
      <w:r>
        <w:rPr/>
        <w:fldChar w:fldCharType="separate"/>
      </w:r>
      <w:r>
        <w:rPr>
          <w:rStyle w:val="style85"/>
          <w:rFonts w:ascii="Times New Roman" w:cs="Times New Roman" w:eastAsia="Times New Roman" w:hAnsi="Times New Roman"/>
          <w:b/>
          <w:noProof/>
          <w:sz w:val="28"/>
          <w:szCs w:val="28"/>
        </w:rPr>
        <w:t xml:space="preserve">1.3 </w:t>
      </w:r>
      <w:r>
        <w:rPr>
          <w:rStyle w:val="style85"/>
          <w:rFonts w:ascii="Times New Roman" w:cs="Times New Roman" w:hAnsi="Times New Roman"/>
          <w:b/>
          <w:noProof/>
          <w:sz w:val="28"/>
          <w:szCs w:val="28"/>
        </w:rPr>
        <w:t>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"_Toc202976452" </w:instrText>
      </w:r>
      <w:r>
        <w:rPr/>
        <w:fldChar w:fldCharType="separate"/>
      </w:r>
      <w:r>
        <w:rPr>
          <w:rStyle w:val="style85"/>
          <w:rFonts w:ascii="Times New Roman" w:cs="Times New Roman" w:hAnsi="Times New Roman"/>
          <w:b/>
          <w:noProof/>
          <w:sz w:val="28"/>
          <w:szCs w:val="28"/>
        </w:rPr>
        <w:t>1.4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"_Toc202976453" </w:instrText>
      </w:r>
      <w:r>
        <w:rPr/>
        <w:fldChar w:fldCharType="separate"/>
      </w:r>
      <w:r>
        <w:rPr>
          <w:rStyle w:val="style85"/>
          <w:rFonts w:ascii="Times New Roman" w:cs="Times New Roman" w:eastAsia="Times New Roman" w:hAnsi="Times New Roman"/>
          <w:b/>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"_Toc202976454" </w:instrText>
      </w:r>
      <w:r>
        <w:rPr/>
        <w:fldChar w:fldCharType="separate"/>
      </w:r>
      <w:r>
        <w:rPr>
          <w:rStyle w:val="style85"/>
          <w:rFonts w:ascii="Times New Roman" w:cs="Times New Roman" w:eastAsia="Times New Roman" w:hAnsi="Times New Roman"/>
          <w:b/>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"_Toc202976455" </w:instrText>
      </w:r>
      <w:r>
        <w:rPr/>
        <w:fldChar w:fldCharType="separate"/>
      </w:r>
      <w:r>
        <w:rPr>
          <w:rStyle w:val="style85"/>
          <w:rFonts w:ascii="Times New Roman" w:cs="Times New Roman" w:eastAsia="Times New Roman" w:hAnsi="Times New Roman"/>
          <w:noProof/>
          <w:sz w:val="28"/>
          <w:szCs w:val="28"/>
        </w:rPr>
        <w:t>2.1 Materials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"_Toc202976456" </w:instrText>
      </w:r>
      <w:r>
        <w:rPr/>
        <w:fldChar w:fldCharType="separate"/>
      </w:r>
      <w:r>
        <w:rPr>
          <w:rStyle w:val="style85"/>
          <w:rFonts w:ascii="Times New Roman" w:cs="Times New Roman" w:eastAsia="Times New Roman" w:hAnsi="Times New Roman"/>
          <w:noProof/>
          <w:sz w:val="28"/>
          <w:szCs w:val="28"/>
        </w:rPr>
        <w:t>2.1.1 Media and Reagents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"_Toc202976457" </w:instrText>
      </w:r>
      <w:r>
        <w:rPr/>
        <w:fldChar w:fldCharType="separate"/>
      </w:r>
      <w:r>
        <w:rPr>
          <w:rStyle w:val="style85"/>
          <w:rFonts w:ascii="Times New Roman" w:cs="Times New Roman" w:eastAsia="Times New Roman" w:hAnsi="Times New Roman"/>
          <w:noProof/>
          <w:sz w:val="28"/>
          <w:szCs w:val="28"/>
        </w:rPr>
        <w:t>2.2 Sample Collection and Treatment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"_Toc202976458" </w:instrText>
      </w:r>
      <w:r>
        <w:rPr/>
        <w:fldChar w:fldCharType="separate"/>
      </w:r>
      <w:r>
        <w:rPr>
          <w:rStyle w:val="style85"/>
          <w:rFonts w:ascii="Times New Roman" w:cs="Times New Roman" w:eastAsia="Times New Roman" w:hAnsi="Times New Roman"/>
          <w:noProof/>
          <w:sz w:val="28"/>
          <w:szCs w:val="28"/>
        </w:rPr>
        <w:t>2.3 pH Determination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"_Toc202976459" </w:instrText>
      </w:r>
      <w:r>
        <w:rPr/>
        <w:fldChar w:fldCharType="separate"/>
      </w:r>
      <w:r>
        <w:rPr>
          <w:rStyle w:val="style85"/>
          <w:rFonts w:ascii="Times New Roman" w:cs="Times New Roman" w:eastAsia="Times New Roman" w:hAnsi="Times New Roman"/>
          <w:noProof/>
          <w:sz w:val="28"/>
          <w:szCs w:val="28"/>
        </w:rPr>
        <w:t>2.4 Preparation of Media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"_Toc202976460" </w:instrText>
      </w:r>
      <w:r>
        <w:rPr/>
        <w:fldChar w:fldCharType="separate"/>
      </w:r>
      <w:r>
        <w:rPr>
          <w:rStyle w:val="style85"/>
          <w:rFonts w:ascii="Times New Roman" w:cs="Times New Roman" w:eastAsia="Times New Roman" w:hAnsi="Times New Roman"/>
          <w:noProof/>
          <w:sz w:val="28"/>
          <w:szCs w:val="28"/>
        </w:rPr>
        <w:t>2.5 Isolation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"_Toc202976461" </w:instrText>
      </w:r>
      <w:r>
        <w:rPr/>
        <w:fldChar w:fldCharType="separate"/>
      </w:r>
      <w:r>
        <w:rPr>
          <w:rStyle w:val="style85"/>
          <w:rFonts w:ascii="Times New Roman" w:cs="Times New Roman" w:eastAsia="Times New Roman" w:hAnsi="Times New Roman"/>
          <w:noProof/>
          <w:sz w:val="28"/>
          <w:szCs w:val="28"/>
        </w:rPr>
        <w:t>2.6 Identification of Fungal Growth</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"_Toc202976463" </w:instrText>
      </w:r>
      <w:r>
        <w:rPr/>
        <w:fldChar w:fldCharType="separate"/>
      </w:r>
      <w:r>
        <w:rPr>
          <w:rStyle w:val="style85"/>
          <w:rFonts w:ascii="Times New Roman" w:cs="Times New Roman" w:eastAsia="Times New Roman" w:hAnsi="Times New Roman"/>
          <w:b/>
          <w:noProof/>
          <w:sz w:val="28"/>
          <w:szCs w:val="28"/>
        </w:rPr>
        <w:t>CHAPTER THREE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"_Toc202976464" </w:instrText>
      </w:r>
      <w:r>
        <w:rPr/>
        <w:fldChar w:fldCharType="separate"/>
      </w:r>
      <w:r>
        <w:rPr>
          <w:rStyle w:val="style85"/>
          <w:rFonts w:ascii="Times New Roman" w:cs="Times New Roman" w:hAnsi="Times New Roman"/>
          <w:b/>
          <w:noProof/>
          <w:sz w:val="28"/>
          <w:szCs w:val="28"/>
        </w:rPr>
        <w:t>3.0 RESULTS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"_Toc202976465" </w:instrText>
      </w:r>
      <w:r>
        <w:rPr/>
        <w:fldChar w:fldCharType="separate"/>
      </w:r>
      <w:r>
        <w:rPr>
          <w:rStyle w:val="style85"/>
          <w:rFonts w:ascii="Times New Roman" w:cs="Times New Roman" w:hAnsi="Times New Roman"/>
          <w:bCs/>
          <w:noProof/>
          <w:sz w:val="28"/>
          <w:szCs w:val="28"/>
        </w:rPr>
        <w:t>3.1 pH of Soil Samples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"_Toc202976467" </w:instrText>
      </w:r>
      <w:r>
        <w:rPr/>
        <w:fldChar w:fldCharType="separate"/>
      </w:r>
      <w:r>
        <w:rPr>
          <w:rStyle w:val="style85"/>
          <w:rFonts w:ascii="Times New Roman" w:cs="Times New Roman" w:hAnsi="Times New Roman"/>
          <w:bCs/>
          <w:noProof/>
          <w:sz w:val="28"/>
          <w:szCs w:val="28"/>
        </w:rPr>
        <w:t>3.2 Fungal Colony Characteristics and Enumeration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"_Toc202976469" </w:instrText>
      </w:r>
      <w:r>
        <w:rPr/>
        <w:fldChar w:fldCharType="separate"/>
      </w:r>
      <w:r>
        <w:rPr>
          <w:rStyle w:val="style85"/>
          <w:rFonts w:ascii="Times New Roman" w:cs="Times New Roman" w:hAnsi="Times New Roman"/>
          <w:noProof/>
          <w:sz w:val="28"/>
          <w:szCs w:val="28"/>
        </w:rPr>
        <w:t>3.3 Fungal Observation and Colony Count in Control Soil Samples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"_Toc202976471" </w:instrText>
      </w:r>
      <w:r>
        <w:rPr/>
        <w:fldChar w:fldCharType="separate"/>
      </w:r>
      <w:r>
        <w:rPr>
          <w:rStyle w:val="style85"/>
          <w:rFonts w:ascii="Times New Roman" w:cs="Times New Roman" w:hAnsi="Times New Roman"/>
          <w:b/>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"_Toc202976472" </w:instrText>
      </w:r>
      <w:r>
        <w:rPr/>
        <w:fldChar w:fldCharType="separate"/>
      </w:r>
      <w:r>
        <w:rPr>
          <w:rStyle w:val="style85"/>
          <w:rFonts w:ascii="Times New Roman" w:cs="Times New Roman" w:hAnsi="Times New Roman"/>
          <w:b/>
          <w:noProof/>
          <w:sz w:val="28"/>
          <w:szCs w:val="28"/>
        </w:rPr>
        <w:t>4.0 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"_Toc202976473" </w:instrText>
      </w:r>
      <w:r>
        <w:rPr/>
        <w:fldChar w:fldCharType="separate"/>
      </w:r>
      <w:r>
        <w:rPr>
          <w:rStyle w:val="style85"/>
          <w:rFonts w:ascii="Times New Roman" w:cs="Times New Roman" w:hAnsi="Times New Roman"/>
          <w:b/>
          <w:noProof/>
          <w:sz w:val="28"/>
          <w:szCs w:val="28"/>
        </w:rPr>
        <w:t>4.1 DISCUSSION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"_Toc202976474" </w:instrText>
      </w:r>
      <w:r>
        <w:rPr/>
        <w:fldChar w:fldCharType="separate"/>
      </w:r>
      <w:r>
        <w:rPr>
          <w:rStyle w:val="style85"/>
          <w:rFonts w:ascii="Times New Roman" w:cs="Times New Roman" w:hAnsi="Times New Roman"/>
          <w:b/>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"_Toc202976475" </w:instrText>
      </w:r>
      <w:r>
        <w:rPr/>
        <w:fldChar w:fldCharType="separate"/>
      </w:r>
      <w:r>
        <w:rPr>
          <w:rStyle w:val="style85"/>
          <w:rFonts w:ascii="Times New Roman" w:cs="Times New Roman" w:hAnsi="Times New Roman"/>
          <w:b/>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28</w:t>
      </w:r>
      <w:r>
        <w:rPr>
          <w:rFonts w:ascii="Times New Roman" w:cs="Times New Roman" w:hAnsi="Times New Roman"/>
          <w:noProof/>
          <w:webHidden/>
          <w:sz w:val="28"/>
          <w:szCs w:val="28"/>
        </w:rPr>
        <w:fldChar w:fldCharType="end"/>
      </w:r>
      <w:r>
        <w:rPr/>
        <w:fldChar w:fldCharType="end"/>
      </w:r>
    </w:p>
    <w:p>
      <w:pPr>
        <w:pStyle w:val="style0"/>
        <w:rPr/>
      </w:pPr>
      <w:r>
        <w:rPr>
          <w:rFonts w:ascii="Times New Roman" w:cs="Times New Roman" w:hAnsi="Times New Roman"/>
          <w:b/>
          <w:bCs/>
          <w:noProof/>
          <w:sz w:val="28"/>
          <w:szCs w:val="28"/>
        </w:rPr>
        <w:fldChar w:fldCharType="end"/>
      </w:r>
    </w:p>
    <w:p>
      <w:pPr>
        <w:pStyle w:val="style0"/>
        <w:jc w:val="both"/>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LIST OF TABLES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3.1: pH Values of Treated and Control Soil Samples……………18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3.2: Fungal Observation and Colony Count in Treated Soil Samples…………………………………………………………………….19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3.3: Fungal Observation and Colony Count in Control Soil Sample……………………………………………………………………21</w:t>
      </w:r>
    </w:p>
    <w:p>
      <w:pPr>
        <w:pStyle w:val="style0"/>
        <w:spacing w:lineRule="auto" w:line="480"/>
        <w:jc w:val="both"/>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480"/>
        <w:jc w:val="both"/>
        <w:rPr>
          <w:rFonts w:ascii="Times New Roman" w:cs="Times New Roman" w:hAnsi="Times New Roman"/>
          <w:sz w:val="28"/>
          <w:szCs w:val="28"/>
        </w:rPr>
        <w:sectPr>
          <w:footerReference w:type="default" r:id="rId3"/>
          <w:pgSz w:w="11520" w:h="14400" w:orient="portrait"/>
          <w:pgMar w:top="1440" w:right="1440" w:bottom="1440" w:left="1440" w:header="706" w:footer="706" w:gutter="0"/>
          <w:pgNumType w:fmt="lowerRoman" w:start="1"/>
          <w:cols w:space="708"/>
          <w:docGrid w:linePitch="360"/>
        </w:sectPr>
      </w:pPr>
      <w:r>
        <w:rPr>
          <w:rFonts w:ascii="Times New Roman" w:cs="Times New Roman" w:hAnsi="Times New Roman"/>
          <w:sz w:val="28"/>
          <w:szCs w:val="28"/>
        </w:rPr>
        <w:t xml:space="preserve">Fungicides are widely used in agriculture to control plant diseases; however, their unintended effects on non-target soil fungi (the </w:t>
      </w:r>
      <w:r>
        <w:rPr>
          <w:rFonts w:ascii="Times New Roman" w:cs="Times New Roman" w:hAnsi="Times New Roman"/>
          <w:sz w:val="28"/>
          <w:szCs w:val="28"/>
        </w:rPr>
        <w:t>mycobiome</w:t>
      </w:r>
      <w:r>
        <w:rPr>
          <w:rFonts w:ascii="Times New Roman" w:cs="Times New Roman" w:hAnsi="Times New Roman"/>
          <w:sz w:val="28"/>
          <w:szCs w:val="28"/>
        </w:rPr>
        <w:t xml:space="preserve">) raise significant ecological concerns. This study assessed the impact of five fungicides—Blast Force, Stampede, </w:t>
      </w:r>
      <w:r>
        <w:rPr>
          <w:rFonts w:ascii="Times New Roman" w:cs="Times New Roman" w:hAnsi="Times New Roman"/>
          <w:sz w:val="28"/>
          <w:szCs w:val="28"/>
        </w:rPr>
        <w:t>Ultimax</w:t>
      </w:r>
      <w:r>
        <w:rPr>
          <w:rFonts w:ascii="Times New Roman" w:cs="Times New Roman" w:hAnsi="Times New Roman"/>
          <w:sz w:val="28"/>
          <w:szCs w:val="28"/>
        </w:rPr>
        <w:t xml:space="preserve"> Plus, Red Force, and Total Force—on soil fungal diversity and compo</w:t>
      </w:r>
      <w:bookmarkStart w:id="0" w:name="_GoBack"/>
      <w:bookmarkEnd w:id="0"/>
      <w:r>
        <w:rPr>
          <w:rFonts w:ascii="Times New Roman" w:cs="Times New Roman" w:hAnsi="Times New Roman"/>
          <w:sz w:val="28"/>
          <w:szCs w:val="28"/>
        </w:rPr>
        <w:t xml:space="preserve">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r>
        <w:rPr>
          <w:rFonts w:ascii="Times New Roman" w:cs="Times New Roman" w:hAnsi="Times New Roman"/>
          <w:i/>
          <w:iCs/>
          <w:sz w:val="28"/>
          <w:szCs w:val="28"/>
        </w:rPr>
        <w:t>Penicillium</w:t>
      </w:r>
      <w:r>
        <w:rPr>
          <w:rFonts w:ascii="Times New Roman" w:cs="Times New Roman" w:hAnsi="Times New Roman"/>
          <w:sz w:val="28"/>
          <w:szCs w:val="28"/>
        </w:rPr>
        <w:t xml:space="preserve"> and </w:t>
      </w:r>
      <w:r>
        <w:rPr>
          <w:rFonts w:ascii="Times New Roman" w:cs="Times New Roman" w:hAnsi="Times New Roman"/>
          <w:i/>
          <w:iCs/>
          <w:sz w:val="28"/>
          <w:szCs w:val="28"/>
        </w:rPr>
        <w:t>Aspergillus</w:t>
      </w:r>
      <w:r>
        <w:rPr>
          <w:rFonts w:ascii="Times New Roman" w:cs="Times New Roman" w:hAnsi="Times New Roman"/>
          <w:sz w:val="28"/>
          <w:szCs w:val="28"/>
        </w:rPr>
        <w:t xml:space="preserve"> spp., while </w:t>
      </w:r>
      <w:r>
        <w:rPr>
          <w:rFonts w:ascii="Times New Roman" w:cs="Times New Roman" w:hAnsi="Times New Roman"/>
          <w:i/>
          <w:iCs/>
          <w:sz w:val="28"/>
          <w:szCs w:val="28"/>
        </w:rPr>
        <w:t>Yeast</w:t>
      </w:r>
      <w:r>
        <w:rPr>
          <w:rFonts w:ascii="Times New Roman" w:cs="Times New Roman" w:hAnsi="Times New Roman"/>
          <w:sz w:val="28"/>
          <w:szCs w:val="28"/>
        </w:rPr>
        <w:t xml:space="preserve"> and </w:t>
      </w:r>
      <w:r>
        <w:rPr>
          <w:rFonts w:ascii="Times New Roman" w:cs="Times New Roman" w:hAnsi="Times New Roman"/>
          <w:i/>
          <w:iCs/>
          <w:sz w:val="28"/>
          <w:szCs w:val="28"/>
        </w:rPr>
        <w:t>Rhizopus</w:t>
      </w:r>
      <w:r>
        <w:rPr>
          <w:rFonts w:ascii="Times New Roman" w:cs="Times New Roman" w:hAnsi="Times New Roman"/>
          <w:sz w:val="28"/>
          <w:szCs w:val="28"/>
        </w:rPr>
        <w:t xml:space="preserve"> spp. remained dominant. In contrast, control soils demonstrated a richer and more balanced fungal community. These findings highlight the potential of fungicide application to disrupt essential soil microbial functions and underscore the need for integrated pest management strategies to promote sustainable agriculture.</w:t>
      </w:r>
    </w:p>
    <w:bookmarkStart w:id="1" w:name="_Toc202976447"/>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bookmarkEnd w:id="1"/>
    </w:p>
    <w:bookmarkStart w:id="2" w:name="_Toc202976448"/>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 xml:space="preserve">1.0 </w:t>
      </w:r>
      <w:r>
        <w:rPr>
          <w:rFonts w:ascii="Times New Roman" w:cs="Times New Roman" w:hAnsi="Times New Roman"/>
          <w:b/>
          <w:color w:val="auto"/>
          <w:sz w:val="28"/>
          <w:szCs w:val="28"/>
        </w:rPr>
        <w:t>INTRODUCTION</w:t>
      </w:r>
      <w:bookmarkEnd w:id="2"/>
    </w:p>
    <w:p>
      <w:pPr>
        <w:pStyle w:val="style94"/>
        <w:spacing w:lineRule="auto" w:line="480"/>
        <w:jc w:val="both"/>
        <w:rPr>
          <w:sz w:val="28"/>
          <w:szCs w:val="28"/>
        </w:rPr>
      </w:pPr>
      <w:r>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r>
        <w:rPr>
          <w:sz w:val="28"/>
          <w:szCs w:val="28"/>
        </w:rPr>
        <w:t>mycobiome</w:t>
      </w:r>
      <w:r>
        <w:rPr>
          <w:sz w:val="28"/>
          <w:szCs w:val="28"/>
        </w:rPr>
        <w:t xml:space="preserve">. The </w:t>
      </w:r>
      <w:r>
        <w:rPr>
          <w:rStyle w:val="style87"/>
          <w:b w:val="false"/>
          <w:sz w:val="28"/>
          <w:szCs w:val="28"/>
        </w:rPr>
        <w:t xml:space="preserve">soil </w:t>
      </w:r>
      <w:r>
        <w:rPr>
          <w:rStyle w:val="style87"/>
          <w:b w:val="false"/>
          <w:sz w:val="28"/>
          <w:szCs w:val="28"/>
        </w:rPr>
        <w:t>mycobiome</w:t>
      </w:r>
      <w:r>
        <w:rPr>
          <w:sz w:val="28"/>
          <w:szCs w:val="28"/>
        </w:rPr>
        <w:t xml:space="preserve"> encompasses a diverse community of fungi, including </w:t>
      </w:r>
      <w:r>
        <w:rPr>
          <w:sz w:val="28"/>
          <w:szCs w:val="28"/>
        </w:rPr>
        <w:t>saprotrophs</w:t>
      </w:r>
      <w:r>
        <w:rPr>
          <w:sz w:val="28"/>
          <w:szCs w:val="28"/>
        </w:rPr>
        <w:t xml:space="preserve">, pathogens, and </w:t>
      </w:r>
      <w:r>
        <w:rPr>
          <w:sz w:val="28"/>
          <w:szCs w:val="28"/>
        </w:rPr>
        <w:t>mutualists</w:t>
      </w:r>
      <w:r>
        <w:rPr>
          <w:sz w:val="28"/>
          <w:szCs w:val="28"/>
        </w:rPr>
        <w:t xml:space="preserve"> such as </w:t>
      </w:r>
      <w:r>
        <w:rPr>
          <w:sz w:val="28"/>
          <w:szCs w:val="28"/>
        </w:rPr>
        <w:t>mycorrhizal</w:t>
      </w:r>
      <w:r>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r>
        <w:rPr>
          <w:sz w:val="28"/>
          <w:szCs w:val="28"/>
        </w:rPr>
        <w:t>Francioli</w:t>
      </w:r>
      <w:r>
        <w:rPr>
          <w:sz w:val="28"/>
          <w:szCs w:val="28"/>
        </w:rPr>
        <w:t xml:space="preserve"> </w:t>
      </w:r>
      <w:r>
        <w:rPr>
          <w:i/>
          <w:sz w:val="28"/>
          <w:szCs w:val="28"/>
        </w:rPr>
        <w:t>et al</w:t>
      </w:r>
      <w:r>
        <w:rPr>
          <w:sz w:val="28"/>
          <w:szCs w:val="28"/>
        </w:rPr>
        <w:t>., 2022).</w:t>
      </w:r>
    </w:p>
    <w:p>
      <w:pPr>
        <w:pStyle w:val="style94"/>
        <w:spacing w:lineRule="auto" w:line="480"/>
        <w:jc w:val="both"/>
        <w:rPr>
          <w:sz w:val="28"/>
          <w:szCs w:val="28"/>
        </w:rPr>
      </w:pPr>
      <w:r>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such </w:t>
      </w:r>
      <w:r>
        <w:rPr>
          <w:sz w:val="28"/>
          <w:szCs w:val="28"/>
        </w:rPr>
        <w:t xml:space="preserve">as </w:t>
      </w:r>
      <w:r>
        <w:rPr>
          <w:rStyle w:val="style87"/>
          <w:b w:val="false"/>
          <w:sz w:val="28"/>
          <w:szCs w:val="28"/>
        </w:rPr>
        <w:t>arbuscular</w:t>
      </w:r>
      <w:r>
        <w:rPr>
          <w:rStyle w:val="style87"/>
          <w:b w:val="false"/>
          <w:sz w:val="28"/>
          <w:szCs w:val="28"/>
        </w:rPr>
        <w:t xml:space="preserve"> </w:t>
      </w:r>
      <w:r>
        <w:rPr>
          <w:rStyle w:val="style87"/>
          <w:b w:val="false"/>
          <w:sz w:val="28"/>
          <w:szCs w:val="28"/>
        </w:rPr>
        <w:t>mycorrhizal</w:t>
      </w:r>
      <w:r>
        <w:rPr>
          <w:rStyle w:val="style87"/>
          <w:b w:val="false"/>
          <w:sz w:val="28"/>
          <w:szCs w:val="28"/>
        </w:rPr>
        <w:t xml:space="preserve"> fungi (AMF)</w:t>
      </w:r>
      <w:r>
        <w:rPr>
          <w:sz w:val="28"/>
          <w:szCs w:val="28"/>
        </w:rPr>
        <w:t>, which are essential for phosphorus uptake and drought tolerance in plants (</w:t>
      </w:r>
      <w:r>
        <w:rPr>
          <w:sz w:val="28"/>
          <w:szCs w:val="28"/>
        </w:rPr>
        <w:t>Tosi</w:t>
      </w:r>
      <w:r>
        <w:rPr>
          <w:sz w:val="28"/>
          <w:szCs w:val="28"/>
        </w:rPr>
        <w:t xml:space="preserve"> </w:t>
      </w:r>
      <w:r>
        <w:rPr>
          <w:i/>
          <w:sz w:val="28"/>
          <w:szCs w:val="28"/>
        </w:rPr>
        <w:t>et al</w:t>
      </w:r>
      <w:r>
        <w:rPr>
          <w:sz w:val="28"/>
          <w:szCs w:val="28"/>
        </w:rPr>
        <w:t>., 2020). Such disturbances may lead to a decline in fungal biodiversity and the resilience of soil ecosystems.</w:t>
      </w:r>
    </w:p>
    <w:p>
      <w:pPr>
        <w:pStyle w:val="style94"/>
        <w:spacing w:lineRule="auto" w:line="480"/>
        <w:jc w:val="both"/>
        <w:rPr>
          <w:sz w:val="28"/>
          <w:szCs w:val="28"/>
        </w:rPr>
      </w:pPr>
      <w:r>
        <w:rPr>
          <w:sz w:val="28"/>
          <w:szCs w:val="28"/>
        </w:rPr>
        <w:t xml:space="preserve">Changes in fungal community structure due to fungicide application may also affect </w:t>
      </w:r>
      <w:r>
        <w:rPr>
          <w:rStyle w:val="style87"/>
          <w:b w:val="false"/>
          <w:sz w:val="28"/>
          <w:szCs w:val="28"/>
        </w:rPr>
        <w:t>plant-soil interactions</w:t>
      </w:r>
      <w:r>
        <w:rPr>
          <w:sz w:val="28"/>
          <w:szCs w:val="28"/>
        </w:rPr>
        <w:t xml:space="preserve">.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(Banerjee </w:t>
      </w:r>
      <w:r>
        <w:rPr>
          <w:i/>
          <w:sz w:val="28"/>
          <w:szCs w:val="28"/>
        </w:rPr>
        <w:t>et al</w:t>
      </w:r>
      <w:r>
        <w:rPr>
          <w:sz w:val="28"/>
          <w:szCs w:val="28"/>
        </w:rPr>
        <w:t>., 2020). Furthermore, repeated fungicide applications may exert selection pressure, leading to shifts in community dynamics that favor fungicide-tolerant species.</w:t>
      </w:r>
    </w:p>
    <w:p>
      <w:pPr>
        <w:pStyle w:val="style94"/>
        <w:spacing w:lineRule="auto" w:line="480"/>
        <w:jc w:val="both"/>
        <w:rPr>
          <w:sz w:val="28"/>
          <w:szCs w:val="28"/>
        </w:rPr>
      </w:pPr>
      <w:r>
        <w:rPr>
          <w:sz w:val="28"/>
          <w:szCs w:val="28"/>
        </w:rPr>
        <w:t xml:space="preserve">Advancements in molecular biology, particularly next-generation sequencing (NGS), have enabled detailed analysis of microbial community composition. Recent studies utilizing </w:t>
      </w:r>
      <w:r>
        <w:rPr>
          <w:rStyle w:val="style87"/>
          <w:b w:val="false"/>
          <w:sz w:val="28"/>
          <w:szCs w:val="28"/>
        </w:rPr>
        <w:t>metabarcoding</w:t>
      </w:r>
      <w:r>
        <w:rPr>
          <w:rStyle w:val="style87"/>
          <w:b w:val="false"/>
          <w:sz w:val="28"/>
          <w:szCs w:val="28"/>
        </w:rPr>
        <w:t xml:space="preserve"> techniques</w:t>
      </w:r>
      <w:r>
        <w:rPr>
          <w:sz w:val="28"/>
          <w:szCs w:val="28"/>
        </w:rPr>
        <w:t xml:space="preserve"> have shown that fungicide application significantly modifies soil fungal diversity and abundance. These </w:t>
      </w:r>
      <w:r>
        <w:rPr>
          <w:sz w:val="28"/>
          <w:szCs w:val="28"/>
        </w:rPr>
        <w:t xml:space="preserve">methods have revealed that even a single application can reduce rare taxa and shift dominant fungal phyla, such as Ascomycota and </w:t>
      </w:r>
      <w:r>
        <w:rPr>
          <w:sz w:val="28"/>
          <w:szCs w:val="28"/>
        </w:rPr>
        <w:t>Basidiomycota</w:t>
      </w:r>
      <w:r>
        <w:rPr>
          <w:sz w:val="28"/>
          <w:szCs w:val="28"/>
        </w:rPr>
        <w:t xml:space="preserve"> (He </w:t>
      </w:r>
      <w:r>
        <w:rPr>
          <w:i/>
          <w:sz w:val="28"/>
          <w:szCs w:val="28"/>
        </w:rPr>
        <w:t>et al</w:t>
      </w:r>
      <w:r>
        <w:rPr>
          <w:sz w:val="28"/>
          <w:szCs w:val="28"/>
        </w:rPr>
        <w:t>., 2021). These changes may have cascading effects on nutrient availability and plant productivity, thereby undermining the very goal of agricultural intensification.</w:t>
      </w:r>
    </w:p>
    <w:p>
      <w:pPr>
        <w:pStyle w:val="style94"/>
        <w:spacing w:lineRule="auto" w:line="480"/>
        <w:jc w:val="both"/>
        <w:rPr>
          <w:sz w:val="28"/>
          <w:szCs w:val="28"/>
        </w:rPr>
      </w:pPr>
      <w:r>
        <w:rPr>
          <w:sz w:val="28"/>
          <w:szCs w:val="28"/>
        </w:rPr>
        <w:t xml:space="preserve">The </w:t>
      </w:r>
      <w:r>
        <w:rPr>
          <w:rStyle w:val="style87"/>
          <w:b w:val="false"/>
          <w:sz w:val="28"/>
          <w:szCs w:val="28"/>
        </w:rPr>
        <w:t>frequency, dosage, and mode of fungicide application</w:t>
      </w:r>
      <w:r>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(González-Pérez </w:t>
      </w:r>
      <w:r>
        <w:rPr>
          <w:i/>
          <w:sz w:val="28"/>
          <w:szCs w:val="28"/>
        </w:rPr>
        <w:t>et al</w:t>
      </w:r>
      <w:r>
        <w:rPr>
          <w:sz w:val="28"/>
          <w:szCs w:val="28"/>
        </w:rPr>
        <w:t>., 2020). A one-size-fits-all approach may overlook localized effects that accumulate over time.</w:t>
      </w:r>
    </w:p>
    <w:p>
      <w:pPr>
        <w:pStyle w:val="style94"/>
        <w:spacing w:lineRule="auto" w:line="480"/>
        <w:jc w:val="both"/>
        <w:rPr>
          <w:sz w:val="28"/>
          <w:szCs w:val="28"/>
        </w:rPr>
      </w:pPr>
      <w:r>
        <w:rPr>
          <w:sz w:val="28"/>
          <w:szCs w:val="28"/>
        </w:rPr>
        <w:t xml:space="preserve">Fungicide-induced shifts in the </w:t>
      </w:r>
      <w:r>
        <w:rPr>
          <w:sz w:val="28"/>
          <w:szCs w:val="28"/>
        </w:rPr>
        <w:t>mycobiome</w:t>
      </w:r>
      <w:r>
        <w:rPr>
          <w:sz w:val="28"/>
          <w:szCs w:val="28"/>
        </w:rPr>
        <w:t xml:space="preserve"> not only affect the soil </w:t>
      </w:r>
      <w:r>
        <w:rPr>
          <w:sz w:val="28"/>
          <w:szCs w:val="28"/>
        </w:rPr>
        <w:t>microbiota</w:t>
      </w:r>
      <w:r>
        <w:rPr>
          <w:sz w:val="28"/>
          <w:szCs w:val="28"/>
        </w:rPr>
        <w:t xml:space="preserve"> but can also indirectly affect </w:t>
      </w:r>
      <w:r>
        <w:rPr>
          <w:rStyle w:val="style87"/>
          <w:b w:val="false"/>
          <w:sz w:val="28"/>
          <w:szCs w:val="28"/>
        </w:rPr>
        <w:t>plant health and growth</w:t>
      </w:r>
      <w:r>
        <w:rPr>
          <w:sz w:val="28"/>
          <w:szCs w:val="28"/>
        </w:rPr>
        <w:t xml:space="preserve">. </w:t>
      </w:r>
      <w:r>
        <w:rPr>
          <w:sz w:val="28"/>
          <w:szCs w:val="28"/>
        </w:rPr>
        <w:t>Mycorrhizal</w:t>
      </w:r>
      <w:r>
        <w:rPr>
          <w:sz w:val="28"/>
          <w:szCs w:val="28"/>
        </w:rPr>
        <w:t xml:space="preserve"> suppression, for example, may impair plant nutrient acquisition, reduce stress </w:t>
      </w:r>
      <w:r>
        <w:rPr>
          <w:sz w:val="28"/>
          <w:szCs w:val="28"/>
        </w:rPr>
        <w:t xml:space="preserve">tolerance, and weaken resistance to other pathogens. In turn, this could result in reduced crop vigor and yield. Long-term disruption of the </w:t>
      </w:r>
      <w:r>
        <w:rPr>
          <w:sz w:val="28"/>
          <w:szCs w:val="28"/>
        </w:rPr>
        <w:t>mycobiome</w:t>
      </w:r>
      <w:r>
        <w:rPr>
          <w:sz w:val="28"/>
          <w:szCs w:val="28"/>
        </w:rPr>
        <w:t xml:space="preserve"> may also impede the natural regeneration of microbial populations, reducing the soil’s capacity to recover after disturbances (Wang </w:t>
      </w:r>
      <w:r>
        <w:rPr>
          <w:i/>
          <w:sz w:val="28"/>
          <w:szCs w:val="28"/>
        </w:rPr>
        <w:t>et al</w:t>
      </w:r>
      <w:r>
        <w:rPr>
          <w:sz w:val="28"/>
          <w:szCs w:val="28"/>
        </w:rPr>
        <w:t>., 2021). Therefore, maintaining fungal balance is crucial for sustainable soil function.</w:t>
      </w:r>
    </w:p>
    <w:p>
      <w:pPr>
        <w:pStyle w:val="style94"/>
        <w:spacing w:lineRule="auto" w:line="480"/>
        <w:jc w:val="both"/>
        <w:rPr>
          <w:sz w:val="28"/>
          <w:szCs w:val="28"/>
        </w:rPr>
      </w:pPr>
      <w:r>
        <w:rPr>
          <w:sz w:val="28"/>
          <w:szCs w:val="28"/>
        </w:rPr>
        <w:t xml:space="preserve">The environmental implications of fungicide use emphasize the need for </w:t>
      </w:r>
      <w:r>
        <w:rPr>
          <w:rStyle w:val="style87"/>
          <w:b w:val="false"/>
          <w:sz w:val="28"/>
          <w:szCs w:val="28"/>
        </w:rPr>
        <w:t>eco-friendly alternatives and integrated pest management (IPM)</w:t>
      </w:r>
      <w:r>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r>
        <w:rPr>
          <w:sz w:val="28"/>
          <w:szCs w:val="28"/>
        </w:rPr>
        <w:t>mycobiome</w:t>
      </w:r>
      <w:r>
        <w:rPr>
          <w:sz w:val="28"/>
          <w:szCs w:val="28"/>
        </w:rPr>
        <w:t xml:space="preserve"> while still achieving effective disease control (</w:t>
      </w:r>
      <w:r>
        <w:rPr>
          <w:sz w:val="28"/>
          <w:szCs w:val="28"/>
        </w:rPr>
        <w:t>Francioli</w:t>
      </w:r>
      <w:r>
        <w:rPr>
          <w:sz w:val="28"/>
          <w:szCs w:val="28"/>
        </w:rPr>
        <w:t xml:space="preserve"> </w:t>
      </w:r>
      <w:r>
        <w:rPr>
          <w:i/>
          <w:sz w:val="28"/>
          <w:szCs w:val="28"/>
        </w:rPr>
        <w:t>et al</w:t>
      </w:r>
      <w:r>
        <w:rPr>
          <w:sz w:val="28"/>
          <w:szCs w:val="28"/>
        </w:rPr>
        <w:t>., 2022). Sustainable agriculture must balance productivity with environmental stewardship.</w:t>
      </w:r>
    </w:p>
    <w:bookmarkStart w:id="3" w:name="_Toc202976449"/>
    <w:p>
      <w:pPr>
        <w:pStyle w:val="style1"/>
        <w:rPr>
          <w:rFonts w:ascii="Times New Roman" w:cs="Times New Roman" w:hAnsi="Times New Roman"/>
          <w:b/>
          <w:color w:val="auto"/>
        </w:rPr>
      </w:pPr>
      <w:r>
        <w:rPr>
          <w:rFonts w:ascii="Times New Roman" w:cs="Times New Roman" w:hAnsi="Times New Roman"/>
          <w:b/>
          <w:color w:val="auto"/>
        </w:rPr>
        <w:t>1.1 Literature Review</w:t>
      </w:r>
      <w:bookmarkEnd w:id="3"/>
    </w:p>
    <w:p>
      <w:pPr>
        <w:pStyle w:val="style94"/>
        <w:spacing w:lineRule="auto" w:line="480"/>
        <w:jc w:val="both"/>
        <w:rPr>
          <w:sz w:val="28"/>
          <w:szCs w:val="28"/>
        </w:rPr>
      </w:pPr>
      <w:r>
        <w:rPr>
          <w:sz w:val="28"/>
          <w:szCs w:val="28"/>
        </w:rPr>
        <w:t xml:space="preserve">Fungicides have been widely recognized for their efficacy in controlling plant pathogenic fungi, but growing evidence suggests they also negatively affect non-target microbial communities in the soil. Broadly, fungicides are </w:t>
      </w:r>
      <w:r>
        <w:rPr>
          <w:sz w:val="28"/>
          <w:szCs w:val="28"/>
        </w:rPr>
        <w:t xml:space="preserve">classified into </w:t>
      </w:r>
      <w:r>
        <w:rPr>
          <w:bCs/>
          <w:sz w:val="28"/>
          <w:szCs w:val="28"/>
        </w:rPr>
        <w:t>systemic</w:t>
      </w:r>
      <w:r>
        <w:rPr>
          <w:sz w:val="28"/>
          <w:szCs w:val="28"/>
        </w:rPr>
        <w:t xml:space="preserve"> and </w:t>
      </w:r>
      <w:r>
        <w:rPr>
          <w:bCs/>
          <w:sz w:val="28"/>
          <w:szCs w:val="28"/>
        </w:rPr>
        <w:t>contact</w:t>
      </w:r>
      <w:r>
        <w:rPr>
          <w:sz w:val="28"/>
          <w:szCs w:val="28"/>
        </w:rPr>
        <w:t xml:space="preserve"> types. </w:t>
      </w:r>
      <w:r>
        <w:rPr>
          <w:bCs/>
          <w:sz w:val="28"/>
          <w:szCs w:val="28"/>
        </w:rPr>
        <w:t>Systemic fungicides</w:t>
      </w:r>
      <w:r>
        <w:rPr>
          <w:sz w:val="28"/>
          <w:szCs w:val="28"/>
        </w:rPr>
        <w:t xml:space="preserve">, such as azoles (e.g., </w:t>
      </w:r>
      <w:r>
        <w:rPr>
          <w:sz w:val="28"/>
          <w:szCs w:val="28"/>
        </w:rPr>
        <w:t>tebuconazole</w:t>
      </w:r>
      <w:r>
        <w:rPr>
          <w:sz w:val="28"/>
          <w:szCs w:val="28"/>
        </w:rPr>
        <w:t xml:space="preserve">), are absorbed and </w:t>
      </w:r>
      <w:r>
        <w:rPr>
          <w:sz w:val="28"/>
          <w:szCs w:val="28"/>
        </w:rPr>
        <w:t>translocated</w:t>
      </w:r>
      <w:r>
        <w:rPr>
          <w:sz w:val="28"/>
          <w:szCs w:val="28"/>
        </w:rPr>
        <w:t xml:space="preserve"> within plant tissues, offering prolonged protection, but often with stronger and longer-lasting effects on soil fungi. </w:t>
      </w:r>
      <w:r>
        <w:rPr>
          <w:bCs/>
          <w:sz w:val="28"/>
          <w:szCs w:val="28"/>
        </w:rPr>
        <w:t>Contact fungicides</w:t>
      </w:r>
      <w:r>
        <w:rPr>
          <w:sz w:val="28"/>
          <w:szCs w:val="28"/>
        </w:rPr>
        <w:t xml:space="preserve">, including </w:t>
      </w:r>
      <w:r>
        <w:rPr>
          <w:sz w:val="28"/>
          <w:szCs w:val="28"/>
        </w:rPr>
        <w:t>mancozeb</w:t>
      </w:r>
      <w:r>
        <w:rPr>
          <w:sz w:val="28"/>
          <w:szCs w:val="28"/>
        </w:rPr>
        <w:t xml:space="preserve"> and copper-based compounds, remain on the plant surface and typically pose less persistent risks to non-target soil fungi, though they may still affect surface-dwelling microbes.</w:t>
      </w:r>
    </w:p>
    <w:p>
      <w:pPr>
        <w:pStyle w:val="style94"/>
        <w:spacing w:lineRule="auto" w:line="480"/>
        <w:jc w:val="both"/>
        <w:rPr>
          <w:sz w:val="28"/>
          <w:szCs w:val="28"/>
        </w:rPr>
      </w:pPr>
      <w:r>
        <w:rPr>
          <w:sz w:val="28"/>
          <w:szCs w:val="28"/>
        </w:rPr>
        <w:t xml:space="preserve">González-Pérez </w:t>
      </w:r>
      <w:r>
        <w:rPr>
          <w:i/>
          <w:sz w:val="28"/>
          <w:szCs w:val="28"/>
        </w:rPr>
        <w:t>et al</w:t>
      </w:r>
      <w:r>
        <w:rPr>
          <w:sz w:val="28"/>
          <w:szCs w:val="28"/>
        </w:rPr>
        <w:t xml:space="preserve">. (2020) reported that repeated fungicide applications in cropland reduced soil fungal diversity, particularly impacting symbiotic fungi like </w:t>
      </w:r>
      <w:r>
        <w:rPr>
          <w:sz w:val="28"/>
          <w:szCs w:val="28"/>
        </w:rPr>
        <w:t>arbuscular</w:t>
      </w:r>
      <w:r>
        <w:rPr>
          <w:sz w:val="28"/>
          <w:szCs w:val="28"/>
        </w:rPr>
        <w:t xml:space="preserve"> </w:t>
      </w:r>
      <w:r>
        <w:rPr>
          <w:sz w:val="28"/>
          <w:szCs w:val="28"/>
        </w:rPr>
        <w:t>mycorrhizal</w:t>
      </w:r>
      <w:r>
        <w:rPr>
          <w:sz w:val="28"/>
          <w:szCs w:val="28"/>
        </w:rPr>
        <w:t xml:space="preserve"> fungi (AMF). These beneficial fungi form critical associations with plant roots and assist in nutrient uptake, especially phosphorus. The suppression of AMF due to systemic fungicide use disrupts these associations, consequently impairing plant health and yield. Moreover, </w:t>
      </w:r>
      <w:r>
        <w:rPr>
          <w:bCs/>
          <w:sz w:val="28"/>
          <w:szCs w:val="28"/>
        </w:rPr>
        <w:t>physicochemical soil properties</w:t>
      </w:r>
      <w:r>
        <w:rPr>
          <w:sz w:val="28"/>
          <w:szCs w:val="28"/>
        </w:rPr>
        <w:t xml:space="preserve">, such as </w:t>
      </w:r>
      <w:r>
        <w:rPr>
          <w:bCs/>
          <w:sz w:val="28"/>
          <w:szCs w:val="28"/>
        </w:rPr>
        <w:t>pH</w:t>
      </w:r>
      <w:r>
        <w:rPr>
          <w:sz w:val="28"/>
          <w:szCs w:val="28"/>
        </w:rPr>
        <w:t xml:space="preserve">, </w:t>
      </w:r>
      <w:r>
        <w:rPr>
          <w:bCs/>
          <w:sz w:val="28"/>
          <w:szCs w:val="28"/>
        </w:rPr>
        <w:t>organic matter content</w:t>
      </w:r>
      <w:r>
        <w:rPr>
          <w:sz w:val="28"/>
          <w:szCs w:val="28"/>
        </w:rPr>
        <w:t xml:space="preserve">, </w:t>
      </w:r>
      <w:r>
        <w:rPr>
          <w:bCs/>
          <w:sz w:val="28"/>
          <w:szCs w:val="28"/>
        </w:rPr>
        <w:t>moisture</w:t>
      </w:r>
      <w:r>
        <w:rPr>
          <w:sz w:val="28"/>
          <w:szCs w:val="28"/>
        </w:rPr>
        <w:t xml:space="preserve">, and </w:t>
      </w:r>
      <w:r>
        <w:rPr>
          <w:bCs/>
          <w:sz w:val="28"/>
          <w:szCs w:val="28"/>
        </w:rPr>
        <w:t>soil texture</w:t>
      </w:r>
      <w:r>
        <w:rPr>
          <w:sz w:val="28"/>
          <w:szCs w:val="28"/>
        </w:rPr>
        <w:t xml:space="preserve">, influence the persistence and mobility of fungicides. In soils with low organic content or high sand proportions, fungicides may leach more </w:t>
      </w:r>
      <w:r>
        <w:rPr>
          <w:sz w:val="28"/>
          <w:szCs w:val="28"/>
        </w:rPr>
        <w:t>readily, potentially contaminating groundwater or affecting microbial communities at different depths.</w:t>
      </w:r>
    </w:p>
    <w:p>
      <w:pPr>
        <w:pStyle w:val="style94"/>
        <w:spacing w:lineRule="auto" w:line="480"/>
        <w:jc w:val="both"/>
        <w:rPr>
          <w:sz w:val="28"/>
          <w:szCs w:val="28"/>
        </w:rPr>
      </w:pPr>
      <w:r>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Pr>
          <w:bCs/>
          <w:sz w:val="28"/>
          <w:szCs w:val="28"/>
        </w:rPr>
        <w:t>temperature, rainfall, and irrigation frequency</w:t>
      </w:r>
      <w:r>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r>
        <w:rPr>
          <w:sz w:val="28"/>
          <w:szCs w:val="28"/>
        </w:rPr>
        <w:t>microbiome</w:t>
      </w:r>
      <w:r>
        <w:rPr>
          <w:sz w:val="28"/>
          <w:szCs w:val="28"/>
        </w:rPr>
        <w:t xml:space="preserve"> conservation in pesticide regulations.</w:t>
      </w:r>
    </w:p>
    <w:p>
      <w:pPr>
        <w:pStyle w:val="style94"/>
        <w:spacing w:lineRule="auto" w:line="480"/>
        <w:jc w:val="both"/>
        <w:rPr>
          <w:sz w:val="28"/>
          <w:szCs w:val="28"/>
        </w:rPr>
      </w:pPr>
      <w:r>
        <w:rPr>
          <w:sz w:val="28"/>
          <w:szCs w:val="28"/>
        </w:rPr>
        <w:t xml:space="preserve">He </w:t>
      </w:r>
      <w:r>
        <w:rPr>
          <w:i/>
          <w:sz w:val="28"/>
          <w:szCs w:val="28"/>
        </w:rPr>
        <w:t>et al</w:t>
      </w:r>
      <w:r>
        <w:rPr>
          <w:sz w:val="28"/>
          <w:szCs w:val="28"/>
        </w:rPr>
        <w:t xml:space="preserve">. (2021) utilized high-throughput sequencing to analyze the response of the soil </w:t>
      </w:r>
      <w:r>
        <w:rPr>
          <w:sz w:val="28"/>
          <w:szCs w:val="28"/>
        </w:rPr>
        <w:t>mycobiome</w:t>
      </w:r>
      <w:r>
        <w:rPr>
          <w:sz w:val="28"/>
          <w:szCs w:val="28"/>
        </w:rPr>
        <w:t xml:space="preserve"> to fungicide treatments in soybean fields. Their findings indicated a reduction in fungal richness and evenness following fungicide application, with noticeable shifts in dominant fungal phyla such as </w:t>
      </w:r>
      <w:r>
        <w:rPr>
          <w:bCs/>
          <w:sz w:val="28"/>
          <w:szCs w:val="28"/>
        </w:rPr>
        <w:t>Ascomycota</w:t>
      </w:r>
      <w:r>
        <w:rPr>
          <w:sz w:val="28"/>
          <w:szCs w:val="28"/>
        </w:rPr>
        <w:t xml:space="preserve"> and </w:t>
      </w:r>
      <w:r>
        <w:rPr>
          <w:bCs/>
          <w:sz w:val="28"/>
          <w:szCs w:val="28"/>
        </w:rPr>
        <w:t>Basidiomycota</w:t>
      </w:r>
      <w:r>
        <w:rPr>
          <w:sz w:val="28"/>
          <w:szCs w:val="28"/>
        </w:rPr>
        <w:t xml:space="preserve">. Some previously abundant taxa declined, while stress-tolerant or resistant species increased—many of which possess </w:t>
      </w:r>
      <w:r>
        <w:rPr>
          <w:bCs/>
          <w:sz w:val="28"/>
          <w:szCs w:val="28"/>
        </w:rPr>
        <w:t>detoxification enzymes</w:t>
      </w:r>
      <w:r>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pPr>
        <w:pStyle w:val="style94"/>
        <w:spacing w:lineRule="auto" w:line="480"/>
        <w:jc w:val="both"/>
        <w:rPr>
          <w:sz w:val="28"/>
          <w:szCs w:val="28"/>
        </w:rPr>
      </w:pPr>
      <w:r>
        <w:rPr>
          <w:sz w:val="28"/>
          <w:szCs w:val="28"/>
        </w:rPr>
        <w:t xml:space="preserve">In vineyard soils, </w:t>
      </w:r>
      <w:r>
        <w:rPr>
          <w:sz w:val="28"/>
          <w:szCs w:val="28"/>
        </w:rPr>
        <w:t>Francioli</w:t>
      </w:r>
      <w:r>
        <w:rPr>
          <w:sz w:val="28"/>
          <w:szCs w:val="28"/>
        </w:rPr>
        <w:t xml:space="preserve"> </w:t>
      </w:r>
      <w:r>
        <w:rPr>
          <w:i/>
          <w:sz w:val="28"/>
          <w:szCs w:val="28"/>
        </w:rPr>
        <w:t>et al</w:t>
      </w:r>
      <w:r>
        <w:rPr>
          <w:sz w:val="28"/>
          <w:szCs w:val="28"/>
        </w:rPr>
        <w:t xml:space="preserve">. (2022) examined the effect of repeated fungicide application on fungal networks and microbial interactions. Their study showed that fungicides not only reduced fungal diversity but also altered </w:t>
      </w:r>
      <w:r>
        <w:rPr>
          <w:bCs/>
          <w:sz w:val="28"/>
          <w:szCs w:val="28"/>
        </w:rPr>
        <w:t>co-occurrence patterns and keystone taxa</w:t>
      </w:r>
      <w:r>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Pr>
          <w:bCs/>
          <w:sz w:val="28"/>
          <w:szCs w:val="28"/>
        </w:rPr>
        <w:t>slow</w:t>
      </w:r>
      <w:r>
        <w:rPr>
          <w:sz w:val="28"/>
          <w:szCs w:val="28"/>
        </w:rPr>
        <w:t xml:space="preserve">, suggesting that frequent or long-term application may induce </w:t>
      </w:r>
      <w:r>
        <w:rPr>
          <w:bCs/>
          <w:sz w:val="28"/>
          <w:szCs w:val="28"/>
        </w:rPr>
        <w:t>semi-permanent ecological disturbances</w:t>
      </w:r>
      <w:r>
        <w:rPr>
          <w:sz w:val="28"/>
          <w:szCs w:val="28"/>
        </w:rPr>
        <w:t xml:space="preserve">. The study emphasizes the vulnerability of microbial networks to chemical disturbances, particularly in </w:t>
      </w:r>
      <w:r>
        <w:rPr>
          <w:bCs/>
          <w:sz w:val="28"/>
          <w:szCs w:val="28"/>
        </w:rPr>
        <w:t>sensitive or monoculture environments</w:t>
      </w:r>
      <w:r>
        <w:rPr>
          <w:sz w:val="28"/>
          <w:szCs w:val="28"/>
        </w:rPr>
        <w:t xml:space="preserve"> with low biological redundancy.</w:t>
      </w:r>
    </w:p>
    <w:p>
      <w:pPr>
        <w:pStyle w:val="style94"/>
        <w:spacing w:lineRule="auto" w:line="480"/>
        <w:jc w:val="both"/>
        <w:rPr>
          <w:sz w:val="28"/>
          <w:szCs w:val="28"/>
        </w:rPr>
      </w:pPr>
      <w:r>
        <w:rPr>
          <w:sz w:val="28"/>
          <w:szCs w:val="28"/>
        </w:rPr>
        <w:t xml:space="preserve">Banerjee </w:t>
      </w:r>
      <w:r>
        <w:rPr>
          <w:i/>
          <w:sz w:val="28"/>
          <w:szCs w:val="28"/>
        </w:rPr>
        <w:t>et al</w:t>
      </w:r>
      <w:r>
        <w:rPr>
          <w:sz w:val="28"/>
          <w:szCs w:val="28"/>
        </w:rPr>
        <w:t xml:space="preserve">. (2020) explored the consequences of intensive agriculture, including pesticide and fungicide use, on root and soil microbial communities. </w:t>
      </w:r>
      <w:r>
        <w:rPr>
          <w:sz w:val="28"/>
          <w:szCs w:val="28"/>
        </w:rPr>
        <w:t xml:space="preserve">They found that agricultural intensification led to a loss of microbial complexity and a reduction in beneficial microbial groups, including fungi. Notably, </w:t>
      </w:r>
      <w:r>
        <w:rPr>
          <w:bCs/>
          <w:sz w:val="28"/>
          <w:szCs w:val="28"/>
        </w:rPr>
        <w:t>intensive tillage</w:t>
      </w:r>
      <w:r>
        <w:rPr>
          <w:sz w:val="28"/>
          <w:szCs w:val="28"/>
        </w:rPr>
        <w:t xml:space="preserve">, </w:t>
      </w:r>
      <w:r>
        <w:rPr>
          <w:bCs/>
          <w:sz w:val="28"/>
          <w:szCs w:val="28"/>
        </w:rPr>
        <w:t>monoculture cropping</w:t>
      </w:r>
      <w:r>
        <w:rPr>
          <w:sz w:val="28"/>
          <w:szCs w:val="28"/>
        </w:rPr>
        <w:t xml:space="preserve">, and </w:t>
      </w:r>
      <w:r>
        <w:rPr>
          <w:bCs/>
          <w:sz w:val="28"/>
          <w:szCs w:val="28"/>
        </w:rPr>
        <w:t>high agrochemical input</w:t>
      </w:r>
      <w:r>
        <w:rPr>
          <w:sz w:val="28"/>
          <w:szCs w:val="28"/>
        </w:rPr>
        <w:t xml:space="preserve"> collectively drive microbial simplification. The frequent use of fungicides tends to </w:t>
      </w:r>
      <w:r>
        <w:rPr>
          <w:bCs/>
          <w:sz w:val="28"/>
          <w:szCs w:val="28"/>
        </w:rPr>
        <w:t>select for resistant strains</w:t>
      </w:r>
      <w:r>
        <w:rPr>
          <w:sz w:val="28"/>
          <w:szCs w:val="28"/>
        </w:rPr>
        <w:t xml:space="preserve">, decreasing overall fungal diversity and potentially leading to pathogen resurgence. The simplified community also lacked </w:t>
      </w:r>
      <w:r>
        <w:rPr>
          <w:bCs/>
          <w:sz w:val="28"/>
          <w:szCs w:val="28"/>
        </w:rPr>
        <w:t>functional redundancy</w:t>
      </w:r>
      <w:r>
        <w:rPr>
          <w:sz w:val="28"/>
          <w:szCs w:val="28"/>
        </w:rPr>
        <w:t xml:space="preserve">, making the soil ecosystem more fragile and susceptible to diseases and environmental stress. The authors emphasize the importance of </w:t>
      </w:r>
      <w:r>
        <w:rPr>
          <w:bCs/>
          <w:sz w:val="28"/>
          <w:szCs w:val="28"/>
        </w:rPr>
        <w:t>sustainable and integrated pest management (IPM)</w:t>
      </w:r>
      <w:r>
        <w:rPr>
          <w:sz w:val="28"/>
          <w:szCs w:val="28"/>
        </w:rPr>
        <w:t xml:space="preserve"> to reduce fungicide reliance and promote soil biodiversity.</w:t>
      </w:r>
    </w:p>
    <w:p>
      <w:pPr>
        <w:pStyle w:val="style94"/>
        <w:spacing w:lineRule="auto" w:line="480"/>
        <w:jc w:val="both"/>
        <w:rPr>
          <w:sz w:val="28"/>
          <w:szCs w:val="28"/>
        </w:rPr>
      </w:pPr>
      <w:r>
        <w:rPr>
          <w:sz w:val="28"/>
          <w:szCs w:val="28"/>
        </w:rPr>
        <w:t>Tosi</w:t>
      </w:r>
      <w:r>
        <w:rPr>
          <w:sz w:val="28"/>
          <w:szCs w:val="28"/>
        </w:rPr>
        <w:t xml:space="preserve"> </w:t>
      </w:r>
      <w:r>
        <w:rPr>
          <w:i/>
          <w:sz w:val="28"/>
          <w:szCs w:val="28"/>
        </w:rPr>
        <w:t>et al</w:t>
      </w:r>
      <w:r>
        <w:rPr>
          <w:sz w:val="28"/>
          <w:szCs w:val="28"/>
        </w:rPr>
        <w:t xml:space="preserve">. (2020) investigated how different types of fungicides affected AMF in agricultural systems. Their findings revealed that </w:t>
      </w:r>
      <w:r>
        <w:rPr>
          <w:bCs/>
          <w:sz w:val="28"/>
          <w:szCs w:val="28"/>
        </w:rPr>
        <w:t>systemic fungicides</w:t>
      </w:r>
      <w:r>
        <w:rPr>
          <w:sz w:val="28"/>
          <w:szCs w:val="28"/>
        </w:rPr>
        <w:t xml:space="preserve"> (e.g., </w:t>
      </w:r>
      <w:r>
        <w:rPr>
          <w:sz w:val="28"/>
          <w:szCs w:val="28"/>
        </w:rPr>
        <w:t>benzimidazoles</w:t>
      </w:r>
      <w:r>
        <w:rPr>
          <w:sz w:val="28"/>
          <w:szCs w:val="28"/>
        </w:rPr>
        <w:t xml:space="preserve"> and </w:t>
      </w:r>
      <w:r>
        <w:rPr>
          <w:sz w:val="28"/>
          <w:szCs w:val="28"/>
        </w:rPr>
        <w:t>demethylation</w:t>
      </w:r>
      <w:r>
        <w:rPr>
          <w:sz w:val="28"/>
          <w:szCs w:val="28"/>
        </w:rPr>
        <w:t xml:space="preserve"> inhibitors) caused a greater reduction in AMF colonization than </w:t>
      </w:r>
      <w:r>
        <w:rPr>
          <w:bCs/>
          <w:sz w:val="28"/>
          <w:szCs w:val="28"/>
        </w:rPr>
        <w:t>contact fungicides</w:t>
      </w:r>
      <w:r>
        <w:rPr>
          <w:sz w:val="28"/>
          <w:szCs w:val="28"/>
        </w:rPr>
        <w:t xml:space="preserve">. This reduction negatively influenced plant nutrient uptake and water-use efficiency. Interestingly, even at low concentrations, some fungicides exhibited </w:t>
      </w:r>
      <w:r>
        <w:rPr>
          <w:bCs/>
          <w:sz w:val="28"/>
          <w:szCs w:val="28"/>
        </w:rPr>
        <w:t>long-term inhibitory effects</w:t>
      </w:r>
      <w:r>
        <w:rPr>
          <w:sz w:val="28"/>
          <w:szCs w:val="28"/>
        </w:rPr>
        <w:t xml:space="preserve">, suggesting </w:t>
      </w:r>
      <w:r>
        <w:rPr>
          <w:bCs/>
          <w:sz w:val="28"/>
          <w:szCs w:val="28"/>
        </w:rPr>
        <w:t>bioaccumulation</w:t>
      </w:r>
      <w:r>
        <w:rPr>
          <w:sz w:val="28"/>
          <w:szCs w:val="28"/>
        </w:rPr>
        <w:t xml:space="preserve"> and </w:t>
      </w:r>
      <w:r>
        <w:rPr>
          <w:bCs/>
          <w:sz w:val="28"/>
          <w:szCs w:val="28"/>
        </w:rPr>
        <w:t>sub-lethal toxicity</w:t>
      </w:r>
      <w:r>
        <w:rPr>
          <w:sz w:val="28"/>
          <w:szCs w:val="28"/>
        </w:rPr>
        <w:t xml:space="preserve">. Disruption of AMF also </w:t>
      </w:r>
      <w:r>
        <w:rPr>
          <w:sz w:val="28"/>
          <w:szCs w:val="28"/>
        </w:rPr>
        <w:t xml:space="preserve">impaired plant resilience to drought and other abiotic stresses. These results underline that fungicide effects are not confined to soil microorganisms but can </w:t>
      </w:r>
      <w:r>
        <w:rPr>
          <w:bCs/>
          <w:sz w:val="28"/>
          <w:szCs w:val="28"/>
        </w:rPr>
        <w:t>cascade to plant physiological functions</w:t>
      </w:r>
      <w:r>
        <w:rPr>
          <w:sz w:val="28"/>
          <w:szCs w:val="28"/>
        </w:rPr>
        <w:t xml:space="preserve">, affecting long-term productivity and ecosystem health. The study argues for the inclusion of </w:t>
      </w:r>
      <w:r>
        <w:rPr>
          <w:bCs/>
          <w:sz w:val="28"/>
          <w:szCs w:val="28"/>
        </w:rPr>
        <w:t>AMF assessments</w:t>
      </w:r>
      <w:r>
        <w:rPr>
          <w:sz w:val="28"/>
          <w:szCs w:val="28"/>
        </w:rPr>
        <w:t xml:space="preserve"> in agronomic planning and calls for more targeted fungicide regulation policies.</w:t>
      </w:r>
    </w:p>
    <w:p>
      <w:pPr>
        <w:pStyle w:val="style94"/>
        <w:spacing w:lineRule="auto" w:line="480"/>
        <w:jc w:val="both"/>
        <w:rPr>
          <w:sz w:val="28"/>
          <w:szCs w:val="28"/>
        </w:rPr>
      </w:pPr>
      <w:r>
        <w:rPr>
          <w:sz w:val="28"/>
          <w:szCs w:val="28"/>
        </w:rPr>
        <w:t xml:space="preserve">Wang </w:t>
      </w:r>
      <w:r>
        <w:rPr>
          <w:i/>
          <w:sz w:val="28"/>
          <w:szCs w:val="28"/>
        </w:rPr>
        <w:t>et al</w:t>
      </w:r>
      <w:r>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Pr>
          <w:bCs/>
          <w:sz w:val="28"/>
          <w:szCs w:val="28"/>
        </w:rPr>
        <w:t>soil enzyme activity</w:t>
      </w:r>
      <w:r>
        <w:rPr>
          <w:sz w:val="28"/>
          <w:szCs w:val="28"/>
        </w:rPr>
        <w:t xml:space="preserve">—notably </w:t>
      </w:r>
      <w:r>
        <w:rPr>
          <w:bCs/>
          <w:sz w:val="28"/>
          <w:szCs w:val="28"/>
        </w:rPr>
        <w:t>dehydrogenase and phosphatase</w:t>
      </w:r>
      <w:r>
        <w:rPr>
          <w:sz w:val="28"/>
          <w:szCs w:val="28"/>
        </w:rPr>
        <w:t xml:space="preserve">, which are indicators of microbial health and nutrient cycling. Functional guilds such as </w:t>
      </w:r>
      <w:r>
        <w:rPr>
          <w:bCs/>
          <w:sz w:val="28"/>
          <w:szCs w:val="28"/>
        </w:rPr>
        <w:t>saprotrophs</w:t>
      </w:r>
      <w:r>
        <w:rPr>
          <w:sz w:val="28"/>
          <w:szCs w:val="28"/>
        </w:rPr>
        <w:t xml:space="preserve">, responsible for decomposing organic matter, and </w:t>
      </w:r>
      <w:r>
        <w:rPr>
          <w:bCs/>
          <w:sz w:val="28"/>
          <w:szCs w:val="28"/>
        </w:rPr>
        <w:t>mutualists</w:t>
      </w:r>
      <w:r>
        <w:rPr>
          <w:sz w:val="28"/>
          <w:szCs w:val="28"/>
        </w:rPr>
        <w:t xml:space="preserve">, like AMF, were the most affected. In contrast, </w:t>
      </w:r>
      <w:r>
        <w:rPr>
          <w:bCs/>
          <w:sz w:val="28"/>
          <w:szCs w:val="28"/>
        </w:rPr>
        <w:t>stress-tolerant fungi</w:t>
      </w:r>
      <w:r>
        <w:rPr>
          <w:sz w:val="28"/>
          <w:szCs w:val="28"/>
        </w:rPr>
        <w:t xml:space="preserve">, including opportunistic or pathogenic species, increased in dominance. This shift reflects an </w:t>
      </w:r>
      <w:r>
        <w:rPr>
          <w:bCs/>
          <w:sz w:val="28"/>
          <w:szCs w:val="28"/>
        </w:rPr>
        <w:t>ecological imbalance</w:t>
      </w:r>
      <w:r>
        <w:rPr>
          <w:sz w:val="28"/>
          <w:szCs w:val="28"/>
        </w:rPr>
        <w:t xml:space="preserve"> and reduced resilience to future environmental stress or pathogen outbreaks. Environmental conditions such as </w:t>
      </w:r>
      <w:r>
        <w:rPr>
          <w:bCs/>
          <w:sz w:val="28"/>
          <w:szCs w:val="28"/>
        </w:rPr>
        <w:t>high rainfall</w:t>
      </w:r>
      <w:r>
        <w:rPr>
          <w:sz w:val="28"/>
          <w:szCs w:val="28"/>
        </w:rPr>
        <w:t xml:space="preserve"> and </w:t>
      </w:r>
      <w:r>
        <w:rPr>
          <w:bCs/>
          <w:sz w:val="28"/>
          <w:szCs w:val="28"/>
        </w:rPr>
        <w:t>warm temperatures</w:t>
      </w:r>
      <w:r>
        <w:rPr>
          <w:sz w:val="28"/>
          <w:szCs w:val="28"/>
        </w:rPr>
        <w:t xml:space="preserve">, which </w:t>
      </w:r>
      <w:r>
        <w:rPr>
          <w:sz w:val="28"/>
          <w:szCs w:val="28"/>
        </w:rPr>
        <w:t>promote microbial activity, may intensify fungicide degradation but also facilitate more rapid shifts in fungal composition due to increased exposure rates.</w:t>
      </w:r>
    </w:p>
    <w:bookmarkStart w:id="4" w:name="_Toc202976450"/>
    <w:p>
      <w:pPr>
        <w:pStyle w:val="style1"/>
        <w:rPr>
          <w:rFonts w:ascii="Times New Roman" w:cs="Times New Roman" w:hAnsi="Times New Roman"/>
          <w:b/>
          <w:color w:val="auto"/>
        </w:rPr>
      </w:pPr>
      <w:r>
        <w:rPr>
          <w:rFonts w:ascii="Times New Roman" w:cs="Times New Roman" w:hAnsi="Times New Roman"/>
          <w:b/>
          <w:color w:val="auto"/>
        </w:rPr>
        <w:t>1.2 Statement of Problem</w:t>
      </w:r>
      <w:bookmarkEnd w:id="4"/>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Despite the widespread use of fungicides in agriculture to combat plant diseases and increase crop productivity, their non-target effects on beneficial soil fungi remain poorly understood.</w:t>
      </w:r>
      <w:r>
        <w:rPr>
          <w:rFonts w:ascii="Times New Roman" w:cs="Times New Roman" w:eastAsia="Times New Roman" w:hAnsi="Times New Roman"/>
          <w:sz w:val="28"/>
          <w:szCs w:val="28"/>
        </w:rPr>
        <w:t xml:space="preserve"> </w:t>
      </w:r>
    </w:p>
    <w:p>
      <w:pPr>
        <w:pStyle w:val="style0"/>
        <w:numPr>
          <w:ilvl w:val="0"/>
          <w:numId w:val="1"/>
        </w:numPr>
        <w:spacing w:before="100" w:beforeAutospacing="true" w:after="100" w:afterAutospacing="true" w:lineRule="auto" w:line="480"/>
        <w:jc w:val="both"/>
        <w:rPr>
          <w:rFonts w:ascii="Times New Roman" w:cs="Times New Roman" w:hAnsi="Times New Roman"/>
          <w:sz w:val="28"/>
          <w:szCs w:val="28"/>
        </w:rPr>
      </w:pPr>
      <w:r>
        <w:rPr>
          <w:rFonts w:ascii="Times New Roman" w:cs="Times New Roman" w:eastAsia="Times New Roman" w:hAnsi="Times New Roman"/>
          <w:bCs/>
          <w:sz w:val="28"/>
          <w:szCs w:val="28"/>
        </w:rPr>
        <w:t>Current agricultural practices often rely heavily on chemical fungicides without considering their long-term ecological consequences on soil microbial networks.</w:t>
      </w:r>
      <w:r>
        <w:rPr>
          <w:rFonts w:ascii="Times New Roman" w:cs="Times New Roman" w:eastAsia="Times New Roman" w:hAnsi="Times New Roman"/>
          <w:sz w:val="28"/>
          <w:szCs w:val="28"/>
        </w:rPr>
        <w:t xml:space="preserve"> </w:t>
      </w:r>
    </w:p>
    <w:bookmarkStart w:id="5" w:name="_Toc202976451"/>
    <w:p>
      <w:pPr>
        <w:pStyle w:val="style1"/>
        <w:rPr>
          <w:rFonts w:ascii="Times New Roman" w:cs="Times New Roman" w:hAnsi="Times New Roman"/>
          <w:b/>
          <w:color w:val="auto"/>
        </w:rPr>
      </w:pPr>
      <w:r>
        <w:rPr>
          <w:rFonts w:ascii="Times New Roman" w:cs="Times New Roman" w:eastAsia="Times New Roman" w:hAnsi="Times New Roman"/>
          <w:b/>
          <w:color w:val="auto"/>
        </w:rPr>
        <w:t xml:space="preserve">1.3 </w:t>
      </w:r>
      <w:r>
        <w:rPr>
          <w:rFonts w:ascii="Times New Roman" w:cs="Times New Roman" w:hAnsi="Times New Roman"/>
          <w:b/>
          <w:color w:val="auto"/>
        </w:rPr>
        <w:t>Aim</w:t>
      </w:r>
      <w:bookmarkEnd w:id="5"/>
    </w:p>
    <w:p>
      <w:pPr>
        <w:pStyle w:val="style0"/>
        <w:spacing w:before="100" w:beforeAutospacing="true" w:after="100" w:afterAutospacing="true" w:lineRule="auto" w:line="480"/>
        <w:jc w:val="both"/>
        <w:rPr>
          <w:rFonts w:ascii="Times New Roman" w:cs="Times New Roman" w:hAnsi="Times New Roman"/>
          <w:sz w:val="28"/>
          <w:szCs w:val="28"/>
        </w:rPr>
      </w:pPr>
      <w:r>
        <w:rPr>
          <w:rFonts w:ascii="Times New Roman" w:cs="Times New Roman" w:hAnsi="Times New Roman"/>
          <w:sz w:val="28"/>
          <w:szCs w:val="28"/>
        </w:rPr>
        <w:t xml:space="preserve">This study aims to investigate the </w:t>
      </w:r>
      <w:r>
        <w:rPr>
          <w:rStyle w:val="style87"/>
          <w:rFonts w:ascii="Times New Roman" w:cs="Times New Roman" w:hAnsi="Times New Roman"/>
          <w:b w:val="false"/>
          <w:sz w:val="28"/>
          <w:szCs w:val="28"/>
        </w:rPr>
        <w:t xml:space="preserve">effect of fungicide application on soil </w:t>
      </w:r>
      <w:r>
        <w:rPr>
          <w:rStyle w:val="style87"/>
          <w:rFonts w:ascii="Times New Roman" w:cs="Times New Roman" w:hAnsi="Times New Roman"/>
          <w:b w:val="false"/>
          <w:sz w:val="28"/>
          <w:szCs w:val="28"/>
        </w:rPr>
        <w:t>mycobiome</w:t>
      </w:r>
      <w:r>
        <w:rPr>
          <w:rFonts w:ascii="Times New Roman" w:cs="Times New Roman" w:hAnsi="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w:t>
      </w:r>
      <w:r>
        <w:rPr>
          <w:rFonts w:ascii="Times New Roman" w:cs="Times New Roman" w:hAnsi="Times New Roman"/>
          <w:sz w:val="28"/>
          <w:szCs w:val="28"/>
        </w:rPr>
        <w:t xml:space="preserve">unintended consequences of fungicide use is vital to ensuring food security and maintaining ecological integrity in </w:t>
      </w:r>
      <w:r>
        <w:rPr>
          <w:rFonts w:ascii="Times New Roman" w:cs="Times New Roman" w:hAnsi="Times New Roman"/>
          <w:sz w:val="28"/>
          <w:szCs w:val="28"/>
        </w:rPr>
        <w:t>agroecosystems</w:t>
      </w:r>
      <w:r>
        <w:rPr>
          <w:rFonts w:ascii="Times New Roman" w:cs="Times New Roman" w:hAnsi="Times New Roman"/>
          <w:sz w:val="28"/>
          <w:szCs w:val="28"/>
        </w:rPr>
        <w:t>.</w:t>
      </w:r>
    </w:p>
    <w:bookmarkStart w:id="6" w:name="_Toc202976452"/>
    <w:p>
      <w:pPr>
        <w:pStyle w:val="style1"/>
        <w:rPr>
          <w:rFonts w:ascii="Times New Roman" w:cs="Times New Roman" w:hAnsi="Times New Roman"/>
          <w:b/>
          <w:color w:val="auto"/>
        </w:rPr>
      </w:pPr>
      <w:r>
        <w:rPr>
          <w:rFonts w:ascii="Times New Roman" w:cs="Times New Roman" w:hAnsi="Times New Roman"/>
          <w:b/>
          <w:color w:val="auto"/>
        </w:rPr>
        <w:t>1.4 Objectives</w:t>
      </w:r>
      <w:bookmarkEnd w:id="6"/>
    </w:p>
    <w:p>
      <w:pPr>
        <w:pStyle w:val="style94"/>
        <w:numPr>
          <w:ilvl w:val="0"/>
          <w:numId w:val="4"/>
        </w:numPr>
        <w:spacing w:lineRule="auto" w:line="480"/>
        <w:jc w:val="both"/>
        <w:rPr>
          <w:b/>
          <w:sz w:val="28"/>
          <w:szCs w:val="28"/>
        </w:rPr>
      </w:pPr>
      <w:r>
        <w:rPr>
          <w:rStyle w:val="style87"/>
          <w:b w:val="false"/>
          <w:sz w:val="28"/>
          <w:szCs w:val="28"/>
        </w:rPr>
        <w:t>To evaluate the impact of fungicide application on the diversity, abundance, and composition of fungal communities (</w:t>
      </w:r>
      <w:r>
        <w:rPr>
          <w:rStyle w:val="style87"/>
          <w:b w:val="false"/>
          <w:sz w:val="28"/>
          <w:szCs w:val="28"/>
        </w:rPr>
        <w:t>mycobiome</w:t>
      </w:r>
      <w:r>
        <w:rPr>
          <w:rStyle w:val="style87"/>
          <w:b w:val="false"/>
          <w:sz w:val="28"/>
          <w:szCs w:val="28"/>
        </w:rPr>
        <w:t>) in agricultural soil.</w:t>
      </w:r>
    </w:p>
    <w:p>
      <w:pPr>
        <w:pStyle w:val="style94"/>
        <w:numPr>
          <w:ilvl w:val="0"/>
          <w:numId w:val="4"/>
        </w:numPr>
        <w:spacing w:lineRule="auto" w:line="480"/>
        <w:jc w:val="both"/>
        <w:rPr>
          <w:rStyle w:val="style87"/>
          <w:bCs w:val="false"/>
          <w:sz w:val="28"/>
          <w:szCs w:val="28"/>
        </w:rPr>
      </w:pPr>
      <w:r>
        <w:rPr>
          <w:rStyle w:val="style87"/>
          <w:b w:val="false"/>
          <w:sz w:val="28"/>
          <w:szCs w:val="28"/>
        </w:rPr>
        <w:t xml:space="preserve">To identify and compare changes in functional groups of soil fungi (e.g., </w:t>
      </w:r>
      <w:r>
        <w:rPr>
          <w:rStyle w:val="style87"/>
          <w:b w:val="false"/>
          <w:sz w:val="28"/>
          <w:szCs w:val="28"/>
        </w:rPr>
        <w:t>mycorrhizal</w:t>
      </w:r>
      <w:r>
        <w:rPr>
          <w:rStyle w:val="style87"/>
          <w:b w:val="false"/>
          <w:sz w:val="28"/>
          <w:szCs w:val="28"/>
        </w:rPr>
        <w:t>, saprophytic, and pathogenic fungi) following different levels or frequencies of fungicide treatment.</w:t>
      </w:r>
    </w:p>
    <w:p>
      <w:pPr>
        <w:pStyle w:val="style94"/>
        <w:spacing w:lineRule="auto" w:line="480"/>
        <w:jc w:val="both"/>
        <w:rPr>
          <w:b/>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bookmarkStart w:id="7" w:name="_Toc202976453"/>
    <w:p>
      <w:pPr>
        <w:pStyle w:val="style1"/>
        <w:jc w:val="center"/>
        <w:rPr>
          <w:rFonts w:ascii="Times New Roman" w:cs="Times New Roman" w:eastAsia="Times New Roman" w:hAnsi="Times New Roman"/>
          <w:b/>
          <w:color w:val="auto"/>
        </w:rPr>
      </w:pPr>
      <w:r>
        <w:rPr>
          <w:rFonts w:ascii="Times New Roman" w:cs="Times New Roman" w:eastAsia="Times New Roman" w:hAnsi="Times New Roman"/>
          <w:b/>
          <w:color w:val="auto"/>
        </w:rPr>
        <w:t>CHAPTER TWO</w:t>
      </w:r>
      <w:bookmarkEnd w:id="7"/>
    </w:p>
    <w:bookmarkStart w:id="8" w:name="_Toc202976454"/>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2.0 Materials and Methods</w:t>
      </w:r>
      <w:bookmarkEnd w:id="8"/>
    </w:p>
    <w:bookmarkStart w:id="9" w:name="_Toc202976455"/>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2.1 Materials</w:t>
      </w:r>
      <w:bookmarkEnd w:id="9"/>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Materials used in this study include five fungicides: </w:t>
      </w:r>
      <w:r>
        <w:rPr>
          <w:rFonts w:ascii="Times New Roman" w:cs="Times New Roman" w:eastAsia="Times New Roman" w:hAnsi="Times New Roman"/>
          <w:i/>
          <w:iCs/>
          <w:sz w:val="28"/>
          <w:szCs w:val="28"/>
        </w:rPr>
        <w:t>Blast Force</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Stampede</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Ultimax</w:t>
      </w:r>
      <w:r>
        <w:rPr>
          <w:rFonts w:ascii="Times New Roman" w:cs="Times New Roman" w:eastAsia="Times New Roman" w:hAnsi="Times New Roman"/>
          <w:i/>
          <w:iCs/>
          <w:sz w:val="28"/>
          <w:szCs w:val="28"/>
        </w:rPr>
        <w:t xml:space="preserve"> Plus</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Red Force</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Total Force</w:t>
      </w:r>
      <w:r>
        <w:rPr>
          <w:rFonts w:ascii="Times New Roman" w:cs="Times New Roman" w:eastAsia="Times New Roman" w:hAnsi="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assessing the impact of agrochemicals on soil fungal diversity (Zhang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2021; </w:t>
      </w:r>
      <w:r>
        <w:rPr>
          <w:rFonts w:ascii="Times New Roman" w:cs="Times New Roman" w:eastAsia="Times New Roman" w:hAnsi="Times New Roman"/>
          <w:sz w:val="28"/>
          <w:szCs w:val="28"/>
        </w:rPr>
        <w:t>Olatinwo</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2022).</w:t>
      </w:r>
    </w:p>
    <w:bookmarkStart w:id="10" w:name="_Toc202976456"/>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2.1.1 Media and Reagents</w:t>
      </w:r>
      <w:bookmarkEnd w:id="10"/>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w:t>
      </w:r>
      <w:r>
        <w:rPr>
          <w:rFonts w:ascii="Times New Roman" w:cs="Times New Roman" w:eastAsia="Times New Roman" w:hAnsi="Times New Roman"/>
          <w:sz w:val="28"/>
          <w:szCs w:val="28"/>
        </w:rPr>
        <w:t xml:space="preserve">sterile materials such as cotton wool, foil paper, and other aseptic equipment for culturing and isolating fungi from soil. PDA is widely accepted for the isolation of fungi due to its capacity to support a broad spectrum of fungal growth (Singh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2023).</w:t>
      </w:r>
    </w:p>
    <w:bookmarkStart w:id="11" w:name="_Toc202976457"/>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2.2 Sample Collection and Treatment</w:t>
      </w:r>
      <w:bookmarkEnd w:id="11"/>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soil samples. Control samples received no fungicide. All samples were placed in labeled beakers (e.g., “Total Force Western T” or “Western C”), sealed with foil paper and paper tape, and incubated at room temperature for 7 days to allow the interaction of fungicides with the soil </w:t>
      </w:r>
      <w:r>
        <w:rPr>
          <w:rFonts w:ascii="Times New Roman" w:cs="Times New Roman" w:eastAsia="Times New Roman" w:hAnsi="Times New Roman"/>
          <w:sz w:val="28"/>
          <w:szCs w:val="28"/>
        </w:rPr>
        <w:t>microbiome</w:t>
      </w:r>
      <w:r>
        <w:rPr>
          <w:rFonts w:ascii="Times New Roman" w:cs="Times New Roman" w:eastAsia="Times New Roman" w:hAnsi="Times New Roman"/>
          <w:sz w:val="28"/>
          <w:szCs w:val="28"/>
        </w:rPr>
        <w:t>. This method aligns with recent protocols assessing soil microbial responses to chemical inputs (</w:t>
      </w:r>
      <w:r>
        <w:rPr>
          <w:rFonts w:ascii="Times New Roman" w:cs="Times New Roman" w:eastAsia="Times New Roman" w:hAnsi="Times New Roman"/>
          <w:sz w:val="28"/>
          <w:szCs w:val="28"/>
        </w:rPr>
        <w:t>Tosi</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2020; </w:t>
      </w:r>
      <w:r>
        <w:rPr>
          <w:rFonts w:ascii="Times New Roman" w:cs="Times New Roman" w:eastAsia="Times New Roman" w:hAnsi="Times New Roman"/>
          <w:sz w:val="28"/>
          <w:szCs w:val="28"/>
        </w:rPr>
        <w:t>Adekunle</w:t>
      </w:r>
      <w:r>
        <w:rPr>
          <w:rFonts w:ascii="Times New Roman" w:cs="Times New Roman" w:eastAsia="Times New Roman" w:hAnsi="Times New Roman"/>
          <w:sz w:val="28"/>
          <w:szCs w:val="28"/>
        </w:rPr>
        <w:t xml:space="preserve"> &amp; </w:t>
      </w:r>
      <w:r>
        <w:rPr>
          <w:rFonts w:ascii="Times New Roman" w:cs="Times New Roman" w:eastAsia="Times New Roman" w:hAnsi="Times New Roman"/>
          <w:sz w:val="28"/>
          <w:szCs w:val="28"/>
        </w:rPr>
        <w:t>Oladele</w:t>
      </w:r>
      <w:r>
        <w:rPr>
          <w:rFonts w:ascii="Times New Roman" w:cs="Times New Roman" w:eastAsia="Times New Roman" w:hAnsi="Times New Roman"/>
          <w:sz w:val="28"/>
          <w:szCs w:val="28"/>
        </w:rPr>
        <w:t>, 2023).</w:t>
      </w:r>
    </w:p>
    <w:bookmarkStart w:id="12" w:name="_Toc202976458"/>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2.3 pH Determination</w:t>
      </w:r>
      <w:bookmarkEnd w:id="12"/>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r>
        <w:rPr>
          <w:rFonts w:ascii="Times New Roman" w:cs="Times New Roman" w:eastAsia="Times New Roman" w:hAnsi="Times New Roman"/>
          <w:sz w:val="28"/>
          <w:szCs w:val="28"/>
        </w:rPr>
        <w:t>pH</w:t>
      </w:r>
      <w:r>
        <w:rPr>
          <w:rFonts w:ascii="Times New Roman" w:cs="Times New Roman" w:eastAsia="Times New Roman" w:hAnsi="Times New Roman"/>
          <w:sz w:val="28"/>
          <w:szCs w:val="28"/>
        </w:rPr>
        <w:t xml:space="preserve"> shifts following fungicide exposure have been reported to influence fungal abundance and diversity (Chen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13" w:name="_Toc202976459"/>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2.4 Preparation of Media</w:t>
      </w:r>
      <w:bookmarkEnd w:id="13"/>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r>
        <w:rPr>
          <w:rFonts w:ascii="Times New Roman" w:cs="Times New Roman" w:eastAsia="Times New Roman" w:hAnsi="Times New Roman"/>
          <w:sz w:val="28"/>
          <w:szCs w:val="28"/>
        </w:rPr>
        <w:t>mycobiome</w:t>
      </w:r>
      <w:r>
        <w:rPr>
          <w:rFonts w:ascii="Times New Roman" w:cs="Times New Roman" w:eastAsia="Times New Roman" w:hAnsi="Times New Roman"/>
          <w:sz w:val="28"/>
          <w:szCs w:val="28"/>
        </w:rPr>
        <w:t xml:space="preserve"> studies (Yuan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bookmarkStart w:id="14" w:name="_Toc202976460"/>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2.5 Isolation of Fungi</w:t>
      </w:r>
      <w:bookmarkEnd w:id="14"/>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temperature for 5–7 days. These steps follow standard microbial isolation protocols (Li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15" w:name="_Toc202976461"/>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2.6 Identification of Fungal Growth</w:t>
      </w:r>
      <w:bookmarkEnd w:id="15"/>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Pr>
          <w:rFonts w:ascii="Times New Roman" w:cs="Times New Roman" w:eastAsia="Times New Roman" w:hAnsi="Times New Roman"/>
          <w:i/>
          <w:iCs/>
          <w:sz w:val="28"/>
          <w:szCs w:val="28"/>
        </w:rPr>
        <w:t>Yeast</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Rhizopus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Aspergillus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spp</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Penicillium</w:t>
      </w:r>
      <w:r>
        <w:rPr>
          <w:rFonts w:ascii="Times New Roman" w:cs="Times New Roman" w:eastAsia="Times New Roman" w:hAnsi="Times New Roman"/>
          <w:i/>
          <w:iCs/>
          <w:sz w:val="28"/>
          <w:szCs w:val="28"/>
        </w:rPr>
        <w:t xml:space="preserve"> spp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Colony counts were done visually using a colony counter. Visual assessment of fungal colony morphology remains an effective preliminary identification approach in soil microbiology (Kumar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bookmarkStart w:id="16" w:name="_Toc202976463"/>
    <w:p>
      <w:pPr>
        <w:pStyle w:val="style1"/>
        <w:jc w:val="center"/>
        <w:rPr>
          <w:rFonts w:ascii="Times New Roman" w:cs="Times New Roman" w:eastAsia="Times New Roman" w:hAnsi="Times New Roman"/>
          <w:b/>
          <w:color w:val="auto"/>
        </w:rPr>
      </w:pPr>
      <w:r>
        <w:rPr>
          <w:rFonts w:ascii="Times New Roman" w:cs="Times New Roman" w:eastAsia="Times New Roman" w:hAnsi="Times New Roman"/>
          <w:b/>
          <w:color w:val="auto"/>
        </w:rPr>
        <w:t>CHAPTER THREE</w:t>
      </w:r>
      <w:bookmarkEnd w:id="16"/>
    </w:p>
    <w:bookmarkStart w:id="17" w:name="_Toc202976464"/>
    <w:p>
      <w:pPr>
        <w:pStyle w:val="style1"/>
        <w:rPr>
          <w:rFonts w:ascii="Times New Roman" w:cs="Times New Roman" w:hAnsi="Times New Roman"/>
          <w:color w:val="auto"/>
        </w:rPr>
      </w:pPr>
      <w:r>
        <w:rPr>
          <w:rStyle w:val="style87"/>
          <w:rFonts w:ascii="Times New Roman" w:cs="Times New Roman" w:hAnsi="Times New Roman"/>
          <w:bCs w:val="false"/>
          <w:color w:val="auto"/>
          <w:sz w:val="28"/>
          <w:szCs w:val="28"/>
        </w:rPr>
        <w:t>3.0 RESULTS</w:t>
      </w:r>
      <w:bookmarkEnd w:id="17"/>
    </w:p>
    <w:bookmarkStart w:id="18" w:name="_Toc202976465"/>
    <w:p>
      <w:pPr>
        <w:pStyle w:val="style1"/>
        <w:rPr>
          <w:rFonts w:ascii="Times New Roman" w:cs="Times New Roman" w:hAnsi="Times New Roman"/>
          <w:color w:val="auto"/>
        </w:rPr>
      </w:pPr>
      <w:r>
        <w:rPr>
          <w:rStyle w:val="style87"/>
          <w:rFonts w:ascii="Times New Roman" w:cs="Times New Roman" w:hAnsi="Times New Roman"/>
          <w:color w:val="auto"/>
          <w:sz w:val="28"/>
          <w:szCs w:val="28"/>
        </w:rPr>
        <w:t>3.1 pH of Soil Samples</w:t>
      </w:r>
      <w:bookmarkEnd w:id="18"/>
    </w:p>
    <w:bookmarkStart w:id="19" w:name="_Toc202976466"/>
    <w:p>
      <w:pPr>
        <w:pStyle w:val="style1"/>
        <w:rPr>
          <w:rFonts w:ascii="Times New Roman" w:cs="Times New Roman" w:hAnsi="Times New Roman"/>
          <w:color w:val="auto"/>
        </w:rPr>
      </w:pPr>
      <w:r>
        <w:rPr>
          <w:rStyle w:val="style87"/>
          <w:rFonts w:ascii="Times New Roman" w:cs="Times New Roman" w:hAnsi="Times New Roman"/>
          <w:bCs w:val="false"/>
          <w:color w:val="auto"/>
        </w:rPr>
        <w:t>Table 3.1: pH Values of Treated and Control Soil Samples</w:t>
      </w:r>
      <w:bookmarkEnd w:id="19"/>
    </w:p>
    <w:tbl>
      <w:tblPr>
        <w:tblStyle w:val="style4100"/>
        <w:tblW w:w="0" w:type="auto"/>
        <w:shd w:val="clear" w:color="auto" w:fill="ffffff"/>
        <w:tblLook w:val="04A0" w:firstRow="1" w:lastRow="0" w:firstColumn="1" w:lastColumn="0" w:noHBand="0" w:noVBand="1"/>
      </w:tblPr>
      <w:tblGrid>
        <w:gridCol w:w="695"/>
        <w:gridCol w:w="2302"/>
        <w:gridCol w:w="2123"/>
        <w:gridCol w:w="1602"/>
        <w:gridCol w:w="1552"/>
      </w:tblGrid>
      <w:tr>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S/N</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Fungicide Used</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Treated pH</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Control pH</w:t>
            </w:r>
          </w:p>
        </w:tc>
      </w:tr>
      <w:tr>
        <w:tblPrEx/>
        <w:trPr/>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1</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Distilled Water</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None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6.68</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6.68</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2</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Ultimax</w:t>
            </w:r>
            <w:r>
              <w:rPr>
                <w:rFonts w:ascii="Times New Roman" w:cs="Times New Roman" w:hAnsi="Times New Roman"/>
                <w:color w:val="auto"/>
                <w:sz w:val="28"/>
                <w:szCs w:val="28"/>
              </w:rPr>
              <w:t xml:space="preserve"> Plus</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6.04</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5.76</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3</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Total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5.80</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5.50</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4</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Agric</w:t>
            </w:r>
            <w:r>
              <w:rPr>
                <w:rFonts w:ascii="Times New Roman" w:cs="Times New Roman" w:hAnsi="Times New Roman"/>
                <w:color w:val="auto"/>
                <w:sz w:val="28"/>
                <w:szCs w:val="28"/>
              </w:rPr>
              <w:t xml:space="preserve"> Farm</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Blast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5.52</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5.48</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Red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5.70</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4.96</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IFMS</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Stampede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5.77</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5.71</w:t>
            </w:r>
          </w:p>
        </w:tc>
      </w:tr>
      <w:bookmarkStart w:id="20" w:name="_Toc202976467"/>
    </w:tbl>
    <w:p>
      <w:pPr>
        <w:pStyle w:val="style1"/>
        <w:rPr>
          <w:rStyle w:val="style87"/>
          <w:rFonts w:ascii="Times New Roman" w:cs="Times New Roman" w:hAnsi="Times New Roman"/>
          <w:color w:val="auto"/>
          <w:sz w:val="28"/>
          <w:szCs w:val="28"/>
        </w:rPr>
      </w:pPr>
    </w:p>
    <w:p>
      <w:pPr>
        <w:pStyle w:val="style0"/>
        <w:rPr>
          <w:rStyle w:val="style87"/>
          <w:rFonts w:ascii="Times New Roman" w:cs="Times New Roman" w:eastAsia="宋体" w:hAnsi="Times New Roman"/>
          <w:sz w:val="28"/>
          <w:szCs w:val="28"/>
        </w:rPr>
      </w:pPr>
      <w:r>
        <w:rPr>
          <w:rStyle w:val="style87"/>
          <w:rFonts w:ascii="Times New Roman" w:cs="Times New Roman" w:hAnsi="Times New Roman"/>
          <w:sz w:val="28"/>
          <w:szCs w:val="28"/>
        </w:rPr>
        <w:br w:type="page"/>
      </w:r>
    </w:p>
    <w:p>
      <w:pPr>
        <w:pStyle w:val="style1"/>
        <w:rPr>
          <w:rFonts w:ascii="Times New Roman" w:cs="Times New Roman" w:hAnsi="Times New Roman"/>
          <w:color w:val="auto"/>
        </w:rPr>
      </w:pPr>
      <w:r>
        <w:rPr>
          <w:rStyle w:val="style87"/>
          <w:rFonts w:ascii="Times New Roman" w:cs="Times New Roman" w:hAnsi="Times New Roman"/>
          <w:color w:val="auto"/>
          <w:sz w:val="28"/>
          <w:szCs w:val="28"/>
        </w:rPr>
        <w:t>3.2 Fungal Colony Characteristics and Enumeration</w:t>
      </w:r>
      <w:bookmarkEnd w:id="20"/>
    </w:p>
    <w:bookmarkStart w:id="21" w:name="_Toc202976468"/>
    <w:p>
      <w:pPr>
        <w:pStyle w:val="style1"/>
        <w:rPr>
          <w:rFonts w:ascii="Times New Roman" w:cs="Times New Roman" w:hAnsi="Times New Roman"/>
          <w:color w:val="auto"/>
        </w:rPr>
      </w:pPr>
      <w:r>
        <w:rPr>
          <w:rStyle w:val="style87"/>
          <w:rFonts w:ascii="Times New Roman" w:cs="Times New Roman" w:hAnsi="Times New Roman"/>
          <w:bCs w:val="false"/>
          <w:color w:val="auto"/>
        </w:rPr>
        <w:t>Table 3.2: Fungal Observation and Colony Count in Treated Soil Samples</w:t>
      </w:r>
      <w:bookmarkEnd w:id="21"/>
    </w:p>
    <w:tbl>
      <w:tblPr>
        <w:tblStyle w:val="style4100"/>
        <w:tblW w:w="0" w:type="auto"/>
        <w:tblLook w:val="04A0" w:firstRow="1" w:lastRow="0" w:firstColumn="1" w:lastColumn="0" w:noHBand="0" w:noVBand="1"/>
      </w:tblPr>
      <w:tblGrid>
        <w:gridCol w:w="1423"/>
        <w:gridCol w:w="1562"/>
        <w:gridCol w:w="2257"/>
        <w:gridCol w:w="1916"/>
        <w:gridCol w:w="1478"/>
      </w:tblGrid>
      <w:tr>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Fungicide Used</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Colony Characteristics</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Suggested Fungi</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No. of Colonies</w:t>
            </w:r>
          </w:p>
        </w:tc>
      </w:tr>
      <w:tr>
        <w:tblPrEx/>
        <w:trPr/>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IFMS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Stampede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whitish cottony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118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4</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Total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198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2</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Ultimax</w:t>
            </w:r>
            <w:r>
              <w:rPr>
                <w:rFonts w:ascii="Times New Roman" w:cs="Times New Roman" w:hAnsi="Times New Roman"/>
                <w:color w:val="auto"/>
                <w:sz w:val="28"/>
                <w:szCs w:val="28"/>
              </w:rPr>
              <w:t xml:space="preserve"> Plus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61</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9</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2</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Red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 (large)</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10</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10</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Agric</w:t>
            </w:r>
            <w:r>
              <w:rPr>
                <w:rFonts w:ascii="Times New Roman" w:cs="Times New Roman" w:hAnsi="Times New Roman"/>
                <w:color w:val="auto"/>
                <w:sz w:val="28"/>
                <w:szCs w:val="28"/>
              </w:rPr>
              <w:t xml:space="preserve"> Farm</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Blast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28</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w:t>
            </w:r>
          </w:p>
        </w:tc>
      </w:tr>
    </w:tbl>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2762250" cy="3683000"/>
            <wp:effectExtent l="0" t="0" r="0" b="0"/>
            <wp:docPr id="1027"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762250" cy="3683000"/>
                    </a:xfrm>
                    <a:prstGeom prst="rect"/>
                    <a:ln>
                      <a:noFill/>
                    </a:ln>
                  </pic:spPr>
                </pic:pic>
              </a:graphicData>
            </a:graphic>
          </wp:inline>
        </w:drawing>
      </w:r>
    </w:p>
    <w:p>
      <w:pPr>
        <w:pStyle w:val="style4"/>
        <w:spacing w:lineRule="auto" w:line="480"/>
        <w:jc w:val="both"/>
        <w:rPr>
          <w:rStyle w:val="style87"/>
          <w:rFonts w:ascii="Times New Roman" w:cs="Times New Roman" w:hAnsi="Times New Roman"/>
          <w:bCs w:val="false"/>
          <w:i w:val="false"/>
          <w:color w:val="auto"/>
          <w:sz w:val="28"/>
          <w:szCs w:val="28"/>
        </w:rPr>
      </w:pPr>
      <w:r>
        <w:rPr>
          <w:rStyle w:val="style87"/>
          <w:rFonts w:ascii="Times New Roman" w:cs="Times New Roman" w:hAnsi="Times New Roman"/>
          <w:bCs w:val="false"/>
          <w:i w:val="false"/>
          <w:color w:val="auto"/>
          <w:sz w:val="28"/>
          <w:szCs w:val="28"/>
        </w:rPr>
        <w:t>Fig. 1 View of Fungal colonies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4"/>
        <w:spacing w:lineRule="auto" w:line="480"/>
        <w:jc w:val="both"/>
        <w:rPr>
          <w:rStyle w:val="style87"/>
          <w:rFonts w:ascii="Times New Roman" w:cs="Times New Roman" w:hAnsi="Times New Roman"/>
          <w:b w:val="false"/>
          <w:bCs w:val="false"/>
          <w:i w:val="false"/>
          <w:color w:val="auto"/>
          <w:sz w:val="28"/>
          <w:szCs w:val="28"/>
        </w:rPr>
      </w:pPr>
    </w:p>
    <w:p>
      <w:pPr>
        <w:pStyle w:val="style0"/>
        <w:rPr>
          <w:rStyle w:val="style87"/>
          <w:rFonts w:ascii="Times New Roman" w:cs="Times New Roman" w:hAnsi="Times New Roman"/>
          <w:bCs w:val="false"/>
          <w:sz w:val="28"/>
          <w:szCs w:val="28"/>
        </w:rPr>
      </w:pPr>
      <w:r>
        <w:rPr>
          <w:rStyle w:val="style87"/>
          <w:rFonts w:ascii="Times New Roman" w:cs="Times New Roman" w:hAnsi="Times New Roman"/>
          <w:b w:val="false"/>
          <w:bCs w:val="false"/>
          <w:i/>
          <w:sz w:val="28"/>
          <w:szCs w:val="28"/>
        </w:rPr>
        <w:br w:type="page"/>
      </w:r>
      <w:bookmarkStart w:id="22" w:name="_Toc202976469"/>
      <w:r>
        <w:rPr>
          <w:rStyle w:val="style87"/>
          <w:rFonts w:ascii="Times New Roman" w:cs="Times New Roman" w:hAnsi="Times New Roman"/>
          <w:bCs w:val="false"/>
          <w:sz w:val="28"/>
          <w:szCs w:val="28"/>
        </w:rPr>
        <w:t>3.3 Fungal Observation and Colony Count in Control Soil Samples</w:t>
      </w:r>
      <w:bookmarkEnd w:id="22"/>
    </w:p>
    <w:bookmarkStart w:id="23" w:name="_Toc202976470"/>
    <w:p>
      <w:pPr>
        <w:pStyle w:val="style1"/>
        <w:rPr>
          <w:rFonts w:ascii="Times New Roman" w:cs="Times New Roman" w:hAnsi="Times New Roman"/>
          <w:color w:val="auto"/>
          <w:sz w:val="28"/>
          <w:szCs w:val="28"/>
        </w:rPr>
      </w:pPr>
      <w:r>
        <w:rPr>
          <w:rStyle w:val="style87"/>
          <w:rFonts w:ascii="Times New Roman" w:cs="Times New Roman" w:hAnsi="Times New Roman"/>
          <w:bCs w:val="false"/>
          <w:color w:val="auto"/>
          <w:sz w:val="28"/>
          <w:szCs w:val="28"/>
        </w:rPr>
        <w:t>Table 3.3: Fungal Observation and Colony Count in Control Soil Samples</w:t>
      </w:r>
      <w:bookmarkEnd w:id="23"/>
    </w:p>
    <w:tbl>
      <w:tblPr>
        <w:tblStyle w:val="style4100"/>
        <w:tblW w:w="0" w:type="auto"/>
        <w:tblLook w:val="04A0" w:firstRow="1" w:lastRow="0" w:firstColumn="1" w:lastColumn="0" w:noHBand="0" w:noVBand="1"/>
      </w:tblPr>
      <w:tblGrid>
        <w:gridCol w:w="1489"/>
        <w:gridCol w:w="2791"/>
        <w:gridCol w:w="2538"/>
        <w:gridCol w:w="1819"/>
      </w:tblGrid>
      <w:tr>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Colony Characteristics</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Suggested Fungi</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No. of Colonies</w:t>
            </w:r>
          </w:p>
        </w:tc>
      </w:tr>
      <w:tr>
        <w:tblPrEx/>
        <w:trPr/>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IFMS</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Blue, whitish cottony, black colonies,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Yeast</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8</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2</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4</w:t>
            </w:r>
            <w:r>
              <w:rPr>
                <w:rFonts w:ascii="Times New Roman" w:cs="Times New Roman" w:hAnsi="Times New Roman"/>
                <w:color w:val="auto"/>
                <w:sz w:val="28"/>
                <w:szCs w:val="28"/>
              </w:rPr>
              <w:br/>
            </w:r>
            <w:r>
              <w:rPr>
                <w:rFonts w:ascii="Times New Roman" w:cs="Times New Roman" w:hAnsi="Times New Roman"/>
                <w:color w:val="auto"/>
                <w:sz w:val="28"/>
                <w:szCs w:val="28"/>
              </w:rPr>
              <w:t>Yeast = 10</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Blackish, bluish, greenish, cottony,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Rhizopus</w:t>
            </w:r>
            <w:r>
              <w:rPr>
                <w:rFonts w:ascii="Times New Roman" w:cs="Times New Roman" w:hAnsi="Times New Roman"/>
                <w:color w:val="auto"/>
                <w:sz w:val="28"/>
                <w:szCs w:val="28"/>
              </w:rPr>
              <w:t>, Yeast</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13</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12</w:t>
            </w:r>
            <w:r>
              <w:rPr>
                <w:rFonts w:ascii="Times New Roman" w:cs="Times New Roman" w:hAnsi="Times New Roman"/>
                <w:color w:val="auto"/>
                <w:sz w:val="28"/>
                <w:szCs w:val="28"/>
              </w:rPr>
              <w:br/>
            </w:r>
            <w:r>
              <w:rPr>
                <w:rFonts w:ascii="Times New Roman" w:cs="Times New Roman" w:hAnsi="Times New Roman"/>
                <w:color w:val="auto"/>
                <w:sz w:val="28"/>
                <w:szCs w:val="28"/>
              </w:rPr>
              <w:t>Yeast = 5</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 greenish</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10</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10</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13</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 30</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Whitish cottony,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27</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11</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Agric</w:t>
            </w:r>
            <w:r>
              <w:rPr>
                <w:rFonts w:ascii="Times New Roman" w:cs="Times New Roman" w:hAnsi="Times New Roman"/>
                <w:color w:val="auto"/>
                <w:sz w:val="28"/>
                <w:szCs w:val="28"/>
              </w:rPr>
              <w:t xml:space="preserve"> Farm</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Whitish, blackish,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36</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w:t>
            </w:r>
            <w:r>
              <w:rPr>
                <w:rFonts w:ascii="Times New Roman" w:cs="Times New Roman" w:hAnsi="Times New Roman"/>
                <w:color w:val="auto"/>
                <w:sz w:val="28"/>
                <w:szCs w:val="28"/>
              </w:rPr>
              <w:t>20</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w:t>
            </w:r>
          </w:p>
        </w:tc>
      </w:tr>
    </w:tbl>
    <w:p>
      <w:pPr>
        <w:pStyle w:val="style0"/>
        <w:spacing w:before="100" w:beforeAutospacing="true" w:after="100" w:afterAutospacing="true" w:lineRule="auto" w:line="480"/>
        <w:jc w:val="both"/>
        <w:rPr>
          <w:rFonts w:ascii="Times New Roman" w:cs="Times New Roman" w:hAnsi="Times New Roman"/>
          <w:sz w:val="28"/>
          <w:szCs w:val="28"/>
        </w:rPr>
      </w:pPr>
    </w:p>
    <w:p>
      <w:pPr>
        <w:pStyle w:val="style94"/>
        <w:spacing w:lineRule="auto" w:line="480"/>
        <w:jc w:val="center"/>
        <w:rPr>
          <w:b/>
          <w:sz w:val="28"/>
          <w:szCs w:val="28"/>
        </w:rPr>
      </w:pPr>
    </w:p>
    <w:bookmarkStart w:id="24" w:name="_Toc202976471"/>
    <w:p>
      <w:pPr>
        <w:pStyle w:val="style0"/>
        <w:rPr>
          <w:rFonts w:ascii="Times New Roman" w:cs="Times New Roman" w:eastAsia="宋体" w:hAnsi="Times New Roman"/>
          <w:b/>
          <w:sz w:val="32"/>
          <w:szCs w:val="32"/>
        </w:rPr>
      </w:pPr>
      <w:r>
        <w:rPr>
          <w:rFonts w:ascii="Times New Roman" w:cs="Times New Roman" w:hAnsi="Times New Roman"/>
          <w:b/>
        </w:rPr>
        <w:br w:type="page"/>
      </w:r>
    </w:p>
    <w:p>
      <w:pPr>
        <w:pStyle w:val="style1"/>
        <w:jc w:val="center"/>
        <w:rPr>
          <w:rFonts w:ascii="Times New Roman" w:cs="Times New Roman" w:hAnsi="Times New Roman"/>
          <w:b/>
          <w:color w:val="auto"/>
        </w:rPr>
      </w:pPr>
      <w:r>
        <w:rPr>
          <w:rFonts w:ascii="Times New Roman" w:cs="Times New Roman" w:hAnsi="Times New Roman"/>
          <w:b/>
          <w:color w:val="auto"/>
        </w:rPr>
        <w:t>CHAPTER FOUR</w:t>
      </w:r>
      <w:bookmarkEnd w:id="24"/>
    </w:p>
    <w:bookmarkStart w:id="25" w:name="_Toc202976472"/>
    <w:p>
      <w:pPr>
        <w:pStyle w:val="style1"/>
        <w:rPr>
          <w:rFonts w:ascii="Times New Roman" w:cs="Times New Roman" w:hAnsi="Times New Roman"/>
          <w:b/>
          <w:color w:val="auto"/>
        </w:rPr>
      </w:pPr>
      <w:r>
        <w:rPr>
          <w:rFonts w:ascii="Times New Roman" w:cs="Times New Roman" w:hAnsi="Times New Roman"/>
          <w:b/>
          <w:color w:val="auto"/>
        </w:rPr>
        <w:t>4.0 DISCUSSION AND CONCLUSION</w:t>
      </w:r>
      <w:bookmarkEnd w:id="25"/>
    </w:p>
    <w:bookmarkStart w:id="26" w:name="_Toc202976473"/>
    <w:p>
      <w:pPr>
        <w:pStyle w:val="style1"/>
        <w:rPr>
          <w:rFonts w:ascii="Times New Roman" w:cs="Times New Roman" w:hAnsi="Times New Roman"/>
          <w:b/>
          <w:color w:val="auto"/>
        </w:rPr>
      </w:pPr>
      <w:r>
        <w:rPr>
          <w:rFonts w:ascii="Times New Roman" w:cs="Times New Roman" w:hAnsi="Times New Roman"/>
          <w:b/>
          <w:color w:val="auto"/>
        </w:rPr>
        <w:t>4.1 DISCUSSION</w:t>
      </w:r>
      <w:bookmarkEnd w:id="26"/>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r>
        <w:rPr>
          <w:rFonts w:ascii="Times New Roman" w:cs="Times New Roman" w:hAnsi="Times New Roman"/>
          <w:sz w:val="28"/>
          <w:szCs w:val="28"/>
        </w:rPr>
        <w:t>Ultimax</w:t>
      </w:r>
      <w:r>
        <w:rPr>
          <w:rFonts w:ascii="Times New Roman" w:cs="Times New Roman" w:hAnsi="Times New Roman"/>
          <w:sz w:val="28"/>
          <w:szCs w:val="28"/>
        </w:rPr>
        <w:t xml:space="preserve"> Plus recorded a pH of 6.04, slightly higher than the control (5.76), suggesting mild alkalization due to treatment. A similar increase was observed in Western soil treated with Total Force (5.80 compared to 5.50 control).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r>
        <w:rPr>
          <w:rFonts w:ascii="Times New Roman" w:cs="Times New Roman" w:hAnsi="Times New Roman"/>
          <w:sz w:val="28"/>
          <w:szCs w:val="28"/>
        </w:rPr>
        <w:t>Köhl</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2019).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Fungal colonies isolated from fungicide-treated soils varied in abundance and diversity. IFMS soil treated with Stampede showed dominant yeast growth with 118 colonies and only 4 </w:t>
      </w:r>
      <w:r>
        <w:rPr>
          <w:rFonts w:ascii="Times New Roman" w:cs="Times New Roman" w:hAnsi="Times New Roman"/>
          <w:sz w:val="28"/>
          <w:szCs w:val="28"/>
        </w:rPr>
        <w:t>Rhizopus</w:t>
      </w:r>
      <w:r>
        <w:rPr>
          <w:rFonts w:ascii="Times New Roman" w:cs="Times New Roman" w:hAnsi="Times New Roman"/>
          <w:sz w:val="28"/>
          <w:szCs w:val="28"/>
        </w:rPr>
        <w:t xml:space="preserve"> colonies. The absence of other fungal </w:t>
      </w:r>
      <w:r>
        <w:rPr>
          <w:rFonts w:ascii="Times New Roman" w:cs="Times New Roman" w:hAnsi="Times New Roman"/>
          <w:sz w:val="28"/>
          <w:szCs w:val="28"/>
        </w:rPr>
        <w:t xml:space="preserve">species such as </w:t>
      </w:r>
      <w:r>
        <w:rPr>
          <w:rFonts w:ascii="Times New Roman" w:cs="Times New Roman" w:hAnsi="Times New Roman"/>
          <w:sz w:val="28"/>
          <w:szCs w:val="28"/>
        </w:rPr>
        <w:t>Penicillium</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in the treated sample suggests a selective inhibitory action of Stampede. A similar pattern was observed in Western soil treated with Total Force, where yeast dominated with 198 colonies while </w:t>
      </w:r>
      <w:r>
        <w:rPr>
          <w:rFonts w:ascii="Times New Roman" w:cs="Times New Roman" w:hAnsi="Times New Roman"/>
          <w:sz w:val="28"/>
          <w:szCs w:val="28"/>
        </w:rPr>
        <w:t>Rhizopus</w:t>
      </w:r>
      <w:r>
        <w:rPr>
          <w:rFonts w:ascii="Times New Roman" w:cs="Times New Roman" w:hAnsi="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 Shoprite soil treated with </w:t>
      </w:r>
      <w:r>
        <w:rPr>
          <w:rFonts w:ascii="Times New Roman" w:cs="Times New Roman" w:hAnsi="Times New Roman"/>
          <w:sz w:val="28"/>
          <w:szCs w:val="28"/>
        </w:rPr>
        <w:t>Ultimax</w:t>
      </w:r>
      <w:r>
        <w:rPr>
          <w:rFonts w:ascii="Times New Roman" w:cs="Times New Roman" w:hAnsi="Times New Roman"/>
          <w:sz w:val="28"/>
          <w:szCs w:val="28"/>
        </w:rPr>
        <w:t xml:space="preserve"> Plus, moderate fungal diversity was retained. Yeast (61 colonies), </w:t>
      </w:r>
      <w:r>
        <w:rPr>
          <w:rFonts w:ascii="Times New Roman" w:cs="Times New Roman" w:hAnsi="Times New Roman"/>
          <w:sz w:val="28"/>
          <w:szCs w:val="28"/>
        </w:rPr>
        <w:t>Rhizopus</w:t>
      </w:r>
      <w:r>
        <w:rPr>
          <w:rFonts w:ascii="Times New Roman" w:cs="Times New Roman" w:hAnsi="Times New Roman"/>
          <w:sz w:val="28"/>
          <w:szCs w:val="28"/>
        </w:rPr>
        <w:t xml:space="preserve"> (9), and </w:t>
      </w:r>
      <w:r>
        <w:rPr>
          <w:rFonts w:ascii="Times New Roman" w:cs="Times New Roman" w:hAnsi="Times New Roman"/>
          <w:sz w:val="28"/>
          <w:szCs w:val="28"/>
        </w:rPr>
        <w:t>Aspergillus</w:t>
      </w:r>
      <w:r>
        <w:rPr>
          <w:rFonts w:ascii="Times New Roman" w:cs="Times New Roman" w:hAnsi="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r>
        <w:rPr>
          <w:rFonts w:ascii="Times New Roman" w:cs="Times New Roman" w:hAnsi="Times New Roman"/>
          <w:sz w:val="28"/>
          <w:szCs w:val="28"/>
        </w:rPr>
        <w:t>Aspergillus</w:t>
      </w:r>
      <w:r>
        <w:rPr>
          <w:rFonts w:ascii="Times New Roman" w:cs="Times New Roman" w:hAnsi="Times New Roman"/>
          <w:sz w:val="28"/>
          <w:szCs w:val="28"/>
        </w:rPr>
        <w:t xml:space="preserve"> and </w:t>
      </w:r>
      <w:r>
        <w:rPr>
          <w:rFonts w:ascii="Times New Roman" w:cs="Times New Roman" w:hAnsi="Times New Roman"/>
          <w:sz w:val="28"/>
          <w:szCs w:val="28"/>
        </w:rPr>
        <w:t>Rhizopus</w:t>
      </w:r>
      <w:r>
        <w:rPr>
          <w:rFonts w:ascii="Times New Roman" w:cs="Times New Roman" w:hAnsi="Times New Roman"/>
          <w:sz w:val="28"/>
          <w:szCs w:val="28"/>
        </w:rPr>
        <w:t xml:space="preserve"> were present in moderate numbers (10 colonies each). This suggests Red Force may have stronger effects on yeast populations compared to filamentous fungi in that environment. The </w:t>
      </w:r>
      <w:r>
        <w:rPr>
          <w:rFonts w:ascii="Times New Roman" w:cs="Times New Roman" w:hAnsi="Times New Roman"/>
          <w:sz w:val="28"/>
          <w:szCs w:val="28"/>
        </w:rPr>
        <w:t>Agric</w:t>
      </w:r>
      <w:r>
        <w:rPr>
          <w:rFonts w:ascii="Times New Roman" w:cs="Times New Roman" w:hAnsi="Times New Roman"/>
          <w:sz w:val="28"/>
          <w:szCs w:val="28"/>
        </w:rPr>
        <w:t xml:space="preserve"> farm treated with Blast Force showed a dominance of </w:t>
      </w:r>
      <w:r>
        <w:rPr>
          <w:rFonts w:ascii="Times New Roman" w:cs="Times New Roman" w:hAnsi="Times New Roman"/>
          <w:sz w:val="28"/>
          <w:szCs w:val="28"/>
        </w:rPr>
        <w:t>Rhizopus</w:t>
      </w:r>
      <w:r>
        <w:rPr>
          <w:rFonts w:ascii="Times New Roman" w:cs="Times New Roman" w:hAnsi="Times New Roman"/>
          <w:sz w:val="28"/>
          <w:szCs w:val="28"/>
        </w:rPr>
        <w:t xml:space="preserve"> (28 colonies) and minimal </w:t>
      </w:r>
      <w:r>
        <w:rPr>
          <w:rFonts w:ascii="Times New Roman" w:cs="Times New Roman" w:hAnsi="Times New Roman"/>
          <w:sz w:val="28"/>
          <w:szCs w:val="28"/>
        </w:rPr>
        <w:t>Aspergillus</w:t>
      </w:r>
      <w:r>
        <w:rPr>
          <w:rFonts w:ascii="Times New Roman" w:cs="Times New Roman" w:hAnsi="Times New Roman"/>
          <w:sz w:val="28"/>
          <w:szCs w:val="28"/>
        </w:rPr>
        <w:t xml:space="preserve"> presence (1 colony), pointing to selective fungicide tolerance </w:t>
      </w:r>
      <w:r>
        <w:rPr>
          <w:rFonts w:ascii="Times New Roman" w:cs="Times New Roman" w:hAnsi="Times New Roman"/>
          <w:sz w:val="28"/>
          <w:szCs w:val="28"/>
        </w:rPr>
        <w:t xml:space="preserve">among fungal groups, consistent with findings by </w:t>
      </w:r>
      <w:r>
        <w:rPr>
          <w:rFonts w:ascii="Times New Roman" w:cs="Times New Roman" w:hAnsi="Times New Roman"/>
          <w:sz w:val="28"/>
          <w:szCs w:val="28"/>
        </w:rPr>
        <w:t>Dhingra</w:t>
      </w:r>
      <w:r>
        <w:rPr>
          <w:rFonts w:ascii="Times New Roman" w:cs="Times New Roman" w:hAnsi="Times New Roman"/>
          <w:sz w:val="28"/>
          <w:szCs w:val="28"/>
        </w:rPr>
        <w:t xml:space="preserve"> and Sinclair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 contrast, control samples demonstrated higher fungal diversity and more balanced populations. IFMS control soil yielded colonies of yeast, </w:t>
      </w:r>
      <w:r>
        <w:rPr>
          <w:rFonts w:ascii="Times New Roman" w:cs="Times New Roman" w:hAnsi="Times New Roman"/>
          <w:sz w:val="28"/>
          <w:szCs w:val="28"/>
        </w:rPr>
        <w:t>Rhizopus</w:t>
      </w:r>
      <w:r>
        <w:rPr>
          <w:rFonts w:ascii="Times New Roman" w:cs="Times New Roman" w:hAnsi="Times New Roman"/>
          <w:sz w:val="28"/>
          <w:szCs w:val="28"/>
        </w:rPr>
        <w:t xml:space="preserve">, </w:t>
      </w:r>
      <w:r>
        <w:rPr>
          <w:rFonts w:ascii="Times New Roman" w:cs="Times New Roman" w:hAnsi="Times New Roman"/>
          <w:sz w:val="28"/>
          <w:szCs w:val="28"/>
        </w:rPr>
        <w:t>Penicillium</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reflecting the natural </w:t>
      </w:r>
      <w:r>
        <w:rPr>
          <w:rFonts w:ascii="Times New Roman" w:cs="Times New Roman" w:hAnsi="Times New Roman"/>
          <w:sz w:val="28"/>
          <w:szCs w:val="28"/>
        </w:rPr>
        <w:t>mycobiome</w:t>
      </w:r>
      <w:r>
        <w:rPr>
          <w:rFonts w:ascii="Times New Roman" w:cs="Times New Roman" w:hAnsi="Times New Roman"/>
          <w:sz w:val="28"/>
          <w:szCs w:val="28"/>
        </w:rPr>
        <w:t xml:space="preserve"> richness. Western control soil had a broader fungal spectrum, including high counts of </w:t>
      </w:r>
      <w:r>
        <w:rPr>
          <w:rFonts w:ascii="Times New Roman" w:cs="Times New Roman" w:hAnsi="Times New Roman"/>
          <w:sz w:val="28"/>
          <w:szCs w:val="28"/>
        </w:rPr>
        <w:t>Aspergillus</w:t>
      </w:r>
      <w:r>
        <w:rPr>
          <w:rFonts w:ascii="Times New Roman" w:cs="Times New Roman" w:hAnsi="Times New Roman"/>
          <w:sz w:val="28"/>
          <w:szCs w:val="28"/>
        </w:rPr>
        <w:t xml:space="preserve"> (13), </w:t>
      </w:r>
      <w:r>
        <w:rPr>
          <w:rFonts w:ascii="Times New Roman" w:cs="Times New Roman" w:hAnsi="Times New Roman"/>
          <w:sz w:val="28"/>
          <w:szCs w:val="28"/>
        </w:rPr>
        <w:t>Penicillium</w:t>
      </w:r>
      <w:r>
        <w:rPr>
          <w:rFonts w:ascii="Times New Roman" w:cs="Times New Roman" w:hAnsi="Times New Roman"/>
          <w:sz w:val="28"/>
          <w:szCs w:val="28"/>
        </w:rPr>
        <w:t xml:space="preserve"> (8), </w:t>
      </w:r>
      <w:r>
        <w:rPr>
          <w:rFonts w:ascii="Times New Roman" w:cs="Times New Roman" w:hAnsi="Times New Roman"/>
          <w:sz w:val="28"/>
          <w:szCs w:val="28"/>
        </w:rPr>
        <w:t>Rhizopus</w:t>
      </w:r>
      <w:r>
        <w:rPr>
          <w:rFonts w:ascii="Times New Roman" w:cs="Times New Roman" w:hAnsi="Times New Roman"/>
          <w:sz w:val="28"/>
          <w:szCs w:val="28"/>
        </w:rPr>
        <w:t xml:space="preserve"> (12), and yeast (5), indicating an undisturbed microbial ecosystem. Shoprite’s control was the most diverse, with </w:t>
      </w:r>
      <w:r>
        <w:rPr>
          <w:rFonts w:ascii="Times New Roman" w:cs="Times New Roman" w:hAnsi="Times New Roman"/>
          <w:sz w:val="28"/>
          <w:szCs w:val="28"/>
        </w:rPr>
        <w:t>Penicillium</w:t>
      </w:r>
      <w:r>
        <w:rPr>
          <w:rFonts w:ascii="Times New Roman" w:cs="Times New Roman" w:hAnsi="Times New Roman"/>
          <w:sz w:val="28"/>
          <w:szCs w:val="28"/>
        </w:rPr>
        <w:t xml:space="preserve"> dominating (30 colonies), followed by </w:t>
      </w:r>
      <w:r>
        <w:rPr>
          <w:rFonts w:ascii="Times New Roman" w:cs="Times New Roman" w:hAnsi="Times New Roman"/>
          <w:sz w:val="28"/>
          <w:szCs w:val="28"/>
        </w:rPr>
        <w:t>Aspergillus</w:t>
      </w:r>
      <w:r>
        <w:rPr>
          <w:rFonts w:ascii="Times New Roman" w:cs="Times New Roman" w:hAnsi="Times New Roman"/>
          <w:sz w:val="28"/>
          <w:szCs w:val="28"/>
        </w:rPr>
        <w:t xml:space="preserve"> (13), </w:t>
      </w:r>
      <w:r>
        <w:rPr>
          <w:rFonts w:ascii="Times New Roman" w:cs="Times New Roman" w:hAnsi="Times New Roman"/>
          <w:sz w:val="28"/>
          <w:szCs w:val="28"/>
        </w:rPr>
        <w:t>Rhizopus</w:t>
      </w:r>
      <w:r>
        <w:rPr>
          <w:rFonts w:ascii="Times New Roman" w:cs="Times New Roman" w:hAnsi="Times New Roman"/>
          <w:sz w:val="28"/>
          <w:szCs w:val="28"/>
        </w:rPr>
        <w:t xml:space="preserve"> (10), and yeast (10). This suggests that in the absence of chemical treatment, the soil supports a wide variety of fungi that contribute to nutrient cycling and soil structure (Banerjee </w:t>
      </w:r>
      <w:r>
        <w:rPr>
          <w:rFonts w:ascii="Times New Roman" w:cs="Times New Roman" w:hAnsi="Times New Roman"/>
          <w:i/>
          <w:sz w:val="28"/>
          <w:szCs w:val="28"/>
        </w:rPr>
        <w:t>et al</w:t>
      </w:r>
      <w:r>
        <w:rPr>
          <w:rFonts w:ascii="Times New Roman" w:cs="Times New Roman" w:hAnsi="Times New Roman"/>
          <w:sz w:val="28"/>
          <w:szCs w:val="28"/>
        </w:rPr>
        <w:t>.,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E-library and </w:t>
      </w:r>
      <w:r>
        <w:rPr>
          <w:rFonts w:ascii="Times New Roman" w:cs="Times New Roman" w:hAnsi="Times New Roman"/>
          <w:sz w:val="28"/>
          <w:szCs w:val="28"/>
        </w:rPr>
        <w:t>Agric</w:t>
      </w:r>
      <w:r>
        <w:rPr>
          <w:rFonts w:ascii="Times New Roman" w:cs="Times New Roman" w:hAnsi="Times New Roman"/>
          <w:sz w:val="28"/>
          <w:szCs w:val="28"/>
        </w:rPr>
        <w:t xml:space="preserve"> farm control samples also showed relatively high fungal counts. In E-library soil, yeast (27) and </w:t>
      </w:r>
      <w:r>
        <w:rPr>
          <w:rFonts w:ascii="Times New Roman" w:cs="Times New Roman" w:hAnsi="Times New Roman"/>
          <w:sz w:val="28"/>
          <w:szCs w:val="28"/>
        </w:rPr>
        <w:t>Rhizopus</w:t>
      </w:r>
      <w:r>
        <w:rPr>
          <w:rFonts w:ascii="Times New Roman" w:cs="Times New Roman" w:hAnsi="Times New Roman"/>
          <w:sz w:val="28"/>
          <w:szCs w:val="28"/>
        </w:rPr>
        <w:t xml:space="preserve"> (11) were the major fungal groups, while in </w:t>
      </w:r>
      <w:r>
        <w:rPr>
          <w:rFonts w:ascii="Times New Roman" w:cs="Times New Roman" w:hAnsi="Times New Roman"/>
          <w:sz w:val="28"/>
          <w:szCs w:val="28"/>
        </w:rPr>
        <w:t>Agric</w:t>
      </w:r>
      <w:r>
        <w:rPr>
          <w:rFonts w:ascii="Times New Roman" w:cs="Times New Roman" w:hAnsi="Times New Roman"/>
          <w:sz w:val="28"/>
          <w:szCs w:val="28"/>
        </w:rPr>
        <w:t xml:space="preserve"> farm soil, yeast (36), </w:t>
      </w:r>
      <w:r>
        <w:rPr>
          <w:rFonts w:ascii="Times New Roman" w:cs="Times New Roman" w:hAnsi="Times New Roman"/>
          <w:sz w:val="28"/>
          <w:szCs w:val="28"/>
        </w:rPr>
        <w:t>Rhizopus</w:t>
      </w:r>
      <w:r>
        <w:rPr>
          <w:rFonts w:ascii="Times New Roman" w:cs="Times New Roman" w:hAnsi="Times New Roman"/>
          <w:sz w:val="28"/>
          <w:szCs w:val="28"/>
        </w:rPr>
        <w:t xml:space="preserve"> (20), and </w:t>
      </w:r>
      <w:r>
        <w:rPr>
          <w:rFonts w:ascii="Times New Roman" w:cs="Times New Roman" w:hAnsi="Times New Roman"/>
          <w:sz w:val="28"/>
          <w:szCs w:val="28"/>
        </w:rPr>
        <w:t>Aspergillus</w:t>
      </w:r>
      <w:r>
        <w:rPr>
          <w:rFonts w:ascii="Times New Roman" w:cs="Times New Roman" w:hAnsi="Times New Roman"/>
          <w:sz w:val="28"/>
          <w:szCs w:val="28"/>
        </w:rPr>
        <w:t xml:space="preserve"> (1) were observed. These numbers demonstrate that untreated soils naturally harbor diverse fungal communities. These fungi are essential for decomposing </w:t>
      </w:r>
      <w:r>
        <w:rPr>
          <w:rFonts w:ascii="Times New Roman" w:cs="Times New Roman" w:hAnsi="Times New Roman"/>
          <w:sz w:val="28"/>
          <w:szCs w:val="28"/>
        </w:rPr>
        <w:t xml:space="preserve">organic matter, improving soil structure, and facilitating plant-microbe interactions. The suppression of these organisms by fungicides could lead to long-term implications for soil fertility and ecosystem resilience (van der </w:t>
      </w:r>
      <w:r>
        <w:rPr>
          <w:rFonts w:ascii="Times New Roman" w:cs="Times New Roman" w:hAnsi="Times New Roman"/>
          <w:sz w:val="28"/>
          <w:szCs w:val="28"/>
        </w:rPr>
        <w:t>Heijden</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Comparing the treated and untreated samples across all locations, it is evident that fungicides reduce fungal diversity and shift the community structure. Treated soils often showed a dominance of yeast and </w:t>
      </w:r>
      <w:r>
        <w:rPr>
          <w:rFonts w:ascii="Times New Roman" w:cs="Times New Roman" w:hAnsi="Times New Roman"/>
          <w:sz w:val="28"/>
          <w:szCs w:val="28"/>
        </w:rPr>
        <w:t>Rhizopus</w:t>
      </w:r>
      <w:r>
        <w:rPr>
          <w:rFonts w:ascii="Times New Roman" w:cs="Times New Roman" w:hAnsi="Times New Roman"/>
          <w:sz w:val="28"/>
          <w:szCs w:val="28"/>
        </w:rPr>
        <w:t xml:space="preserve">, while other beneficial fungi like </w:t>
      </w:r>
      <w:r>
        <w:rPr>
          <w:rFonts w:ascii="Times New Roman" w:cs="Times New Roman" w:hAnsi="Times New Roman"/>
          <w:sz w:val="28"/>
          <w:szCs w:val="28"/>
        </w:rPr>
        <w:t>Penicillium</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r>
        <w:rPr>
          <w:rFonts w:ascii="Times New Roman" w:cs="Times New Roman" w:hAnsi="Times New Roman"/>
          <w:sz w:val="28"/>
          <w:szCs w:val="28"/>
        </w:rPr>
        <w:t>Penicillium</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especially in treated samples from Shoprite and Western, further supports the hypothesis that fungicides may have a narrow-spectrum or selective toxicity on fungal taxa (Zhou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Interestingly, yeasts showed higher resistance across almost all treated samples, suggesting their potential role as resilient members of the soil </w:t>
      </w:r>
      <w:r>
        <w:rPr>
          <w:rFonts w:ascii="Times New Roman" w:cs="Times New Roman" w:hAnsi="Times New Roman"/>
          <w:sz w:val="28"/>
          <w:szCs w:val="28"/>
        </w:rPr>
        <w:t>microbiome</w:t>
      </w:r>
      <w:r>
        <w:rPr>
          <w:rFonts w:ascii="Times New Roman" w:cs="Times New Roman" w:hAnsi="Times New Roman"/>
          <w:sz w:val="28"/>
          <w:szCs w:val="28"/>
        </w:rPr>
        <w:t xml:space="preserve"> under chemical stress. Their persistence could be attributed to </w:t>
      </w:r>
      <w:r>
        <w:rPr>
          <w:rFonts w:ascii="Times New Roman" w:cs="Times New Roman" w:hAnsi="Times New Roman"/>
          <w:sz w:val="28"/>
          <w:szCs w:val="28"/>
        </w:rPr>
        <w:t xml:space="preserve">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Pr>
          <w:rFonts w:ascii="Times New Roman" w:cs="Times New Roman" w:hAnsi="Times New Roman"/>
          <w:i/>
          <w:sz w:val="28"/>
          <w:szCs w:val="28"/>
        </w:rPr>
        <w:t>et al</w:t>
      </w:r>
      <w:r>
        <w:rPr>
          <w:rFonts w:ascii="Times New Roman" w:cs="Times New Roman" w:hAnsi="Times New Roman"/>
          <w:sz w:val="28"/>
          <w:szCs w:val="28"/>
        </w:rPr>
        <w:t>., 2022).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r>
        <w:rPr>
          <w:rFonts w:ascii="Times New Roman" w:cs="Times New Roman" w:hAnsi="Times New Roman"/>
          <w:sz w:val="28"/>
          <w:szCs w:val="28"/>
        </w:rPr>
        <w:t>microbiome</w:t>
      </w:r>
      <w:r>
        <w:rPr>
          <w:rFonts w:ascii="Times New Roman" w:cs="Times New Roman" w:hAnsi="Times New Roman"/>
          <w:sz w:val="28"/>
          <w:szCs w:val="28"/>
        </w:rPr>
        <w:t>. Future studies should focus on long-term soil monitoring and functional assessment of surviving fungal taxa to understand the ecological implications of fungicide usage in agriculture.</w:t>
      </w:r>
    </w:p>
    <w:p>
      <w:pPr>
        <w:pStyle w:val="style0"/>
        <w:spacing w:lineRule="auto" w:line="480"/>
        <w:jc w:val="both"/>
        <w:rPr>
          <w:rFonts w:ascii="Times New Roman" w:cs="Times New Roman" w:hAnsi="Times New Roman"/>
          <w:sz w:val="28"/>
          <w:szCs w:val="28"/>
        </w:rPr>
      </w:pPr>
    </w:p>
    <w:bookmarkStart w:id="27" w:name="_Toc202976474"/>
    <w:p>
      <w:pPr>
        <w:pStyle w:val="style1"/>
        <w:rPr>
          <w:rFonts w:ascii="Times New Roman" w:cs="Times New Roman" w:hAnsi="Times New Roman"/>
          <w:b/>
          <w:color w:val="auto"/>
        </w:rPr>
      </w:pPr>
      <w:r>
        <w:rPr>
          <w:rFonts w:ascii="Times New Roman" w:cs="Times New Roman" w:hAnsi="Times New Roman"/>
          <w:b/>
          <w:color w:val="auto"/>
        </w:rPr>
        <w:t>4.2 CONCLUSION</w:t>
      </w:r>
      <w:bookmarkEnd w:id="27"/>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application of fungicides had notable effects on both the chemical and biological properties of the soil, particularly the </w:t>
      </w:r>
      <w:r>
        <w:rPr>
          <w:rFonts w:ascii="Times New Roman" w:cs="Times New Roman" w:hAnsi="Times New Roman"/>
          <w:sz w:val="28"/>
          <w:szCs w:val="28"/>
        </w:rPr>
        <w:t>mycobiome</w:t>
      </w:r>
      <w:r>
        <w:rPr>
          <w:rFonts w:ascii="Times New Roman" w:cs="Times New Roman" w:hAnsi="Times New Roman"/>
          <w:sz w:val="28"/>
          <w:szCs w:val="28"/>
        </w:rPr>
        <w:t xml:space="preserve"> composition and soil </w:t>
      </w:r>
      <w:r>
        <w:rPr>
          <w:rFonts w:ascii="Times New Roman" w:cs="Times New Roman" w:hAnsi="Times New Roman"/>
          <w:sz w:val="28"/>
          <w:szCs w:val="28"/>
        </w:rPr>
        <w:t>pH.</w:t>
      </w:r>
      <w:r>
        <w:rPr>
          <w:rFonts w:ascii="Times New Roman" w:cs="Times New Roman" w:hAnsi="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r>
        <w:rPr>
          <w:rStyle w:val="style88"/>
          <w:rFonts w:ascii="Times New Roman" w:cs="Times New Roman" w:hAnsi="Times New Roman"/>
          <w:sz w:val="28"/>
          <w:szCs w:val="28"/>
        </w:rPr>
        <w:t>Penicillium</w:t>
      </w:r>
      <w:r>
        <w:rPr>
          <w:rFonts w:ascii="Times New Roman" w:cs="Times New Roman" w:hAnsi="Times New Roman"/>
          <w:sz w:val="28"/>
          <w:szCs w:val="28"/>
        </w:rPr>
        <w:t xml:space="preserve"> and </w:t>
      </w:r>
      <w:r>
        <w:rPr>
          <w:rStyle w:val="style88"/>
          <w:rFonts w:ascii="Times New Roman" w:cs="Times New Roman" w:hAnsi="Times New Roman"/>
          <w:sz w:val="28"/>
          <w:szCs w:val="28"/>
        </w:rPr>
        <w:t>Aspergillus</w:t>
      </w:r>
      <w:r>
        <w:rPr>
          <w:rFonts w:ascii="Times New Roman" w:cs="Times New Roman" w:hAnsi="Times New Roman"/>
          <w:sz w:val="28"/>
          <w:szCs w:val="28"/>
        </w:rPr>
        <w:t xml:space="preserve">, while </w:t>
      </w:r>
      <w:r>
        <w:rPr>
          <w:rStyle w:val="style88"/>
          <w:rFonts w:ascii="Times New Roman" w:cs="Times New Roman" w:hAnsi="Times New Roman"/>
          <w:sz w:val="28"/>
          <w:szCs w:val="28"/>
        </w:rPr>
        <w:t>Yeast</w:t>
      </w:r>
      <w:r>
        <w:rPr>
          <w:rFonts w:ascii="Times New Roman" w:cs="Times New Roman" w:hAnsi="Times New Roman"/>
          <w:sz w:val="28"/>
          <w:szCs w:val="28"/>
        </w:rPr>
        <w:t xml:space="preserve"> and </w:t>
      </w:r>
      <w:r>
        <w:rPr>
          <w:rStyle w:val="style88"/>
          <w:rFonts w:ascii="Times New Roman" w:cs="Times New Roman" w:hAnsi="Times New Roman"/>
          <w:sz w:val="28"/>
          <w:szCs w:val="28"/>
        </w:rPr>
        <w:t>Rhizopus</w:t>
      </w:r>
      <w:r>
        <w:rPr>
          <w:rFonts w:ascii="Times New Roman" w:cs="Times New Roman" w:hAnsi="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bookmarkStart w:id="28" w:name="_Toc202976475"/>
    <w:p>
      <w:pPr>
        <w:pStyle w:val="style0"/>
        <w:spacing w:lineRule="auto" w:line="480"/>
        <w:jc w:val="both"/>
        <w:rPr>
          <w:rFonts w:ascii="Times New Roman" w:cs="Times New Roman" w:hAnsi="Times New Roman"/>
          <w:b/>
        </w:rPr>
      </w:pPr>
    </w:p>
    <w:p>
      <w:pPr>
        <w:pStyle w:val="style0"/>
        <w:spacing w:lineRule="auto" w:line="480"/>
        <w:jc w:val="center"/>
        <w:rPr>
          <w:rFonts w:ascii="Times New Roman" w:cs="Times New Roman" w:hAnsi="Times New Roman"/>
          <w:sz w:val="28"/>
          <w:szCs w:val="28"/>
        </w:rPr>
      </w:pPr>
      <w:r>
        <w:rPr>
          <w:rFonts w:ascii="Times New Roman" w:cs="Times New Roman" w:hAnsi="Times New Roman"/>
          <w:b/>
          <w:sz w:val="28"/>
          <w:szCs w:val="28"/>
        </w:rPr>
        <w:t>REFERENCES</w:t>
      </w:r>
      <w:bookmarkEnd w:id="28"/>
    </w:p>
    <w:p>
      <w:pPr>
        <w:pStyle w:val="style94"/>
        <w:spacing w:lineRule="auto" w:line="480"/>
        <w:ind w:left="720" w:hanging="720"/>
        <w:jc w:val="both"/>
        <w:rPr>
          <w:sz w:val="28"/>
          <w:szCs w:val="28"/>
        </w:rPr>
      </w:pPr>
      <w:r>
        <w:rPr>
          <w:sz w:val="28"/>
          <w:szCs w:val="28"/>
        </w:rPr>
        <w:t>Adekunle</w:t>
      </w:r>
      <w:r>
        <w:rPr>
          <w:sz w:val="28"/>
          <w:szCs w:val="28"/>
        </w:rPr>
        <w:t xml:space="preserve">, A. A., &amp; </w:t>
      </w:r>
      <w:r>
        <w:rPr>
          <w:sz w:val="28"/>
          <w:szCs w:val="28"/>
        </w:rPr>
        <w:t>Oladele</w:t>
      </w:r>
      <w:r>
        <w:rPr>
          <w:sz w:val="28"/>
          <w:szCs w:val="28"/>
        </w:rPr>
        <w:t xml:space="preserve">, O. A. (2023). Effects of agrochemicals on soil microbial diversity in tropical agricultural systems. </w:t>
      </w:r>
      <w:r>
        <w:rPr>
          <w:i/>
          <w:iCs/>
          <w:sz w:val="28"/>
          <w:szCs w:val="28"/>
        </w:rPr>
        <w:t xml:space="preserve">Journal of Applied </w:t>
      </w:r>
      <w:r>
        <w:rPr>
          <w:i/>
          <w:iCs/>
          <w:sz w:val="28"/>
          <w:szCs w:val="28"/>
        </w:rPr>
        <w:t>Microbial Research</w:t>
      </w:r>
      <w:r>
        <w:rPr>
          <w:sz w:val="28"/>
          <w:szCs w:val="28"/>
        </w:rPr>
        <w:t>, 18(2), 55–63. https://doi.org/10.1016/j.jamr.2023.02.005</w:t>
      </w:r>
    </w:p>
    <w:p>
      <w:pPr>
        <w:pStyle w:val="style94"/>
        <w:spacing w:lineRule="auto" w:line="480"/>
        <w:ind w:left="720" w:hanging="720"/>
        <w:jc w:val="both"/>
        <w:rPr>
          <w:sz w:val="28"/>
          <w:szCs w:val="28"/>
        </w:rPr>
      </w:pPr>
      <w:r>
        <w:rPr>
          <w:sz w:val="28"/>
          <w:szCs w:val="28"/>
        </w:rPr>
        <w:t>Adesina</w:t>
      </w:r>
      <w:r>
        <w:rPr>
          <w:sz w:val="28"/>
          <w:szCs w:val="28"/>
        </w:rPr>
        <w:t xml:space="preserve">, O. O., Bello, A. A., &amp; </w:t>
      </w:r>
      <w:r>
        <w:rPr>
          <w:sz w:val="28"/>
          <w:szCs w:val="28"/>
        </w:rPr>
        <w:t>Akinyemi</w:t>
      </w:r>
      <w:r>
        <w:rPr>
          <w:sz w:val="28"/>
          <w:szCs w:val="28"/>
        </w:rPr>
        <w:t xml:space="preserve">, F. O. (2021). Influence of fungicides on soil fungal communities and crop performance. </w:t>
      </w:r>
      <w:r>
        <w:rPr>
          <w:i/>
          <w:iCs/>
          <w:sz w:val="28"/>
          <w:szCs w:val="28"/>
        </w:rPr>
        <w:t>African Journal of Soil Biology</w:t>
      </w:r>
      <w:r>
        <w:rPr>
          <w:sz w:val="28"/>
          <w:szCs w:val="28"/>
        </w:rPr>
        <w:t>, 27(1), 45–52.</w:t>
      </w:r>
    </w:p>
    <w:p>
      <w:pPr>
        <w:pStyle w:val="style94"/>
        <w:spacing w:lineRule="auto" w:line="480"/>
        <w:ind w:left="720" w:hanging="720"/>
        <w:jc w:val="both"/>
        <w:rPr>
          <w:sz w:val="28"/>
          <w:szCs w:val="28"/>
        </w:rPr>
      </w:pPr>
      <w:r>
        <w:rPr>
          <w:sz w:val="28"/>
          <w:szCs w:val="28"/>
        </w:rPr>
        <w:t xml:space="preserve">Banerjee, S., </w:t>
      </w:r>
      <w:r>
        <w:rPr>
          <w:sz w:val="28"/>
          <w:szCs w:val="28"/>
        </w:rPr>
        <w:t>Schlaeppi</w:t>
      </w:r>
      <w:r>
        <w:rPr>
          <w:sz w:val="28"/>
          <w:szCs w:val="28"/>
        </w:rPr>
        <w:t xml:space="preserve">, K., &amp; van der </w:t>
      </w:r>
      <w:r>
        <w:rPr>
          <w:sz w:val="28"/>
          <w:szCs w:val="28"/>
        </w:rPr>
        <w:t>Heijden</w:t>
      </w:r>
      <w:r>
        <w:rPr>
          <w:sz w:val="28"/>
          <w:szCs w:val="28"/>
        </w:rPr>
        <w:t xml:space="preserve">, M. G. (2020). Keystone taxa as drivers of </w:t>
      </w:r>
      <w:r>
        <w:rPr>
          <w:sz w:val="28"/>
          <w:szCs w:val="28"/>
        </w:rPr>
        <w:t>microbiome</w:t>
      </w:r>
      <w:r>
        <w:rPr>
          <w:sz w:val="28"/>
          <w:szCs w:val="28"/>
        </w:rPr>
        <w:t xml:space="preserve"> structure and functioning. </w:t>
      </w:r>
      <w:r>
        <w:rPr>
          <w:rStyle w:val="style88"/>
          <w:sz w:val="28"/>
          <w:szCs w:val="28"/>
        </w:rPr>
        <w:t>Nature Reviews Microbiology</w:t>
      </w:r>
      <w:r>
        <w:rPr>
          <w:sz w:val="28"/>
          <w:szCs w:val="28"/>
        </w:rPr>
        <w:t>, 16(9), 567–576.</w:t>
      </w:r>
    </w:p>
    <w:p>
      <w:pPr>
        <w:pStyle w:val="style94"/>
        <w:spacing w:lineRule="auto" w:line="480"/>
        <w:ind w:left="720" w:hanging="720"/>
        <w:jc w:val="both"/>
        <w:rPr>
          <w:sz w:val="28"/>
          <w:szCs w:val="28"/>
        </w:rPr>
      </w:pPr>
      <w:r>
        <w:rPr>
          <w:sz w:val="28"/>
          <w:szCs w:val="28"/>
        </w:rPr>
        <w:t xml:space="preserve">Banerjee, S., </w:t>
      </w:r>
      <w:r>
        <w:rPr>
          <w:sz w:val="28"/>
          <w:szCs w:val="28"/>
        </w:rPr>
        <w:t>Walder</w:t>
      </w:r>
      <w:r>
        <w:rPr>
          <w:sz w:val="28"/>
          <w:szCs w:val="28"/>
        </w:rPr>
        <w:t xml:space="preserve">, F., </w:t>
      </w:r>
      <w:r>
        <w:rPr>
          <w:sz w:val="28"/>
          <w:szCs w:val="28"/>
        </w:rPr>
        <w:t>Büchi</w:t>
      </w:r>
      <w:r>
        <w:rPr>
          <w:sz w:val="28"/>
          <w:szCs w:val="28"/>
        </w:rPr>
        <w:t xml:space="preserve">, L., Meyer, M., Held, A. Y., </w:t>
      </w:r>
      <w:r>
        <w:rPr>
          <w:sz w:val="28"/>
          <w:szCs w:val="28"/>
        </w:rPr>
        <w:t>Gattinger</w:t>
      </w:r>
      <w:r>
        <w:rPr>
          <w:sz w:val="28"/>
          <w:szCs w:val="28"/>
        </w:rPr>
        <w:t xml:space="preserve">, A., &amp; van der </w:t>
      </w:r>
      <w:r>
        <w:rPr>
          <w:sz w:val="28"/>
          <w:szCs w:val="28"/>
        </w:rPr>
        <w:t>Heijden</w:t>
      </w:r>
      <w:r>
        <w:rPr>
          <w:sz w:val="28"/>
          <w:szCs w:val="28"/>
        </w:rPr>
        <w:t xml:space="preserve">, M. G. (2020). Agricultural intensification reduces microbial network complexity and the abundance of keystone taxa in roots. </w:t>
      </w:r>
      <w:r>
        <w:rPr>
          <w:rStyle w:val="style88"/>
          <w:sz w:val="28"/>
          <w:szCs w:val="28"/>
        </w:rPr>
        <w:t>Nature Ecology &amp; Evolution</w:t>
      </w:r>
      <w:r>
        <w:rPr>
          <w:sz w:val="28"/>
          <w:szCs w:val="28"/>
        </w:rPr>
        <w:t>, 4(3), 302–310. https://doi.org/10.1038/s41559-019-1052-4</w:t>
      </w:r>
    </w:p>
    <w:p>
      <w:pPr>
        <w:pStyle w:val="style94"/>
        <w:spacing w:lineRule="auto" w:line="480"/>
        <w:ind w:left="720" w:hanging="720"/>
        <w:jc w:val="both"/>
        <w:rPr>
          <w:sz w:val="28"/>
          <w:szCs w:val="28"/>
        </w:rPr>
      </w:pPr>
      <w:r>
        <w:rPr>
          <w:sz w:val="28"/>
          <w:szCs w:val="28"/>
        </w:rPr>
        <w:t xml:space="preserve">Banerjee, S., </w:t>
      </w:r>
      <w:r>
        <w:rPr>
          <w:sz w:val="28"/>
          <w:szCs w:val="28"/>
        </w:rPr>
        <w:t>Walder</w:t>
      </w:r>
      <w:r>
        <w:rPr>
          <w:sz w:val="28"/>
          <w:szCs w:val="28"/>
        </w:rPr>
        <w:t xml:space="preserve">, F., </w:t>
      </w:r>
      <w:r>
        <w:rPr>
          <w:sz w:val="28"/>
          <w:szCs w:val="28"/>
        </w:rPr>
        <w:t>Büchi</w:t>
      </w:r>
      <w:r>
        <w:rPr>
          <w:sz w:val="28"/>
          <w:szCs w:val="28"/>
        </w:rPr>
        <w:t xml:space="preserve">, L., Meyer, M., Held, A. Y., </w:t>
      </w:r>
      <w:r>
        <w:rPr>
          <w:sz w:val="28"/>
          <w:szCs w:val="28"/>
        </w:rPr>
        <w:t>Gattinger</w:t>
      </w:r>
      <w:r>
        <w:rPr>
          <w:sz w:val="28"/>
          <w:szCs w:val="28"/>
        </w:rPr>
        <w:t xml:space="preserve">, A., &amp; van der </w:t>
      </w:r>
      <w:r>
        <w:rPr>
          <w:sz w:val="28"/>
          <w:szCs w:val="28"/>
        </w:rPr>
        <w:t>Heijden</w:t>
      </w:r>
      <w:r>
        <w:rPr>
          <w:sz w:val="28"/>
          <w:szCs w:val="28"/>
        </w:rPr>
        <w:t xml:space="preserve">, M. G. (2020). Agricultural intensification reduces microbial network complexity and the abundance of keystone taxa in </w:t>
      </w:r>
      <w:r>
        <w:rPr>
          <w:sz w:val="28"/>
          <w:szCs w:val="28"/>
        </w:rPr>
        <w:t xml:space="preserve">roots. </w:t>
      </w:r>
      <w:r>
        <w:rPr>
          <w:rStyle w:val="style88"/>
          <w:sz w:val="28"/>
          <w:szCs w:val="28"/>
        </w:rPr>
        <w:t>Nature Ecology &amp; Evolution</w:t>
      </w:r>
      <w:r>
        <w:rPr>
          <w:sz w:val="28"/>
          <w:szCs w:val="28"/>
        </w:rPr>
        <w:t>, 4(3), 302–310. https://doi.org/10.1038/s41559-019-1052-4</w:t>
      </w:r>
    </w:p>
    <w:p>
      <w:pPr>
        <w:pStyle w:val="style94"/>
        <w:spacing w:lineRule="auto" w:line="480"/>
        <w:ind w:left="720" w:hanging="720"/>
        <w:jc w:val="both"/>
        <w:rPr>
          <w:sz w:val="28"/>
          <w:szCs w:val="28"/>
        </w:rPr>
      </w:pPr>
      <w:r>
        <w:rPr>
          <w:sz w:val="28"/>
          <w:szCs w:val="28"/>
        </w:rPr>
        <w:t xml:space="preserve">Chen, L., Wang, Y., &amp; </w:t>
      </w:r>
      <w:r>
        <w:rPr>
          <w:sz w:val="28"/>
          <w:szCs w:val="28"/>
        </w:rPr>
        <w:t>Guo</w:t>
      </w:r>
      <w:r>
        <w:rPr>
          <w:sz w:val="28"/>
          <w:szCs w:val="28"/>
        </w:rPr>
        <w:t xml:space="preserve">, X. (2021). Fungicide application alters soil microbial functional structure and pH response. </w:t>
      </w:r>
      <w:r>
        <w:rPr>
          <w:i/>
          <w:iCs/>
          <w:sz w:val="28"/>
          <w:szCs w:val="28"/>
        </w:rPr>
        <w:t>Frontiers in Environmental Science</w:t>
      </w:r>
      <w:r>
        <w:rPr>
          <w:sz w:val="28"/>
          <w:szCs w:val="28"/>
        </w:rPr>
        <w:t>, 9, 681453. https://doi.org/10.3389/fenvs.2021.681453</w:t>
      </w:r>
    </w:p>
    <w:p>
      <w:pPr>
        <w:pStyle w:val="style94"/>
        <w:spacing w:lineRule="auto" w:line="480"/>
        <w:ind w:left="720" w:hanging="720"/>
        <w:jc w:val="both"/>
        <w:rPr>
          <w:sz w:val="28"/>
          <w:szCs w:val="28"/>
        </w:rPr>
      </w:pPr>
      <w:r>
        <w:rPr>
          <w:sz w:val="28"/>
          <w:szCs w:val="28"/>
        </w:rPr>
        <w:t>Dhingra</w:t>
      </w:r>
      <w:r>
        <w:rPr>
          <w:sz w:val="28"/>
          <w:szCs w:val="28"/>
        </w:rPr>
        <w:t xml:space="preserve">, O. D., &amp; Sinclair, J. B. (2020). </w:t>
      </w:r>
      <w:r>
        <w:rPr>
          <w:rStyle w:val="style88"/>
          <w:sz w:val="28"/>
          <w:szCs w:val="28"/>
        </w:rPr>
        <w:t>Basic Plant Pathology Methods</w:t>
      </w:r>
      <w:r>
        <w:rPr>
          <w:sz w:val="28"/>
          <w:szCs w:val="28"/>
        </w:rPr>
        <w:t>. CRC Press.</w:t>
      </w:r>
    </w:p>
    <w:p>
      <w:pPr>
        <w:pStyle w:val="style94"/>
        <w:spacing w:lineRule="auto" w:line="480"/>
        <w:ind w:left="720" w:hanging="720"/>
        <w:jc w:val="both"/>
        <w:rPr>
          <w:sz w:val="28"/>
          <w:szCs w:val="28"/>
        </w:rPr>
      </w:pPr>
      <w:r>
        <w:rPr>
          <w:sz w:val="28"/>
          <w:szCs w:val="28"/>
        </w:rPr>
        <w:t>Francioli</w:t>
      </w:r>
      <w:r>
        <w:rPr>
          <w:sz w:val="28"/>
          <w:szCs w:val="28"/>
        </w:rPr>
        <w:t xml:space="preserve">, D., Schulz, E., </w:t>
      </w:r>
      <w:r>
        <w:rPr>
          <w:sz w:val="28"/>
          <w:szCs w:val="28"/>
        </w:rPr>
        <w:t>Lentendu</w:t>
      </w:r>
      <w:r>
        <w:rPr>
          <w:sz w:val="28"/>
          <w:szCs w:val="28"/>
        </w:rPr>
        <w:t xml:space="preserve">, G., </w:t>
      </w:r>
      <w:r>
        <w:rPr>
          <w:sz w:val="28"/>
          <w:szCs w:val="28"/>
        </w:rPr>
        <w:t>Wubet</w:t>
      </w:r>
      <w:r>
        <w:rPr>
          <w:sz w:val="28"/>
          <w:szCs w:val="28"/>
        </w:rPr>
        <w:t xml:space="preserve">, T., </w:t>
      </w:r>
      <w:r>
        <w:rPr>
          <w:sz w:val="28"/>
          <w:szCs w:val="28"/>
        </w:rPr>
        <w:t>Buscot</w:t>
      </w:r>
      <w:r>
        <w:rPr>
          <w:sz w:val="28"/>
          <w:szCs w:val="28"/>
        </w:rPr>
        <w:t xml:space="preserve">, F., &amp; Reitz, T. (2022). Impact of repeated fungicide applications on the soil </w:t>
      </w:r>
      <w:r>
        <w:rPr>
          <w:sz w:val="28"/>
          <w:szCs w:val="28"/>
        </w:rPr>
        <w:t>microbiome</w:t>
      </w:r>
      <w:r>
        <w:rPr>
          <w:sz w:val="28"/>
          <w:szCs w:val="28"/>
        </w:rPr>
        <w:t xml:space="preserve"> in vineyards.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xml:space="preserve">, 806, 150383. </w:t>
      </w:r>
      <w:r>
        <w:rPr/>
        <w:fldChar w:fldCharType="begin"/>
      </w:r>
      <w:r>
        <w:instrText xml:space="preserve"> HYPERLINK "https://doi.org/10.1016/j.scitotenv.2021.150383" </w:instrText>
      </w:r>
      <w:r>
        <w:rPr/>
        <w:fldChar w:fldCharType="separate"/>
      </w:r>
      <w:r>
        <w:rPr>
          <w:rStyle w:val="style85"/>
          <w:color w:val="auto"/>
          <w:sz w:val="28"/>
          <w:szCs w:val="28"/>
        </w:rPr>
        <w:t>https://doi.org/10.1016/j.scitotenv.2021.150383</w:t>
      </w:r>
      <w:r>
        <w:rPr/>
        <w:fldChar w:fldCharType="end"/>
      </w:r>
    </w:p>
    <w:p>
      <w:pPr>
        <w:pStyle w:val="style94"/>
        <w:spacing w:lineRule="auto" w:line="480"/>
        <w:ind w:left="720" w:hanging="720"/>
        <w:jc w:val="both"/>
        <w:rPr>
          <w:sz w:val="28"/>
          <w:szCs w:val="28"/>
        </w:rPr>
      </w:pPr>
      <w:r>
        <w:rPr>
          <w:sz w:val="28"/>
          <w:szCs w:val="28"/>
        </w:rPr>
        <w:t>Francioli</w:t>
      </w:r>
      <w:r>
        <w:rPr>
          <w:sz w:val="28"/>
          <w:szCs w:val="28"/>
        </w:rPr>
        <w:t xml:space="preserve">, D., Schulz, E., </w:t>
      </w:r>
      <w:r>
        <w:rPr>
          <w:sz w:val="28"/>
          <w:szCs w:val="28"/>
        </w:rPr>
        <w:t>Lentendu</w:t>
      </w:r>
      <w:r>
        <w:rPr>
          <w:sz w:val="28"/>
          <w:szCs w:val="28"/>
        </w:rPr>
        <w:t xml:space="preserve">, G., </w:t>
      </w:r>
      <w:r>
        <w:rPr>
          <w:sz w:val="28"/>
          <w:szCs w:val="28"/>
        </w:rPr>
        <w:t>Wubet</w:t>
      </w:r>
      <w:r>
        <w:rPr>
          <w:sz w:val="28"/>
          <w:szCs w:val="28"/>
        </w:rPr>
        <w:t xml:space="preserve">, T., </w:t>
      </w:r>
      <w:r>
        <w:rPr>
          <w:sz w:val="28"/>
          <w:szCs w:val="28"/>
        </w:rPr>
        <w:t>Buscot</w:t>
      </w:r>
      <w:r>
        <w:rPr>
          <w:sz w:val="28"/>
          <w:szCs w:val="28"/>
        </w:rPr>
        <w:t xml:space="preserve">, F., &amp; Reitz, T. (2022). Impact of repeated fungicide applications on the soil </w:t>
      </w:r>
      <w:r>
        <w:rPr>
          <w:sz w:val="28"/>
          <w:szCs w:val="28"/>
        </w:rPr>
        <w:t>microbiome</w:t>
      </w:r>
      <w:r>
        <w:rPr>
          <w:sz w:val="28"/>
          <w:szCs w:val="28"/>
        </w:rPr>
        <w:t xml:space="preserve"> in vineyards.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806, 150383. https://doi.org/10.1016/j.scitotenv.2021.150383</w:t>
      </w:r>
    </w:p>
    <w:p>
      <w:pPr>
        <w:pStyle w:val="style94"/>
        <w:spacing w:lineRule="auto" w:line="480"/>
        <w:ind w:left="720" w:hanging="720"/>
        <w:jc w:val="both"/>
        <w:rPr>
          <w:sz w:val="28"/>
          <w:szCs w:val="28"/>
        </w:rPr>
      </w:pPr>
      <w:r>
        <w:rPr>
          <w:sz w:val="28"/>
          <w:szCs w:val="28"/>
        </w:rPr>
        <w:t xml:space="preserve">González-Pérez, J. A., González-Vila, F. J., &amp; Plaza, C. (2020). The role of soil fungal communities in </w:t>
      </w:r>
      <w:r>
        <w:rPr>
          <w:sz w:val="28"/>
          <w:szCs w:val="28"/>
        </w:rPr>
        <w:t>agroecosystems</w:t>
      </w:r>
      <w:r>
        <w:rPr>
          <w:sz w:val="28"/>
          <w:szCs w:val="28"/>
        </w:rPr>
        <w:t xml:space="preserve">. </w:t>
      </w:r>
      <w:r>
        <w:rPr>
          <w:rStyle w:val="style88"/>
          <w:sz w:val="28"/>
          <w:szCs w:val="28"/>
        </w:rPr>
        <w:t>Frontiers in Microbiology</w:t>
      </w:r>
      <w:r>
        <w:rPr>
          <w:sz w:val="28"/>
          <w:szCs w:val="28"/>
        </w:rPr>
        <w:t>, 11, 583385. https://doi.org/10.3389/fmicb.2020.583385</w:t>
      </w:r>
    </w:p>
    <w:p>
      <w:pPr>
        <w:pStyle w:val="style94"/>
        <w:spacing w:lineRule="auto" w:line="480"/>
        <w:ind w:left="720" w:hanging="720"/>
        <w:jc w:val="both"/>
        <w:rPr>
          <w:sz w:val="28"/>
          <w:szCs w:val="28"/>
        </w:rPr>
      </w:pPr>
      <w:r>
        <w:rPr>
          <w:sz w:val="28"/>
          <w:szCs w:val="28"/>
        </w:rPr>
        <w:t xml:space="preserve">González-Pérez, J. A., González-Vila, F. J., &amp; Plaza, C. (2020). The role of soil fungal communities in </w:t>
      </w:r>
      <w:r>
        <w:rPr>
          <w:sz w:val="28"/>
          <w:szCs w:val="28"/>
        </w:rPr>
        <w:t>agroecosystems</w:t>
      </w:r>
      <w:r>
        <w:rPr>
          <w:sz w:val="28"/>
          <w:szCs w:val="28"/>
        </w:rPr>
        <w:t xml:space="preserve">. </w:t>
      </w:r>
      <w:r>
        <w:rPr>
          <w:rStyle w:val="style88"/>
          <w:sz w:val="28"/>
          <w:szCs w:val="28"/>
        </w:rPr>
        <w:t>Frontiers in Microbiology</w:t>
      </w:r>
      <w:r>
        <w:rPr>
          <w:sz w:val="28"/>
          <w:szCs w:val="28"/>
        </w:rPr>
        <w:t>, 11, 583385. https://doi.org/10.3389/fmicb.2020.583385</w:t>
      </w:r>
    </w:p>
    <w:p>
      <w:pPr>
        <w:pStyle w:val="style94"/>
        <w:spacing w:lineRule="auto" w:line="480"/>
        <w:ind w:left="720" w:hanging="720"/>
        <w:jc w:val="both"/>
        <w:rPr>
          <w:sz w:val="28"/>
          <w:szCs w:val="28"/>
        </w:rPr>
      </w:pPr>
      <w:r>
        <w:rPr>
          <w:sz w:val="28"/>
          <w:szCs w:val="28"/>
        </w:rPr>
        <w:t xml:space="preserve">He, D., </w:t>
      </w:r>
      <w:r>
        <w:rPr>
          <w:sz w:val="28"/>
          <w:szCs w:val="28"/>
        </w:rPr>
        <w:t>Shen</w:t>
      </w:r>
      <w:r>
        <w:rPr>
          <w:sz w:val="28"/>
          <w:szCs w:val="28"/>
        </w:rPr>
        <w:t xml:space="preserve">, W., </w:t>
      </w:r>
      <w:r>
        <w:rPr>
          <w:sz w:val="28"/>
          <w:szCs w:val="28"/>
        </w:rPr>
        <w:t>Eberwein</w:t>
      </w:r>
      <w:r>
        <w:rPr>
          <w:sz w:val="28"/>
          <w:szCs w:val="28"/>
        </w:rPr>
        <w:t xml:space="preserve">, J., Zhao, Q., </w:t>
      </w:r>
      <w:r>
        <w:rPr>
          <w:sz w:val="28"/>
          <w:szCs w:val="28"/>
        </w:rPr>
        <w:t>Ren</w:t>
      </w:r>
      <w:r>
        <w:rPr>
          <w:sz w:val="28"/>
          <w:szCs w:val="28"/>
        </w:rPr>
        <w:t xml:space="preserve">, L., &amp; Wu, Q. L. (2021). Fungicide application changes the soil </w:t>
      </w:r>
      <w:r>
        <w:rPr>
          <w:sz w:val="28"/>
          <w:szCs w:val="28"/>
        </w:rPr>
        <w:t>mycobiome</w:t>
      </w:r>
      <w:r>
        <w:rPr>
          <w:sz w:val="28"/>
          <w:szCs w:val="28"/>
        </w:rPr>
        <w:t xml:space="preserve"> and plant performance in soybean fields. </w:t>
      </w:r>
      <w:r>
        <w:rPr>
          <w:rStyle w:val="style88"/>
          <w:sz w:val="28"/>
          <w:szCs w:val="28"/>
        </w:rPr>
        <w:t>Applied Soil Ecology</w:t>
      </w:r>
      <w:r>
        <w:rPr>
          <w:sz w:val="28"/>
          <w:szCs w:val="28"/>
        </w:rPr>
        <w:t>, 168, 104147. https://doi.org/10.1016/j.apsoil.2021.104147</w:t>
      </w:r>
    </w:p>
    <w:p>
      <w:pPr>
        <w:pStyle w:val="style94"/>
        <w:spacing w:lineRule="auto" w:line="480"/>
        <w:ind w:left="720" w:hanging="720"/>
        <w:jc w:val="both"/>
        <w:rPr>
          <w:sz w:val="28"/>
          <w:szCs w:val="28"/>
        </w:rPr>
      </w:pPr>
      <w:r>
        <w:rPr>
          <w:sz w:val="28"/>
          <w:szCs w:val="28"/>
        </w:rPr>
        <w:t xml:space="preserve">He, D., </w:t>
      </w:r>
      <w:r>
        <w:rPr>
          <w:sz w:val="28"/>
          <w:szCs w:val="28"/>
        </w:rPr>
        <w:t>Shen</w:t>
      </w:r>
      <w:r>
        <w:rPr>
          <w:sz w:val="28"/>
          <w:szCs w:val="28"/>
        </w:rPr>
        <w:t xml:space="preserve">, W., </w:t>
      </w:r>
      <w:r>
        <w:rPr>
          <w:sz w:val="28"/>
          <w:szCs w:val="28"/>
        </w:rPr>
        <w:t>Eberwein</w:t>
      </w:r>
      <w:r>
        <w:rPr>
          <w:sz w:val="28"/>
          <w:szCs w:val="28"/>
        </w:rPr>
        <w:t xml:space="preserve">, J., Zhao, Q., </w:t>
      </w:r>
      <w:r>
        <w:rPr>
          <w:sz w:val="28"/>
          <w:szCs w:val="28"/>
        </w:rPr>
        <w:t>Ren</w:t>
      </w:r>
      <w:r>
        <w:rPr>
          <w:sz w:val="28"/>
          <w:szCs w:val="28"/>
        </w:rPr>
        <w:t xml:space="preserve">, L., &amp; Wu, Q. L. (2021). Fungicide application changes the soil </w:t>
      </w:r>
      <w:r>
        <w:rPr>
          <w:sz w:val="28"/>
          <w:szCs w:val="28"/>
        </w:rPr>
        <w:t>mycobiome</w:t>
      </w:r>
      <w:r>
        <w:rPr>
          <w:sz w:val="28"/>
          <w:szCs w:val="28"/>
        </w:rPr>
        <w:t xml:space="preserve"> and plant performance in soybean fields. </w:t>
      </w:r>
      <w:r>
        <w:rPr>
          <w:rStyle w:val="style88"/>
          <w:sz w:val="28"/>
          <w:szCs w:val="28"/>
        </w:rPr>
        <w:t>Applied Soil Ecology</w:t>
      </w:r>
      <w:r>
        <w:rPr>
          <w:sz w:val="28"/>
          <w:szCs w:val="28"/>
        </w:rPr>
        <w:t xml:space="preserve">, 168, 104147. </w:t>
      </w:r>
      <w:r>
        <w:rPr/>
        <w:fldChar w:fldCharType="begin"/>
      </w:r>
      <w:r>
        <w:instrText xml:space="preserve"> HYPERLINK "https://doi.org/10.1016/j.apsoil.2021.104147" </w:instrText>
      </w:r>
      <w:r>
        <w:rPr/>
        <w:fldChar w:fldCharType="separate"/>
      </w:r>
      <w:r>
        <w:rPr>
          <w:rStyle w:val="style85"/>
          <w:color w:val="auto"/>
          <w:sz w:val="28"/>
          <w:szCs w:val="28"/>
        </w:rPr>
        <w:t>https://doi.org/10.1016/j.apsoil.2021.104147</w:t>
      </w:r>
      <w:r>
        <w:rPr/>
        <w:fldChar w:fldCharType="end"/>
      </w:r>
    </w:p>
    <w:p>
      <w:pPr>
        <w:pStyle w:val="style94"/>
        <w:spacing w:lineRule="auto" w:line="480"/>
        <w:ind w:left="720" w:hanging="720"/>
        <w:jc w:val="both"/>
        <w:rPr>
          <w:sz w:val="28"/>
          <w:szCs w:val="28"/>
        </w:rPr>
      </w:pPr>
      <w:r>
        <w:rPr>
          <w:sz w:val="28"/>
          <w:szCs w:val="28"/>
        </w:rPr>
        <w:t>Köhl</w:t>
      </w:r>
      <w:r>
        <w:rPr>
          <w:sz w:val="28"/>
          <w:szCs w:val="28"/>
        </w:rPr>
        <w:t xml:space="preserve">, J., </w:t>
      </w:r>
      <w:r>
        <w:rPr>
          <w:sz w:val="28"/>
          <w:szCs w:val="28"/>
        </w:rPr>
        <w:t>Kolnaar</w:t>
      </w:r>
      <w:r>
        <w:rPr>
          <w:sz w:val="28"/>
          <w:szCs w:val="28"/>
        </w:rPr>
        <w:t xml:space="preserve">, R., &amp; </w:t>
      </w:r>
      <w:r>
        <w:rPr>
          <w:sz w:val="28"/>
          <w:szCs w:val="28"/>
        </w:rPr>
        <w:t>Ravensberg</w:t>
      </w:r>
      <w:r>
        <w:rPr>
          <w:sz w:val="28"/>
          <w:szCs w:val="28"/>
        </w:rPr>
        <w:t xml:space="preserve">, W. J. (2019). Mode of action of microbial biological control agents against plant diseases: Relevance beyond efficacy. </w:t>
      </w:r>
      <w:r>
        <w:rPr>
          <w:rStyle w:val="style88"/>
          <w:sz w:val="28"/>
          <w:szCs w:val="28"/>
        </w:rPr>
        <w:t>Frontiers in Plant Science</w:t>
      </w:r>
      <w:r>
        <w:rPr>
          <w:sz w:val="28"/>
          <w:szCs w:val="28"/>
        </w:rPr>
        <w:t>, 10, 845.</w:t>
      </w:r>
    </w:p>
    <w:p>
      <w:pPr>
        <w:pStyle w:val="style94"/>
        <w:spacing w:lineRule="auto" w:line="480"/>
        <w:ind w:left="720" w:hanging="720"/>
        <w:jc w:val="both"/>
        <w:rPr>
          <w:sz w:val="28"/>
          <w:szCs w:val="28"/>
        </w:rPr>
      </w:pPr>
      <w:r>
        <w:rPr>
          <w:sz w:val="28"/>
          <w:szCs w:val="28"/>
        </w:rPr>
        <w:t xml:space="preserve">Kumar, R., </w:t>
      </w:r>
      <w:r>
        <w:rPr>
          <w:sz w:val="28"/>
          <w:szCs w:val="28"/>
        </w:rPr>
        <w:t>Jha</w:t>
      </w:r>
      <w:r>
        <w:rPr>
          <w:sz w:val="28"/>
          <w:szCs w:val="28"/>
        </w:rPr>
        <w:t xml:space="preserve">, P. N., &amp; Singh, R. (2020). Morphological identification and characterization of soil fungal isolates from agricultural fields. </w:t>
      </w:r>
      <w:r>
        <w:rPr>
          <w:i/>
          <w:iCs/>
          <w:sz w:val="28"/>
          <w:szCs w:val="28"/>
        </w:rPr>
        <w:t>Indian Journal of Mycology and Plant Pathology</w:t>
      </w:r>
      <w:r>
        <w:rPr>
          <w:sz w:val="28"/>
          <w:szCs w:val="28"/>
        </w:rPr>
        <w:t>, 50(3), 399–406.</w:t>
      </w:r>
    </w:p>
    <w:p>
      <w:pPr>
        <w:pStyle w:val="style94"/>
        <w:spacing w:lineRule="auto" w:line="480"/>
        <w:ind w:left="720" w:hanging="720"/>
        <w:jc w:val="both"/>
        <w:rPr>
          <w:sz w:val="28"/>
          <w:szCs w:val="28"/>
        </w:rPr>
      </w:pPr>
      <w:r>
        <w:rPr>
          <w:sz w:val="28"/>
          <w:szCs w:val="28"/>
        </w:rPr>
        <w:t xml:space="preserve">Li, J., Zhang, M., &amp; Wang, L. (2021). Impacts of chemical pesticides on soil fungal community diversity. </w:t>
      </w:r>
      <w:r>
        <w:rPr>
          <w:i/>
          <w:iCs/>
          <w:sz w:val="28"/>
          <w:szCs w:val="28"/>
        </w:rPr>
        <w:t>Ecotoxicology and Environmental Safety</w:t>
      </w:r>
      <w:r>
        <w:rPr>
          <w:sz w:val="28"/>
          <w:szCs w:val="28"/>
        </w:rPr>
        <w:t>, 210, 111885. https://doi.org/10.1016/j.ecoenv.2021.111885</w:t>
      </w:r>
    </w:p>
    <w:p>
      <w:pPr>
        <w:pStyle w:val="style94"/>
        <w:spacing w:lineRule="auto" w:line="480"/>
        <w:ind w:left="720" w:hanging="720"/>
        <w:jc w:val="both"/>
        <w:rPr>
          <w:sz w:val="28"/>
          <w:szCs w:val="28"/>
        </w:rPr>
      </w:pPr>
      <w:r>
        <w:rPr>
          <w:sz w:val="28"/>
          <w:szCs w:val="28"/>
        </w:rPr>
        <w:t>Olatinwo</w:t>
      </w:r>
      <w:r>
        <w:rPr>
          <w:sz w:val="28"/>
          <w:szCs w:val="28"/>
        </w:rPr>
        <w:t xml:space="preserve">, R. O., </w:t>
      </w:r>
      <w:r>
        <w:rPr>
          <w:sz w:val="28"/>
          <w:szCs w:val="28"/>
        </w:rPr>
        <w:t>Abubakar</w:t>
      </w:r>
      <w:r>
        <w:rPr>
          <w:sz w:val="28"/>
          <w:szCs w:val="28"/>
        </w:rPr>
        <w:t xml:space="preserve">, T., &amp; </w:t>
      </w:r>
      <w:r>
        <w:rPr>
          <w:sz w:val="28"/>
          <w:szCs w:val="28"/>
        </w:rPr>
        <w:t>Babalola</w:t>
      </w:r>
      <w:r>
        <w:rPr>
          <w:sz w:val="28"/>
          <w:szCs w:val="28"/>
        </w:rPr>
        <w:t xml:space="preserve">, O. O. (2022). </w:t>
      </w:r>
      <w:r>
        <w:rPr>
          <w:sz w:val="28"/>
          <w:szCs w:val="28"/>
        </w:rPr>
        <w:t>Mycobiome</w:t>
      </w:r>
      <w:r>
        <w:rPr>
          <w:sz w:val="28"/>
          <w:szCs w:val="28"/>
        </w:rPr>
        <w:t xml:space="preserve"> changes due to pesticide use in soil environments. </w:t>
      </w:r>
      <w:r>
        <w:rPr>
          <w:i/>
          <w:iCs/>
          <w:sz w:val="28"/>
          <w:szCs w:val="28"/>
        </w:rPr>
        <w:t>Mycological Progress</w:t>
      </w:r>
      <w:r>
        <w:rPr>
          <w:sz w:val="28"/>
          <w:szCs w:val="28"/>
        </w:rPr>
        <w:t>, 21(4), 333–345. https://doi.org/10.1007/s11557-022-01767-4</w:t>
      </w:r>
    </w:p>
    <w:p>
      <w:pPr>
        <w:pStyle w:val="style94"/>
        <w:spacing w:lineRule="auto" w:line="480"/>
        <w:ind w:left="720" w:hanging="720"/>
        <w:jc w:val="both"/>
        <w:rPr>
          <w:sz w:val="28"/>
          <w:szCs w:val="28"/>
        </w:rPr>
      </w:pPr>
      <w:r>
        <w:rPr>
          <w:sz w:val="28"/>
          <w:szCs w:val="28"/>
        </w:rPr>
        <w:t xml:space="preserve">Singh, A., </w:t>
      </w:r>
      <w:r>
        <w:rPr>
          <w:sz w:val="28"/>
          <w:szCs w:val="28"/>
        </w:rPr>
        <w:t>Bhat</w:t>
      </w:r>
      <w:r>
        <w:rPr>
          <w:sz w:val="28"/>
          <w:szCs w:val="28"/>
        </w:rPr>
        <w:t xml:space="preserve">, M. A., &amp; </w:t>
      </w:r>
      <w:r>
        <w:rPr>
          <w:sz w:val="28"/>
          <w:szCs w:val="28"/>
        </w:rPr>
        <w:t>Kour</w:t>
      </w:r>
      <w:r>
        <w:rPr>
          <w:sz w:val="28"/>
          <w:szCs w:val="28"/>
        </w:rPr>
        <w:t xml:space="preserve">, H. (2023). Efficacy of PDA and MEA media in fungal isolation from </w:t>
      </w:r>
      <w:r>
        <w:rPr>
          <w:sz w:val="28"/>
          <w:szCs w:val="28"/>
        </w:rPr>
        <w:t>rhizospheric</w:t>
      </w:r>
      <w:r>
        <w:rPr>
          <w:sz w:val="28"/>
          <w:szCs w:val="28"/>
        </w:rPr>
        <w:t xml:space="preserve"> soils. </w:t>
      </w:r>
      <w:r>
        <w:rPr>
          <w:i/>
          <w:iCs/>
          <w:sz w:val="28"/>
          <w:szCs w:val="28"/>
        </w:rPr>
        <w:t>Plant Pathology Research Journal</w:t>
      </w:r>
      <w:r>
        <w:rPr>
          <w:sz w:val="28"/>
          <w:szCs w:val="28"/>
        </w:rPr>
        <w:t>, 8(1), 27–33.</w:t>
      </w:r>
    </w:p>
    <w:p>
      <w:pPr>
        <w:pStyle w:val="style94"/>
        <w:spacing w:lineRule="auto" w:line="480"/>
        <w:ind w:left="720" w:hanging="720"/>
        <w:jc w:val="both"/>
        <w:rPr>
          <w:sz w:val="28"/>
          <w:szCs w:val="28"/>
        </w:rPr>
      </w:pPr>
      <w:r>
        <w:rPr>
          <w:sz w:val="28"/>
          <w:szCs w:val="28"/>
        </w:rPr>
        <w:t xml:space="preserve">Sun, R., Zhang, X. X., </w:t>
      </w:r>
      <w:r>
        <w:rPr>
          <w:sz w:val="28"/>
          <w:szCs w:val="28"/>
        </w:rPr>
        <w:t>Guo</w:t>
      </w:r>
      <w:r>
        <w:rPr>
          <w:sz w:val="28"/>
          <w:szCs w:val="28"/>
        </w:rPr>
        <w:t xml:space="preserve">, X., Wang, D., &amp; Chu, H. (2022). Bacterial diversity in soils is affected more strongly by spatial factors than by land use or pollution. </w:t>
      </w:r>
      <w:r>
        <w:rPr>
          <w:rStyle w:val="style88"/>
          <w:sz w:val="28"/>
          <w:szCs w:val="28"/>
        </w:rPr>
        <w:t>Soil Biology and Biochemistry</w:t>
      </w:r>
      <w:r>
        <w:rPr>
          <w:sz w:val="28"/>
          <w:szCs w:val="28"/>
        </w:rPr>
        <w:t>, 130, 10–18.</w:t>
      </w:r>
    </w:p>
    <w:p>
      <w:pPr>
        <w:pStyle w:val="style94"/>
        <w:spacing w:lineRule="auto" w:line="480"/>
        <w:ind w:left="720" w:hanging="720"/>
        <w:jc w:val="both"/>
        <w:rPr>
          <w:sz w:val="28"/>
          <w:szCs w:val="28"/>
        </w:rPr>
      </w:pPr>
      <w:r>
        <w:rPr>
          <w:sz w:val="28"/>
          <w:szCs w:val="28"/>
        </w:rPr>
        <w:t>Tosi</w:t>
      </w:r>
      <w:r>
        <w:rPr>
          <w:sz w:val="28"/>
          <w:szCs w:val="28"/>
        </w:rPr>
        <w:t xml:space="preserve">, L., </w:t>
      </w:r>
      <w:r>
        <w:rPr>
          <w:sz w:val="28"/>
          <w:szCs w:val="28"/>
        </w:rPr>
        <w:t>Ghionna</w:t>
      </w:r>
      <w:r>
        <w:rPr>
          <w:sz w:val="28"/>
          <w:szCs w:val="28"/>
        </w:rPr>
        <w:t xml:space="preserve">, V., &amp; </w:t>
      </w:r>
      <w:r>
        <w:rPr>
          <w:sz w:val="28"/>
          <w:szCs w:val="28"/>
        </w:rPr>
        <w:t>Cristiani</w:t>
      </w:r>
      <w:r>
        <w:rPr>
          <w:sz w:val="28"/>
          <w:szCs w:val="28"/>
        </w:rPr>
        <w:t xml:space="preserve">, P. (2020). Evaluation of fungicide impact on vineyard soil fungal biodiversity. </w:t>
      </w:r>
      <w:r>
        <w:rPr>
          <w:i/>
          <w:iCs/>
          <w:sz w:val="28"/>
          <w:szCs w:val="28"/>
        </w:rPr>
        <w:t>Journal of Environmental Management</w:t>
      </w:r>
      <w:r>
        <w:rPr>
          <w:sz w:val="28"/>
          <w:szCs w:val="28"/>
        </w:rPr>
        <w:t>, 262, 110355. https://doi.org/10.1016/j.jenvman.2020.110355</w:t>
      </w:r>
    </w:p>
    <w:p>
      <w:pPr>
        <w:pStyle w:val="style94"/>
        <w:spacing w:lineRule="auto" w:line="480"/>
        <w:ind w:left="720" w:hanging="720"/>
        <w:jc w:val="both"/>
        <w:rPr>
          <w:sz w:val="28"/>
          <w:szCs w:val="28"/>
        </w:rPr>
      </w:pPr>
      <w:r>
        <w:rPr>
          <w:sz w:val="28"/>
          <w:szCs w:val="28"/>
        </w:rPr>
        <w:t>Tosi</w:t>
      </w:r>
      <w:r>
        <w:rPr>
          <w:sz w:val="28"/>
          <w:szCs w:val="28"/>
        </w:rPr>
        <w:t xml:space="preserve">, M., </w:t>
      </w:r>
      <w:r>
        <w:rPr>
          <w:sz w:val="28"/>
          <w:szCs w:val="28"/>
        </w:rPr>
        <w:t>Künzli-Gontarczyk</w:t>
      </w:r>
      <w:r>
        <w:rPr>
          <w:sz w:val="28"/>
          <w:szCs w:val="28"/>
        </w:rPr>
        <w:t xml:space="preserve">, M., </w:t>
      </w:r>
      <w:r>
        <w:rPr>
          <w:sz w:val="28"/>
          <w:szCs w:val="28"/>
        </w:rPr>
        <w:t>Ribi</w:t>
      </w:r>
      <w:r>
        <w:rPr>
          <w:sz w:val="28"/>
          <w:szCs w:val="28"/>
        </w:rPr>
        <w:t xml:space="preserve">, W., &amp; Dubois, D. (2020). </w:t>
      </w:r>
      <w:r>
        <w:rPr>
          <w:sz w:val="28"/>
          <w:szCs w:val="28"/>
        </w:rPr>
        <w:t>Arbuscular</w:t>
      </w:r>
      <w:r>
        <w:rPr>
          <w:sz w:val="28"/>
          <w:szCs w:val="28"/>
        </w:rPr>
        <w:t xml:space="preserve"> </w:t>
      </w:r>
      <w:r>
        <w:rPr>
          <w:sz w:val="28"/>
          <w:szCs w:val="28"/>
        </w:rPr>
        <w:t>mycorrhizal</w:t>
      </w:r>
      <w:r>
        <w:rPr>
          <w:sz w:val="28"/>
          <w:szCs w:val="28"/>
        </w:rPr>
        <w:t xml:space="preserve"> fungi response to fungicides in agricultural systems. </w:t>
      </w:r>
      <w:r>
        <w:rPr>
          <w:rStyle w:val="style88"/>
          <w:sz w:val="28"/>
          <w:szCs w:val="28"/>
        </w:rPr>
        <w:t>Applied Soil Ecology</w:t>
      </w:r>
      <w:r>
        <w:rPr>
          <w:sz w:val="28"/>
          <w:szCs w:val="28"/>
        </w:rPr>
        <w:t>, 150, 103470. https://doi.org/10.1016/j.apsoil.2020.103470</w:t>
      </w:r>
    </w:p>
    <w:p>
      <w:pPr>
        <w:pStyle w:val="style94"/>
        <w:spacing w:lineRule="auto" w:line="480"/>
        <w:ind w:left="720" w:hanging="720"/>
        <w:jc w:val="both"/>
        <w:rPr>
          <w:sz w:val="28"/>
          <w:szCs w:val="28"/>
        </w:rPr>
      </w:pPr>
      <w:r>
        <w:rPr>
          <w:sz w:val="28"/>
          <w:szCs w:val="28"/>
        </w:rPr>
        <w:t xml:space="preserve"> </w:t>
      </w:r>
      <w:r>
        <w:rPr>
          <w:sz w:val="28"/>
          <w:szCs w:val="28"/>
        </w:rPr>
        <w:t>Tosi</w:t>
      </w:r>
      <w:r>
        <w:rPr>
          <w:sz w:val="28"/>
          <w:szCs w:val="28"/>
        </w:rPr>
        <w:t xml:space="preserve">, M., </w:t>
      </w:r>
      <w:r>
        <w:rPr>
          <w:sz w:val="28"/>
          <w:szCs w:val="28"/>
        </w:rPr>
        <w:t>Künzli-Gontarczyk</w:t>
      </w:r>
      <w:r>
        <w:rPr>
          <w:sz w:val="28"/>
          <w:szCs w:val="28"/>
        </w:rPr>
        <w:t xml:space="preserve">, M., </w:t>
      </w:r>
      <w:r>
        <w:rPr>
          <w:sz w:val="28"/>
          <w:szCs w:val="28"/>
        </w:rPr>
        <w:t>Ribi</w:t>
      </w:r>
      <w:r>
        <w:rPr>
          <w:sz w:val="28"/>
          <w:szCs w:val="28"/>
        </w:rPr>
        <w:t xml:space="preserve">, W., &amp; Dubois, D. (2020). </w:t>
      </w:r>
      <w:r>
        <w:rPr>
          <w:sz w:val="28"/>
          <w:szCs w:val="28"/>
        </w:rPr>
        <w:t>Arbuscular</w:t>
      </w:r>
      <w:r>
        <w:rPr>
          <w:sz w:val="28"/>
          <w:szCs w:val="28"/>
        </w:rPr>
        <w:t xml:space="preserve"> </w:t>
      </w:r>
      <w:r>
        <w:rPr>
          <w:sz w:val="28"/>
          <w:szCs w:val="28"/>
        </w:rPr>
        <w:t>mycorrhizal</w:t>
      </w:r>
      <w:r>
        <w:rPr>
          <w:sz w:val="28"/>
          <w:szCs w:val="28"/>
        </w:rPr>
        <w:t xml:space="preserve"> fungi response to fungicides in agricultural systems. </w:t>
      </w:r>
      <w:r>
        <w:rPr>
          <w:rStyle w:val="style88"/>
          <w:sz w:val="28"/>
          <w:szCs w:val="28"/>
        </w:rPr>
        <w:t>Applied Soil Ecology</w:t>
      </w:r>
      <w:r>
        <w:rPr>
          <w:sz w:val="28"/>
          <w:szCs w:val="28"/>
        </w:rPr>
        <w:t>, 150, 103470. https://doi.org/10.1016/j.apsoil.2020.103470</w:t>
      </w:r>
    </w:p>
    <w:p>
      <w:pPr>
        <w:pStyle w:val="style94"/>
        <w:spacing w:lineRule="auto" w:line="480"/>
        <w:ind w:left="720" w:hanging="720"/>
        <w:jc w:val="both"/>
        <w:rPr>
          <w:sz w:val="28"/>
          <w:szCs w:val="28"/>
        </w:rPr>
      </w:pPr>
      <w:r>
        <w:rPr>
          <w:sz w:val="28"/>
          <w:szCs w:val="28"/>
        </w:rPr>
        <w:t>van</w:t>
      </w:r>
      <w:r>
        <w:rPr>
          <w:sz w:val="28"/>
          <w:szCs w:val="28"/>
        </w:rPr>
        <w:t xml:space="preserve"> der </w:t>
      </w:r>
      <w:r>
        <w:rPr>
          <w:sz w:val="28"/>
          <w:szCs w:val="28"/>
        </w:rPr>
        <w:t>Heijden</w:t>
      </w:r>
      <w:r>
        <w:rPr>
          <w:sz w:val="28"/>
          <w:szCs w:val="28"/>
        </w:rPr>
        <w:t xml:space="preserve">, M. G., Martin, F. M., </w:t>
      </w:r>
      <w:r>
        <w:rPr>
          <w:sz w:val="28"/>
          <w:szCs w:val="28"/>
        </w:rPr>
        <w:t>Selosse</w:t>
      </w:r>
      <w:r>
        <w:rPr>
          <w:sz w:val="28"/>
          <w:szCs w:val="28"/>
        </w:rPr>
        <w:t xml:space="preserve">, M. A., &amp; Sanders, I. R. (2021). </w:t>
      </w:r>
      <w:r>
        <w:rPr>
          <w:sz w:val="28"/>
          <w:szCs w:val="28"/>
        </w:rPr>
        <w:t>Mycorrhizal</w:t>
      </w:r>
      <w:r>
        <w:rPr>
          <w:sz w:val="28"/>
          <w:szCs w:val="28"/>
        </w:rPr>
        <w:t xml:space="preserve"> ecology and evolution: the past, the present, and the future. </w:t>
      </w:r>
      <w:r>
        <w:rPr>
          <w:rStyle w:val="style88"/>
          <w:sz w:val="28"/>
          <w:szCs w:val="28"/>
        </w:rPr>
        <w:t xml:space="preserve">New </w:t>
      </w:r>
      <w:r>
        <w:rPr>
          <w:rStyle w:val="style88"/>
          <w:sz w:val="28"/>
          <w:szCs w:val="28"/>
        </w:rPr>
        <w:t>Phytologist</w:t>
      </w:r>
      <w:r>
        <w:rPr>
          <w:sz w:val="28"/>
          <w:szCs w:val="28"/>
        </w:rPr>
        <w:t>, 220(4), 957–972.</w:t>
      </w:r>
    </w:p>
    <w:p>
      <w:pPr>
        <w:pStyle w:val="style94"/>
        <w:spacing w:lineRule="auto" w:line="480"/>
        <w:ind w:left="720" w:hanging="720"/>
        <w:jc w:val="both"/>
        <w:rPr>
          <w:sz w:val="28"/>
          <w:szCs w:val="28"/>
        </w:rPr>
      </w:pPr>
      <w:r>
        <w:rPr>
          <w:sz w:val="28"/>
          <w:szCs w:val="28"/>
        </w:rPr>
        <w:t xml:space="preserve">Wang, Q., </w:t>
      </w:r>
      <w:r>
        <w:rPr>
          <w:sz w:val="28"/>
          <w:szCs w:val="28"/>
        </w:rPr>
        <w:t>Xiong</w:t>
      </w:r>
      <w:r>
        <w:rPr>
          <w:sz w:val="28"/>
          <w:szCs w:val="28"/>
        </w:rPr>
        <w:t xml:space="preserve">, W., Hu, H., Li, Z., </w:t>
      </w:r>
      <w:r>
        <w:rPr>
          <w:sz w:val="28"/>
          <w:szCs w:val="28"/>
        </w:rPr>
        <w:t>Shen</w:t>
      </w:r>
      <w:r>
        <w:rPr>
          <w:sz w:val="28"/>
          <w:szCs w:val="28"/>
        </w:rPr>
        <w:t xml:space="preserve">, Z., &amp; Wei, Z. (2021). Soil fungal community structure and function respond to long-term pesticide application.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xml:space="preserve">, 771, 144767. </w:t>
      </w:r>
      <w:r>
        <w:rPr/>
        <w:fldChar w:fldCharType="begin"/>
      </w:r>
      <w:r>
        <w:instrText xml:space="preserve"> HYPERLINK "https://doi.org/10.1016/j.scitotenv.2020.144767" </w:instrText>
      </w:r>
      <w:r>
        <w:rPr/>
        <w:fldChar w:fldCharType="separate"/>
      </w:r>
      <w:r>
        <w:rPr>
          <w:rStyle w:val="style85"/>
          <w:color w:val="auto"/>
          <w:sz w:val="28"/>
          <w:szCs w:val="28"/>
        </w:rPr>
        <w:t>https://doi.org/10.1016/j.scitotenv.2020.144767</w:t>
      </w:r>
      <w:r>
        <w:rPr/>
        <w:fldChar w:fldCharType="end"/>
      </w:r>
    </w:p>
    <w:p>
      <w:pPr>
        <w:pStyle w:val="style94"/>
        <w:spacing w:lineRule="auto" w:line="480"/>
        <w:ind w:left="720" w:hanging="720"/>
        <w:jc w:val="both"/>
        <w:rPr>
          <w:sz w:val="28"/>
          <w:szCs w:val="28"/>
        </w:rPr>
      </w:pPr>
      <w:r>
        <w:rPr>
          <w:sz w:val="28"/>
          <w:szCs w:val="28"/>
        </w:rPr>
        <w:t xml:space="preserve">Wang, Q., </w:t>
      </w:r>
      <w:r>
        <w:rPr>
          <w:sz w:val="28"/>
          <w:szCs w:val="28"/>
        </w:rPr>
        <w:t>Xiong</w:t>
      </w:r>
      <w:r>
        <w:rPr>
          <w:sz w:val="28"/>
          <w:szCs w:val="28"/>
        </w:rPr>
        <w:t xml:space="preserve">, W., Hu, H., Li, Z., </w:t>
      </w:r>
      <w:r>
        <w:rPr>
          <w:sz w:val="28"/>
          <w:szCs w:val="28"/>
        </w:rPr>
        <w:t>Shen</w:t>
      </w:r>
      <w:r>
        <w:rPr>
          <w:sz w:val="28"/>
          <w:szCs w:val="28"/>
        </w:rPr>
        <w:t xml:space="preserve">, Z., &amp; Wei, Z. (2021). Soil fungal community structure and function respond to long-term pesticide application.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771, 144767. https://doi.org/10.1016/j.scitotenv.2020.144767</w:t>
      </w:r>
    </w:p>
    <w:p>
      <w:pPr>
        <w:pStyle w:val="style94"/>
        <w:spacing w:lineRule="auto" w:line="480"/>
        <w:ind w:left="720" w:hanging="720"/>
        <w:jc w:val="both"/>
        <w:rPr>
          <w:sz w:val="28"/>
          <w:szCs w:val="28"/>
        </w:rPr>
      </w:pPr>
      <w:r>
        <w:rPr>
          <w:sz w:val="28"/>
          <w:szCs w:val="28"/>
        </w:rPr>
        <w:t xml:space="preserve">Yamamoto, M., Sato, Y., &amp; </w:t>
      </w:r>
      <w:r>
        <w:rPr>
          <w:sz w:val="28"/>
          <w:szCs w:val="28"/>
        </w:rPr>
        <w:t>Koshikawa</w:t>
      </w:r>
      <w:r>
        <w:rPr>
          <w:sz w:val="28"/>
          <w:szCs w:val="28"/>
        </w:rPr>
        <w:t xml:space="preserve">, T. (2021). Resistance mechanisms of yeast to antifungal agents and fungicides. </w:t>
      </w:r>
      <w:r>
        <w:rPr>
          <w:rStyle w:val="style88"/>
          <w:sz w:val="28"/>
          <w:szCs w:val="28"/>
        </w:rPr>
        <w:t>Journal of Pesticide Science</w:t>
      </w:r>
      <w:r>
        <w:rPr>
          <w:sz w:val="28"/>
          <w:szCs w:val="28"/>
        </w:rPr>
        <w:t>, 46(1), 12–18.</w:t>
      </w:r>
    </w:p>
    <w:p>
      <w:pPr>
        <w:pStyle w:val="style94"/>
        <w:spacing w:lineRule="auto" w:line="480"/>
        <w:ind w:left="720" w:hanging="720"/>
        <w:jc w:val="both"/>
        <w:rPr>
          <w:sz w:val="28"/>
          <w:szCs w:val="28"/>
        </w:rPr>
      </w:pPr>
      <w:r>
        <w:rPr>
          <w:sz w:val="28"/>
          <w:szCs w:val="28"/>
        </w:rPr>
        <w:t xml:space="preserve">Yuan, X., Wang, H., &amp; Liang, Y. (2020). Comparative analysis of fungal community responses to fungicides in soil. </w:t>
      </w:r>
      <w:r>
        <w:rPr>
          <w:i/>
          <w:iCs/>
          <w:sz w:val="28"/>
          <w:szCs w:val="28"/>
        </w:rPr>
        <w:t>Soil Ecology Letters</w:t>
      </w:r>
      <w:r>
        <w:rPr>
          <w:sz w:val="28"/>
          <w:szCs w:val="28"/>
        </w:rPr>
        <w:t>, 2(2), 89–96. https://doi.org/10.1007/s42832-020-0043-3</w:t>
      </w:r>
    </w:p>
    <w:p>
      <w:pPr>
        <w:pStyle w:val="style94"/>
        <w:spacing w:lineRule="auto" w:line="480"/>
        <w:ind w:left="720" w:hanging="720"/>
        <w:jc w:val="both"/>
        <w:rPr>
          <w:sz w:val="28"/>
          <w:szCs w:val="28"/>
        </w:rPr>
      </w:pPr>
      <w:r>
        <w:rPr>
          <w:sz w:val="28"/>
          <w:szCs w:val="28"/>
        </w:rPr>
        <w:t xml:space="preserve">Zhang, J., Li, X., &amp; </w:t>
      </w:r>
      <w:r>
        <w:rPr>
          <w:sz w:val="28"/>
          <w:szCs w:val="28"/>
        </w:rPr>
        <w:t>Xu</w:t>
      </w:r>
      <w:r>
        <w:rPr>
          <w:sz w:val="28"/>
          <w:szCs w:val="28"/>
        </w:rPr>
        <w:t xml:space="preserve">, J. (2022). Reduction in fungal diversity due to repeated fungicide application in </w:t>
      </w:r>
      <w:r>
        <w:rPr>
          <w:sz w:val="28"/>
          <w:szCs w:val="28"/>
        </w:rPr>
        <w:t>agroecosystems</w:t>
      </w:r>
      <w:r>
        <w:rPr>
          <w:sz w:val="28"/>
          <w:szCs w:val="28"/>
        </w:rPr>
        <w:t xml:space="preserve">. </w:t>
      </w:r>
      <w:r>
        <w:rPr>
          <w:i/>
          <w:iCs/>
          <w:sz w:val="28"/>
          <w:szCs w:val="28"/>
        </w:rPr>
        <w:t>Agriculture, Ecosystems &amp; Environment</w:t>
      </w:r>
      <w:r>
        <w:rPr>
          <w:sz w:val="28"/>
          <w:szCs w:val="28"/>
        </w:rPr>
        <w:t>, 330, 107895. https://doi.org/10.1016/j.agee.2022.107895</w:t>
      </w:r>
    </w:p>
    <w:p>
      <w:pPr>
        <w:pStyle w:val="style94"/>
        <w:spacing w:lineRule="auto" w:line="480"/>
        <w:ind w:left="720" w:hanging="720"/>
        <w:jc w:val="both"/>
        <w:rPr>
          <w:sz w:val="28"/>
          <w:szCs w:val="28"/>
        </w:rPr>
      </w:pPr>
      <w:r>
        <w:rPr>
          <w:sz w:val="28"/>
          <w:szCs w:val="28"/>
        </w:rPr>
        <w:t xml:space="preserve">Zhang, Y., Zhou, M., &amp; Li, C. (2021). Impact of fungicides on soil </w:t>
      </w:r>
      <w:r>
        <w:rPr>
          <w:sz w:val="28"/>
          <w:szCs w:val="28"/>
        </w:rPr>
        <w:t>microbiome</w:t>
      </w:r>
      <w:r>
        <w:rPr>
          <w:sz w:val="28"/>
          <w:szCs w:val="28"/>
        </w:rPr>
        <w:t xml:space="preserve"> and nutrient cycling. </w:t>
      </w:r>
      <w:r>
        <w:rPr>
          <w:i/>
          <w:iCs/>
          <w:sz w:val="28"/>
          <w:szCs w:val="28"/>
        </w:rPr>
        <w:t>Environmental Pollution</w:t>
      </w:r>
      <w:r>
        <w:rPr>
          <w:sz w:val="28"/>
          <w:szCs w:val="28"/>
        </w:rPr>
        <w:t>, 278, 116824. https://doi.org/10.1016/j.envpol.2021.116824</w:t>
      </w:r>
    </w:p>
    <w:p>
      <w:pPr>
        <w:pStyle w:val="style94"/>
        <w:spacing w:lineRule="auto" w:line="480"/>
        <w:ind w:left="720" w:hanging="720"/>
        <w:jc w:val="both"/>
        <w:rPr>
          <w:sz w:val="28"/>
          <w:szCs w:val="28"/>
        </w:rPr>
      </w:pPr>
      <w:r>
        <w:rPr>
          <w:sz w:val="28"/>
          <w:szCs w:val="28"/>
        </w:rPr>
        <w:t xml:space="preserve">Zhou, J., </w:t>
      </w:r>
      <w:r>
        <w:rPr>
          <w:sz w:val="28"/>
          <w:szCs w:val="28"/>
        </w:rPr>
        <w:t>Guo</w:t>
      </w:r>
      <w:r>
        <w:rPr>
          <w:sz w:val="28"/>
          <w:szCs w:val="28"/>
        </w:rPr>
        <w:t xml:space="preserve">, L., &amp; Wang, Y. (2021). Non-target effects of fungicides on soil fungal community: A meta-analysis. </w:t>
      </w:r>
      <w:r>
        <w:rPr>
          <w:rStyle w:val="style88"/>
          <w:sz w:val="28"/>
          <w:szCs w:val="28"/>
        </w:rPr>
        <w:t>Applied Soil Ecology</w:t>
      </w:r>
      <w:r>
        <w:rPr>
          <w:sz w:val="28"/>
          <w:szCs w:val="28"/>
        </w:rPr>
        <w:t>, 163, 103913.</w:t>
      </w:r>
    </w:p>
    <w:p>
      <w:pPr>
        <w:pStyle w:val="style94"/>
        <w:spacing w:lineRule="auto" w:line="480"/>
        <w:ind w:left="720" w:hanging="720"/>
        <w:jc w:val="both"/>
        <w:rPr>
          <w:sz w:val="28"/>
          <w:szCs w:val="28"/>
        </w:rPr>
      </w:pPr>
    </w:p>
    <w:p>
      <w:pPr>
        <w:pStyle w:val="style0"/>
        <w:spacing w:lineRule="auto" w:line="480"/>
        <w:jc w:val="both"/>
        <w:rPr>
          <w:rFonts w:ascii="Times New Roman" w:cs="Times New Roman" w:hAnsi="Times New Roman"/>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EC48B8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8C1EDB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0000002"/>
    <w:multiLevelType w:val="multilevel"/>
    <w:tmpl w:val="44D27F5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3C66854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44D27F5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3"/>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character" w:customStyle="1" w:styleId="style4097">
    <w:name w:val="Heading 2 Char_80cefca0-7482-48d3-98c6-b7bd836e2813"/>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755aba02-0178-49ae-a2ff-d5fc2b1777df"/>
    <w:basedOn w:val="style65"/>
    <w:next w:val="style4098"/>
    <w:link w:val="style3"/>
    <w:uiPriority w:val="9"/>
    <w:rPr>
      <w:rFonts w:ascii="Times New Roman" w:cs="Times New Roman" w:eastAsia="Times New Roman" w:hAnsi="Times New Roman"/>
      <w:b/>
      <w:bCs/>
      <w:sz w:val="27"/>
      <w:szCs w:val="27"/>
    </w:rPr>
  </w:style>
  <w:style w:type="character" w:customStyle="1" w:styleId="style4099">
    <w:name w:val="Heading 4 Char_fe8c4388-fa9a-4787-9134-6eb163d17e85"/>
    <w:basedOn w:val="style65"/>
    <w:next w:val="style4099"/>
    <w:link w:val="style4"/>
    <w:uiPriority w:val="9"/>
    <w:rPr>
      <w:rFonts w:ascii="Calibri Light" w:cs="宋体" w:eastAsia="宋体" w:hAnsi="Calibri Light"/>
      <w:i/>
      <w:iCs/>
      <w:color w:val="2e74b5"/>
    </w:rPr>
  </w:style>
  <w:style w:type="table" w:customStyle="1" w:styleId="style4100">
    <w:name w:val="List Table 6 Colorful"/>
    <w:basedOn w:val="style105"/>
    <w:next w:val="style4100"/>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39bb91d-39e0-4050-97cc-2fa996e5009c"/>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be44ef8b-473f-4cfe-8a64-014d413918ff"/>
    <w:basedOn w:val="style65"/>
    <w:next w:val="style4102"/>
    <w:link w:val="style32"/>
    <w:uiPriority w:val="99"/>
  </w:style>
  <w:style w:type="character" w:customStyle="1" w:styleId="style4103">
    <w:name w:val="Heading 1 Char_1a547655-e7de-4fac-80e4-ef1c9442cd34"/>
    <w:basedOn w:val="style65"/>
    <w:next w:val="style4103"/>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Words>5209</Words>
  <Pages>42</Pages>
  <Characters>31627</Characters>
  <Application>WPS Office</Application>
  <DocSecurity>0</DocSecurity>
  <Paragraphs>329</Paragraphs>
  <ScaleCrop>false</ScaleCrop>
  <LinksUpToDate>false</LinksUpToDate>
  <CharactersWithSpaces>37422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2025-07-05T11:21:00Z</dcterms:created>
  <dc:creator>Microsoft account</dc:creator>
  <lastModifiedBy>Infinix X6817</lastModifiedBy>
  <dcterms:modified xsi:type="dcterms:W3CDTF">2025-07-10T19:56:34Z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18912a6b7e7047dfb789e7ff84865e52</vt:lpwstr>
  </property>
</Properties>
</file>