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1162" w14:textId="66DA02C5"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t>CHAPTER ONE</w:t>
      </w:r>
    </w:p>
    <w:p w14:paraId="49E9F7D9" w14:textId="357A1613"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E046FFF" w14:textId="04F03FC6"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(Heitman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(Gao et al., 2022).</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Structurally, fungi exhibit great variation, but most filamentous species consist of hyphae, which form an interconnected network known as mycelium. The hyphal cell walls are primarily composed of chitin, a strong polysaccharide also found in arthropod exoskeletons (Gauthier</w:t>
      </w:r>
      <w:r w:rsidR="009C559B">
        <w:rPr>
          <w:rFonts w:ascii="Times New Roman" w:hAnsi="Times New Roman" w:cs="Times New Roman"/>
          <w:sz w:val="28"/>
          <w:szCs w:val="28"/>
        </w:rPr>
        <w:t xml:space="preserve"> </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 xml:space="preserve">2019). Yeasts, in contrast, exist as unicellular organisms and reproduce through budding or fission, contributing significantly to fermentation industries and </w:t>
      </w:r>
      <w:r w:rsidRPr="00471BB7">
        <w:rPr>
          <w:rFonts w:ascii="Times New Roman" w:hAnsi="Times New Roman" w:cs="Times New Roman"/>
          <w:sz w:val="28"/>
          <w:szCs w:val="28"/>
        </w:rPr>
        <w:lastRenderedPageBreak/>
        <w:t>biotechnology. Fungi reproduce both sexually and asexually through spores, which can be airborne, waterborne, or spread via animals, allowing for rapid colonization and survival in diverse environments (Golan &amp; Pringle, 2017).</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classification of fungi is based on morphological, reproductive, and molecular characteristics. Major fungal phyla include Ascomycota (sac fungi), </w:t>
      </w:r>
      <w:r w:rsidRPr="00AA12BF">
        <w:rPr>
          <w:rFonts w:ascii="Times New Roman" w:hAnsi="Times New Roman" w:cs="Times New Roman"/>
          <w:iCs/>
          <w:sz w:val="28"/>
          <w:szCs w:val="28"/>
        </w:rPr>
        <w:t>Basidiomycota</w:t>
      </w:r>
      <w:r w:rsidRPr="00471BB7">
        <w:rPr>
          <w:rFonts w:ascii="Times New Roman" w:hAnsi="Times New Roman" w:cs="Times New Roman"/>
          <w:sz w:val="28"/>
          <w:szCs w:val="28"/>
        </w:rPr>
        <w:t xml:space="preserve"> (club fungi), </w:t>
      </w:r>
      <w:r w:rsidRPr="00AA12BF">
        <w:rPr>
          <w:rFonts w:ascii="Times New Roman" w:hAnsi="Times New Roman" w:cs="Times New Roman"/>
          <w:iCs/>
          <w:sz w:val="28"/>
          <w:szCs w:val="28"/>
        </w:rPr>
        <w:t>Zygomycota</w:t>
      </w:r>
      <w:r w:rsidRP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(bread molds), </w:t>
      </w:r>
      <w:r w:rsidRPr="00AA12BF">
        <w:rPr>
          <w:rFonts w:ascii="Times New Roman" w:hAnsi="Times New Roman" w:cs="Times New Roman"/>
          <w:iCs/>
          <w:sz w:val="28"/>
          <w:szCs w:val="28"/>
        </w:rPr>
        <w:t>Chytridiomycota</w:t>
      </w:r>
      <w:r w:rsidRPr="00471BB7">
        <w:rPr>
          <w:rFonts w:ascii="Times New Roman" w:hAnsi="Times New Roman" w:cs="Times New Roman"/>
          <w:sz w:val="28"/>
          <w:szCs w:val="28"/>
        </w:rPr>
        <w:t xml:space="preserve"> (aquatic fungi), and </w:t>
      </w:r>
      <w:r w:rsidRPr="00AA12BF">
        <w:rPr>
          <w:rFonts w:ascii="Times New Roman" w:hAnsi="Times New Roman" w:cs="Times New Roman"/>
          <w:iCs/>
          <w:sz w:val="28"/>
          <w:szCs w:val="28"/>
        </w:rPr>
        <w:t>Glomeromycota</w:t>
      </w:r>
      <w:r w:rsidRPr="00471BB7">
        <w:rPr>
          <w:rFonts w:ascii="Times New Roman" w:hAnsi="Times New Roman" w:cs="Times New Roman"/>
          <w:sz w:val="28"/>
          <w:szCs w:val="28"/>
        </w:rPr>
        <w:t xml:space="preserve"> (</w:t>
      </w:r>
      <w:r w:rsidRPr="00AA12BF">
        <w:rPr>
          <w:rFonts w:ascii="Times New Roman" w:hAnsi="Times New Roman" w:cs="Times New Roman"/>
          <w:iCs/>
          <w:sz w:val="28"/>
          <w:szCs w:val="28"/>
        </w:rPr>
        <w:t>arbuscular</w:t>
      </w:r>
      <w:r w:rsidRPr="00AA12BF">
        <w:rPr>
          <w:rFonts w:ascii="Times New Roman" w:hAnsi="Times New Roman" w:cs="Times New Roman"/>
          <w:sz w:val="28"/>
          <w:szCs w:val="28"/>
        </w:rPr>
        <w:t xml:space="preserve"> </w:t>
      </w:r>
      <w:r w:rsidRPr="00AA12BF">
        <w:rPr>
          <w:rFonts w:ascii="Times New Roman" w:hAnsi="Times New Roman" w:cs="Times New Roman"/>
          <w:iCs/>
          <w:sz w:val="28"/>
          <w:szCs w:val="28"/>
        </w:rPr>
        <w:t>mycorrhizal</w:t>
      </w:r>
      <w:r w:rsidRPr="00471BB7">
        <w:rPr>
          <w:rFonts w:ascii="Times New Roman" w:hAnsi="Times New Roman" w:cs="Times New Roman"/>
          <w:sz w:val="28"/>
          <w:szCs w:val="28"/>
        </w:rPr>
        <w:t xml:space="preserve"> fungi). Among these, Ascomycota is the largest phylum, encompassing many industrially and medically significant genera such as </w:t>
      </w:r>
      <w:r w:rsidRPr="007669DB">
        <w:rPr>
          <w:rFonts w:ascii="Times New Roman" w:hAnsi="Times New Roman" w:cs="Times New Roman"/>
          <w:i/>
          <w:iCs/>
          <w:sz w:val="28"/>
          <w:szCs w:val="28"/>
        </w:rPr>
        <w:t>Penicillium</w:t>
      </w:r>
      <w:r w:rsidRPr="00471BB7">
        <w:rPr>
          <w:rFonts w:ascii="Times New Roman" w:hAnsi="Times New Roman" w:cs="Times New Roman"/>
          <w:sz w:val="28"/>
          <w:szCs w:val="28"/>
        </w:rPr>
        <w:t xml:space="preserve">, </w:t>
      </w:r>
      <w:r w:rsidRPr="007669DB">
        <w:rPr>
          <w:rFonts w:ascii="Times New Roman" w:hAnsi="Times New Roman" w:cs="Times New Roman"/>
          <w:i/>
          <w:iCs/>
          <w:sz w:val="28"/>
          <w:szCs w:val="28"/>
        </w:rPr>
        <w:t>Aspergillus</w:t>
      </w:r>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(Alexopoulos</w:t>
      </w:r>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2020). The advent of molecular techniques such as whole-genome sequencing and phylogenetic analysis has led to more accurate fungal classification and identification, enhancing our understanding of their evolutionary relationships and functional diversity (Sharma &amp; Ghosh, 2021).</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Fungi have significant economic and medical importance. They serve as natural decomposers, breaking down complex organic compounds into simpler forms that enrich the soil. Many fungi form mutualistic relationships with plants, enhancing nutrient uptake through </w:t>
      </w:r>
      <w:r w:rsidRPr="00AA12BF">
        <w:rPr>
          <w:rFonts w:ascii="Times New Roman" w:hAnsi="Times New Roman" w:cs="Times New Roman"/>
          <w:iCs/>
          <w:sz w:val="28"/>
          <w:szCs w:val="28"/>
        </w:rPr>
        <w:t>mycorrhizal</w:t>
      </w:r>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Saccharomyces cerevisiae</w:t>
      </w:r>
      <w:r w:rsidRPr="00471BB7">
        <w:rPr>
          <w:rFonts w:ascii="Times New Roman" w:hAnsi="Times New Roman" w:cs="Times New Roman"/>
          <w:sz w:val="28"/>
          <w:szCs w:val="28"/>
        </w:rPr>
        <w:t xml:space="preserve"> are indispensable </w:t>
      </w:r>
      <w:r w:rsidRPr="00471BB7">
        <w:rPr>
          <w:rFonts w:ascii="Times New Roman" w:hAnsi="Times New Roman" w:cs="Times New Roman"/>
          <w:sz w:val="28"/>
          <w:szCs w:val="28"/>
        </w:rPr>
        <w:lastRenderedPageBreak/>
        <w:t xml:space="preserve">for alcohol fermentation, bread making, and bioethanol production. Additionally, fungi produce bioactive compounds, including antibiotics such as penicillin, immunosuppressants like cyclosporine, and cholesterol-lowering drugs such as lovastatin (Hibbett et al., 2018). However, some fungi also pose serious threats to human health, agriculture, and food safety. Pathogenic species like </w:t>
      </w:r>
      <w:r w:rsidRPr="00E31755">
        <w:rPr>
          <w:rFonts w:ascii="Times New Roman" w:hAnsi="Times New Roman" w:cs="Times New Roman"/>
          <w:i/>
          <w:iCs/>
          <w:sz w:val="28"/>
          <w:szCs w:val="28"/>
        </w:rPr>
        <w:t>Candida albicans</w:t>
      </w:r>
      <w:r w:rsidRPr="00471BB7">
        <w:rPr>
          <w:rFonts w:ascii="Times New Roman" w:hAnsi="Times New Roman" w:cs="Times New Roman"/>
          <w:sz w:val="28"/>
          <w:szCs w:val="28"/>
        </w:rPr>
        <w:t xml:space="preserve"> cause opportunistic infections, while plant pathogens such as </w:t>
      </w:r>
      <w:r w:rsidRPr="00E31755">
        <w:rPr>
          <w:rFonts w:ascii="Times New Roman" w:hAnsi="Times New Roman" w:cs="Times New Roman"/>
          <w:i/>
          <w:iCs/>
          <w:sz w:val="28"/>
          <w:szCs w:val="28"/>
        </w:rPr>
        <w:t>Fusarium</w:t>
      </w:r>
      <w:r w:rsidRPr="00471BB7">
        <w:rPr>
          <w:rFonts w:ascii="Times New Roman" w:hAnsi="Times New Roman" w:cs="Times New Roman"/>
          <w:sz w:val="28"/>
          <w:szCs w:val="28"/>
        </w:rPr>
        <w:t xml:space="preserve"> and </w:t>
      </w:r>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 xml:space="preserve">s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species produce mycotoxins </w:t>
      </w:r>
      <w:r w:rsidRPr="00471BB7">
        <w:rPr>
          <w:rFonts w:ascii="Times New Roman" w:hAnsi="Times New Roman" w:cs="Times New Roman"/>
          <w:sz w:val="28"/>
          <w:szCs w:val="28"/>
        </w:rPr>
        <w:t>secondary metabolites that contaminate food and feed, leading to severe health consequences (Frisvad, 2018).</w:t>
      </w:r>
      <w:r w:rsidR="004F7464" w:rsidRPr="00471BB7">
        <w:rPr>
          <w:rFonts w:ascii="Times New Roman" w:hAnsi="Times New Roman" w:cs="Times New Roman"/>
          <w:sz w:val="28"/>
          <w:szCs w:val="28"/>
        </w:rPr>
        <w:t xml:space="preserve"> </w:t>
      </w:r>
      <w:r w:rsidRPr="00471BB7">
        <w:rPr>
          <w:rFonts w:ascii="Times New Roman" w:hAnsi="Times New Roman" w:cs="Times New Roman"/>
          <w:sz w:val="28"/>
          <w:szCs w:val="28"/>
        </w:rPr>
        <w:t>The study of fungi, known as mycology, continues to expand due to their broad impact on medicine, biotechnology, and agriculture. Emerging research focuses on harnessing fungi for bioremediation, biofuel production, and novel drug discovery. However, challenges such as antifungal resistance, fungal infections in immunocompromised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14:paraId="60F55333" w14:textId="01C130DA"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genus </w:t>
      </w:r>
      <w:r w:rsidRPr="00AA12BF">
        <w:rPr>
          <w:rFonts w:ascii="Times New Roman" w:hAnsi="Times New Roman" w:cs="Times New Roman"/>
          <w:i/>
          <w:sz w:val="28"/>
          <w:szCs w:val="28"/>
        </w:rPr>
        <w:t>Penicillium</w:t>
      </w:r>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r>
        <w:rPr>
          <w:rFonts w:ascii="Times New Roman" w:hAnsi="Times New Roman" w:cs="Times New Roman"/>
          <w:sz w:val="28"/>
          <w:szCs w:val="28"/>
        </w:rPr>
        <w:t xml:space="preserve">, characterized by their ability to produce conidia in chains from brush-like conidiophores.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mycotoxins (Houbraken et al., 2020). Members of the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species can 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(Visagie et al., 2017). This adaptability is partly attributed to their ability to produce spores that can withstand harsh conditions and remain dormant until favorable growth conditions arise. The morphological characteristics of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species include septate hyphae, conidiophores that branch in a </w:t>
      </w:r>
      <w:r>
        <w:rPr>
          <w:rFonts w:ascii="Times New Roman" w:hAnsi="Times New Roman" w:cs="Times New Roman"/>
          <w:sz w:val="28"/>
          <w:szCs w:val="28"/>
        </w:rPr>
        <w:lastRenderedPageBreak/>
        <w:t xml:space="preserve">distinctive </w:t>
      </w:r>
      <w:r w:rsidRPr="007D0BBF">
        <w:rPr>
          <w:rFonts w:ascii="Times New Roman" w:hAnsi="Times New Roman" w:cs="Times New Roman"/>
          <w:i/>
          <w:iCs/>
          <w:sz w:val="28"/>
          <w:szCs w:val="28"/>
        </w:rPr>
        <w:t>penicillus</w:t>
      </w:r>
      <w:r>
        <w:rPr>
          <w:rFonts w:ascii="Times New Roman" w:hAnsi="Times New Roman" w:cs="Times New Roman"/>
          <w:sz w:val="28"/>
          <w:szCs w:val="28"/>
        </w:rPr>
        <w:t>-like structure, and pigmented conidia. Colony appearance varies depending on the species and growth medium, but many species exhibit blue-green, yellow, or white pigmentation. While traditional taxonomy relied on morphological features, advancements in molecular phylogenetics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ITS rDNA</w:t>
      </w:r>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(Samson et al., 2019). Many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have beneficial applications in biotechnology, agriculture, and medicine. The most well-known example is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786B70">
        <w:rPr>
          <w:rFonts w:ascii="Times New Roman" w:hAnsi="Times New Roman" w:cs="Times New Roman"/>
          <w:i/>
          <w:iCs/>
          <w:sz w:val="28"/>
          <w:szCs w:val="28"/>
        </w:rPr>
        <w:t>rubens</w:t>
      </w:r>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r w:rsidRPr="00786B70">
        <w:rPr>
          <w:rFonts w:ascii="Times New Roman" w:hAnsi="Times New Roman" w:cs="Times New Roman"/>
          <w:i/>
          <w:iCs/>
          <w:sz w:val="28"/>
          <w:szCs w:val="28"/>
        </w:rPr>
        <w:t>chrysogenum</w:t>
      </w:r>
      <w:r>
        <w:rPr>
          <w:rFonts w:ascii="Times New Roman" w:hAnsi="Times New Roman" w:cs="Times New Roman"/>
          <w:sz w:val="28"/>
          <w:szCs w:val="28"/>
        </w:rPr>
        <w:t xml:space="preserve">), which produces penicillin, the first widely used antibiotic discovered by Alexander Fleming in 1928. Additionally,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play an essential role in food production, contributing to the ripening and flavor development of blue-veined cheeses such as Roquefort and Gorgonzola. Industrial enzymes derived from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strains, including pectinases, cellulases, and lipases, are widely used in food processing, textile production, and biofuel generation (De Hoog et al., 2021). Despite their numerous benefits, some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pose </w:t>
      </w:r>
      <w:r>
        <w:rPr>
          <w:rFonts w:ascii="Times New Roman" w:hAnsi="Times New Roman" w:cs="Times New Roman"/>
          <w:sz w:val="28"/>
          <w:szCs w:val="28"/>
        </w:rPr>
        <w:lastRenderedPageBreak/>
        <w:t xml:space="preserve">serious risks to food safety and human health due to their ability to produce mycotoxins. Among these, citrinin, </w:t>
      </w:r>
      <w:r w:rsidRPr="00753DC2">
        <w:rPr>
          <w:rFonts w:ascii="Times New Roman" w:hAnsi="Times New Roman" w:cs="Times New Roman"/>
          <w:iCs/>
          <w:sz w:val="28"/>
          <w:szCs w:val="28"/>
        </w:rPr>
        <w:t>patulin</w:t>
      </w:r>
      <w:r>
        <w:rPr>
          <w:rFonts w:ascii="Times New Roman" w:hAnsi="Times New Roman" w:cs="Times New Roman"/>
          <w:sz w:val="28"/>
          <w:szCs w:val="28"/>
        </w:rPr>
        <w:t xml:space="preserve">, and </w:t>
      </w:r>
      <w:r w:rsidRPr="00753DC2">
        <w:rPr>
          <w:rFonts w:ascii="Times New Roman" w:hAnsi="Times New Roman" w:cs="Times New Roman"/>
          <w:iCs/>
          <w:sz w:val="28"/>
          <w:szCs w:val="28"/>
        </w:rPr>
        <w:t>ochratoxin</w:t>
      </w:r>
      <w:r>
        <w:rPr>
          <w:rFonts w:ascii="Times New Roman" w:hAnsi="Times New Roman" w:cs="Times New Roman"/>
          <w:sz w:val="28"/>
          <w:szCs w:val="28"/>
        </w:rPr>
        <w:t xml:space="preserve"> A are particularly concerning, as they are associated with nephrotoxicity, hepatotoxicity, and carcinogenicity in humans and animals.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786B70">
        <w:rPr>
          <w:rFonts w:ascii="Times New Roman" w:hAnsi="Times New Roman" w:cs="Times New Roman"/>
          <w:i/>
          <w:iCs/>
          <w:sz w:val="28"/>
          <w:szCs w:val="28"/>
        </w:rPr>
        <w:t>citrinum</w:t>
      </w:r>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r w:rsidRPr="00786B70">
        <w:rPr>
          <w:rFonts w:ascii="Times New Roman" w:hAnsi="Times New Roman" w:cs="Times New Roman"/>
          <w:i/>
          <w:iCs/>
          <w:sz w:val="28"/>
          <w:szCs w:val="28"/>
        </w:rPr>
        <w:t>expansum</w:t>
      </w:r>
      <w:r>
        <w:rPr>
          <w:rFonts w:ascii="Times New Roman" w:hAnsi="Times New Roman" w:cs="Times New Roman"/>
          <w:sz w:val="28"/>
          <w:szCs w:val="28"/>
        </w:rPr>
        <w:t xml:space="preserve">, and </w:t>
      </w:r>
      <w:r w:rsidRPr="005671B3">
        <w:rPr>
          <w:rFonts w:ascii="Times New Roman" w:hAnsi="Times New Roman" w:cs="Times New Roman"/>
          <w:i/>
          <w:iCs/>
          <w:sz w:val="28"/>
          <w:szCs w:val="28"/>
        </w:rPr>
        <w:t>P. verrucosum</w:t>
      </w:r>
      <w:r>
        <w:rPr>
          <w:rFonts w:ascii="Times New Roman" w:hAnsi="Times New Roman" w:cs="Times New Roman"/>
          <w:sz w:val="28"/>
          <w:szCs w:val="28"/>
        </w:rPr>
        <w:t xml:space="preserve"> are notable producers of these mycotoxins, which frequently contaminate cereals, fruits, nuts, and dairy products, leading to regulatory concerns and economic losses in the food industry (Frisvad &amp; Samson, 2018). The presence of mycotoxigenic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has expanded to explore their biotechnological potential beyond antibiotics and enzymes. Some strains exhibit biocontrol properties, inhibiting plant pathogens and reducing postharvest spoilage. Others are being investigated for their ability to degrade environmental pollutants, including heavy metals and hydrocarbons, offering promising applications in bioremediation (Gonçalves et al., 2020). Understanding the genetic and metabolic pathways responsible for these capabilities can further enhance the exploitation of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for sustainable industrial and environmental applications. Despite </w:t>
      </w:r>
      <w:r>
        <w:rPr>
          <w:rFonts w:ascii="Times New Roman" w:hAnsi="Times New Roman" w:cs="Times New Roman"/>
          <w:sz w:val="28"/>
          <w:szCs w:val="28"/>
        </w:rPr>
        <w:lastRenderedPageBreak/>
        <w:t xml:space="preserve">their economic and ecological significance,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remain underexplored in certain areas, particularly concerning their potential role in human health beyond mycotoxin production. Some studies suggest that certain strains may produce bioactive compounds with antifungal, anticancer, and immunomodulatory properties, opening new avenues for pharmaceutical applications (Zhang et al., 2022). However, the dual nature of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mycotoxin contamination while maximizing their biotechnological potential. With growing advancements in genomic research, synthetic biology, and metabolomics, the future of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(Cabañes et al., 2021).</w:t>
      </w:r>
    </w:p>
    <w:p w14:paraId="415B6E04" w14:textId="54D7B518" w:rsidR="004F6A58" w:rsidRDefault="004F6A58" w:rsidP="00471BB7">
      <w:pPr>
        <w:spacing w:line="480" w:lineRule="auto"/>
        <w:jc w:val="both"/>
        <w:rPr>
          <w:rFonts w:ascii="Times New Roman" w:hAnsi="Times New Roman" w:cs="Times New Roman"/>
          <w:sz w:val="28"/>
          <w:szCs w:val="28"/>
        </w:rPr>
      </w:pPr>
      <w:r w:rsidRPr="00AA12BF">
        <w:rPr>
          <w:rFonts w:ascii="Times New Roman" w:hAnsi="Times New Roman" w:cs="Times New Roman"/>
          <w:iCs/>
          <w:sz w:val="28"/>
          <w:szCs w:val="28"/>
        </w:rPr>
        <w:lastRenderedPageBreak/>
        <w:t>Citrinin</w:t>
      </w:r>
      <w:r>
        <w:rPr>
          <w:rFonts w:ascii="Times New Roman" w:hAnsi="Times New Roman" w:cs="Times New Roman"/>
          <w:sz w:val="28"/>
          <w:szCs w:val="28"/>
        </w:rPr>
        <w:t xml:space="preserve"> is a mycotoxin produced by several fungal species, primarily from the genera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5671B3">
        <w:rPr>
          <w:rFonts w:ascii="Times New Roman" w:hAnsi="Times New Roman" w:cs="Times New Roman"/>
          <w:i/>
          <w:iCs/>
          <w:sz w:val="28"/>
          <w:szCs w:val="28"/>
        </w:rPr>
        <w:t>Aspergillus</w:t>
      </w:r>
      <w:r>
        <w:rPr>
          <w:rFonts w:ascii="Times New Roman" w:hAnsi="Times New Roman" w:cs="Times New Roman"/>
          <w:sz w:val="28"/>
          <w:szCs w:val="28"/>
        </w:rPr>
        <w:t xml:space="preserve">, and Monascus. It was first discovered in </w:t>
      </w:r>
      <w:r w:rsidRPr="00867A2B">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5671B3">
        <w:rPr>
          <w:rFonts w:ascii="Times New Roman" w:hAnsi="Times New Roman" w:cs="Times New Roman"/>
          <w:i/>
          <w:iCs/>
          <w:sz w:val="28"/>
          <w:szCs w:val="28"/>
        </w:rPr>
        <w:t>citrinum</w:t>
      </w:r>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contamination is particularly prevalent in stored grains, nuts, fruits, and dairy products, as well as in fermented food items such as red yeast rice, which is commonly used in traditional Asian medicine and food coloring (Liu et al., 2020). Due to its nephrotoxic, hepatotoxic, and genotoxic properties, </w:t>
      </w:r>
      <w:r w:rsidRPr="00AA12BF">
        <w:rPr>
          <w:rFonts w:ascii="Times New Roman" w:hAnsi="Times New Roman" w:cs="Times New Roman"/>
          <w:iCs/>
          <w:sz w:val="28"/>
          <w:szCs w:val="28"/>
        </w:rPr>
        <w:t>citrinin</w:t>
      </w:r>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is regarded as a major food safety hazard, necessitating strict regulatory monitoring and control measures worldwide. Structurally, </w:t>
      </w:r>
      <w:r w:rsidRPr="00AA12BF">
        <w:rPr>
          <w:rFonts w:ascii="Times New Roman" w:hAnsi="Times New Roman" w:cs="Times New Roman"/>
          <w:iCs/>
          <w:sz w:val="28"/>
          <w:szCs w:val="28"/>
        </w:rPr>
        <w:t>citrinin</w:t>
      </w:r>
      <w:r w:rsidRPr="00AA12BF">
        <w:rPr>
          <w:rFonts w:ascii="Times New Roman" w:hAnsi="Times New Roman" w:cs="Times New Roman"/>
          <w:sz w:val="28"/>
          <w:szCs w:val="28"/>
        </w:rPr>
        <w:t xml:space="preserve"> </w:t>
      </w:r>
      <w:r>
        <w:rPr>
          <w:rFonts w:ascii="Times New Roman" w:hAnsi="Times New Roman" w:cs="Times New Roman"/>
          <w:sz w:val="28"/>
          <w:szCs w:val="28"/>
        </w:rPr>
        <w:t xml:space="preserve">belongs to the polyketide class of secondary metabolites, characterized by a benzophenone-like structure. It is a yellow crystalline compound with relatively high stability under normal storage conditions but can degrade into other toxic metabolites when exposed to heat and light. Recent studies have identified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derivatives, such as dihydrocitrinone, which exhibit even greater toxicity than the parent compound (Zhou et al., 2021). The biosynthesis of </w:t>
      </w:r>
      <w:r w:rsidRPr="00AA12BF">
        <w:rPr>
          <w:rFonts w:ascii="Times New Roman" w:hAnsi="Times New Roman" w:cs="Times New Roman"/>
          <w:iCs/>
          <w:sz w:val="28"/>
          <w:szCs w:val="28"/>
        </w:rPr>
        <w:t>citrinin</w:t>
      </w:r>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involves a complex enzymatic pathway governed by polyketide synthase genes, with regulatory mechanisms that vary between fungal species. </w:t>
      </w:r>
      <w:r>
        <w:rPr>
          <w:rFonts w:ascii="Times New Roman" w:hAnsi="Times New Roman" w:cs="Times New Roman"/>
          <w:sz w:val="28"/>
          <w:szCs w:val="28"/>
        </w:rPr>
        <w:lastRenderedPageBreak/>
        <w:t xml:space="preserve">Advances in genomic and transcriptomic analysis have provided deeper insights into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biosynthetic gene clusters, offering potential strategies for targeted mycotoxin mitigation (He &amp; Cox, 2019). The toxicological effects of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have been extensively studied in both in vitro and in vivo models. The kidney is the primary target organ, with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r>
        <w:rPr>
          <w:rFonts w:ascii="Times New Roman" w:hAnsi="Times New Roman" w:cs="Times New Roman"/>
          <w:sz w:val="28"/>
          <w:szCs w:val="28"/>
        </w:rPr>
        <w:t xml:space="preserve"> has been linked to renal fibrosis and progressive kidney damage, particularly in animals consuming contaminated feed (Geng et al., 2021). In addition to nephrotoxicity,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has been shown to exert hepatotoxic effects by inducing liver enzyme dysregulation, lipid peroxidation, and inflammation. Emerging evidence also suggests a potential role in carcinogenesis, as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has been found to cause DNA damage, chromosomal aberrations, and cell cycle arrest in human cell lines (Shi et al., 2022). Human exposure to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xml:space="preserve">, EFSA set 0.2 </w:t>
      </w:r>
      <w:r w:rsidR="00C879DE">
        <w:rPr>
          <w:rFonts w:ascii="Times New Roman" w:hAnsi="Times New Roman" w:cs="Times New Roman"/>
          <w:sz w:val="28"/>
          <w:szCs w:val="28"/>
        </w:rPr>
        <w:lastRenderedPageBreak/>
        <w:t>micrograms/kilogram, EU 2micrograms/kilogram but FDA has not set an official limits, but check food supplements and removes any that have unsafe amount of citrinin</w:t>
      </w:r>
      <w:r>
        <w:rPr>
          <w:rFonts w:ascii="Times New Roman" w:hAnsi="Times New Roman" w:cs="Times New Roman"/>
          <w:sz w:val="28"/>
          <w:szCs w:val="28"/>
        </w:rPr>
        <w:t xml:space="preserve">. However, the global nature of food trade poses challenges in maintaining strict surveillance, particularly in developing countries where mycotoxin testing infrastructure is limited. Traditional mycotoxin detection methods, such as high-performance liquid chromatography (HPLC) and enzyme-linked immunosorbent assays (ELISA), have been widely used for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contamination has significant economic implications for the agricultural and food industries. Contaminated crops and food products often require disposal, leading to financial losses for farmers and manufacturers. Additionally, livestock consuming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-contaminated feed can suffer from reduced productivity, weight loss, and reproductive issues, further exacerbating economic burdens. Strategies for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mitigation include improved storage conditions, biocontrol approaches using antagonistic microorganisms, and the development of detoxification methods such as enzymatic degradation and adsorption techniques (Haque et </w:t>
      </w:r>
      <w:r>
        <w:rPr>
          <w:rFonts w:ascii="Times New Roman" w:hAnsi="Times New Roman" w:cs="Times New Roman"/>
          <w:sz w:val="28"/>
          <w:szCs w:val="28"/>
        </w:rPr>
        <w:lastRenderedPageBreak/>
        <w:t xml:space="preserve">al., 2021). Recent research has explored potential applications of </w:t>
      </w:r>
      <w:r w:rsidRPr="009752C9">
        <w:rPr>
          <w:rFonts w:ascii="Times New Roman" w:hAnsi="Times New Roman" w:cs="Times New Roman"/>
          <w:iCs/>
          <w:sz w:val="28"/>
          <w:szCs w:val="28"/>
        </w:rPr>
        <w:t>citrinin</w:t>
      </w:r>
      <w:r w:rsidRPr="009752C9">
        <w:rPr>
          <w:rFonts w:ascii="Times New Roman" w:hAnsi="Times New Roman" w:cs="Times New Roman"/>
          <w:sz w:val="28"/>
          <w:szCs w:val="28"/>
        </w:rPr>
        <w:t xml:space="preserve"> </w:t>
      </w:r>
      <w:r>
        <w:rPr>
          <w:rFonts w:ascii="Times New Roman" w:hAnsi="Times New Roman" w:cs="Times New Roman"/>
          <w:sz w:val="28"/>
          <w:szCs w:val="28"/>
        </w:rPr>
        <w:t xml:space="preserve">and its derivatives in pharmaceutical and biotechnological fields. Despite its toxic properties, some studies suggest that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r w:rsidRPr="009752C9">
        <w:rPr>
          <w:rFonts w:ascii="Times New Roman" w:hAnsi="Times New Roman" w:cs="Times New Roman"/>
          <w:iCs/>
          <w:sz w:val="28"/>
          <w:szCs w:val="28"/>
        </w:rPr>
        <w:t>citrinin</w:t>
      </w:r>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public health. Future research should focus on developing integrated mycotoxin management strategies, including genetic engineering approaches to inhibit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biosynthesis, the use of probiotics to degrade mycotoxins in the gut, and improved regulatory frameworks to minimize exposure risks. The interplay between environmental factors, fungal metabolism, and human health underscores the need for a multidisciplinary approach in addressing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contamination and its associated hazards (Rai et al., 2023).</w:t>
      </w:r>
    </w:p>
    <w:p w14:paraId="69F744C0" w14:textId="40115E71"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14:paraId="24540C99" w14:textId="15B686CE"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Several studies have reported the widespread contamination of food and feed with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Geng et al. (2021) investigated the occurrence of </w:t>
      </w:r>
      <w:r w:rsidRPr="00BC3BDF">
        <w:rPr>
          <w:rFonts w:ascii="Times New Roman" w:hAnsi="Times New Roman" w:cs="Times New Roman"/>
          <w:iCs/>
          <w:sz w:val="28"/>
          <w:szCs w:val="28"/>
        </w:rPr>
        <w:t>citrinin</w:t>
      </w:r>
      <w:r w:rsidRPr="00BC3BDF">
        <w:rPr>
          <w:rFonts w:ascii="Times New Roman" w:hAnsi="Times New Roman" w:cs="Times New Roman"/>
          <w:sz w:val="28"/>
          <w:szCs w:val="28"/>
        </w:rPr>
        <w:t xml:space="preserve"> </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-induced nephrotoxicity, showing that oxidative stress and mitochondrial dysfunction play critical roles in renal cell apoptosis. Similar findings were reported by Zhou et al. (2021), who demonstrated that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exposure leads to DNA damage and chromosomal aberrations, raising concerns about its potential carcinogenicity. In animal models, </w:t>
      </w:r>
      <w:r w:rsidRPr="00BC3BDF">
        <w:rPr>
          <w:rFonts w:ascii="Times New Roman" w:hAnsi="Times New Roman" w:cs="Times New Roman"/>
          <w:iCs/>
          <w:sz w:val="28"/>
          <w:szCs w:val="28"/>
        </w:rPr>
        <w:t>citrinin</w:t>
      </w:r>
      <w:r w:rsidRPr="00BC3BDF">
        <w:rPr>
          <w:rFonts w:ascii="Times New Roman" w:hAnsi="Times New Roman" w:cs="Times New Roman"/>
          <w:sz w:val="28"/>
          <w:szCs w:val="28"/>
        </w:rPr>
        <w:t xml:space="preserve"> </w:t>
      </w:r>
      <w:r>
        <w:rPr>
          <w:rFonts w:ascii="Times New Roman" w:hAnsi="Times New Roman" w:cs="Times New Roman"/>
          <w:sz w:val="28"/>
          <w:szCs w:val="28"/>
        </w:rPr>
        <w:t xml:space="preserve">has been shown to induce kidney fibrosis and liver inflammation, further supporting its classification as a high-risk mycotoxin (He &amp; Cox, 2019). Detection methods have also been an area of active research. Traditional techniques such as high-performance liquid chromatography (HPLC) and enzyme-linked immunosorbent assays (ELISA) have been widely used to quantify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levels in food (Wang et </w:t>
      </w:r>
      <w:r>
        <w:rPr>
          <w:rFonts w:ascii="Times New Roman" w:hAnsi="Times New Roman" w:cs="Times New Roman"/>
          <w:sz w:val="28"/>
          <w:szCs w:val="28"/>
        </w:rPr>
        <w:lastRenderedPageBreak/>
        <w:t xml:space="preserve">al., 2020). However, recent advancements in biosensor technology and molecular diagnostics have led to more rapid and sensitive detection methods. For example, Haque et al. (2021) developed a novel fluorescence-based biosensor capable of detecting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at nanomolar concentrations, offering a promising alternative for food safety monitoring. Research on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mitigation strategies has expanded significantly. Various physical, chemical, and biological approaches have been investigated to reduce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in food and feed. Rai et al. (2023) explored the use of probiotic bacteria to degrade citrinin in contaminated food, demonstrating a significant reduction in toxin levels. Similarly, enzymatic degradation techniques using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-degrading enzymes have shown potential in detoxification (Liu et al., 2020). A study by Zhou et al. (2021) found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r w:rsidRPr="005C7A45">
        <w:rPr>
          <w:rFonts w:ascii="Times New Roman" w:hAnsi="Times New Roman" w:cs="Times New Roman"/>
          <w:iCs/>
          <w:sz w:val="28"/>
          <w:szCs w:val="28"/>
        </w:rPr>
        <w:t>citrinin’s</w:t>
      </w:r>
      <w:r>
        <w:rPr>
          <w:rFonts w:ascii="Times New Roman" w:hAnsi="Times New Roman" w:cs="Times New Roman"/>
          <w:sz w:val="28"/>
          <w:szCs w:val="28"/>
        </w:rPr>
        <w:t xml:space="preserve"> potential carcinogenic effects. Although it is not classified as a confirmed human </w:t>
      </w:r>
      <w:r>
        <w:rPr>
          <w:rFonts w:ascii="Times New Roman" w:hAnsi="Times New Roman" w:cs="Times New Roman"/>
          <w:sz w:val="28"/>
          <w:szCs w:val="28"/>
        </w:rPr>
        <w:lastRenderedPageBreak/>
        <w:t xml:space="preserve">carcinogen, studies suggest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may act as a co-carcinogen by inducing DNA damage and promoting tumorigenesis. For example, He and Cox (2019) demonstrated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exposure enhances the mutagenic effects of other mycotoxins, such as aflatoxins, by disrupting DNA repair mechanisms. This has led to growing concerns about its long-term impact on public health, particularly in populations with high dietary exposure. Numerous studies have examined the prevalence of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in food and feed products, revealing its widespread occurrence in grains, dairy, fermented foods, and even dietary supplements. Research by Wang et al. (2020) analyzed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Geng et al. (2021) focused on fermented foods, particularly red yeast rice, a widely consumed traditional food product known to contain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due to fungal fermentation. Their findings emphasized the difficulty of eliminating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from such products without affecting their desired characteristics. In addition to dietary exposure, occupational exposure to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has also been studied. Agricultural workers, millers, and food handlers are at higher risk due to inhalation of airborne fungal spores containing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A study by </w:t>
      </w:r>
      <w:r>
        <w:rPr>
          <w:rFonts w:ascii="Times New Roman" w:hAnsi="Times New Roman" w:cs="Times New Roman"/>
          <w:sz w:val="28"/>
          <w:szCs w:val="28"/>
        </w:rPr>
        <w:lastRenderedPageBreak/>
        <w:t xml:space="preserve">Haque et al. (2021) analyzed occupational exposure in grain storage facilities and found that workers had significantly higher urinary citrinin levels compared to the general population. This raises concerns about the need for improved workplace safety measures and exposure monitoring in high-risk industries. The detection of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in food, feed, and biological samples has been a major research focus, leading to the development of various analytical techniques. Traditional methods such as high-performance liquid chromatography (HPLC) and enzyme-linked immunosorbent assays (ELISA) have been widely used, offering high sensitivity and specificity. However, these techniques are often expensive and require specialized laboratory equipment, limiting their accessibility in resource-limited settings (Wang et al., 2020). Recent advancements have led to the development of more rapid and cost-effective detection methods. A study by Rai et al. (2023) introduced a biosensor-based detection system that utilizes fluorescence and electrochemical signals to detect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at nanomolar concentrations. Similarly, Liu et al. (2020) explored the use of molecularly imprinted polymers for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exposure. Efforts to mitigate </w:t>
      </w:r>
      <w:r w:rsidRPr="005C7A45">
        <w:rPr>
          <w:rFonts w:ascii="Times New Roman" w:hAnsi="Times New Roman" w:cs="Times New Roman"/>
          <w:iCs/>
          <w:sz w:val="28"/>
          <w:szCs w:val="28"/>
        </w:rPr>
        <w:lastRenderedPageBreak/>
        <w:t>citrinin</w:t>
      </w:r>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Haque et al. (2021) demonstrated that certain probiotic bacteria, such as Lactobacillus strains, can degrade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into non-toxic metabolites. Similarly, enzymatic degradation methods using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-degrading enzymes have shown promise in reducing toxin levels in contaminated food products (Rai et al., 2023). Further research is needed to optimize these approaches and assess their feasibility for large-scale application. Several theoretical frameworks have guided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research, particularly in toxicology, food safety, and microbiology. The dose-response theory has been widely used to assess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r w:rsidRPr="005C7A45">
        <w:rPr>
          <w:rFonts w:ascii="Times New Roman" w:hAnsi="Times New Roman" w:cs="Times New Roman"/>
          <w:iCs/>
          <w:sz w:val="28"/>
          <w:szCs w:val="28"/>
        </w:rPr>
        <w:t>citrinin’s</w:t>
      </w:r>
      <w:r>
        <w:rPr>
          <w:rFonts w:ascii="Times New Roman" w:hAnsi="Times New Roman" w:cs="Times New Roman"/>
          <w:sz w:val="28"/>
          <w:szCs w:val="28"/>
        </w:rPr>
        <w:t xml:space="preserve"> mechanism of action, highlighting its role in generating reactive oxygen species (ROS) and inducing cellular damage (Sun et al., 2022). From a food safety </w:t>
      </w:r>
      <w:r>
        <w:rPr>
          <w:rFonts w:ascii="Times New Roman" w:hAnsi="Times New Roman" w:cs="Times New Roman"/>
          <w:sz w:val="28"/>
          <w:szCs w:val="28"/>
        </w:rPr>
        <w:lastRenderedPageBreak/>
        <w:t xml:space="preserve">perspective, the Hazard Analysis and Critical Control Points (HACCP) framework has been applied to minimize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during food production and storage (Geng et al., 2021). This approach emphasizes risk assessment, monitoring, and preventive measures to ensure compliance with regulatory standards.</w:t>
      </w:r>
    </w:p>
    <w:p w14:paraId="47740680" w14:textId="77777777"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r w:rsidRPr="00486D48">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486D48">
        <w:rPr>
          <w:rFonts w:ascii="Times New Roman" w:hAnsi="Times New Roman" w:cs="Times New Roman"/>
          <w:i/>
          <w:iCs/>
          <w:sz w:val="28"/>
          <w:szCs w:val="28"/>
        </w:rPr>
        <w:t>citrinin</w:t>
      </w:r>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-associated risks and improving food safety regulations. </w:t>
      </w:r>
      <w:r w:rsidRPr="00E932B2">
        <w:rPr>
          <w:rFonts w:ascii="Times New Roman" w:hAnsi="Times New Roman" w:cs="Times New Roman"/>
          <w:sz w:val="28"/>
          <w:szCs w:val="28"/>
        </w:rPr>
        <w:t xml:space="preserve">While the nephrotoxic and hepatotoxic effects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chronic illnesses (Zhou et al., </w:t>
      </w:r>
      <w:r w:rsidRPr="00E932B2">
        <w:rPr>
          <w:rFonts w:ascii="Times New Roman" w:hAnsi="Times New Roman" w:cs="Times New Roman"/>
          <w:sz w:val="28"/>
          <w:szCs w:val="28"/>
        </w:rPr>
        <w:lastRenderedPageBreak/>
        <w:t xml:space="preserve">2021). Additionally, the potential synergistic effects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with other mycotoxins, such as </w:t>
      </w:r>
      <w:r w:rsidRPr="005C7A45">
        <w:rPr>
          <w:rFonts w:ascii="Times New Roman" w:hAnsi="Times New Roman" w:cs="Times New Roman"/>
          <w:iCs/>
          <w:sz w:val="28"/>
          <w:szCs w:val="28"/>
        </w:rPr>
        <w:t>ochratoxin</w:t>
      </w:r>
      <w:r w:rsidRPr="00E932B2">
        <w:rPr>
          <w:rFonts w:ascii="Times New Roman" w:hAnsi="Times New Roman" w:cs="Times New Roman"/>
          <w:sz w:val="28"/>
          <w:szCs w:val="28"/>
        </w:rPr>
        <w:t xml:space="preserve"> A and aflatoxins, remain underexplored (Wang et al., 2020). Despite the widespread occurrence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in food and agricultural products, accurate exposure assessment in humans is challenging. Most studies rely on food sample analyses rather than direct biomonitoring in individuals (Geng et al., 2021). The development of reliable biomarkers for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levels, requiring region-specific studies to develop more accurate exposure models (Haque et al., 2021). Regulatory guidelines for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w:t>
      </w:r>
      <w:r w:rsidRPr="00E932B2">
        <w:rPr>
          <w:rFonts w:ascii="Times New Roman" w:hAnsi="Times New Roman" w:cs="Times New Roman"/>
          <w:sz w:val="28"/>
          <w:szCs w:val="28"/>
        </w:rPr>
        <w:lastRenderedPageBreak/>
        <w:t xml:space="preserve">as pregnant women, children, and individuals with pre-existing kidney conditions (Shi et al., 2022). Although advances in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detection methods have improved analytical sensitivity, many techniques remain expensive, time-consuming, and inaccessible in low-resource settings. Traditional methods such as high-performance liquid chromatography (HPLC) and enzyme-linked immunosorbent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(Rai et al., 2023). Most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(Haque et al., 2021). More research is required to identify effective microbial strains and enzymes capable of degrading </w:t>
      </w:r>
      <w:r w:rsidRPr="00BE2569">
        <w:rPr>
          <w:rFonts w:ascii="Times New Roman" w:hAnsi="Times New Roman" w:cs="Times New Roman"/>
          <w:i/>
          <w:iCs/>
          <w:sz w:val="28"/>
          <w:szCs w:val="28"/>
        </w:rPr>
        <w:t>citrinin</w:t>
      </w:r>
      <w:r w:rsidRPr="00E932B2">
        <w:rPr>
          <w:rFonts w:ascii="Times New Roman" w:hAnsi="Times New Roman" w:cs="Times New Roman"/>
          <w:sz w:val="28"/>
          <w:szCs w:val="28"/>
        </w:rPr>
        <w:t xml:space="preserve"> safely without compromising food quality. Additionally, optimizing bioremediation techniques for large-scale </w:t>
      </w:r>
      <w:r w:rsidRPr="00E932B2">
        <w:rPr>
          <w:rFonts w:ascii="Times New Roman" w:hAnsi="Times New Roman" w:cs="Times New Roman"/>
          <w:sz w:val="28"/>
          <w:szCs w:val="28"/>
        </w:rPr>
        <w:lastRenderedPageBreak/>
        <w:t xml:space="preserve">application could help reduce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contamination in food and feed products. The biosynthetic pathway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(Grollman et al., 2017). Further genomic and transcriptomic studies on </w:t>
      </w:r>
      <w:r w:rsidRPr="00BE2569">
        <w:rPr>
          <w:rFonts w:ascii="Times New Roman" w:hAnsi="Times New Roman" w:cs="Times New Roman"/>
          <w:i/>
          <w:iCs/>
          <w:sz w:val="28"/>
          <w:szCs w:val="28"/>
        </w:rPr>
        <w:t>Penicillium</w:t>
      </w:r>
      <w:r w:rsidRPr="00E932B2">
        <w:rPr>
          <w:rFonts w:ascii="Times New Roman" w:hAnsi="Times New Roman" w:cs="Times New Roman"/>
          <w:sz w:val="28"/>
          <w:szCs w:val="28"/>
        </w:rPr>
        <w:t xml:space="preserve"> </w:t>
      </w:r>
      <w:r w:rsidRPr="00BE2569">
        <w:rPr>
          <w:rFonts w:ascii="Times New Roman" w:hAnsi="Times New Roman" w:cs="Times New Roman"/>
          <w:i/>
          <w:iCs/>
          <w:sz w:val="28"/>
          <w:szCs w:val="28"/>
        </w:rPr>
        <w:t>citrinum</w:t>
      </w:r>
      <w:r w:rsidRPr="00E932B2">
        <w:rPr>
          <w:rFonts w:ascii="Times New Roman" w:hAnsi="Times New Roman" w:cs="Times New Roman"/>
          <w:sz w:val="28"/>
          <w:szCs w:val="28"/>
        </w:rPr>
        <w:t xml:space="preserve"> could provide insights into gene regulation mechanisms and potential genetic targets for controlling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synthesis (Shi et al., 2022). Understanding these molecular pathways could also aid in developing antifungal strategies to prevent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contamination at the source. While dietary exposure to </w:t>
      </w:r>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r>
        <w:rPr>
          <w:rFonts w:ascii="Times New Roman" w:hAnsi="Times New Roman" w:cs="Times New Roman"/>
          <w:sz w:val="28"/>
          <w:szCs w:val="28"/>
        </w:rPr>
        <w:t xml:space="preserve"> </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yet few studies have investigated the potential respiratory effects and systemic absorption of inhaled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(Haque et al., 2021). Future research should assess occupational exposure risks and develop protective measures to minimize health hazards for workers in high-risk industries. Consumer awareness regarding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contamination in food remains low, with limited public health campaigns addressing mycotoxin risks. Studies suggest that many individuals, especially in developing regions, lack knowledge about </w:t>
      </w:r>
      <w:r w:rsidRPr="00E932B2">
        <w:rPr>
          <w:rFonts w:ascii="Times New Roman" w:hAnsi="Times New Roman" w:cs="Times New Roman"/>
          <w:sz w:val="28"/>
          <w:szCs w:val="28"/>
        </w:rPr>
        <w:lastRenderedPageBreak/>
        <w:t xml:space="preserve">foodborne mycotoxins and their potential health effects (Geng et al., 2021). Research should explore effective communication strategies to educate consumers about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-related health risks.</w:t>
      </w:r>
    </w:p>
    <w:p w14:paraId="492A29D3" w14:textId="77777777"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revolves around its toxicity in humans. While multiple animal studies have confirmed its nephrotoxic, hepatotoxic, and immunotoxic effects, direct evidence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on human health remains inconclusive (Geng et al., 2021). This ongoing debate has implications for risk assessment and regulatory decisions regarding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exposure limits. There is no global consensus on the permissible limits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in food and feed products. The European Food Safety Authority (EFSA) has set strict limits on </w:t>
      </w:r>
      <w:r w:rsidRPr="00A15331">
        <w:rPr>
          <w:rFonts w:ascii="Times New Roman" w:hAnsi="Times New Roman" w:cs="Times New Roman"/>
          <w:sz w:val="28"/>
          <w:szCs w:val="28"/>
        </w:rPr>
        <w:t>citrinin</w:t>
      </w:r>
      <w:r w:rsidRPr="008F0058">
        <w:rPr>
          <w:rFonts w:ascii="Times New Roman" w:hAnsi="Times New Roman" w:cs="Times New Roman"/>
          <w:sz w:val="28"/>
          <w:szCs w:val="28"/>
        </w:rPr>
        <w:t xml:space="preserve"> levels, </w:t>
      </w:r>
      <w:r w:rsidRPr="008F0058">
        <w:rPr>
          <w:rFonts w:ascii="Times New Roman" w:hAnsi="Times New Roman" w:cs="Times New Roman"/>
          <w:sz w:val="28"/>
          <w:szCs w:val="28"/>
        </w:rPr>
        <w:lastRenderedPageBreak/>
        <w:t xml:space="preserve">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citrinin-related health risks. Some researchers advocate for a harmonized global standard, while others argue that regulatory thresholds should be determined based on region-specific dietary habits and exposure patterns (Haque et al., 2021). Another ongoing debate concerns the interaction between citrinin and other mycotoxins, particularly </w:t>
      </w:r>
      <w:r w:rsidRPr="005C7A45">
        <w:rPr>
          <w:rFonts w:ascii="Times New Roman" w:hAnsi="Times New Roman" w:cs="Times New Roman"/>
          <w:iCs/>
          <w:sz w:val="28"/>
          <w:szCs w:val="28"/>
        </w:rPr>
        <w:t>ochratoxin</w:t>
      </w:r>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acts synergistically with </w:t>
      </w:r>
      <w:r w:rsidRPr="005C7A45">
        <w:rPr>
          <w:rFonts w:ascii="Times New Roman" w:hAnsi="Times New Roman" w:cs="Times New Roman"/>
          <w:iCs/>
          <w:sz w:val="28"/>
          <w:szCs w:val="28"/>
        </w:rPr>
        <w:t>ochratoxin</w:t>
      </w:r>
      <w:r w:rsidRPr="008F0058">
        <w:rPr>
          <w:rFonts w:ascii="Times New Roman" w:hAnsi="Times New Roman" w:cs="Times New Roman"/>
          <w:sz w:val="28"/>
          <w:szCs w:val="28"/>
        </w:rPr>
        <w:t xml:space="preserve"> </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exposure could pose significant health risks when combined with other mycotoxins. However, other researchers argue that the evidence supporting this synergistic effect is insufficient and that more mechanistic studies are required to confirm this interaction (Liu et al., 2021). The debate over </w:t>
      </w:r>
      <w:r w:rsidRPr="005C7A45">
        <w:rPr>
          <w:rFonts w:ascii="Times New Roman" w:hAnsi="Times New Roman" w:cs="Times New Roman"/>
          <w:iCs/>
          <w:sz w:val="28"/>
          <w:szCs w:val="28"/>
        </w:rPr>
        <w:t>citrinin’s</w:t>
      </w:r>
      <w:r w:rsidRPr="008F0058">
        <w:rPr>
          <w:rFonts w:ascii="Times New Roman" w:hAnsi="Times New Roman" w:cs="Times New Roman"/>
          <w:sz w:val="28"/>
          <w:szCs w:val="28"/>
        </w:rPr>
        <w:t xml:space="preserve"> role in multi-mycotoxin toxicity highlights the need for further research into its interactions with other foodborne toxins. The accuracy and </w:t>
      </w:r>
      <w:r w:rsidRPr="008F0058">
        <w:rPr>
          <w:rFonts w:ascii="Times New Roman" w:hAnsi="Times New Roman" w:cs="Times New Roman"/>
          <w:sz w:val="28"/>
          <w:szCs w:val="28"/>
        </w:rPr>
        <w:lastRenderedPageBreak/>
        <w:t xml:space="preserve">reliability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(Rai et al., 2023). On the other hand, rapid detection methods, such as enzyme-linked immunosorbent assays (ELISA) and biosensors,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w:t>
      </w:r>
      <w:r w:rsidRPr="008F0058">
        <w:rPr>
          <w:rFonts w:ascii="Times New Roman" w:hAnsi="Times New Roman" w:cs="Times New Roman"/>
          <w:sz w:val="28"/>
          <w:szCs w:val="28"/>
        </w:rPr>
        <w:lastRenderedPageBreak/>
        <w:t xml:space="preserve">that these methods offer a safer and more sustainable alternative (Haque et al., 2021). However, critics highlight the need for more research to optimize these biological approaches for large-scale application. The lack of a universally accepted detoxification strategy underscores the complexity of managing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effectively. There is a growing discussion on how climate change may impact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r w:rsidRPr="0069290A">
        <w:rPr>
          <w:rFonts w:ascii="Times New Roman" w:hAnsi="Times New Roman" w:cs="Times New Roman"/>
          <w:i/>
          <w:iCs/>
          <w:sz w:val="28"/>
          <w:szCs w:val="28"/>
        </w:rPr>
        <w:t>Penicillium</w:t>
      </w:r>
      <w:r w:rsidRPr="008F0058">
        <w:rPr>
          <w:rFonts w:ascii="Times New Roman" w:hAnsi="Times New Roman" w:cs="Times New Roman"/>
          <w:sz w:val="28"/>
          <w:szCs w:val="28"/>
        </w:rPr>
        <w:t xml:space="preserve"> species to thrive, potentially leading to higher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(Geng et al., 2021). This debate highlights the need for interdisciplinary research to assess the long-term impact of climate change on mycotoxin prevalence. The economic implications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regulations and mitigation strategies have also been a point of contention. Stricter regulations on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levels could lead to increased food waste, higher production costs, and economic losses </w:t>
      </w:r>
      <w:r w:rsidRPr="008F0058">
        <w:rPr>
          <w:rFonts w:ascii="Times New Roman" w:hAnsi="Times New Roman" w:cs="Times New Roman"/>
          <w:sz w:val="28"/>
          <w:szCs w:val="28"/>
        </w:rPr>
        <w:lastRenderedPageBreak/>
        <w:t xml:space="preserve">for farmers and food manufacturers (Rai et al., 2023). Some industry stakeholders argue that overly stringent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concerns is necessary to prevent long-term health consequences associated with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exposure (Shi et al., 2022). Balancing economic viability with public health protection remains a challenge in policymaking.</w:t>
      </w:r>
    </w:p>
    <w:p w14:paraId="240B51EC" w14:textId="44567969"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8B7CEE">
        <w:rPr>
          <w:rFonts w:ascii="Times New Roman" w:hAnsi="Times New Roman" w:cs="Times New Roman"/>
          <w:sz w:val="28"/>
          <w:szCs w:val="28"/>
        </w:rPr>
        <w:t xml:space="preserve"> OF PROBLEM </w:t>
      </w:r>
    </w:p>
    <w:p w14:paraId="432DC6D8" w14:textId="1404C83D"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There is limited local research on the presence and potency of citrinin from fruits like bananas.</w:t>
      </w:r>
    </w:p>
    <w:p w14:paraId="74C67870" w14:textId="1D6DAFFA"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Low-cost, simple methods for citrinin detection are lacking, making food safety monitoring difficult.</w:t>
      </w:r>
    </w:p>
    <w:p w14:paraId="7DF6EC6B" w14:textId="51D344FC" w:rsidR="005B6C47" w:rsidRDefault="005B6C47" w:rsidP="005B6C47">
      <w:pPr>
        <w:pStyle w:val="NormalWeb"/>
        <w:numPr>
          <w:ilvl w:val="0"/>
          <w:numId w:val="8"/>
        </w:numPr>
        <w:spacing w:line="480" w:lineRule="auto"/>
        <w:jc w:val="both"/>
        <w:rPr>
          <w:sz w:val="28"/>
          <w:szCs w:val="28"/>
        </w:rPr>
      </w:pPr>
      <w:r>
        <w:rPr>
          <w:sz w:val="28"/>
          <w:szCs w:val="28"/>
        </w:rPr>
        <w:t xml:space="preserve">Despite global awareness of citrinin’s toxicological effects such as immunotoxicity, neurotoxicity, and genotoxicity contamination in food chains remains a persistent challenge due to inadequate storage conditions, limited surveillance, and insufficient public awareness. </w:t>
      </w:r>
    </w:p>
    <w:p w14:paraId="04D8B50B" w14:textId="47844B78" w:rsidR="005B6C47" w:rsidRDefault="005B6C47" w:rsidP="005B6C47">
      <w:pPr>
        <w:pStyle w:val="NormalWeb"/>
        <w:numPr>
          <w:ilvl w:val="0"/>
          <w:numId w:val="8"/>
        </w:numPr>
        <w:spacing w:line="480" w:lineRule="auto"/>
        <w:jc w:val="both"/>
        <w:rPr>
          <w:sz w:val="28"/>
          <w:szCs w:val="28"/>
        </w:rPr>
      </w:pPr>
      <w:r>
        <w:rPr>
          <w:sz w:val="28"/>
          <w:szCs w:val="28"/>
        </w:rPr>
        <w:lastRenderedPageBreak/>
        <w:t xml:space="preserve">The variation in citrinin toxicity at different concentrations and its organ-specific effects in mammals are still under-researched, particularly in vivo studies involving animal models. </w:t>
      </w:r>
    </w:p>
    <w:p w14:paraId="3D69660A" w14:textId="6507CD1D"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Pr>
          <w:rFonts w:ascii="Times New Roman" w:hAnsi="Times New Roman" w:cs="Times New Roman"/>
          <w:sz w:val="28"/>
          <w:szCs w:val="28"/>
        </w:rPr>
        <w:t xml:space="preserve"> </w:t>
      </w:r>
      <w:r w:rsidRPr="00BC3BDF">
        <w:rPr>
          <w:rFonts w:ascii="Times New Roman" w:hAnsi="Times New Roman" w:cs="Times New Roman"/>
          <w:sz w:val="28"/>
          <w:szCs w:val="28"/>
        </w:rPr>
        <w:t>JUSTIFICATION OF STUDY</w:t>
      </w:r>
    </w:p>
    <w:p w14:paraId="3E0A46E4" w14:textId="21406680" w:rsidR="001A5DB4" w:rsidRDefault="00E129CA" w:rsidP="00E129CA">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citrinin in food products, particularly fruits and their derivatives, poses a significant public health concern due to its ability to produce citrinin a mycotoxin with confirmed toxic effects. Although regulatory bodies like the WHO and EFSA have established safety limits, citrinin contamination remains underreported in many regions, especially in developing countries with limited food quality monitoring. Studying the toxicity of citrinin at varying concentrations using animal models provides essential data on dose-dependent pathological effects, which is crucial for refining health guidelines. This study also helps to bridge existing gaps in citrinin toxicology, contributes to global efforts on food safety, and supports the development of effective mitigation strategies.</w:t>
      </w:r>
    </w:p>
    <w:p w14:paraId="0A906F36" w14:textId="63CF8402"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14:paraId="15FA2BC7" w14:textId="7C71F855"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This study aim</w:t>
      </w:r>
      <w:r w:rsidR="00970C16">
        <w:rPr>
          <w:rFonts w:ascii="Times New Roman" w:hAnsi="Times New Roman" w:cs="Times New Roman"/>
          <w:sz w:val="28"/>
          <w:szCs w:val="28"/>
        </w:rPr>
        <w:t xml:space="preserve"> </w:t>
      </w:r>
      <w:r>
        <w:rPr>
          <w:rFonts w:ascii="Times New Roman" w:hAnsi="Times New Roman" w:cs="Times New Roman"/>
          <w:sz w:val="28"/>
          <w:szCs w:val="28"/>
        </w:rPr>
        <w:t xml:space="preserve">check the potency of </w:t>
      </w:r>
      <w:r w:rsidRPr="00B503E2">
        <w:rPr>
          <w:rFonts w:ascii="Times New Roman" w:hAnsi="Times New Roman" w:cs="Times New Roman"/>
          <w:i/>
          <w:sz w:val="28"/>
          <w:szCs w:val="28"/>
        </w:rPr>
        <w:t>Penicillium</w:t>
      </w:r>
      <w:r>
        <w:rPr>
          <w:rFonts w:ascii="Times New Roman" w:hAnsi="Times New Roman" w:cs="Times New Roman"/>
          <w:sz w:val="28"/>
          <w:szCs w:val="28"/>
        </w:rPr>
        <w:t xml:space="preserve"> citrinin toxin at vary degree of concentration</w:t>
      </w:r>
    </w:p>
    <w:p w14:paraId="396E2E23" w14:textId="77777777"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52ECBB12" w14:textId="2122B4AF"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r w:rsidRPr="00AA25DA">
        <w:rPr>
          <w:rFonts w:ascii="Times New Roman" w:hAnsi="Times New Roman" w:cs="Times New Roman"/>
          <w:i/>
          <w:iCs/>
          <w:sz w:val="28"/>
          <w:szCs w:val="28"/>
        </w:rPr>
        <w:t>Penicillium</w:t>
      </w:r>
      <w:r w:rsidRPr="004764C4">
        <w:rPr>
          <w:rFonts w:ascii="Times New Roman" w:hAnsi="Times New Roman" w:cs="Times New Roman"/>
          <w:sz w:val="28"/>
          <w:szCs w:val="28"/>
        </w:rPr>
        <w:t xml:space="preserve"> </w:t>
      </w:r>
      <w:r w:rsidRPr="009535E4">
        <w:rPr>
          <w:rFonts w:ascii="Times New Roman" w:hAnsi="Times New Roman" w:cs="Times New Roman"/>
          <w:i/>
          <w:iCs/>
          <w:sz w:val="28"/>
          <w:szCs w:val="28"/>
        </w:rPr>
        <w:t>citrinum</w:t>
      </w:r>
      <w:r w:rsidRPr="00970C16">
        <w:rPr>
          <w:rFonts w:ascii="Times New Roman" w:hAnsi="Times New Roman" w:cs="Times New Roman"/>
          <w:sz w:val="28"/>
          <w:szCs w:val="28"/>
        </w:rPr>
        <w:t xml:space="preserve"> from overripe bananas</w:t>
      </w:r>
    </w:p>
    <w:p w14:paraId="5ED190E2" w14:textId="77777777"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14:paraId="28B004CC" w14:textId="77777777"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29C37AEE" w14:textId="69A3F234"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14:paraId="200D62E2" w14:textId="77777777" w:rsidR="00DE225E" w:rsidRDefault="00DE225E" w:rsidP="00471BB7">
      <w:pPr>
        <w:spacing w:line="480" w:lineRule="auto"/>
        <w:jc w:val="both"/>
        <w:rPr>
          <w:rFonts w:ascii="Times New Roman" w:hAnsi="Times New Roman" w:cs="Times New Roman"/>
          <w:sz w:val="28"/>
          <w:szCs w:val="28"/>
        </w:rPr>
      </w:pPr>
    </w:p>
    <w:p w14:paraId="3C97444E" w14:textId="77777777" w:rsidR="00DE225E" w:rsidRDefault="00DE225E" w:rsidP="00471BB7">
      <w:pPr>
        <w:spacing w:line="480" w:lineRule="auto"/>
        <w:jc w:val="both"/>
        <w:rPr>
          <w:rFonts w:ascii="Times New Roman" w:hAnsi="Times New Roman" w:cs="Times New Roman"/>
          <w:sz w:val="28"/>
          <w:szCs w:val="28"/>
        </w:rPr>
      </w:pPr>
    </w:p>
    <w:p w14:paraId="3D3ABBCB" w14:textId="77777777" w:rsidR="00E129CA" w:rsidRDefault="00E129CA" w:rsidP="00471BB7">
      <w:pPr>
        <w:spacing w:line="480" w:lineRule="auto"/>
        <w:jc w:val="both"/>
        <w:rPr>
          <w:rFonts w:ascii="Times New Roman" w:hAnsi="Times New Roman" w:cs="Times New Roman"/>
          <w:sz w:val="28"/>
          <w:szCs w:val="28"/>
        </w:rPr>
      </w:pPr>
    </w:p>
    <w:p w14:paraId="0187E847" w14:textId="77777777" w:rsidR="00077DBE" w:rsidRDefault="00077DBE" w:rsidP="00471BB7">
      <w:pPr>
        <w:spacing w:line="480" w:lineRule="auto"/>
        <w:jc w:val="both"/>
        <w:rPr>
          <w:rFonts w:ascii="Times New Roman" w:hAnsi="Times New Roman" w:cs="Times New Roman"/>
          <w:sz w:val="28"/>
          <w:szCs w:val="28"/>
        </w:rPr>
      </w:pPr>
    </w:p>
    <w:p w14:paraId="55E69FDE" w14:textId="77777777" w:rsidR="00077DBE" w:rsidRDefault="00077DBE" w:rsidP="00471BB7">
      <w:pPr>
        <w:spacing w:line="480" w:lineRule="auto"/>
        <w:jc w:val="both"/>
        <w:rPr>
          <w:rFonts w:ascii="Times New Roman" w:hAnsi="Times New Roman" w:cs="Times New Roman"/>
          <w:sz w:val="28"/>
          <w:szCs w:val="28"/>
        </w:rPr>
      </w:pPr>
    </w:p>
    <w:p w14:paraId="732C0898" w14:textId="0BC1E50F"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113D5E46" w14:textId="77777777"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14:paraId="518E8200" w14:textId="77777777"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14:paraId="4C708C99" w14:textId="0BE61708"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Overripe banana</w:t>
      </w:r>
      <w:r w:rsidR="0066433F">
        <w:rPr>
          <w:rFonts w:ascii="Times New Roman" w:hAnsi="Times New Roman" w:cs="Times New Roman"/>
          <w:sz w:val="28"/>
          <w:szCs w:val="28"/>
        </w:rPr>
        <w:t>, conical flakes, beakers, cotton wool, aluminum foil paper, wire loop, spirit lamp, matches, stirring rod, 70% dilute ethanol, petri dishes, distilled water, Lacto phenol cotton blue, nose mask, gloves, autoclaves, incubator, glass slide, test tubes, centrifuge, wistar rats, oral feeding syringe, digital weighing scale, microscope and spatula, antibiotics (streptomycin), rotary shaker, hot a</w:t>
      </w:r>
      <w:r>
        <w:rPr>
          <w:rFonts w:ascii="Times New Roman" w:hAnsi="Times New Roman" w:cs="Times New Roman"/>
          <w:sz w:val="28"/>
          <w:szCs w:val="28"/>
        </w:rPr>
        <w:t>ir oven, dissecting instrument.</w:t>
      </w:r>
    </w:p>
    <w:p w14:paraId="66A4129A" w14:textId="14FE0DCD"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F153AE">
        <w:rPr>
          <w:rFonts w:ascii="Times New Roman" w:hAnsi="Times New Roman" w:cs="Times New Roman"/>
          <w:sz w:val="28"/>
          <w:szCs w:val="28"/>
        </w:rPr>
        <w:t xml:space="preserve"> </w:t>
      </w:r>
      <w:r>
        <w:rPr>
          <w:rFonts w:ascii="Times New Roman" w:hAnsi="Times New Roman" w:cs="Times New Roman"/>
          <w:sz w:val="28"/>
          <w:szCs w:val="28"/>
        </w:rPr>
        <w:t>Sterilization of Equipment and Environment</w:t>
      </w:r>
    </w:p>
    <w:p w14:paraId="2FEE6AF1" w14:textId="49CC3729"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4C455C41" w14:textId="5C4B000F"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9F599F">
        <w:rPr>
          <w:rFonts w:ascii="Times New Roman" w:hAnsi="Times New Roman" w:cs="Times New Roman"/>
          <w:sz w:val="28"/>
          <w:szCs w:val="28"/>
        </w:rPr>
        <w:t xml:space="preserve"> </w:t>
      </w:r>
      <w:r>
        <w:rPr>
          <w:rFonts w:ascii="Times New Roman" w:hAnsi="Times New Roman" w:cs="Times New Roman"/>
          <w:sz w:val="28"/>
          <w:szCs w:val="28"/>
        </w:rPr>
        <w:t>Sample Collection</w:t>
      </w:r>
      <w:r w:rsidR="00077DBE">
        <w:rPr>
          <w:rFonts w:ascii="Times New Roman" w:hAnsi="Times New Roman" w:cs="Times New Roman"/>
          <w:sz w:val="28"/>
          <w:szCs w:val="28"/>
        </w:rPr>
        <w:t>, Sample Processing and Culturing</w:t>
      </w:r>
    </w:p>
    <w:p w14:paraId="0CE6F6EC" w14:textId="58E0D3D9"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 pieces of overripe banana was brought from a fruit seller, at kwara state polytechnic gate junction, Ilorin, Kwara state.</w:t>
      </w:r>
      <w:r w:rsidR="00077DBE">
        <w:rPr>
          <w:rFonts w:ascii="Times New Roman" w:hAnsi="Times New Roman" w:cs="Times New Roman"/>
          <w:sz w:val="28"/>
          <w:szCs w:val="28"/>
        </w:rPr>
        <w:t xml:space="preserve"> </w:t>
      </w:r>
      <w:r w:rsidR="00D62A45">
        <w:rPr>
          <w:rFonts w:ascii="Times New Roman" w:hAnsi="Times New Roman" w:cs="Times New Roman"/>
          <w:sz w:val="28"/>
          <w:szCs w:val="28"/>
        </w:rPr>
        <w:t xml:space="preserve">The banana was first washed with distilled water, then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C75178">
        <w:rPr>
          <w:rFonts w:ascii="Times New Roman" w:hAnsi="Times New Roman" w:cs="Times New Roman"/>
          <w:sz w:val="28"/>
          <w:szCs w:val="28"/>
        </w:rPr>
        <w:t xml:space="preserve"> </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four (4) 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 xml:space="preserve">10ml of distilled water was measured and </w:t>
      </w:r>
      <w:r w:rsidR="003836E9">
        <w:rPr>
          <w:rFonts w:ascii="Times New Roman" w:hAnsi="Times New Roman" w:cs="Times New Roman"/>
          <w:sz w:val="28"/>
          <w:szCs w:val="28"/>
        </w:rPr>
        <w:lastRenderedPageBreak/>
        <w:t>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labelled agar plate. After Inoculation, all the plates was placed invertedly, wrapped with foil paper, and incubated at room temperature (25⁰c) for 3-days </w:t>
      </w:r>
    </w:p>
    <w:p w14:paraId="0F750CD6" w14:textId="556AC5A4"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14:paraId="07355C29" w14:textId="77777777" w:rsidR="00DC2494" w:rsidRDefault="00DC2494" w:rsidP="00DC249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7FB4ACB0" w14:textId="663DD620"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14:paraId="1F65B562" w14:textId="4B0ACBE3"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r w:rsidR="00BB7E69">
        <w:rPr>
          <w:rFonts w:ascii="Times New Roman" w:hAnsi="Times New Roman" w:cs="Times New Roman"/>
          <w:sz w:val="28"/>
          <w:szCs w:val="28"/>
        </w:rPr>
        <w:t xml:space="preserve">labelled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a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rack and each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 xml:space="preserv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 xml:space="preserve">withdraw and </w:t>
      </w:r>
      <w:r w:rsidR="00500E20">
        <w:rPr>
          <w:rFonts w:ascii="Times New Roman" w:hAnsi="Times New Roman" w:cs="Times New Roman"/>
          <w:sz w:val="28"/>
          <w:szCs w:val="28"/>
        </w:rPr>
        <w:lastRenderedPageBreak/>
        <w:t>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14:paraId="2790CD94" w14:textId="2BBA140B"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013A5A">
        <w:rPr>
          <w:rFonts w:ascii="Times New Roman" w:hAnsi="Times New Roman" w:cs="Times New Roman"/>
          <w:sz w:val="28"/>
          <w:szCs w:val="28"/>
        </w:rPr>
        <w:t xml:space="preserve"> </w:t>
      </w:r>
      <w:r w:rsidR="00F83DEC">
        <w:rPr>
          <w:rFonts w:ascii="Times New Roman" w:hAnsi="Times New Roman" w:cs="Times New Roman"/>
          <w:sz w:val="28"/>
          <w:szCs w:val="28"/>
        </w:rPr>
        <w:t xml:space="preserve">Classification and Identification </w:t>
      </w:r>
    </w:p>
    <w:p w14:paraId="12F00BF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14:paraId="42460A4F" w14:textId="09D5A2E1"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Subculturing </w:t>
      </w:r>
    </w:p>
    <w:p w14:paraId="7758B881" w14:textId="0CE21FA6"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fungal colonies were subcultured onto fresh PDA plates to obtain pure isolates. These were incubated under the same conditions for 7days (Watanabe, 2017).</w:t>
      </w:r>
    </w:p>
    <w:p w14:paraId="49532187" w14:textId="63CF9BF0"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14:paraId="7FBEEE87" w14:textId="754797CD"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then left undisturbed for 5 more days at room temperature to complete patulin biosynthesis (Kabak et al., 2019).</w:t>
      </w:r>
    </w:p>
    <w:p w14:paraId="31BA8FBE" w14:textId="07A41DC6"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2.9</w:t>
      </w:r>
      <w:r w:rsidR="00AA31BD">
        <w:rPr>
          <w:rFonts w:ascii="Times New Roman" w:hAnsi="Times New Roman" w:cs="Times New Roman"/>
          <w:sz w:val="28"/>
          <w:szCs w:val="28"/>
        </w:rPr>
        <w:t xml:space="preserve"> Separation of Biomass </w:t>
      </w:r>
    </w:p>
    <w:p w14:paraId="10C3E1C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p>
    <w:p w14:paraId="049D2D5D" w14:textId="13DE4293"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sidR="00D477C0">
        <w:rPr>
          <w:rFonts w:ascii="Times New Roman" w:hAnsi="Times New Roman" w:cs="Times New Roman"/>
          <w:sz w:val="28"/>
          <w:szCs w:val="28"/>
        </w:rPr>
        <w:t xml:space="preserve"> </w:t>
      </w:r>
      <w:r w:rsidR="001E0B98">
        <w:rPr>
          <w:rFonts w:ascii="Times New Roman" w:hAnsi="Times New Roman" w:cs="Times New Roman"/>
          <w:sz w:val="28"/>
          <w:szCs w:val="28"/>
        </w:rPr>
        <w:t xml:space="preserve">Preparation of </w:t>
      </w:r>
      <w:r w:rsidR="0051523A">
        <w:rPr>
          <w:rFonts w:ascii="Times New Roman" w:hAnsi="Times New Roman" w:cs="Times New Roman"/>
          <w:sz w:val="28"/>
          <w:szCs w:val="28"/>
        </w:rPr>
        <w:t xml:space="preserve">Citrinin </w:t>
      </w:r>
      <w:r w:rsidR="001E0B98">
        <w:rPr>
          <w:rFonts w:ascii="Times New Roman" w:hAnsi="Times New Roman" w:cs="Times New Roman"/>
          <w:sz w:val="28"/>
          <w:szCs w:val="28"/>
        </w:rPr>
        <w:t>Concentrations</w:t>
      </w:r>
    </w:p>
    <w:p w14:paraId="2307D9FD" w14:textId="2A78240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r w:rsidR="00E5195E">
        <w:rPr>
          <w:rFonts w:ascii="Times New Roman" w:hAnsi="Times New Roman" w:cs="Times New Roman"/>
          <w:sz w:val="28"/>
          <w:szCs w:val="28"/>
        </w:rPr>
        <w:t>c</w:t>
      </w:r>
      <w:r w:rsidR="00F85C81">
        <w:rPr>
          <w:rFonts w:ascii="Times New Roman" w:hAnsi="Times New Roman" w:cs="Times New Roman"/>
          <w:sz w:val="28"/>
          <w:szCs w:val="28"/>
        </w:rPr>
        <w:t>itrinin</w:t>
      </w:r>
      <w:r>
        <w:rPr>
          <w:rFonts w:ascii="Times New Roman" w:hAnsi="Times New Roman" w:cs="Times New Roman"/>
          <w:sz w:val="28"/>
          <w:szCs w:val="28"/>
        </w:rPr>
        <w:t>. Each prepared concentration was measured into a sterile test tube as follows:</w:t>
      </w:r>
    </w:p>
    <w:p w14:paraId="7F4295AC" w14:textId="3DD7501C"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r w:rsidR="00E5195E">
        <w:rPr>
          <w:rFonts w:ascii="Times New Roman" w:hAnsi="Times New Roman" w:cs="Times New Roman"/>
          <w:sz w:val="28"/>
          <w:szCs w:val="28"/>
        </w:rPr>
        <w:t xml:space="preserve">citrinin </w:t>
      </w:r>
      <w:r>
        <w:rPr>
          <w:rFonts w:ascii="Times New Roman" w:hAnsi="Times New Roman" w:cs="Times New Roman"/>
          <w:sz w:val="28"/>
          <w:szCs w:val="28"/>
        </w:rPr>
        <w:t>filtrate.</w:t>
      </w:r>
    </w:p>
    <w:p w14:paraId="38DA3EE8" w14:textId="3FEDC0D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r w:rsidR="00E5195E">
        <w:rPr>
          <w:rFonts w:ascii="Times New Roman" w:hAnsi="Times New Roman" w:cs="Times New Roman"/>
          <w:sz w:val="28"/>
          <w:szCs w:val="28"/>
        </w:rPr>
        <w:t xml:space="preserve">citrinin </w:t>
      </w:r>
      <w:r>
        <w:rPr>
          <w:rFonts w:ascii="Times New Roman" w:hAnsi="Times New Roman" w:cs="Times New Roman"/>
          <w:sz w:val="28"/>
          <w:szCs w:val="28"/>
        </w:rPr>
        <w:t>filtrate mixed with 1 mL of sterile distilled water.</w:t>
      </w:r>
    </w:p>
    <w:p w14:paraId="139BF7CC" w14:textId="6C2B8C5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r w:rsidR="001560AA">
        <w:rPr>
          <w:rFonts w:ascii="Times New Roman" w:hAnsi="Times New Roman" w:cs="Times New Roman"/>
          <w:sz w:val="28"/>
          <w:szCs w:val="28"/>
        </w:rPr>
        <w:t xml:space="preserve">citrinin </w:t>
      </w:r>
      <w:r>
        <w:rPr>
          <w:rFonts w:ascii="Times New Roman" w:hAnsi="Times New Roman" w:cs="Times New Roman"/>
          <w:sz w:val="28"/>
          <w:szCs w:val="28"/>
        </w:rPr>
        <w:t>filtrate mixed with 2 mL of sterile distilled water.</w:t>
      </w:r>
    </w:p>
    <w:p w14:paraId="3A6D8637" w14:textId="16569606"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 concentration: 2.5 mL of crude </w:t>
      </w:r>
      <w:r w:rsidR="001560AA">
        <w:rPr>
          <w:rFonts w:ascii="Times New Roman" w:hAnsi="Times New Roman" w:cs="Times New Roman"/>
          <w:sz w:val="28"/>
          <w:szCs w:val="28"/>
        </w:rPr>
        <w:t xml:space="preserve">citrinin </w:t>
      </w:r>
      <w:r>
        <w:rPr>
          <w:rFonts w:ascii="Times New Roman" w:hAnsi="Times New Roman" w:cs="Times New Roman"/>
          <w:sz w:val="28"/>
          <w:szCs w:val="28"/>
        </w:rPr>
        <w:t>filtrate mixed with 2.5 mL of sterile distilled water.</w:t>
      </w:r>
      <w:r w:rsidR="001560AA">
        <w:rPr>
          <w:rFonts w:ascii="Times New Roman" w:hAnsi="Times New Roman" w:cs="Times New Roman"/>
          <w:sz w:val="28"/>
          <w:szCs w:val="28"/>
        </w:rPr>
        <w:t xml:space="preserve"> </w:t>
      </w:r>
      <w:r w:rsidR="00DC2494">
        <w:rPr>
          <w:rFonts w:ascii="Times New Roman" w:hAnsi="Times New Roman" w:cs="Times New Roman"/>
          <w:sz w:val="28"/>
          <w:szCs w:val="28"/>
        </w:rPr>
        <w:t>Each mixture was homogenized and labeled accordingly for further use.</w:t>
      </w:r>
    </w:p>
    <w:p w14:paraId="25C4AD92" w14:textId="492FB8BF"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1560AA">
        <w:rPr>
          <w:rFonts w:ascii="Times New Roman" w:hAnsi="Times New Roman" w:cs="Times New Roman"/>
          <w:sz w:val="28"/>
          <w:szCs w:val="28"/>
        </w:rPr>
        <w:t xml:space="preserve"> </w:t>
      </w:r>
      <w:r w:rsidR="004C3249">
        <w:rPr>
          <w:rFonts w:ascii="Times New Roman" w:hAnsi="Times New Roman" w:cs="Times New Roman"/>
          <w:sz w:val="28"/>
          <w:szCs w:val="28"/>
        </w:rPr>
        <w:t>Identification and Grouping of Experimental Rats</w:t>
      </w:r>
    </w:p>
    <w:p w14:paraId="53CD1C1E" w14:textId="15192943"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w:t>
      </w:r>
      <w:r w:rsidR="00B12122">
        <w:rPr>
          <w:rFonts w:ascii="Times New Roman" w:hAnsi="Times New Roman" w:cs="Times New Roman"/>
          <w:sz w:val="28"/>
          <w:szCs w:val="28"/>
        </w:rPr>
        <w:t xml:space="preserve"> </w:t>
      </w:r>
      <w:r w:rsidR="001E0B98">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001E0B98" w:rsidRPr="0067383E">
        <w:rPr>
          <w:rFonts w:ascii="Times New Roman" w:hAnsi="Times New Roman" w:cs="Times New Roman"/>
          <w:i/>
          <w:iCs/>
          <w:sz w:val="28"/>
          <w:szCs w:val="28"/>
        </w:rPr>
        <w:t>Penicillium</w:t>
      </w:r>
      <w:r w:rsidR="001E0B98">
        <w:rPr>
          <w:rFonts w:ascii="Times New Roman" w:hAnsi="Times New Roman" w:cs="Times New Roman"/>
          <w:sz w:val="28"/>
          <w:szCs w:val="28"/>
        </w:rPr>
        <w:t xml:space="preserve"> </w:t>
      </w:r>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r w:rsidR="0067383E">
        <w:rPr>
          <w:rFonts w:ascii="Times New Roman" w:hAnsi="Times New Roman" w:cs="Times New Roman"/>
          <w:sz w:val="28"/>
          <w:szCs w:val="28"/>
        </w:rPr>
        <w:t xml:space="preserve"> </w:t>
      </w:r>
      <w:r w:rsidR="001E0B98">
        <w:rPr>
          <w:rFonts w:ascii="Times New Roman" w:hAnsi="Times New Roman" w:cs="Times New Roman"/>
          <w:sz w:val="28"/>
          <w:szCs w:val="28"/>
        </w:rPr>
        <w:t>toxin they received as follows:</w:t>
      </w:r>
    </w:p>
    <w:p w14:paraId="20965FD6" w14:textId="3C3D19F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3E7509C" w14:textId="77777777"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A87B67" w14:textId="0F1961E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4547348" w14:textId="3C86F262"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14:paraId="1C2024A3" w14:textId="1B12A83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5AFA">
        <w:rPr>
          <w:rFonts w:ascii="Times New Roman" w:hAnsi="Times New Roman" w:cs="Times New Roman"/>
          <w:sz w:val="28"/>
          <w:szCs w:val="28"/>
        </w:rPr>
        <w:t>2.1</w:t>
      </w:r>
      <w:r w:rsidR="00077DBE">
        <w:rPr>
          <w:rFonts w:ascii="Times New Roman" w:hAnsi="Times New Roman" w:cs="Times New Roman"/>
          <w:sz w:val="28"/>
          <w:szCs w:val="28"/>
        </w:rPr>
        <w:t>2</w:t>
      </w:r>
      <w:r w:rsidR="00B95AFA">
        <w:rPr>
          <w:rFonts w:ascii="Times New Roman" w:hAnsi="Times New Roman" w:cs="Times New Roman"/>
          <w:sz w:val="28"/>
          <w:szCs w:val="28"/>
        </w:rPr>
        <w:t xml:space="preserve"> </w:t>
      </w:r>
      <w:r>
        <w:rPr>
          <w:rFonts w:ascii="Times New Roman" w:hAnsi="Times New Roman" w:cs="Times New Roman"/>
          <w:sz w:val="28"/>
          <w:szCs w:val="28"/>
        </w:rPr>
        <w:t>Toxin Administration</w:t>
      </w:r>
    </w:p>
    <w:p w14:paraId="304100A2"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73943D5D" w14:textId="0DF4C074"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9348B7">
        <w:rPr>
          <w:rFonts w:ascii="Times New Roman" w:hAnsi="Times New Roman" w:cs="Times New Roman"/>
          <w:sz w:val="28"/>
          <w:szCs w:val="28"/>
        </w:rPr>
        <w:t xml:space="preserve"> </w:t>
      </w:r>
      <w:r w:rsidR="002B1EDF">
        <w:rPr>
          <w:rFonts w:ascii="Times New Roman" w:hAnsi="Times New Roman" w:cs="Times New Roman"/>
          <w:sz w:val="28"/>
          <w:szCs w:val="28"/>
        </w:rPr>
        <w:t>Dissection and Post-Mortem Examination</w:t>
      </w:r>
    </w:p>
    <w:p w14:paraId="5BC6ED38" w14:textId="08911BC9"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0B8FEAB5" w14:textId="77777777" w:rsidR="00077DBE" w:rsidRDefault="00077DBE" w:rsidP="00DE225E">
      <w:pPr>
        <w:spacing w:line="480" w:lineRule="auto"/>
        <w:jc w:val="center"/>
        <w:rPr>
          <w:rFonts w:ascii="Times New Roman" w:hAnsi="Times New Roman" w:cs="Times New Roman"/>
          <w:sz w:val="28"/>
          <w:szCs w:val="28"/>
        </w:rPr>
      </w:pPr>
    </w:p>
    <w:p w14:paraId="2B2BE5A4" w14:textId="77777777" w:rsidR="00077DBE" w:rsidRDefault="00077DBE" w:rsidP="00DE225E">
      <w:pPr>
        <w:spacing w:line="480" w:lineRule="auto"/>
        <w:jc w:val="center"/>
        <w:rPr>
          <w:rFonts w:ascii="Times New Roman" w:hAnsi="Times New Roman" w:cs="Times New Roman"/>
          <w:sz w:val="28"/>
          <w:szCs w:val="28"/>
        </w:rPr>
      </w:pPr>
    </w:p>
    <w:p w14:paraId="4E158DC8" w14:textId="77777777" w:rsidR="00077DBE" w:rsidRDefault="00077DBE" w:rsidP="00DE225E">
      <w:pPr>
        <w:spacing w:line="480" w:lineRule="auto"/>
        <w:jc w:val="center"/>
        <w:rPr>
          <w:rFonts w:ascii="Times New Roman" w:hAnsi="Times New Roman" w:cs="Times New Roman"/>
          <w:sz w:val="28"/>
          <w:szCs w:val="28"/>
        </w:rPr>
      </w:pPr>
    </w:p>
    <w:p w14:paraId="2BED1D41" w14:textId="77777777" w:rsidR="00077DBE" w:rsidRDefault="00077DBE" w:rsidP="00DE225E">
      <w:pPr>
        <w:spacing w:line="480" w:lineRule="auto"/>
        <w:jc w:val="center"/>
        <w:rPr>
          <w:rFonts w:ascii="Times New Roman" w:hAnsi="Times New Roman" w:cs="Times New Roman"/>
          <w:sz w:val="28"/>
          <w:szCs w:val="28"/>
        </w:rPr>
      </w:pPr>
    </w:p>
    <w:p w14:paraId="42881A29" w14:textId="77777777" w:rsidR="00077DBE" w:rsidRDefault="00077DBE" w:rsidP="00DE225E">
      <w:pPr>
        <w:spacing w:line="480" w:lineRule="auto"/>
        <w:jc w:val="center"/>
        <w:rPr>
          <w:rFonts w:ascii="Times New Roman" w:hAnsi="Times New Roman" w:cs="Times New Roman"/>
          <w:sz w:val="28"/>
          <w:szCs w:val="28"/>
        </w:rPr>
      </w:pPr>
    </w:p>
    <w:p w14:paraId="7A605EAC" w14:textId="77777777" w:rsidR="00077DBE" w:rsidRDefault="00077DBE" w:rsidP="00DE225E">
      <w:pPr>
        <w:spacing w:line="480" w:lineRule="auto"/>
        <w:jc w:val="center"/>
        <w:rPr>
          <w:rFonts w:ascii="Times New Roman" w:hAnsi="Times New Roman" w:cs="Times New Roman"/>
          <w:sz w:val="28"/>
          <w:szCs w:val="28"/>
        </w:rPr>
      </w:pPr>
    </w:p>
    <w:p w14:paraId="5E1CED22" w14:textId="77777777" w:rsidR="00077DBE" w:rsidRDefault="00077DBE" w:rsidP="00DE225E">
      <w:pPr>
        <w:spacing w:line="480" w:lineRule="auto"/>
        <w:jc w:val="center"/>
        <w:rPr>
          <w:rFonts w:ascii="Times New Roman" w:hAnsi="Times New Roman" w:cs="Times New Roman"/>
          <w:sz w:val="28"/>
          <w:szCs w:val="28"/>
        </w:rPr>
      </w:pPr>
    </w:p>
    <w:p w14:paraId="16C22CE9" w14:textId="77777777" w:rsidR="00077DBE" w:rsidRDefault="00077DBE" w:rsidP="00DE225E">
      <w:pPr>
        <w:spacing w:line="480" w:lineRule="auto"/>
        <w:jc w:val="center"/>
        <w:rPr>
          <w:rFonts w:ascii="Times New Roman" w:hAnsi="Times New Roman" w:cs="Times New Roman"/>
          <w:sz w:val="28"/>
          <w:szCs w:val="28"/>
        </w:rPr>
      </w:pPr>
    </w:p>
    <w:p w14:paraId="3241AE47" w14:textId="77777777" w:rsidR="00077DBE" w:rsidRDefault="00077DBE" w:rsidP="00DE225E">
      <w:pPr>
        <w:spacing w:line="480" w:lineRule="auto"/>
        <w:jc w:val="center"/>
        <w:rPr>
          <w:rFonts w:ascii="Times New Roman" w:hAnsi="Times New Roman" w:cs="Times New Roman"/>
          <w:sz w:val="28"/>
          <w:szCs w:val="28"/>
        </w:rPr>
      </w:pPr>
    </w:p>
    <w:p w14:paraId="1CC7A626" w14:textId="77777777" w:rsidR="00077DBE" w:rsidRDefault="00077DBE" w:rsidP="00DE225E">
      <w:pPr>
        <w:spacing w:line="480" w:lineRule="auto"/>
        <w:jc w:val="center"/>
        <w:rPr>
          <w:rFonts w:ascii="Times New Roman" w:hAnsi="Times New Roman" w:cs="Times New Roman"/>
          <w:sz w:val="28"/>
          <w:szCs w:val="28"/>
        </w:rPr>
      </w:pPr>
    </w:p>
    <w:p w14:paraId="323DB6CE" w14:textId="77777777" w:rsidR="00077DBE" w:rsidRDefault="00077DBE" w:rsidP="00DE225E">
      <w:pPr>
        <w:spacing w:line="480" w:lineRule="auto"/>
        <w:jc w:val="center"/>
        <w:rPr>
          <w:rFonts w:ascii="Times New Roman" w:hAnsi="Times New Roman" w:cs="Times New Roman"/>
          <w:sz w:val="28"/>
          <w:szCs w:val="28"/>
        </w:rPr>
      </w:pPr>
    </w:p>
    <w:p w14:paraId="049ABCC1" w14:textId="77777777" w:rsidR="00077DBE" w:rsidRDefault="00077DBE" w:rsidP="00DE225E">
      <w:pPr>
        <w:spacing w:line="480" w:lineRule="auto"/>
        <w:jc w:val="center"/>
        <w:rPr>
          <w:rFonts w:ascii="Times New Roman" w:hAnsi="Times New Roman" w:cs="Times New Roman"/>
          <w:sz w:val="28"/>
          <w:szCs w:val="28"/>
        </w:rPr>
      </w:pPr>
    </w:p>
    <w:p w14:paraId="193D6ADD" w14:textId="3CF417EB"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t>
      </w:r>
      <w:r w:rsidR="007020CB">
        <w:rPr>
          <w:rFonts w:ascii="Times New Roman" w:hAnsi="Times New Roman" w:cs="Times New Roman"/>
          <w:sz w:val="28"/>
          <w:szCs w:val="28"/>
        </w:rPr>
        <w:t>HREE</w:t>
      </w:r>
    </w:p>
    <w:p w14:paraId="17F705E0" w14:textId="3FA42DFB"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14:paraId="399E088E" w14:textId="04504766"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BF07CC" w:rsidRPr="00F134DD" w14:paraId="5A10252C" w14:textId="77777777" w:rsidTr="00E83C63">
        <w:trPr>
          <w:trHeight w:val="344"/>
        </w:trPr>
        <w:tc>
          <w:tcPr>
            <w:tcW w:w="5239" w:type="dxa"/>
          </w:tcPr>
          <w:p w14:paraId="5F017CA9"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57184B5D"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14:paraId="3B493206" w14:textId="77777777" w:rsidTr="00E83C63">
        <w:trPr>
          <w:trHeight w:val="1348"/>
        </w:trPr>
        <w:tc>
          <w:tcPr>
            <w:tcW w:w="5239" w:type="dxa"/>
          </w:tcPr>
          <w:p w14:paraId="386EE286" w14:textId="28E7385C"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14:paraId="10F50AD8" w14:textId="77777777" w:rsidR="00BF07CC" w:rsidRDefault="00BF07CC" w:rsidP="00E83C63">
            <w:pPr>
              <w:spacing w:line="276" w:lineRule="auto"/>
              <w:jc w:val="center"/>
              <w:rPr>
                <w:rFonts w:ascii="Times New Roman" w:hAnsi="Times New Roman" w:cs="Times New Roman"/>
                <w:sz w:val="28"/>
                <w:szCs w:val="28"/>
              </w:rPr>
            </w:pPr>
          </w:p>
          <w:p w14:paraId="23ADC3FB"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5C4440E9" w14:textId="77777777"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2B902555" w14:textId="53F4F1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Septate</w:t>
            </w:r>
          </w:p>
          <w:p w14:paraId="0BE4A0CD"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14:paraId="563E9E3B" w14:textId="093F565A"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to roughened born in unbranched chains</w:t>
            </w:r>
          </w:p>
        </w:tc>
      </w:tr>
    </w:tbl>
    <w:p w14:paraId="4EF7EB3B" w14:textId="77777777" w:rsidR="00346043" w:rsidRDefault="00346043" w:rsidP="00A72A90">
      <w:pPr>
        <w:tabs>
          <w:tab w:val="right" w:pos="8640"/>
        </w:tabs>
        <w:spacing w:line="480" w:lineRule="auto"/>
        <w:jc w:val="both"/>
        <w:rPr>
          <w:rFonts w:ascii="Times New Roman" w:hAnsi="Times New Roman" w:cs="Times New Roman"/>
          <w:sz w:val="28"/>
          <w:szCs w:val="28"/>
        </w:rPr>
      </w:pPr>
    </w:p>
    <w:p w14:paraId="0109015F" w14:textId="5431645F"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w:t>
      </w:r>
      <w:r w:rsidR="003B1D88">
        <w:rPr>
          <w:rFonts w:ascii="Times New Roman" w:hAnsi="Times New Roman" w:cs="Times New Roman"/>
          <w:iCs/>
          <w:sz w:val="28"/>
          <w:szCs w:val="28"/>
        </w:rPr>
        <w:t xml:space="preserve"> </w:t>
      </w:r>
      <w:r w:rsidR="004C5C93" w:rsidRPr="00C52E7C">
        <w:rPr>
          <w:rFonts w:ascii="Times New Roman" w:hAnsi="Times New Roman" w:cs="Times New Roman"/>
          <w:iCs/>
          <w:sz w:val="28"/>
          <w:szCs w:val="28"/>
        </w:rPr>
        <w:t>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406"/>
        <w:gridCol w:w="1587"/>
        <w:gridCol w:w="1197"/>
        <w:gridCol w:w="1381"/>
        <w:gridCol w:w="1565"/>
        <w:gridCol w:w="1105"/>
        <w:gridCol w:w="1197"/>
        <w:gridCol w:w="1397"/>
      </w:tblGrid>
      <w:tr w:rsidR="00E83C63" w14:paraId="1A36DDD9" w14:textId="77777777" w:rsidTr="009C3E0B">
        <w:trPr>
          <w:trHeight w:val="482"/>
        </w:trPr>
        <w:tc>
          <w:tcPr>
            <w:tcW w:w="523" w:type="dxa"/>
            <w:tcBorders>
              <w:top w:val="single" w:sz="4" w:space="0" w:color="auto"/>
              <w:bottom w:val="single" w:sz="4" w:space="0" w:color="auto"/>
            </w:tcBorders>
          </w:tcPr>
          <w:p w14:paraId="3FC9304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406" w:type="dxa"/>
            <w:tcBorders>
              <w:top w:val="single" w:sz="4" w:space="0" w:color="auto"/>
              <w:bottom w:val="single" w:sz="4" w:space="0" w:color="auto"/>
            </w:tcBorders>
          </w:tcPr>
          <w:p w14:paraId="244CF399" w14:textId="042C266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w:t>
            </w:r>
            <w:r w:rsidR="00E831DA">
              <w:rPr>
                <w:rFonts w:ascii="Times New Roman" w:hAnsi="Times New Roman" w:cs="Times New Roman"/>
                <w:iCs/>
                <w:sz w:val="28"/>
                <w:szCs w:val="28"/>
              </w:rPr>
              <w:lastRenderedPageBreak/>
              <w:t>e</w:t>
            </w:r>
          </w:p>
        </w:tc>
        <w:tc>
          <w:tcPr>
            <w:tcW w:w="1587" w:type="dxa"/>
            <w:tcBorders>
              <w:top w:val="single" w:sz="4" w:space="0" w:color="auto"/>
              <w:bottom w:val="single" w:sz="4" w:space="0" w:color="auto"/>
            </w:tcBorders>
          </w:tcPr>
          <w:p w14:paraId="372A0116"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Behavior </w:t>
            </w:r>
          </w:p>
        </w:tc>
        <w:tc>
          <w:tcPr>
            <w:tcW w:w="1197" w:type="dxa"/>
            <w:tcBorders>
              <w:top w:val="single" w:sz="4" w:space="0" w:color="auto"/>
              <w:bottom w:val="single" w:sz="4" w:space="0" w:color="auto"/>
            </w:tcBorders>
          </w:tcPr>
          <w:p w14:paraId="61786DE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14:paraId="641DFB2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Feeding &amp; </w:t>
            </w:r>
            <w:r>
              <w:rPr>
                <w:rFonts w:ascii="Times New Roman" w:hAnsi="Times New Roman" w:cs="Times New Roman"/>
                <w:iCs/>
                <w:sz w:val="28"/>
                <w:szCs w:val="28"/>
              </w:rPr>
              <w:lastRenderedPageBreak/>
              <w:t>drinking</w:t>
            </w:r>
          </w:p>
        </w:tc>
        <w:tc>
          <w:tcPr>
            <w:tcW w:w="1565" w:type="dxa"/>
            <w:tcBorders>
              <w:top w:val="single" w:sz="4" w:space="0" w:color="auto"/>
              <w:bottom w:val="single" w:sz="4" w:space="0" w:color="auto"/>
            </w:tcBorders>
          </w:tcPr>
          <w:p w14:paraId="6D381F9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Respiration </w:t>
            </w:r>
          </w:p>
        </w:tc>
        <w:tc>
          <w:tcPr>
            <w:tcW w:w="1105" w:type="dxa"/>
            <w:tcBorders>
              <w:top w:val="single" w:sz="4" w:space="0" w:color="auto"/>
              <w:bottom w:val="single" w:sz="4" w:space="0" w:color="auto"/>
            </w:tcBorders>
          </w:tcPr>
          <w:p w14:paraId="1D21C93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14:paraId="343019B8"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14:paraId="3457752C"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14:paraId="6B1622DC" w14:textId="77777777" w:rsidTr="009C3E0B">
        <w:trPr>
          <w:trHeight w:val="117"/>
        </w:trPr>
        <w:tc>
          <w:tcPr>
            <w:tcW w:w="523" w:type="dxa"/>
            <w:tcBorders>
              <w:top w:val="single" w:sz="4" w:space="0" w:color="auto"/>
              <w:bottom w:val="nil"/>
            </w:tcBorders>
          </w:tcPr>
          <w:p w14:paraId="45E97E89"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14:paraId="29A82A28" w14:textId="773D8C7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14:paraId="336618F3" w14:textId="7D4BB6B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14:paraId="6ED7E2A3" w14:textId="033A040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r>
              <w:rPr>
                <w:rFonts w:ascii="Times New Roman" w:hAnsi="Times New Roman" w:cs="Times New Roman"/>
                <w:iCs/>
                <w:sz w:val="28"/>
                <w:szCs w:val="28"/>
              </w:rPr>
              <w:t xml:space="preserve"> </w:t>
            </w:r>
          </w:p>
        </w:tc>
        <w:tc>
          <w:tcPr>
            <w:tcW w:w="1381" w:type="dxa"/>
            <w:tcBorders>
              <w:top w:val="single" w:sz="4" w:space="0" w:color="auto"/>
              <w:bottom w:val="nil"/>
            </w:tcBorders>
          </w:tcPr>
          <w:p w14:paraId="6B1E888A" w14:textId="32EA79EC"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single" w:sz="4" w:space="0" w:color="auto"/>
              <w:bottom w:val="nil"/>
            </w:tcBorders>
          </w:tcPr>
          <w:p w14:paraId="0D69039B" w14:textId="59DF79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14:paraId="10BC1353" w14:textId="0C39202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14:paraId="1A3E0B9B" w14:textId="0B5760B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14:paraId="594FF27A" w14:textId="7B36282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3455F829" w14:textId="77777777" w:rsidTr="009C3E0B">
        <w:trPr>
          <w:trHeight w:val="120"/>
        </w:trPr>
        <w:tc>
          <w:tcPr>
            <w:tcW w:w="523" w:type="dxa"/>
            <w:tcBorders>
              <w:top w:val="nil"/>
            </w:tcBorders>
          </w:tcPr>
          <w:p w14:paraId="4B444B6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14:paraId="160CB304" w14:textId="5C33DDE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14:paraId="003C4DB7" w14:textId="71980FF4"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14:paraId="247E0DDE" w14:textId="145BB3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14:paraId="12E6D3D2" w14:textId="673989EB"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nil"/>
            </w:tcBorders>
          </w:tcPr>
          <w:p w14:paraId="3C58DCCE" w14:textId="1DF7350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14:paraId="381BA98C" w14:textId="41017C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14:paraId="18442A1E" w14:textId="6F41B27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14:paraId="0A10749A" w14:textId="563BE4B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9DDE062" w14:textId="77777777" w:rsidTr="009C3E0B">
        <w:trPr>
          <w:trHeight w:val="120"/>
        </w:trPr>
        <w:tc>
          <w:tcPr>
            <w:tcW w:w="523" w:type="dxa"/>
          </w:tcPr>
          <w:p w14:paraId="611E09E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14:paraId="586F7215" w14:textId="7850ED91"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14:paraId="4678772E" w14:textId="78C6FD26"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14:paraId="1680FA9A" w14:textId="3488B9C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14:paraId="6D1AA615" w14:textId="1F56C313"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Pr>
          <w:p w14:paraId="3262600D" w14:textId="0620EE1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14:paraId="030BA646" w14:textId="574D797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14:paraId="70F66CD8" w14:textId="2D45DAA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38BA9B20" w14:textId="4A09796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0B003FF" w14:textId="77777777" w:rsidTr="009C3E0B">
        <w:trPr>
          <w:trHeight w:val="117"/>
        </w:trPr>
        <w:tc>
          <w:tcPr>
            <w:tcW w:w="523" w:type="dxa"/>
          </w:tcPr>
          <w:p w14:paraId="7FF5ED8F"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14:paraId="18A77E9D" w14:textId="3C513BEA"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14:paraId="6CB103A8" w14:textId="6C9C1A9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14:paraId="5DE62DD4" w14:textId="599C1C3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62790A23" w14:textId="5D34927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5886BEAC" w14:textId="0035F01E"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444DC425" w14:textId="17F74B1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766A9C59" w14:textId="68F9C92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2FD0B86" w14:textId="5DD3E98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5CEA45B4" w14:textId="77777777" w:rsidTr="009C3E0B">
        <w:trPr>
          <w:trHeight w:val="120"/>
        </w:trPr>
        <w:tc>
          <w:tcPr>
            <w:tcW w:w="523" w:type="dxa"/>
          </w:tcPr>
          <w:p w14:paraId="2B963244"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14:paraId="3C133272" w14:textId="46AF94BD"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47830DCA" w14:textId="7E25B6E8"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09B4D813" w14:textId="1933BE7F"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14:paraId="79D214A2" w14:textId="68ACBC34"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0B6E92DA" w14:textId="1830F04A"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2C045C62" w14:textId="353EF2E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E58F55E" w14:textId="79BBD5C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5C9E1D9" w14:textId="6492F58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A92F4D3" w14:textId="77777777" w:rsidTr="009C3E0B">
        <w:trPr>
          <w:trHeight w:val="120"/>
        </w:trPr>
        <w:tc>
          <w:tcPr>
            <w:tcW w:w="523" w:type="dxa"/>
          </w:tcPr>
          <w:p w14:paraId="2280FE9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14:paraId="49B44F95" w14:textId="0451E827"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255DE7B7" w14:textId="0949222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14:paraId="1E8F1021" w14:textId="44318A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716A81C0" w14:textId="764CE854"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1E0092B2" w14:textId="4C805B78"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14:ligatures w14:val="none"/>
              </w:rPr>
              <w:t>Tachypnea</w:t>
            </w:r>
          </w:p>
        </w:tc>
        <w:tc>
          <w:tcPr>
            <w:tcW w:w="1105" w:type="dxa"/>
          </w:tcPr>
          <w:p w14:paraId="17087861" w14:textId="570A1B8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AFEE02E" w14:textId="5CF3889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5EEB0E5D" w14:textId="18E8CB9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D55DAEB" w14:textId="77777777" w:rsidTr="009C3E0B">
        <w:trPr>
          <w:trHeight w:val="267"/>
        </w:trPr>
        <w:tc>
          <w:tcPr>
            <w:tcW w:w="523" w:type="dxa"/>
          </w:tcPr>
          <w:p w14:paraId="72C74A32"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14:paraId="627650A1" w14:textId="16AA506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7000230D" w14:textId="604FB18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504D9F82" w14:textId="7D3C622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4CED2CBF" w14:textId="6ECBE5B6"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41DA7227" w14:textId="0521FF4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14:paraId="745A290B" w14:textId="61E76FB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41E573E5" w14:textId="5EABA15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1A9BFD6C" w14:textId="115C1034"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C63" w14:paraId="6F100F0C" w14:textId="77777777" w:rsidTr="009C3E0B">
        <w:trPr>
          <w:trHeight w:val="124"/>
        </w:trPr>
        <w:tc>
          <w:tcPr>
            <w:tcW w:w="523" w:type="dxa"/>
          </w:tcPr>
          <w:p w14:paraId="11BC5C8A"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14:paraId="0236D4A8" w14:textId="283D5A0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0C88DF31" w14:textId="10AEAFF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14:paraId="79E70A14" w14:textId="77777777" w:rsidR="004C5C93" w:rsidRDefault="004C5C93" w:rsidP="00E83C63">
            <w:pPr>
              <w:tabs>
                <w:tab w:val="right" w:pos="8640"/>
              </w:tabs>
              <w:jc w:val="both"/>
              <w:rPr>
                <w:rFonts w:ascii="Times New Roman" w:hAnsi="Times New Roman" w:cs="Times New Roman"/>
                <w:iCs/>
                <w:sz w:val="28"/>
                <w:szCs w:val="28"/>
              </w:rPr>
            </w:pPr>
          </w:p>
        </w:tc>
        <w:tc>
          <w:tcPr>
            <w:tcW w:w="1381" w:type="dxa"/>
          </w:tcPr>
          <w:p w14:paraId="2F7AA9B4" w14:textId="77777777" w:rsidR="004C5C93" w:rsidRDefault="004C5C93" w:rsidP="00E83C63">
            <w:pPr>
              <w:tabs>
                <w:tab w:val="right" w:pos="8640"/>
              </w:tabs>
              <w:jc w:val="both"/>
              <w:rPr>
                <w:rFonts w:ascii="Times New Roman" w:hAnsi="Times New Roman" w:cs="Times New Roman"/>
                <w:iCs/>
                <w:sz w:val="28"/>
                <w:szCs w:val="28"/>
              </w:rPr>
            </w:pPr>
          </w:p>
        </w:tc>
        <w:tc>
          <w:tcPr>
            <w:tcW w:w="1565" w:type="dxa"/>
          </w:tcPr>
          <w:p w14:paraId="0FCD201B" w14:textId="77777777" w:rsidR="004C5C93" w:rsidRDefault="004C5C93" w:rsidP="00E83C63">
            <w:pPr>
              <w:tabs>
                <w:tab w:val="right" w:pos="8640"/>
              </w:tabs>
              <w:jc w:val="both"/>
              <w:rPr>
                <w:rFonts w:ascii="Times New Roman" w:hAnsi="Times New Roman" w:cs="Times New Roman"/>
                <w:iCs/>
                <w:sz w:val="28"/>
                <w:szCs w:val="28"/>
              </w:rPr>
            </w:pPr>
          </w:p>
        </w:tc>
        <w:tc>
          <w:tcPr>
            <w:tcW w:w="1105" w:type="dxa"/>
          </w:tcPr>
          <w:p w14:paraId="4B556ABF" w14:textId="77777777" w:rsidR="004C5C93" w:rsidRDefault="004C5C93" w:rsidP="00E83C63">
            <w:pPr>
              <w:tabs>
                <w:tab w:val="right" w:pos="8640"/>
              </w:tabs>
              <w:jc w:val="both"/>
              <w:rPr>
                <w:rFonts w:ascii="Times New Roman" w:hAnsi="Times New Roman" w:cs="Times New Roman"/>
                <w:iCs/>
                <w:sz w:val="28"/>
                <w:szCs w:val="28"/>
              </w:rPr>
            </w:pPr>
          </w:p>
        </w:tc>
        <w:tc>
          <w:tcPr>
            <w:tcW w:w="1197" w:type="dxa"/>
          </w:tcPr>
          <w:p w14:paraId="26ED1168" w14:textId="77777777" w:rsidR="004C5C93" w:rsidRDefault="004C5C93" w:rsidP="00E83C63">
            <w:pPr>
              <w:tabs>
                <w:tab w:val="right" w:pos="8640"/>
              </w:tabs>
              <w:jc w:val="both"/>
              <w:rPr>
                <w:rFonts w:ascii="Times New Roman" w:hAnsi="Times New Roman" w:cs="Times New Roman"/>
                <w:iCs/>
                <w:sz w:val="28"/>
                <w:szCs w:val="28"/>
              </w:rPr>
            </w:pPr>
          </w:p>
        </w:tc>
        <w:tc>
          <w:tcPr>
            <w:tcW w:w="1397" w:type="dxa"/>
          </w:tcPr>
          <w:p w14:paraId="6FC18B76" w14:textId="77777777" w:rsidR="004C5C93" w:rsidRDefault="004C5C93" w:rsidP="00E83C63">
            <w:pPr>
              <w:tabs>
                <w:tab w:val="right" w:pos="8640"/>
              </w:tabs>
              <w:jc w:val="both"/>
              <w:rPr>
                <w:rFonts w:ascii="Times New Roman" w:hAnsi="Times New Roman" w:cs="Times New Roman"/>
                <w:iCs/>
                <w:sz w:val="28"/>
                <w:szCs w:val="28"/>
              </w:rPr>
            </w:pPr>
          </w:p>
        </w:tc>
      </w:tr>
    </w:tbl>
    <w:p w14:paraId="06169753" w14:textId="77777777" w:rsidR="00233D4D" w:rsidRDefault="00233D4D" w:rsidP="004C5C93">
      <w:pPr>
        <w:tabs>
          <w:tab w:val="right" w:pos="8640"/>
        </w:tabs>
        <w:spacing w:line="480" w:lineRule="auto"/>
        <w:jc w:val="both"/>
        <w:rPr>
          <w:rFonts w:ascii="Times New Roman" w:hAnsi="Times New Roman" w:cs="Times New Roman"/>
          <w:iCs/>
        </w:rPr>
      </w:pPr>
    </w:p>
    <w:p w14:paraId="41E394C2" w14:textId="225B23A5"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C63">
        <w:rPr>
          <w:rFonts w:ascii="Times New Roman" w:hAnsi="Times New Roman" w:cs="Times New Roman"/>
          <w:iCs/>
          <w:sz w:val="28"/>
          <w:szCs w:val="28"/>
        </w:rPr>
        <w:t xml:space="preserve"> </w:t>
      </w:r>
      <w:r w:rsidR="004C5C93">
        <w:rPr>
          <w:rFonts w:ascii="Times New Roman" w:hAnsi="Times New Roman" w:cs="Times New Roman"/>
          <w:iCs/>
          <w:sz w:val="28"/>
          <w:szCs w:val="28"/>
        </w:rPr>
        <w:t>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315C15" w14:paraId="531960BC" w14:textId="77777777" w:rsidTr="009C3E0B">
        <w:trPr>
          <w:trHeight w:val="492"/>
        </w:trPr>
        <w:tc>
          <w:tcPr>
            <w:tcW w:w="511" w:type="dxa"/>
            <w:tcBorders>
              <w:top w:val="single" w:sz="4" w:space="0" w:color="auto"/>
              <w:bottom w:val="single" w:sz="4" w:space="0" w:color="auto"/>
            </w:tcBorders>
          </w:tcPr>
          <w:p w14:paraId="159700C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5D052D2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2AA1213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0284B0E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37832093" w14:textId="1AF868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r>
              <w:rPr>
                <w:rFonts w:ascii="Times New Roman" w:hAnsi="Times New Roman" w:cs="Times New Roman"/>
                <w:iCs/>
                <w:sz w:val="28"/>
                <w:szCs w:val="28"/>
              </w:rPr>
              <w:t>eeding &amp; drinking</w:t>
            </w:r>
          </w:p>
        </w:tc>
        <w:tc>
          <w:tcPr>
            <w:tcW w:w="1530" w:type="dxa"/>
            <w:tcBorders>
              <w:top w:val="single" w:sz="4" w:space="0" w:color="auto"/>
              <w:bottom w:val="single" w:sz="4" w:space="0" w:color="auto"/>
            </w:tcBorders>
          </w:tcPr>
          <w:p w14:paraId="3C858A0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6A0C611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77F4AA0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02CD5F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14:paraId="553C88FA" w14:textId="77777777" w:rsidTr="009C3E0B">
        <w:trPr>
          <w:trHeight w:val="119"/>
        </w:trPr>
        <w:tc>
          <w:tcPr>
            <w:tcW w:w="511" w:type="dxa"/>
            <w:tcBorders>
              <w:top w:val="single" w:sz="4" w:space="0" w:color="auto"/>
              <w:bottom w:val="nil"/>
            </w:tcBorders>
          </w:tcPr>
          <w:p w14:paraId="0FA0FDB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2E3324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7AFA481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6EAC2D2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E4D6E83" w14:textId="62BC13BF"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B9571B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0F38DA1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131479C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1391A39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086A956F" w14:textId="77777777" w:rsidTr="009C3E0B">
        <w:trPr>
          <w:trHeight w:val="122"/>
        </w:trPr>
        <w:tc>
          <w:tcPr>
            <w:tcW w:w="511" w:type="dxa"/>
            <w:tcBorders>
              <w:top w:val="nil"/>
            </w:tcBorders>
          </w:tcPr>
          <w:p w14:paraId="0E5FCB7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C0D7C9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7C72211E" w14:textId="1550117B"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14:paraId="416D81C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119395E" w14:textId="092D037C"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5FBA7ED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10A1316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12F1562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4F83A55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21D3D82" w14:textId="77777777" w:rsidTr="009C3E0B">
        <w:trPr>
          <w:trHeight w:val="122"/>
        </w:trPr>
        <w:tc>
          <w:tcPr>
            <w:tcW w:w="511" w:type="dxa"/>
          </w:tcPr>
          <w:p w14:paraId="7BF377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4649A655" w14:textId="28D690E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27EF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2BE218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BD08E3B" w14:textId="45DC3370"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2AED257B" w14:textId="36382E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6C3B46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EDA42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3BF048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C17315B" w14:textId="77777777" w:rsidTr="009C3E0B">
        <w:trPr>
          <w:trHeight w:val="119"/>
        </w:trPr>
        <w:tc>
          <w:tcPr>
            <w:tcW w:w="511" w:type="dxa"/>
          </w:tcPr>
          <w:p w14:paraId="06CD59E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0EFDC251" w14:textId="2EEE314D"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38144C0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14:paraId="7DB5A7FE" w14:textId="399CE395"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14:paraId="3CFABA5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9CBEAEE" w14:textId="216AE5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14:paraId="1F009D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59F81F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348D4C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0C21C53" w14:textId="77777777" w:rsidTr="009C3E0B">
        <w:trPr>
          <w:trHeight w:val="122"/>
        </w:trPr>
        <w:tc>
          <w:tcPr>
            <w:tcW w:w="511" w:type="dxa"/>
          </w:tcPr>
          <w:p w14:paraId="40CD34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1B71299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F549D7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C2A50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0E60F5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8A51C82" w14:textId="4878E99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143709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342D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364A704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509ADD0" w14:textId="77777777" w:rsidTr="009C3E0B">
        <w:trPr>
          <w:trHeight w:val="122"/>
        </w:trPr>
        <w:tc>
          <w:tcPr>
            <w:tcW w:w="511" w:type="dxa"/>
          </w:tcPr>
          <w:p w14:paraId="11C586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61C1E69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66B94D5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6DD995F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F5B12E0" w14:textId="06C48C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3EFF5A9" w14:textId="562AC8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7B04FE0" w14:textId="1DFC8E7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1F52B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58EDEE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7B8F363A" w14:textId="77777777" w:rsidTr="009C3E0B">
        <w:trPr>
          <w:trHeight w:val="746"/>
        </w:trPr>
        <w:tc>
          <w:tcPr>
            <w:tcW w:w="511" w:type="dxa"/>
          </w:tcPr>
          <w:p w14:paraId="3F5DEE5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118E2B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629517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A26C6C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CA58362" w14:textId="218EB6A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04AE297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28785135" w14:textId="7FD5CE5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AD0157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BD4BE2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315C15" w14:paraId="24B627D2" w14:textId="77777777" w:rsidTr="009C3E0B">
        <w:trPr>
          <w:trHeight w:val="126"/>
        </w:trPr>
        <w:tc>
          <w:tcPr>
            <w:tcW w:w="511" w:type="dxa"/>
          </w:tcPr>
          <w:p w14:paraId="4020566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339F15D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914C4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14:paraId="2CC13B3B"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0C0A1CFB" w14:textId="77777777" w:rsidR="00315C15" w:rsidRDefault="00315C15" w:rsidP="00E831DA">
            <w:pPr>
              <w:tabs>
                <w:tab w:val="right" w:pos="8640"/>
              </w:tabs>
              <w:jc w:val="both"/>
              <w:rPr>
                <w:rFonts w:ascii="Times New Roman" w:hAnsi="Times New Roman" w:cs="Times New Roman"/>
                <w:iCs/>
                <w:sz w:val="28"/>
                <w:szCs w:val="28"/>
              </w:rPr>
            </w:pPr>
          </w:p>
        </w:tc>
        <w:tc>
          <w:tcPr>
            <w:tcW w:w="1530" w:type="dxa"/>
          </w:tcPr>
          <w:p w14:paraId="7B0674CA" w14:textId="77777777" w:rsidR="00315C15" w:rsidRDefault="00315C15" w:rsidP="00E831DA">
            <w:pPr>
              <w:tabs>
                <w:tab w:val="right" w:pos="8640"/>
              </w:tabs>
              <w:jc w:val="both"/>
              <w:rPr>
                <w:rFonts w:ascii="Times New Roman" w:hAnsi="Times New Roman" w:cs="Times New Roman"/>
                <w:iCs/>
                <w:sz w:val="28"/>
                <w:szCs w:val="28"/>
              </w:rPr>
            </w:pPr>
          </w:p>
        </w:tc>
        <w:tc>
          <w:tcPr>
            <w:tcW w:w="1084" w:type="dxa"/>
          </w:tcPr>
          <w:p w14:paraId="41BB5EA5" w14:textId="77777777" w:rsidR="00315C15" w:rsidRDefault="00315C15" w:rsidP="00E831DA">
            <w:pPr>
              <w:tabs>
                <w:tab w:val="right" w:pos="8640"/>
              </w:tabs>
              <w:jc w:val="both"/>
              <w:rPr>
                <w:rFonts w:ascii="Times New Roman" w:hAnsi="Times New Roman" w:cs="Times New Roman"/>
                <w:iCs/>
                <w:sz w:val="28"/>
                <w:szCs w:val="28"/>
              </w:rPr>
            </w:pPr>
          </w:p>
        </w:tc>
        <w:tc>
          <w:tcPr>
            <w:tcW w:w="1166" w:type="dxa"/>
          </w:tcPr>
          <w:p w14:paraId="4C2AC41F"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1FB2AD7C" w14:textId="77777777" w:rsidR="00315C15" w:rsidRDefault="00315C15" w:rsidP="00E831DA">
            <w:pPr>
              <w:tabs>
                <w:tab w:val="right" w:pos="8640"/>
              </w:tabs>
              <w:jc w:val="both"/>
              <w:rPr>
                <w:rFonts w:ascii="Times New Roman" w:hAnsi="Times New Roman" w:cs="Times New Roman"/>
                <w:iCs/>
                <w:sz w:val="28"/>
                <w:szCs w:val="28"/>
              </w:rPr>
            </w:pPr>
          </w:p>
        </w:tc>
      </w:tr>
    </w:tbl>
    <w:p w14:paraId="17BBF497" w14:textId="5F07802D"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9C3E0B" w14:paraId="5D377CBA" w14:textId="77777777" w:rsidTr="00E831DA">
        <w:trPr>
          <w:trHeight w:val="492"/>
        </w:trPr>
        <w:tc>
          <w:tcPr>
            <w:tcW w:w="511" w:type="dxa"/>
            <w:tcBorders>
              <w:top w:val="single" w:sz="4" w:space="0" w:color="auto"/>
              <w:bottom w:val="single" w:sz="4" w:space="0" w:color="auto"/>
            </w:tcBorders>
          </w:tcPr>
          <w:p w14:paraId="5951EBB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36CBCAC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w:t>
            </w:r>
            <w:r>
              <w:rPr>
                <w:rFonts w:ascii="Times New Roman" w:hAnsi="Times New Roman" w:cs="Times New Roman"/>
                <w:iCs/>
                <w:sz w:val="28"/>
                <w:szCs w:val="28"/>
              </w:rPr>
              <w:lastRenderedPageBreak/>
              <w:t>e</w:t>
            </w:r>
          </w:p>
        </w:tc>
        <w:tc>
          <w:tcPr>
            <w:tcW w:w="1462" w:type="dxa"/>
            <w:tcBorders>
              <w:top w:val="single" w:sz="4" w:space="0" w:color="auto"/>
              <w:bottom w:val="single" w:sz="4" w:space="0" w:color="auto"/>
            </w:tcBorders>
          </w:tcPr>
          <w:p w14:paraId="432E25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Behavior </w:t>
            </w:r>
          </w:p>
        </w:tc>
        <w:tc>
          <w:tcPr>
            <w:tcW w:w="1170" w:type="dxa"/>
            <w:tcBorders>
              <w:top w:val="single" w:sz="4" w:space="0" w:color="auto"/>
              <w:bottom w:val="single" w:sz="4" w:space="0" w:color="auto"/>
            </w:tcBorders>
          </w:tcPr>
          <w:p w14:paraId="5C69513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4F5CA6B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30753D4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1CBCDBD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144A4A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120AA7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14:paraId="63412F21" w14:textId="77777777" w:rsidTr="00E831DA">
        <w:trPr>
          <w:trHeight w:val="119"/>
        </w:trPr>
        <w:tc>
          <w:tcPr>
            <w:tcW w:w="511" w:type="dxa"/>
            <w:tcBorders>
              <w:top w:val="single" w:sz="4" w:space="0" w:color="auto"/>
              <w:bottom w:val="nil"/>
            </w:tcBorders>
          </w:tcPr>
          <w:p w14:paraId="34B8D6F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321ACC0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4911A7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4564B75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43DB83C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75BB2C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3E6405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33EADA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7698E9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4E4FDE15" w14:textId="77777777" w:rsidTr="00E831DA">
        <w:trPr>
          <w:trHeight w:val="122"/>
        </w:trPr>
        <w:tc>
          <w:tcPr>
            <w:tcW w:w="511" w:type="dxa"/>
            <w:tcBorders>
              <w:top w:val="nil"/>
            </w:tcBorders>
          </w:tcPr>
          <w:p w14:paraId="56B9E7F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3504EC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19017BFE" w14:textId="2121B24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14:paraId="68FE6E7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3E128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6FE6D1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050D9D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766B497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CEF2A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0D9F45A" w14:textId="77777777" w:rsidTr="00E831DA">
        <w:trPr>
          <w:trHeight w:val="122"/>
        </w:trPr>
        <w:tc>
          <w:tcPr>
            <w:tcW w:w="511" w:type="dxa"/>
          </w:tcPr>
          <w:p w14:paraId="6907A6B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65949C1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134183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16928A6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ED3FA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754EB68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7BC7397"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AB43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C5A57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65B50331" w14:textId="77777777" w:rsidTr="00E831DA">
        <w:trPr>
          <w:trHeight w:val="119"/>
        </w:trPr>
        <w:tc>
          <w:tcPr>
            <w:tcW w:w="511" w:type="dxa"/>
          </w:tcPr>
          <w:p w14:paraId="547FFA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4CACCC16" w14:textId="141703C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1C1E55FD" w14:textId="4D11519D"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52D59743" w14:textId="1742B3FC"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718C2B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BF2334E" w14:textId="18667F98"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14:paraId="55A70E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4F1A10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4BB6F9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36740273" w14:textId="77777777" w:rsidTr="00E831DA">
        <w:trPr>
          <w:trHeight w:val="122"/>
        </w:trPr>
        <w:tc>
          <w:tcPr>
            <w:tcW w:w="511" w:type="dxa"/>
          </w:tcPr>
          <w:p w14:paraId="6C485AF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2ED7CD91" w14:textId="32E212A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27F600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238E685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29461F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0241FD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8981D7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EAF7F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DCB9730"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67713A2" w14:textId="77777777" w:rsidTr="00E831DA">
        <w:trPr>
          <w:trHeight w:val="122"/>
        </w:trPr>
        <w:tc>
          <w:tcPr>
            <w:tcW w:w="511" w:type="dxa"/>
          </w:tcPr>
          <w:p w14:paraId="1B8ED2E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513E2C6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9396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0A82829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BD964E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6E01B2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21CB578" w14:textId="2554700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26AB00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1F105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07999E0B" w14:textId="77777777" w:rsidTr="00E831DA">
        <w:trPr>
          <w:trHeight w:val="746"/>
        </w:trPr>
        <w:tc>
          <w:tcPr>
            <w:tcW w:w="511" w:type="dxa"/>
          </w:tcPr>
          <w:p w14:paraId="31390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41F808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7921F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3BD99D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68BC94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5BB5E6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6C6A455B" w14:textId="6815718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F393A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274D84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9C3E0B" w14:paraId="43A8601A" w14:textId="77777777" w:rsidTr="00E831DA">
        <w:trPr>
          <w:trHeight w:val="126"/>
        </w:trPr>
        <w:tc>
          <w:tcPr>
            <w:tcW w:w="511" w:type="dxa"/>
          </w:tcPr>
          <w:p w14:paraId="2B50D0B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566378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41215ABB" w14:textId="78CB7149"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37A28F9A" w14:textId="6521019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726BCE59" w14:textId="2258341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CD83082" w14:textId="6584E1A1"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CC9AE95" w14:textId="179ACFF6"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03B95A5" w14:textId="3A74BF14"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8E8BD05" w14:textId="3B6CC2B2"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424D734C" w14:textId="1867394C"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E831DA" w14:paraId="712BDC4E" w14:textId="77777777" w:rsidTr="00E831DA">
        <w:trPr>
          <w:trHeight w:val="492"/>
        </w:trPr>
        <w:tc>
          <w:tcPr>
            <w:tcW w:w="511" w:type="dxa"/>
            <w:tcBorders>
              <w:top w:val="single" w:sz="4" w:space="0" w:color="auto"/>
              <w:bottom w:val="single" w:sz="4" w:space="0" w:color="auto"/>
            </w:tcBorders>
          </w:tcPr>
          <w:p w14:paraId="2FC2F1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64C9382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167BABC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2178A3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2C1587F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510EDE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427CF22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4E61E88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1D23602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14:paraId="7C1C51DB" w14:textId="77777777" w:rsidTr="00E831DA">
        <w:trPr>
          <w:trHeight w:val="119"/>
        </w:trPr>
        <w:tc>
          <w:tcPr>
            <w:tcW w:w="511" w:type="dxa"/>
            <w:tcBorders>
              <w:top w:val="single" w:sz="4" w:space="0" w:color="auto"/>
              <w:bottom w:val="nil"/>
            </w:tcBorders>
          </w:tcPr>
          <w:p w14:paraId="3AAF82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7A1B99A8" w14:textId="5B3DB491"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14:paraId="0FE2C9C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0A649C6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0D120F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01E98B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78FFD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A0E3C1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3F24A6B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94977D1" w14:textId="77777777" w:rsidTr="00E831DA">
        <w:trPr>
          <w:trHeight w:val="122"/>
        </w:trPr>
        <w:tc>
          <w:tcPr>
            <w:tcW w:w="511" w:type="dxa"/>
            <w:tcBorders>
              <w:top w:val="nil"/>
            </w:tcBorders>
          </w:tcPr>
          <w:p w14:paraId="657D322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EFAA65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40CB2D38" w14:textId="0B64436C"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14:paraId="4D92953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B73FB1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7B7532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5A23C23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28DFC57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BA7A3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5B0A4CB" w14:textId="77777777" w:rsidTr="00E831DA">
        <w:trPr>
          <w:trHeight w:val="122"/>
        </w:trPr>
        <w:tc>
          <w:tcPr>
            <w:tcW w:w="511" w:type="dxa"/>
          </w:tcPr>
          <w:p w14:paraId="7286854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2DB32A3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4D684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34F8BFD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5E3E1C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5259B795" w14:textId="5A79A05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Nor]mal</w:t>
            </w:r>
          </w:p>
        </w:tc>
        <w:tc>
          <w:tcPr>
            <w:tcW w:w="1084" w:type="dxa"/>
          </w:tcPr>
          <w:p w14:paraId="56E4A7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1CFF461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830DD9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11007B" w14:textId="77777777" w:rsidTr="00E831DA">
        <w:trPr>
          <w:trHeight w:val="119"/>
        </w:trPr>
        <w:tc>
          <w:tcPr>
            <w:tcW w:w="511" w:type="dxa"/>
          </w:tcPr>
          <w:p w14:paraId="74AEE48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7481CE4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2D385AF" w14:textId="1BAFEE83"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14:paraId="77BC693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21CFFE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D921F19" w14:textId="23790E3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9C00EA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7FEC6DB"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41F7D2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1179307C" w14:textId="77777777" w:rsidTr="00E831DA">
        <w:trPr>
          <w:trHeight w:val="122"/>
        </w:trPr>
        <w:tc>
          <w:tcPr>
            <w:tcW w:w="511" w:type="dxa"/>
          </w:tcPr>
          <w:p w14:paraId="424C5B2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0652CE2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1BB6AD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7DFF58B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47FAE8F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FC894C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4CFFE3C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FD2AC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026F45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57F5C0" w14:textId="77777777" w:rsidTr="00E831DA">
        <w:trPr>
          <w:trHeight w:val="122"/>
        </w:trPr>
        <w:tc>
          <w:tcPr>
            <w:tcW w:w="511" w:type="dxa"/>
          </w:tcPr>
          <w:p w14:paraId="7145CE5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1E0938B8" w14:textId="4B43D52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14:paraId="62D1B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22E691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25918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F088F0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766431A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D194E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F4B506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0FE8ED8" w14:textId="77777777" w:rsidTr="00E831DA">
        <w:trPr>
          <w:trHeight w:val="746"/>
        </w:trPr>
        <w:tc>
          <w:tcPr>
            <w:tcW w:w="511" w:type="dxa"/>
          </w:tcPr>
          <w:p w14:paraId="647BB66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9110CE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E287C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124181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13FB5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79E929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1969D4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BF7635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CABAC5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1DA" w14:paraId="5845955E" w14:textId="77777777" w:rsidTr="00E831DA">
        <w:trPr>
          <w:trHeight w:val="126"/>
        </w:trPr>
        <w:tc>
          <w:tcPr>
            <w:tcW w:w="511" w:type="dxa"/>
          </w:tcPr>
          <w:p w14:paraId="50BAD22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2A1C17C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2C8F45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4251F57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5D436E0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EE04C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DDEA5D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18CED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91F3D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1E33C5BE" w14:textId="44720DEE" w:rsidR="00E831DA" w:rsidRPr="00233D4D" w:rsidRDefault="00E831DA" w:rsidP="00233D4D">
      <w:pPr>
        <w:tabs>
          <w:tab w:val="left" w:pos="1486"/>
        </w:tabs>
        <w:rPr>
          <w:rFonts w:ascii="Times New Roman" w:hAnsi="Times New Roman" w:cs="Times New Roman"/>
          <w:sz w:val="28"/>
          <w:szCs w:val="28"/>
        </w:rPr>
      </w:pPr>
    </w:p>
    <w:p w14:paraId="3453DC9A" w14:textId="16CEA0E5" w:rsidR="00C04A44" w:rsidRDefault="00C04A44" w:rsidP="00A72A90">
      <w:pPr>
        <w:tabs>
          <w:tab w:val="right" w:pos="8640"/>
        </w:tabs>
        <w:spacing w:line="480" w:lineRule="auto"/>
        <w:jc w:val="both"/>
        <w:rPr>
          <w:rFonts w:ascii="Times New Roman" w:hAnsi="Times New Roman" w:cs="Times New Roman"/>
          <w:iCs/>
          <w:sz w:val="28"/>
          <w:szCs w:val="28"/>
        </w:rPr>
      </w:pPr>
      <w:r>
        <w:rPr>
          <w:noProof/>
        </w:rPr>
        <w:lastRenderedPageBreak/>
        <w:drawing>
          <wp:inline distT="0" distB="0" distL="0" distR="0" wp14:anchorId="60D89CE2" wp14:editId="66B4D157">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56B77E"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08392FBA"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4ACF4B46" w14:textId="5011CC56"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firstRow="1" w:lastRow="0" w:firstColumn="1" w:lastColumn="0" w:noHBand="0" w:noVBand="1"/>
      </w:tblPr>
      <w:tblGrid>
        <w:gridCol w:w="1313"/>
        <w:gridCol w:w="2217"/>
        <w:gridCol w:w="2217"/>
        <w:gridCol w:w="2017"/>
        <w:gridCol w:w="2017"/>
      </w:tblGrid>
      <w:tr w:rsidR="00DE2263" w14:paraId="345D9943" w14:textId="5E0309C7" w:rsidTr="00974A9A">
        <w:trPr>
          <w:trHeight w:val="996"/>
        </w:trPr>
        <w:tc>
          <w:tcPr>
            <w:tcW w:w="1313" w:type="dxa"/>
          </w:tcPr>
          <w:p w14:paraId="23289F6D" w14:textId="5687829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14:paraId="6878CD1F" w14:textId="18E06AD8"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14:paraId="7D6204C3" w14:textId="157A1C2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14:paraId="61584C19" w14:textId="0D64B13C"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14:paraId="359B01EB" w14:textId="57FFBDD4"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14:paraId="6DBC3877" w14:textId="16A55A0F" w:rsidTr="00974A9A">
        <w:trPr>
          <w:trHeight w:val="996"/>
        </w:trPr>
        <w:tc>
          <w:tcPr>
            <w:tcW w:w="1313" w:type="dxa"/>
          </w:tcPr>
          <w:p w14:paraId="05CD72E4" w14:textId="65175078"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14:paraId="35BD363F" w14:textId="4D39B95C"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14:paraId="36D6E92D" w14:textId="2F93EB14"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14:paraId="39BB4D75" w14:textId="0B7FEDD6"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14:paraId="607CA213" w14:textId="30762E15"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14:paraId="7E51FCAD" w14:textId="2862AEB0" w:rsidTr="00974A9A">
        <w:trPr>
          <w:trHeight w:val="1025"/>
        </w:trPr>
        <w:tc>
          <w:tcPr>
            <w:tcW w:w="1313" w:type="dxa"/>
          </w:tcPr>
          <w:p w14:paraId="68CF1441" w14:textId="55740FB9"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14:paraId="6B48F886" w14:textId="6D6FACA5"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14:paraId="697310A2" w14:textId="6FB069AF"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t>
            </w:r>
            <w:r w:rsidR="00CC2093">
              <w:rPr>
                <w:rFonts w:ascii="Times New Roman" w:hAnsi="Times New Roman" w:cs="Times New Roman"/>
                <w:sz w:val="28"/>
                <w:szCs w:val="28"/>
              </w:rPr>
              <w:t xml:space="preserve"> </w:t>
            </w:r>
            <w:r w:rsidR="005D7EC2">
              <w:rPr>
                <w:rFonts w:ascii="Times New Roman" w:hAnsi="Times New Roman" w:cs="Times New Roman"/>
                <w:sz w:val="28"/>
                <w:szCs w:val="28"/>
              </w:rPr>
              <w:t>Whitish</w:t>
            </w:r>
            <w:r>
              <w:rPr>
                <w:rFonts w:ascii="Times New Roman" w:hAnsi="Times New Roman" w:cs="Times New Roman"/>
                <w:sz w:val="28"/>
                <w:szCs w:val="28"/>
              </w:rPr>
              <w:t xml:space="preserve"> </w:t>
            </w:r>
          </w:p>
        </w:tc>
        <w:tc>
          <w:tcPr>
            <w:tcW w:w="2017" w:type="dxa"/>
          </w:tcPr>
          <w:p w14:paraId="06DD0D8A" w14:textId="0471E730"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14:paraId="6CD44C1C" w14:textId="621E213A"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14:paraId="6D5F525A" w14:textId="271BF112" w:rsidR="009F599F" w:rsidRDefault="009F599F" w:rsidP="00471BB7">
      <w:pPr>
        <w:spacing w:line="480" w:lineRule="auto"/>
        <w:jc w:val="both"/>
        <w:rPr>
          <w:rFonts w:ascii="Times New Roman" w:hAnsi="Times New Roman" w:cs="Times New Roman"/>
          <w:sz w:val="28"/>
          <w:szCs w:val="28"/>
        </w:rPr>
      </w:pPr>
    </w:p>
    <w:p w14:paraId="35202A5F" w14:textId="77777777" w:rsidR="00395254" w:rsidRDefault="00395254" w:rsidP="00471BB7">
      <w:pPr>
        <w:spacing w:line="480" w:lineRule="auto"/>
        <w:jc w:val="both"/>
        <w:rPr>
          <w:rFonts w:ascii="Times New Roman" w:hAnsi="Times New Roman" w:cs="Times New Roman"/>
          <w:sz w:val="28"/>
          <w:szCs w:val="28"/>
        </w:rPr>
      </w:pPr>
    </w:p>
    <w:p w14:paraId="04DF2635" w14:textId="77777777" w:rsidR="00DE58FF" w:rsidRDefault="00DE58FF" w:rsidP="00471BB7">
      <w:pPr>
        <w:spacing w:line="480" w:lineRule="auto"/>
        <w:jc w:val="both"/>
        <w:rPr>
          <w:rFonts w:ascii="Times New Roman" w:hAnsi="Times New Roman" w:cs="Times New Roman"/>
          <w:sz w:val="28"/>
          <w:szCs w:val="28"/>
        </w:rPr>
      </w:pPr>
    </w:p>
    <w:p w14:paraId="1D831CCE" w14:textId="77777777" w:rsidR="00974A9A" w:rsidRDefault="00974A9A" w:rsidP="00471BB7">
      <w:pPr>
        <w:spacing w:line="480" w:lineRule="auto"/>
        <w:jc w:val="both"/>
        <w:rPr>
          <w:rFonts w:ascii="Times New Roman" w:hAnsi="Times New Roman" w:cs="Times New Roman"/>
          <w:sz w:val="28"/>
          <w:szCs w:val="28"/>
        </w:rPr>
      </w:pPr>
    </w:p>
    <w:p w14:paraId="49F4C73A" w14:textId="77777777" w:rsidR="00974A9A" w:rsidRDefault="00974A9A" w:rsidP="00471BB7">
      <w:pPr>
        <w:spacing w:line="480" w:lineRule="auto"/>
        <w:jc w:val="both"/>
        <w:rPr>
          <w:rFonts w:ascii="Times New Roman" w:hAnsi="Times New Roman" w:cs="Times New Roman"/>
          <w:sz w:val="28"/>
          <w:szCs w:val="28"/>
        </w:rPr>
      </w:pPr>
    </w:p>
    <w:p w14:paraId="4E8BE558" w14:textId="77777777" w:rsidR="00974A9A" w:rsidRDefault="00974A9A" w:rsidP="00471BB7">
      <w:pPr>
        <w:spacing w:line="480" w:lineRule="auto"/>
        <w:jc w:val="both"/>
        <w:rPr>
          <w:rFonts w:ascii="Times New Roman" w:hAnsi="Times New Roman" w:cs="Times New Roman"/>
          <w:sz w:val="28"/>
          <w:szCs w:val="28"/>
        </w:rPr>
      </w:pPr>
    </w:p>
    <w:p w14:paraId="158FF071" w14:textId="4C5BDB16" w:rsidR="00974A9A" w:rsidRDefault="00974A9A" w:rsidP="00471BB7">
      <w:pPr>
        <w:spacing w:line="480" w:lineRule="auto"/>
        <w:jc w:val="both"/>
        <w:rPr>
          <w:rFonts w:ascii="Times New Roman" w:hAnsi="Times New Roman" w:cs="Times New Roman"/>
          <w:sz w:val="28"/>
          <w:szCs w:val="28"/>
        </w:rPr>
      </w:pPr>
    </w:p>
    <w:p w14:paraId="6B664295" w14:textId="39AD093C"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6F9C2997" w14:textId="75363B08"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14:paraId="63EF888A" w14:textId="08590073"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14:paraId="16687ECC" w14:textId="1F463F2B"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this study provide clear evidence of the toxic potential of </w:t>
      </w:r>
      <w:r w:rsidRPr="0095602C">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95602C">
        <w:rPr>
          <w:rFonts w:ascii="Times New Roman" w:hAnsi="Times New Roman" w:cs="Times New Roman"/>
          <w:i/>
          <w:iCs/>
          <w:sz w:val="28"/>
          <w:szCs w:val="28"/>
        </w:rPr>
        <w:t>citrinum</w:t>
      </w:r>
      <w:r>
        <w:rPr>
          <w:rFonts w:ascii="Times New Roman" w:hAnsi="Times New Roman" w:cs="Times New Roman"/>
          <w:sz w:val="28"/>
          <w:szCs w:val="28"/>
        </w:rPr>
        <w:t xml:space="preserve"> and its metabolite, citrinin, aligning with previous toxicological investigations on fungal secondary metabolites.</w:t>
      </w:r>
      <w:r w:rsidR="00240399">
        <w:rPr>
          <w:rFonts w:ascii="Times New Roman" w:hAnsi="Times New Roman" w:cs="Times New Roman"/>
          <w:sz w:val="28"/>
          <w:szCs w:val="28"/>
        </w:rPr>
        <w:t xml:space="preserve"> </w:t>
      </w:r>
      <w:r w:rsidR="00233D4D">
        <w:rPr>
          <w:rFonts w:ascii="Times New Roman" w:hAnsi="Times New Roman" w:cs="Times New Roman"/>
          <w:sz w:val="28"/>
          <w:szCs w:val="28"/>
        </w:rPr>
        <w:t xml:space="preserve">Table 1, confirms the identification of the fungal isolate. The observation of bluish-green coloration, a powdery texture, septate and branched hyphae along with a </w:t>
      </w:r>
      <w:r w:rsidR="00233D4D" w:rsidRPr="00233D4D">
        <w:rPr>
          <w:rFonts w:ascii="Times New Roman" w:hAnsi="Times New Roman" w:cs="Times New Roman"/>
          <w:i/>
          <w:sz w:val="28"/>
          <w:szCs w:val="28"/>
        </w:rPr>
        <w:t>penicillus</w:t>
      </w:r>
      <w:r w:rsidR="00233D4D">
        <w:rPr>
          <w:rFonts w:ascii="Times New Roman" w:hAnsi="Times New Roman" w:cs="Times New Roman"/>
          <w:sz w:val="28"/>
          <w:szCs w:val="28"/>
        </w:rPr>
        <w:t xml:space="preserve">-like arrangement of conidiophores, and chains of round to </w:t>
      </w:r>
      <w:r w:rsidR="00233D4D">
        <w:rPr>
          <w:rFonts w:ascii="Times New Roman" w:hAnsi="Times New Roman" w:cs="Times New Roman"/>
          <w:sz w:val="28"/>
          <w:szCs w:val="28"/>
        </w:rPr>
        <w:lastRenderedPageBreak/>
        <w:t xml:space="preserve">elliptical conidia, aligns with the defining features of the </w:t>
      </w:r>
      <w:r w:rsidR="00233D4D" w:rsidRPr="00233D4D">
        <w:rPr>
          <w:rFonts w:ascii="Times New Roman" w:hAnsi="Times New Roman" w:cs="Times New Roman"/>
          <w:i/>
          <w:sz w:val="28"/>
          <w:szCs w:val="28"/>
        </w:rPr>
        <w:t>Penicillium</w:t>
      </w:r>
      <w:r w:rsidR="00233D4D">
        <w:rPr>
          <w:rFonts w:ascii="Times New Roman" w:hAnsi="Times New Roman" w:cs="Times New Roman"/>
          <w:sz w:val="28"/>
          <w:szCs w:val="28"/>
        </w:rPr>
        <w:t xml:space="preserve"> genus as outlined by Smith &amp; Read (2018) and De Vries et al. (2019).</w:t>
      </w:r>
    </w:p>
    <w:p w14:paraId="5885E52E" w14:textId="0B651129"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detail the physiological and behavioral effects observed in rats administered with varying concentrations of the citrinin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Flajs and Peraica (2009), who reported nephrotoxicity and behavioral changes in rats exp</w:t>
      </w:r>
      <w:r>
        <w:rPr>
          <w:rFonts w:ascii="Times New Roman" w:hAnsi="Times New Roman" w:cs="Times New Roman"/>
          <w:sz w:val="28"/>
          <w:szCs w:val="28"/>
        </w:rPr>
        <w:t>osed to high doses of citrinin.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r>
        <w:rPr>
          <w:rFonts w:ascii="Times New Roman" w:hAnsi="Times New Roman" w:cs="Times New Roman"/>
          <w:sz w:val="28"/>
          <w:szCs w:val="28"/>
        </w:rPr>
        <w:t>]</w:t>
      </w:r>
      <w:r w:rsidR="00637A7F">
        <w:rPr>
          <w:rFonts w:ascii="Times New Roman" w:hAnsi="Times New Roman" w:cs="Times New Roman"/>
          <w:sz w:val="28"/>
          <w:szCs w:val="28"/>
        </w:rPr>
        <w:t>ullness, slow locomotion, fast breathing, and eventual death by Day 8 were observed. This aligns with the work of O’Brien et al. (2001), who noted progressive organ damage and behavioral alterations at sub-lethal citri</w:t>
      </w:r>
      <w:r>
        <w:rPr>
          <w:rFonts w:ascii="Times New Roman" w:hAnsi="Times New Roman" w:cs="Times New Roman"/>
          <w:sz w:val="28"/>
          <w:szCs w:val="28"/>
        </w:rPr>
        <w:t>nin doses. At 60% concentration (Table 4</w:t>
      </w:r>
      <w:r w:rsidR="00637A7F">
        <w:rPr>
          <w:rFonts w:ascii="Times New Roman" w:hAnsi="Times New Roman" w:cs="Times New Roman"/>
          <w:sz w:val="28"/>
          <w:szCs w:val="28"/>
        </w:rPr>
        <w:t xml:space="preserve">), the rats showed milder but noticeable symptoms, including slow movement, less active behavior, and </w:t>
      </w:r>
      <w:r w:rsidR="00637A7F">
        <w:rPr>
          <w:rFonts w:ascii="Times New Roman" w:hAnsi="Times New Roman" w:cs="Times New Roman"/>
          <w:sz w:val="28"/>
          <w:szCs w:val="28"/>
        </w:rPr>
        <w:lastRenderedPageBreak/>
        <w:t>pale skin by Day 8. Notably, no deaths were recorded. These results mirror those of Bennet and Klich (2003), who found that moderate citrinin exposure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citrinin toxicity, consistent with research by Zöllner and Mayer-Helm (2006), who demonstrated cumulative sub-lethal effects of mycotoxins.</w:t>
      </w:r>
    </w:p>
    <w:p w14:paraId="0DFAD948" w14:textId="608EB425"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citrinin-induced nephrotoxicity and hepatotoxicity, as also documented by Speijers and van Egmond (1993). Similarly, the Black rat showed dried blood and tiny whitish intestines, suggesting dehydration and intestinal shrinkage due to systemic toxicity.</w:t>
      </w:r>
    </w:p>
    <w:p w14:paraId="5861F894" w14:textId="14FFFA49"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14:paraId="0AC2863B" w14:textId="77777777"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r w:rsidRPr="003363B0">
        <w:rPr>
          <w:rFonts w:ascii="Times New Roman" w:hAnsi="Times New Roman" w:cs="Times New Roman"/>
          <w:i/>
          <w:iCs/>
          <w:sz w:val="28"/>
          <w:szCs w:val="28"/>
        </w:rPr>
        <w:t>Penicillium citrinum</w:t>
      </w:r>
      <w:r>
        <w:rPr>
          <w:rFonts w:ascii="Times New Roman" w:hAnsi="Times New Roman" w:cs="Times New Roman"/>
          <w:sz w:val="28"/>
          <w:szCs w:val="28"/>
        </w:rPr>
        <w:t xml:space="preserve"> and the preparation of its citrinin toxin, revealing significant dose-dependent toxic effects in rat models. High concentrations induced severe symptoms such as weight loss, behavioral changes, and mortality, while lower doses had minimal impact. These findings align with established research on citrinin’s nephrotoxic and neurotoxic effects, emphasizing its potential risk to animal and human health. The study underscores the importance of monitoring fungal contamination in food products and highlights the need for stricter regulations to mitigate citrinin exposure and its associated public health risks.</w:t>
      </w:r>
    </w:p>
    <w:p w14:paraId="63A44AD1" w14:textId="77777777" w:rsidR="003363B0" w:rsidRDefault="003363B0" w:rsidP="00471BB7">
      <w:pPr>
        <w:spacing w:line="480" w:lineRule="auto"/>
        <w:jc w:val="both"/>
        <w:rPr>
          <w:rFonts w:ascii="Times New Roman" w:hAnsi="Times New Roman" w:cs="Times New Roman"/>
          <w:sz w:val="28"/>
          <w:szCs w:val="28"/>
        </w:rPr>
      </w:pPr>
    </w:p>
    <w:p w14:paraId="465D1CAF" w14:textId="77777777" w:rsidR="003363B0" w:rsidRDefault="003363B0" w:rsidP="00471BB7">
      <w:pPr>
        <w:spacing w:line="480" w:lineRule="auto"/>
        <w:jc w:val="both"/>
        <w:rPr>
          <w:rFonts w:ascii="Times New Roman" w:hAnsi="Times New Roman" w:cs="Times New Roman"/>
          <w:sz w:val="28"/>
          <w:szCs w:val="28"/>
        </w:rPr>
      </w:pPr>
    </w:p>
    <w:p w14:paraId="7F72B7EC" w14:textId="77777777" w:rsidR="00736340" w:rsidRDefault="00736340" w:rsidP="00471BB7">
      <w:pPr>
        <w:spacing w:line="480" w:lineRule="auto"/>
        <w:jc w:val="both"/>
        <w:rPr>
          <w:rFonts w:ascii="Times New Roman" w:hAnsi="Times New Roman" w:cs="Times New Roman"/>
          <w:sz w:val="28"/>
          <w:szCs w:val="28"/>
        </w:rPr>
      </w:pPr>
    </w:p>
    <w:p w14:paraId="6F06D1D1" w14:textId="77777777" w:rsidR="00736340" w:rsidRDefault="00736340" w:rsidP="00471BB7">
      <w:pPr>
        <w:spacing w:line="480" w:lineRule="auto"/>
        <w:jc w:val="both"/>
        <w:rPr>
          <w:rFonts w:ascii="Times New Roman" w:hAnsi="Times New Roman" w:cs="Times New Roman"/>
          <w:sz w:val="28"/>
          <w:szCs w:val="28"/>
        </w:rPr>
      </w:pPr>
    </w:p>
    <w:p w14:paraId="73AC2D24" w14:textId="77777777" w:rsidR="00736340" w:rsidRDefault="00736340" w:rsidP="00471BB7">
      <w:pPr>
        <w:spacing w:line="480" w:lineRule="auto"/>
        <w:jc w:val="both"/>
        <w:rPr>
          <w:rFonts w:ascii="Times New Roman" w:hAnsi="Times New Roman" w:cs="Times New Roman"/>
          <w:sz w:val="28"/>
          <w:szCs w:val="28"/>
        </w:rPr>
      </w:pPr>
    </w:p>
    <w:p w14:paraId="2F4CC5C6" w14:textId="77777777" w:rsidR="00736340" w:rsidRDefault="00736340" w:rsidP="00471BB7">
      <w:pPr>
        <w:spacing w:line="480" w:lineRule="auto"/>
        <w:jc w:val="both"/>
        <w:rPr>
          <w:rFonts w:ascii="Times New Roman" w:hAnsi="Times New Roman" w:cs="Times New Roman"/>
          <w:sz w:val="28"/>
          <w:szCs w:val="28"/>
        </w:rPr>
      </w:pPr>
    </w:p>
    <w:p w14:paraId="2F4C14F9" w14:textId="77777777" w:rsidR="00736340" w:rsidRDefault="00736340" w:rsidP="00471BB7">
      <w:pPr>
        <w:spacing w:line="480" w:lineRule="auto"/>
        <w:jc w:val="both"/>
        <w:rPr>
          <w:rFonts w:ascii="Times New Roman" w:hAnsi="Times New Roman" w:cs="Times New Roman"/>
          <w:sz w:val="28"/>
          <w:szCs w:val="28"/>
        </w:rPr>
      </w:pPr>
    </w:p>
    <w:p w14:paraId="65AB1094" w14:textId="77777777" w:rsidR="00736340" w:rsidRDefault="00736340" w:rsidP="00471BB7">
      <w:pPr>
        <w:spacing w:line="480" w:lineRule="auto"/>
        <w:jc w:val="both"/>
        <w:rPr>
          <w:rFonts w:ascii="Times New Roman" w:hAnsi="Times New Roman" w:cs="Times New Roman"/>
          <w:sz w:val="28"/>
          <w:szCs w:val="28"/>
        </w:rPr>
      </w:pPr>
    </w:p>
    <w:p w14:paraId="38238204" w14:textId="77777777" w:rsidR="00A041C0" w:rsidRDefault="00A041C0" w:rsidP="00041E90">
      <w:pPr>
        <w:spacing w:line="480" w:lineRule="auto"/>
        <w:jc w:val="center"/>
        <w:rPr>
          <w:rFonts w:ascii="Times New Roman" w:hAnsi="Times New Roman" w:cs="Times New Roman"/>
          <w:sz w:val="28"/>
          <w:szCs w:val="28"/>
        </w:rPr>
      </w:pPr>
    </w:p>
    <w:p w14:paraId="453FB443" w14:textId="77777777" w:rsidR="00A041C0" w:rsidRDefault="00A041C0" w:rsidP="00041E90">
      <w:pPr>
        <w:spacing w:line="480" w:lineRule="auto"/>
        <w:jc w:val="center"/>
        <w:rPr>
          <w:rFonts w:ascii="Times New Roman" w:hAnsi="Times New Roman" w:cs="Times New Roman"/>
          <w:sz w:val="28"/>
          <w:szCs w:val="28"/>
        </w:rPr>
      </w:pPr>
    </w:p>
    <w:p w14:paraId="37F33BE4" w14:textId="77777777" w:rsidR="00A041C0" w:rsidRDefault="00A041C0" w:rsidP="00041E90">
      <w:pPr>
        <w:spacing w:line="480" w:lineRule="auto"/>
        <w:jc w:val="center"/>
        <w:rPr>
          <w:rFonts w:ascii="Times New Roman" w:hAnsi="Times New Roman" w:cs="Times New Roman"/>
          <w:sz w:val="28"/>
          <w:szCs w:val="28"/>
        </w:rPr>
      </w:pPr>
    </w:p>
    <w:p w14:paraId="094D7399" w14:textId="77777777" w:rsidR="00A041C0" w:rsidRDefault="00A041C0" w:rsidP="00041E90">
      <w:pPr>
        <w:spacing w:line="480" w:lineRule="auto"/>
        <w:jc w:val="center"/>
        <w:rPr>
          <w:rFonts w:ascii="Times New Roman" w:hAnsi="Times New Roman" w:cs="Times New Roman"/>
          <w:sz w:val="28"/>
          <w:szCs w:val="28"/>
        </w:rPr>
      </w:pPr>
    </w:p>
    <w:p w14:paraId="114E51CC" w14:textId="2B2CE5C0"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04A4BECD" w14:textId="3F50011A"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Alexopoulo</w:t>
      </w:r>
      <w:r w:rsidR="00233D4D">
        <w:rPr>
          <w:rFonts w:ascii="Times New Roman" w:hAnsi="Times New Roman" w:cs="Times New Roman"/>
          <w:sz w:val="28"/>
          <w:szCs w:val="28"/>
        </w:rPr>
        <w:t>]</w:t>
      </w:r>
      <w:r>
        <w:rPr>
          <w:rFonts w:ascii="Times New Roman" w:hAnsi="Times New Roman" w:cs="Times New Roman"/>
          <w:sz w:val="28"/>
          <w:szCs w:val="28"/>
        </w:rPr>
        <w:t xml:space="preserve">s, S., Stamatelopoulou, E., &amp; Varzakas, T. (2020). Advances in occurrence, detection, and detoxification of citrinin: A potential mycotoxin threat in food safety. Foods, 9(11), 1574. </w:t>
      </w:r>
    </w:p>
    <w:p w14:paraId="3F38811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Bennett, J. W., &amp; Klich, M. (2019). Mycotoxins. Clinical Microbiology Reviews, 16(3), 497–516. </w:t>
      </w:r>
      <w:hyperlink r:id="rId8" w:history="1">
        <w:r w:rsidRPr="00473F58">
          <w:rPr>
            <w:rStyle w:val="Hyperlink"/>
            <w:rFonts w:ascii="Times New Roman" w:hAnsi="Times New Roman" w:cs="Times New Roman"/>
            <w:sz w:val="28"/>
            <w:szCs w:val="28"/>
          </w:rPr>
          <w:t>https://doi.org/10.1128/CMR.16.3.497-516.2003</w:t>
        </w:r>
      </w:hyperlink>
    </w:p>
    <w:p w14:paraId="75BCEED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Cabanes, F. J., Bragulat, M. R., Castellá, G., &amp; Martín, R. (2021). Occurrence and significance of Penicillium species related to food and indoor environments. International Journal of Environmental Research and Public Health, 18(22), 11771. </w:t>
      </w:r>
      <w:hyperlink r:id="rId9" w:history="1">
        <w:r w:rsidRPr="00473F58">
          <w:rPr>
            <w:rStyle w:val="Hyperlink"/>
            <w:rFonts w:ascii="Times New Roman" w:hAnsi="Times New Roman" w:cs="Times New Roman"/>
            <w:sz w:val="28"/>
            <w:szCs w:val="28"/>
          </w:rPr>
          <w:t>https://doi.org/10.3390/ijerph182211771</w:t>
        </w:r>
      </w:hyperlink>
    </w:p>
    <w:p w14:paraId="6C22F99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Dé Hoog, G. S., Guarro, J., Gené, J., &amp; Figueras, M. J. (2021).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ed.). Westerdijk Fungal Biodiversity Institute.</w:t>
      </w:r>
    </w:p>
    <w:p w14:paraId="14CD966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EFSA Panel on Contaminants in the Food Chain (CONTAM). (2019). Risk assessment of citrinin in food and feed. EFSA Journal, 17(3), e05656. https://doi.org/10.2903/j.efsa.2019.5656</w:t>
      </w:r>
    </w:p>
    <w:p w14:paraId="2E0EEB9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Fisher, M. C., Alastruey-Izquierdo, A., Berman, J., Bicanic, T., Bignell, E. M., Bowyer, P., &amp; White, T. C. (2020). Tackling the emerging threat of antifungal resistance to human health. Nature Reviews Microbiology, 18(7), 401–412. </w:t>
      </w:r>
      <w:hyperlink r:id="rId10" w:history="1">
        <w:r w:rsidRPr="00473F58">
          <w:rPr>
            <w:rStyle w:val="Hyperlink"/>
            <w:rFonts w:ascii="Times New Roman" w:hAnsi="Times New Roman" w:cs="Times New Roman"/>
            <w:sz w:val="28"/>
            <w:szCs w:val="28"/>
          </w:rPr>
          <w:t>https://doi.org/10.1038/s41579-020-0360-3</w:t>
        </w:r>
      </w:hyperlink>
    </w:p>
    <w:p w14:paraId="0D6FFBD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Frisvad, J. C. (2018). Fungal secondary metabolites as selective agents for biological interactions and their evolution. Fungal Genetics and Biology, 112, 53–55. </w:t>
      </w:r>
      <w:hyperlink r:id="rId11" w:history="1">
        <w:r w:rsidRPr="00473F58">
          <w:rPr>
            <w:rStyle w:val="Hyperlink"/>
            <w:rFonts w:ascii="Times New Roman" w:hAnsi="Times New Roman" w:cs="Times New Roman"/>
            <w:sz w:val="28"/>
            <w:szCs w:val="28"/>
          </w:rPr>
          <w:t>https://doi.org/10.1016/j.fgb.2017.10.002</w:t>
        </w:r>
      </w:hyperlink>
    </w:p>
    <w:p w14:paraId="1C1CF24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Frisvad, J. C., &amp; Samson, R. A. (2018). Polyphasic taxonomy of Penicillium subgenus Penicillium: A guide to identification of food and air-borne terverticillate penicillia and their mycotoxins. Studies in Mycology, 70(1), 1–260. </w:t>
      </w:r>
      <w:hyperlink r:id="rId12" w:history="1">
        <w:r w:rsidRPr="00473F58">
          <w:rPr>
            <w:rStyle w:val="Hyperlink"/>
            <w:rFonts w:ascii="Times New Roman" w:hAnsi="Times New Roman" w:cs="Times New Roman"/>
            <w:sz w:val="28"/>
            <w:szCs w:val="28"/>
          </w:rPr>
          <w:t>https://doi.org/10.3114/sim.2011.70.01</w:t>
        </w:r>
      </w:hyperlink>
    </w:p>
    <w:p w14:paraId="1D871D6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Gao, L., Zhang, Y., Zhao, Y., &amp; Wang, J. (2022). Advances in mycotoxin detection methods and technologies. Toxins, 14(5), 312. </w:t>
      </w:r>
      <w:hyperlink r:id="rId13" w:history="1">
        <w:r w:rsidRPr="00473F58">
          <w:rPr>
            <w:rStyle w:val="Hyperlink"/>
            <w:rFonts w:ascii="Times New Roman" w:hAnsi="Times New Roman" w:cs="Times New Roman"/>
            <w:sz w:val="28"/>
            <w:szCs w:val="28"/>
          </w:rPr>
          <w:t>https://doi.org/10.3390/toxins14050312</w:t>
        </w:r>
      </w:hyperlink>
    </w:p>
    <w:p w14:paraId="637EE3AF"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Gauther, S., Pont, F., Richard, E., &amp; Puel, O. (2019). Fungal secondary metabolites as chemical mediators in fungus–insect interactions. Frontiers in Microbiology, 10, 1168. </w:t>
      </w:r>
      <w:hyperlink r:id="rId14" w:history="1">
        <w:r w:rsidRPr="00473F58">
          <w:rPr>
            <w:rStyle w:val="Hyperlink"/>
            <w:rFonts w:ascii="Times New Roman" w:hAnsi="Times New Roman" w:cs="Times New Roman"/>
            <w:sz w:val="28"/>
            <w:szCs w:val="28"/>
          </w:rPr>
          <w:t>https://doi.org/10.3389/fmicb.2019.01168</w:t>
        </w:r>
      </w:hyperlink>
    </w:p>
    <w:p w14:paraId="15F19B6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Geng, P., Kang, X., Chen, H., &amp; Xu, J. (2021). The health effects of citrinin exposure: What we know so far. Frontiers in Public Health, 9, 652468. </w:t>
      </w:r>
      <w:hyperlink r:id="rId15" w:history="1">
        <w:r w:rsidRPr="00473F58">
          <w:rPr>
            <w:rStyle w:val="Hyperlink"/>
            <w:rFonts w:ascii="Times New Roman" w:hAnsi="Times New Roman" w:cs="Times New Roman"/>
            <w:sz w:val="28"/>
            <w:szCs w:val="28"/>
          </w:rPr>
          <w:t>https://doi.org/10.3389/fpubh.2021.652468</w:t>
        </w:r>
      </w:hyperlink>
    </w:p>
    <w:p w14:paraId="70E458D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Golan, Y., &amp; Pringle, A. (2017). Long-distance dispersal of fungi. Microbiology Spectrum, 5(4), 5-4. </w:t>
      </w:r>
      <w:hyperlink r:id="rId16" w:history="1">
        <w:r w:rsidRPr="00473F58">
          <w:rPr>
            <w:rStyle w:val="Hyperlink"/>
            <w:rFonts w:ascii="Times New Roman" w:hAnsi="Times New Roman" w:cs="Times New Roman"/>
            <w:sz w:val="28"/>
            <w:szCs w:val="28"/>
          </w:rPr>
          <w:t>https://doi.org/10.1128/microbiolspec.FUNK-0047-2016</w:t>
        </w:r>
      </w:hyperlink>
    </w:p>
    <w:p w14:paraId="033061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Gonçalves, S. S., Figueiredo-Carvalho, M. H., Pinto, P. M., &amp; Zancopé-Oliveira, R. M. (2021). Emerging pathogens: Aspergillus, Fusarium and Mucorales. Microorganisms, 9(6), 1177. </w:t>
      </w:r>
      <w:hyperlink r:id="rId17" w:history="1">
        <w:r w:rsidRPr="00473F58">
          <w:rPr>
            <w:rStyle w:val="Hyperlink"/>
            <w:rFonts w:ascii="Times New Roman" w:hAnsi="Times New Roman" w:cs="Times New Roman"/>
            <w:sz w:val="28"/>
            <w:szCs w:val="28"/>
          </w:rPr>
          <w:t>https://doi.org/10.3390/microorganisms9061177</w:t>
        </w:r>
      </w:hyperlink>
    </w:p>
    <w:p w14:paraId="7210DDB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Grollman, A. P., Shibutani, S., Moriya, M., Miller, F., Wu, L., Moll, U., &amp; Poirier, M. C. (2017). Aristolochic acid and the etiology of endemic (Balkan) nephropathy. Proceedings of the National Academy of Sciences, 111(2), 1301–1306. </w:t>
      </w:r>
      <w:hyperlink r:id="rId18" w:history="1">
        <w:r w:rsidRPr="00766252">
          <w:rPr>
            <w:rStyle w:val="Hyperlink"/>
            <w:rFonts w:ascii="Times New Roman" w:hAnsi="Times New Roman" w:cs="Times New Roman"/>
            <w:sz w:val="28"/>
            <w:szCs w:val="28"/>
          </w:rPr>
          <w:t>https://doi.org/10.1073/pnas.1320997111</w:t>
        </w:r>
      </w:hyperlink>
    </w:p>
    <w:p w14:paraId="0C15EE0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Haque, M., McKimm, J., Sartelli, M., Dhingra, S., &amp; Bakar, M. A. (2021). Fungal infections: A global burden and an emerging crisis. Infection and Drug Resistance, 14, 629–637. </w:t>
      </w:r>
      <w:hyperlink r:id="rId19" w:history="1">
        <w:r w:rsidRPr="00473F58">
          <w:rPr>
            <w:rStyle w:val="Hyperlink"/>
            <w:rFonts w:ascii="Times New Roman" w:hAnsi="Times New Roman" w:cs="Times New Roman"/>
            <w:sz w:val="28"/>
            <w:szCs w:val="28"/>
          </w:rPr>
          <w:t>https://doi.org/10.2147/IDR.S291313</w:t>
        </w:r>
      </w:hyperlink>
    </w:p>
    <w:p w14:paraId="40585BFA"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 Q., &amp; Cox, R. J. (2019). The molecular steps of citrinin biosynthesis in fungi. Fungal Biology Reviews, 33(1), 44–52. </w:t>
      </w:r>
      <w:hyperlink r:id="rId20" w:history="1">
        <w:r w:rsidRPr="00473F58">
          <w:rPr>
            <w:rStyle w:val="Hyperlink"/>
            <w:rFonts w:ascii="Times New Roman" w:hAnsi="Times New Roman" w:cs="Times New Roman"/>
            <w:sz w:val="28"/>
            <w:szCs w:val="28"/>
          </w:rPr>
          <w:t>https://doi.org/10.1016/j.fbr.2018.11.002</w:t>
        </w:r>
      </w:hyperlink>
    </w:p>
    <w:p w14:paraId="18CD67D4" w14:textId="108C0B52"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Heitman, J., Carter, D. A., Dyer, P. S., &amp; Soll, D. R. (2021). Genomics, molecular biology, and epidemiology of fungal infections. Cold Spring Harbor Perspectives in Medicine, 11(2), a038638. </w:t>
      </w:r>
    </w:p>
    <w:p w14:paraId="1B14F9F9" w14:textId="619C06F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Hetherington, A. C., &amp; Raistrick, H. (1931). Studies in the biochemistry of microorganisms: Citrinin, a metabolic product of Penicillium citrinum Thom. Philosophical Transactions of the Royal Society B: Biological Sciences, 220(482–493), 269–295. </w:t>
      </w:r>
    </w:p>
    <w:p w14:paraId="0EC683A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Hibbett, D. S., Abarenkov, K., Kõljalg, U., Öpik, M., Chai, B., Cole, J. R., &amp; Nilsson, R. H. (2018). Sequence-based classification and identification of fungi. Mycologia, 110(5), 911–930. </w:t>
      </w:r>
      <w:hyperlink r:id="rId21" w:history="1">
        <w:r w:rsidRPr="00473F58">
          <w:rPr>
            <w:rStyle w:val="Hyperlink"/>
            <w:rFonts w:ascii="Times New Roman" w:hAnsi="Times New Roman" w:cs="Times New Roman"/>
            <w:sz w:val="28"/>
            <w:szCs w:val="28"/>
          </w:rPr>
          <w:t>https://doi.org/10.1080/00275514.2018.1491406</w:t>
        </w:r>
      </w:hyperlink>
    </w:p>
    <w:p w14:paraId="70B5480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Houbraken, J., Visagie, C. M., &amp; Samson, R. A. (2020). Penicillium taxonomy in the genomic era. Studies in Mycology, 95, 1–27. </w:t>
      </w:r>
      <w:hyperlink r:id="rId22" w:history="1">
        <w:r w:rsidRPr="00834CCE">
          <w:rPr>
            <w:rStyle w:val="Hyperlink"/>
            <w:rFonts w:ascii="Times New Roman" w:hAnsi="Times New Roman" w:cs="Times New Roman"/>
            <w:sz w:val="28"/>
            <w:szCs w:val="28"/>
          </w:rPr>
          <w:t>https://doi.org/10.1016/j.simyco.2020.05.001</w:t>
        </w:r>
      </w:hyperlink>
    </w:p>
    <w:p w14:paraId="759819E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Liu, J., Wang, Y., Liu, Y., &amp; Yan, H. (2020). Molecular characterization and health impact of fungal toxins. Environmental Research, 189, 109899. </w:t>
      </w:r>
      <w:hyperlink r:id="rId23" w:history="1">
        <w:r w:rsidRPr="00473F58">
          <w:rPr>
            <w:rStyle w:val="Hyperlink"/>
            <w:rFonts w:ascii="Times New Roman" w:hAnsi="Times New Roman" w:cs="Times New Roman"/>
            <w:sz w:val="28"/>
            <w:szCs w:val="28"/>
          </w:rPr>
          <w:t>https://doi.org/10.1016/j.envres.2020.109899</w:t>
        </w:r>
      </w:hyperlink>
    </w:p>
    <w:p w14:paraId="67261D4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Liu, Y., Lou, Z., &amp; Wang, H. (2021). Mycotoxins and human health: Advances in analytical methods for mycotoxin detection. Comprehensive Reviews in Food Science and Food Safety, 20(6), 5661–5680. </w:t>
      </w:r>
      <w:hyperlink r:id="rId24" w:history="1">
        <w:r w:rsidRPr="00473F58">
          <w:rPr>
            <w:rStyle w:val="Hyperlink"/>
            <w:rFonts w:ascii="Times New Roman" w:hAnsi="Times New Roman" w:cs="Times New Roman"/>
            <w:sz w:val="28"/>
            <w:szCs w:val="28"/>
          </w:rPr>
          <w:t>https://doi.org/10.1111/1541-4337.12818</w:t>
        </w:r>
      </w:hyperlink>
    </w:p>
    <w:p w14:paraId="3C3D80A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Manda, G., Nechifor, M. T., &amp; Neagu, T. M. (2018). Molecular mechanisms of citrinin toxicity: Oxidative stress and mitochondrial failure. Toxicology Reports, 5, 449–456. </w:t>
      </w:r>
      <w:hyperlink r:id="rId25" w:history="1">
        <w:r w:rsidRPr="00794BE7">
          <w:rPr>
            <w:rStyle w:val="Hyperlink"/>
            <w:rFonts w:ascii="Times New Roman" w:hAnsi="Times New Roman" w:cs="Times New Roman"/>
            <w:sz w:val="28"/>
            <w:szCs w:val="28"/>
          </w:rPr>
          <w:t>https://doi.org/10.1016/j.toxrep.2018.03.007</w:t>
        </w:r>
      </w:hyperlink>
    </w:p>
    <w:p w14:paraId="1E7DADC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Rai, M., Ingle, A. P., Paralikar, P., &amp; dos Santos, C. A. (2023). Emerging fungal threats and strategies for combating fungal diseases. Mycoses, 66(2), 147–162. </w:t>
      </w:r>
      <w:hyperlink r:id="rId26" w:history="1">
        <w:r w:rsidRPr="00473F58">
          <w:rPr>
            <w:rStyle w:val="Hyperlink"/>
            <w:rFonts w:ascii="Times New Roman" w:hAnsi="Times New Roman" w:cs="Times New Roman"/>
            <w:sz w:val="28"/>
            <w:szCs w:val="28"/>
          </w:rPr>
          <w:t>https://doi.org/10.1111/myc.13497</w:t>
        </w:r>
      </w:hyperlink>
    </w:p>
    <w:p w14:paraId="567FC79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Visagie, C. M., Houbraken, J., Hong, S. B., Hubka, V., Klaassen, C. H. W., &amp; Frisvad, J. C. (2020). Phylogeny, identification and nomenclature of the genus Penicillium. Studies in Mycology, 95, 1–249. </w:t>
      </w:r>
      <w:hyperlink r:id="rId27" w:history="1">
        <w:r w:rsidRPr="00794BE7">
          <w:rPr>
            <w:rStyle w:val="Hyperlink"/>
            <w:rFonts w:ascii="Times New Roman" w:hAnsi="Times New Roman" w:cs="Times New Roman"/>
            <w:sz w:val="28"/>
            <w:szCs w:val="28"/>
          </w:rPr>
          <w:t>https://doi.org/10.1016/j.simyco.2020.01.002</w:t>
        </w:r>
      </w:hyperlink>
    </w:p>
    <w:p w14:paraId="7F17C23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Sharma, C., &amp; Ghosh, A. (2021). Insights into fungal biofilms: A critical appraisal. Microorganisms, 9(3), 659. </w:t>
      </w:r>
      <w:hyperlink r:id="rId28" w:history="1">
        <w:r w:rsidRPr="00473F58">
          <w:rPr>
            <w:rStyle w:val="Hyperlink"/>
            <w:rFonts w:ascii="Times New Roman" w:hAnsi="Times New Roman" w:cs="Times New Roman"/>
            <w:sz w:val="28"/>
            <w:szCs w:val="28"/>
          </w:rPr>
          <w:t>https://doi.org/10.3390/microorganisms9030659</w:t>
        </w:r>
      </w:hyperlink>
    </w:p>
    <w:p w14:paraId="4D82AF3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Shi, J., Liang, Y., Liu, J., &amp; Zhong, X. (2022). Advances in mycotoxin detection in food and feed. Frontiers in Nutrition, 9, 857216. </w:t>
      </w:r>
      <w:hyperlink r:id="rId29" w:history="1">
        <w:r w:rsidRPr="00473F58">
          <w:rPr>
            <w:rStyle w:val="Hyperlink"/>
            <w:rFonts w:ascii="Times New Roman" w:hAnsi="Times New Roman" w:cs="Times New Roman"/>
            <w:sz w:val="28"/>
            <w:szCs w:val="28"/>
          </w:rPr>
          <w:t>https://doi.org/10.3389/fnut.2022.857216</w:t>
        </w:r>
      </w:hyperlink>
    </w:p>
    <w:p w14:paraId="2987C45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Shinozuka, J., Murata, Y., &amp; Seki, K. (2020). Citrinin-induced oxidative brain damage in rodents and its potential implications in neurotoxicity. Toxins, 12(6), 387. </w:t>
      </w:r>
      <w:hyperlink r:id="rId30" w:history="1">
        <w:r w:rsidRPr="00794BE7">
          <w:rPr>
            <w:rStyle w:val="Hyperlink"/>
            <w:rFonts w:ascii="Times New Roman" w:hAnsi="Times New Roman" w:cs="Times New Roman"/>
            <w:sz w:val="28"/>
            <w:szCs w:val="28"/>
          </w:rPr>
          <w:t>https://doi.org/10.3390/toxins12060387</w:t>
        </w:r>
      </w:hyperlink>
    </w:p>
    <w:p w14:paraId="588419C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Emerging detection technologies for mycotoxins. Toxins, 14(3), 170. </w:t>
      </w:r>
      <w:hyperlink r:id="rId31" w:history="1">
        <w:r w:rsidRPr="00473F58">
          <w:rPr>
            <w:rStyle w:val="Hyperlink"/>
            <w:rFonts w:ascii="Times New Roman" w:hAnsi="Times New Roman" w:cs="Times New Roman"/>
            <w:sz w:val="28"/>
            <w:szCs w:val="28"/>
          </w:rPr>
          <w:t>https://doi.org/10.3390/toxins14030170</w:t>
        </w:r>
      </w:hyperlink>
    </w:p>
    <w:p w14:paraId="5EDD5E1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Visagie, C. M., Houbraken, J., &amp; Samson, R. A. (2017). Current taxonomy of Penicillium and Aspergillus. Studies in Mycology, 88, 1–16. </w:t>
      </w:r>
      <w:hyperlink r:id="rId32" w:history="1">
        <w:r w:rsidRPr="00794BE7">
          <w:rPr>
            <w:rStyle w:val="Hyperlink"/>
            <w:rFonts w:ascii="Times New Roman" w:hAnsi="Times New Roman" w:cs="Times New Roman"/>
            <w:sz w:val="28"/>
            <w:szCs w:val="28"/>
          </w:rPr>
          <w:t>https://doi.org/10.1016/j.simyco.2017.07.002</w:t>
        </w:r>
      </w:hyperlink>
    </w:p>
    <w:p w14:paraId="6D6EF1F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Wang, Y., Zhao, C., Zhang, D., Wang, J., &amp; Liu, Y. (2019). Toxic effects of citrinin on renal function and oxidative stress in rats. Toxins, 11(8), 453. </w:t>
      </w:r>
      <w:hyperlink r:id="rId33" w:history="1">
        <w:r w:rsidRPr="00794BE7">
          <w:rPr>
            <w:rStyle w:val="Hyperlink"/>
            <w:rFonts w:ascii="Times New Roman" w:hAnsi="Times New Roman" w:cs="Times New Roman"/>
            <w:sz w:val="28"/>
            <w:szCs w:val="28"/>
          </w:rPr>
          <w:t>https://doi.org/10.3390/toxins11080453</w:t>
        </w:r>
      </w:hyperlink>
    </w:p>
    <w:p w14:paraId="5446771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Yang, S., Zhang, Y., &amp; Lin, Y. (2021). Citrinin induces neurological and hepatic toxicity in Wistar rats via oxidative and inflammatory pathways. Environmental Toxicology and Pharmacology, 88, 103731. </w:t>
      </w:r>
      <w:hyperlink r:id="rId34" w:history="1">
        <w:r w:rsidRPr="00794BE7">
          <w:rPr>
            <w:rStyle w:val="Hyperlink"/>
            <w:rFonts w:ascii="Times New Roman" w:hAnsi="Times New Roman" w:cs="Times New Roman"/>
            <w:sz w:val="28"/>
            <w:szCs w:val="28"/>
          </w:rPr>
          <w:t>https://doi.org/10.1016/j.etap.2021.103731</w:t>
        </w:r>
      </w:hyperlink>
      <w:r>
        <w:rPr>
          <w:rFonts w:ascii="Times New Roman" w:hAnsi="Times New Roman" w:cs="Times New Roman"/>
          <w:sz w:val="28"/>
          <w:szCs w:val="28"/>
        </w:rPr>
        <w:t xml:space="preserve"> </w:t>
      </w:r>
    </w:p>
    <w:p w14:paraId="2E5465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Zhang, X., Zhang, S., Sun, Y., &amp; Zhang, Y. (2022). Molecular identification of pathogenic fungi and detection of mycotoxin production. Mycotoxin Research, 38(3), 195–205. </w:t>
      </w:r>
      <w:hyperlink r:id="rId35" w:history="1">
        <w:r w:rsidRPr="00473F58">
          <w:rPr>
            <w:rStyle w:val="Hyperlink"/>
            <w:rFonts w:ascii="Times New Roman" w:hAnsi="Times New Roman" w:cs="Times New Roman"/>
            <w:sz w:val="28"/>
            <w:szCs w:val="28"/>
          </w:rPr>
          <w:t>https://doi.org/10.1007/s12550-022-00447-2</w:t>
        </w:r>
      </w:hyperlink>
    </w:p>
    <w:p w14:paraId="76BE5B8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Zhang, X., Zhang, S., Wang, J., &amp; Wang, Y. (2018). Insights into fungal pathogenicity: Molecular mechanisms and emerging therapeutic strategies. Fungal Biology Reviews, 32(2), 50–68. </w:t>
      </w:r>
      <w:hyperlink r:id="rId36" w:history="1">
        <w:r w:rsidRPr="00473F58">
          <w:rPr>
            <w:rStyle w:val="Hyperlink"/>
            <w:rFonts w:ascii="Times New Roman" w:hAnsi="Times New Roman" w:cs="Times New Roman"/>
            <w:sz w:val="28"/>
            <w:szCs w:val="28"/>
          </w:rPr>
          <w:t>https://doi.org/10.1016/j.fbr.2017.12.003</w:t>
        </w:r>
      </w:hyperlink>
    </w:p>
    <w:p w14:paraId="7FC9A10E"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Zhou, L., Kong, W., Wang, M., &amp; Luo, Y. (2021). Challenges in controlling fungal pathogens and mycotoxin contamination in food crops. Toxins, 13(2), 102.</w:t>
      </w:r>
    </w:p>
    <w:p w14:paraId="2ADEF24D" w14:textId="77777777" w:rsidR="00736340" w:rsidRDefault="00736340" w:rsidP="00A041C0">
      <w:pPr>
        <w:spacing w:after="0" w:line="480" w:lineRule="auto"/>
        <w:ind w:left="840" w:hangingChars="300" w:hanging="840"/>
        <w:jc w:val="both"/>
        <w:rPr>
          <w:rFonts w:ascii="Times New Roman" w:hAnsi="Times New Roman" w:cs="Times New Roman"/>
          <w:sz w:val="28"/>
          <w:szCs w:val="28"/>
        </w:rPr>
      </w:pPr>
    </w:p>
    <w:p w14:paraId="671726CF" w14:textId="77777777"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F361DB">
      <w:footerReference w:type="even" r:id="rId37"/>
      <w:footerReference w:type="default" r:id="rId3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89F0" w14:textId="77777777" w:rsidR="00BA7735" w:rsidRDefault="00BA7735" w:rsidP="00CE215B">
      <w:pPr>
        <w:spacing w:after="0" w:line="240" w:lineRule="auto"/>
      </w:pPr>
      <w:r>
        <w:separator/>
      </w:r>
    </w:p>
  </w:endnote>
  <w:endnote w:type="continuationSeparator" w:id="0">
    <w:p w14:paraId="2DC56587" w14:textId="77777777" w:rsidR="00BA7735" w:rsidRDefault="00BA7735" w:rsidP="00CE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456182"/>
      <w:docPartObj>
        <w:docPartGallery w:val="Page Numbers (Bottom of Page)"/>
        <w:docPartUnique/>
      </w:docPartObj>
    </w:sdtPr>
    <w:sdtEndPr>
      <w:rPr>
        <w:rStyle w:val="PageNumber"/>
      </w:rPr>
    </w:sdtEndPr>
    <w:sdtContent>
      <w:p w14:paraId="2586C6A8" w14:textId="4AEDE2B2"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49CE9" w14:textId="77777777" w:rsidR="00E831DA" w:rsidRDefault="00E83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4942495"/>
      <w:docPartObj>
        <w:docPartGallery w:val="Page Numbers (Bottom of Page)"/>
        <w:docPartUnique/>
      </w:docPartObj>
    </w:sdtPr>
    <w:sdtEndPr>
      <w:rPr>
        <w:rStyle w:val="PageNumber"/>
      </w:rPr>
    </w:sdtEndPr>
    <w:sdtContent>
      <w:p w14:paraId="418AD4F5" w14:textId="2D8302F0"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7DBE">
          <w:rPr>
            <w:rStyle w:val="PageNumber"/>
            <w:noProof/>
          </w:rPr>
          <w:t>40</w:t>
        </w:r>
        <w:r>
          <w:rPr>
            <w:rStyle w:val="PageNumber"/>
          </w:rPr>
          <w:fldChar w:fldCharType="end"/>
        </w:r>
      </w:p>
    </w:sdtContent>
  </w:sdt>
  <w:p w14:paraId="45BE805D" w14:textId="77777777" w:rsidR="00E831DA" w:rsidRDefault="00E83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DF19" w14:textId="77777777" w:rsidR="00BA7735" w:rsidRDefault="00BA7735" w:rsidP="00CE215B">
      <w:pPr>
        <w:spacing w:after="0" w:line="240" w:lineRule="auto"/>
      </w:pPr>
      <w:r>
        <w:separator/>
      </w:r>
    </w:p>
  </w:footnote>
  <w:footnote w:type="continuationSeparator" w:id="0">
    <w:p w14:paraId="2CF039E6" w14:textId="77777777" w:rsidR="00BA7735" w:rsidRDefault="00BA7735" w:rsidP="00CE2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6051782">
    <w:abstractNumId w:val="6"/>
  </w:num>
  <w:num w:numId="2" w16cid:durableId="1230654265">
    <w:abstractNumId w:val="3"/>
  </w:num>
  <w:num w:numId="3" w16cid:durableId="235675624">
    <w:abstractNumId w:val="2"/>
  </w:num>
  <w:num w:numId="4" w16cid:durableId="1580794863">
    <w:abstractNumId w:val="1"/>
  </w:num>
  <w:num w:numId="5" w16cid:durableId="2066567545">
    <w:abstractNumId w:val="9"/>
  </w:num>
  <w:num w:numId="6" w16cid:durableId="288970990">
    <w:abstractNumId w:val="8"/>
  </w:num>
  <w:num w:numId="7" w16cid:durableId="754865414">
    <w:abstractNumId w:val="4"/>
  </w:num>
  <w:num w:numId="8" w16cid:durableId="953563081">
    <w:abstractNumId w:val="7"/>
  </w:num>
  <w:num w:numId="9" w16cid:durableId="1419709997">
    <w:abstractNumId w:val="5"/>
  </w:num>
  <w:num w:numId="10" w16cid:durableId="2051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2E5"/>
  <w15:docId w15:val="{72BD0E7F-0FA2-744B-8C79-1C94E101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8/CMR.16.3.497-516.2003" TargetMode="External" /><Relationship Id="rId13" Type="http://schemas.openxmlformats.org/officeDocument/2006/relationships/hyperlink" Target="https://doi.org/10.3390/toxins14050312" TargetMode="External" /><Relationship Id="rId18" Type="http://schemas.openxmlformats.org/officeDocument/2006/relationships/hyperlink" Target="https://doi.org/10.1073/pnas.1320997111" TargetMode="External" /><Relationship Id="rId26" Type="http://schemas.openxmlformats.org/officeDocument/2006/relationships/hyperlink" Target="https://doi.org/10.1111/myc.13497" TargetMode="External" /><Relationship Id="rId39"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doi.org/10.1080/00275514.2018.1491406" TargetMode="External" /><Relationship Id="rId34" Type="http://schemas.openxmlformats.org/officeDocument/2006/relationships/hyperlink" Target="https://doi.org/10.1016/j.etap.2021.103731" TargetMode="External" /><Relationship Id="rId7" Type="http://schemas.openxmlformats.org/officeDocument/2006/relationships/chart" Target="charts/chart1.xml" /><Relationship Id="rId12" Type="http://schemas.openxmlformats.org/officeDocument/2006/relationships/hyperlink" Target="https://doi.org/10.3114/sim.2011.70.01" TargetMode="External" /><Relationship Id="rId17" Type="http://schemas.openxmlformats.org/officeDocument/2006/relationships/hyperlink" Target="https://doi.org/10.3390/microorganisms9061177" TargetMode="External" /><Relationship Id="rId25" Type="http://schemas.openxmlformats.org/officeDocument/2006/relationships/hyperlink" Target="https://doi.org/10.1016/j.toxrep.2018.03.007" TargetMode="External" /><Relationship Id="rId33" Type="http://schemas.openxmlformats.org/officeDocument/2006/relationships/hyperlink" Target="https://doi.org/10.3390/toxins11080453" TargetMode="External" /><Relationship Id="rId38" Type="http://schemas.openxmlformats.org/officeDocument/2006/relationships/footer" Target="footer2.xml" /><Relationship Id="rId2" Type="http://schemas.openxmlformats.org/officeDocument/2006/relationships/styles" Target="styles.xml" /><Relationship Id="rId16" Type="http://schemas.openxmlformats.org/officeDocument/2006/relationships/hyperlink" Target="https://doi.org/10.1128/microbiolspec.FUNK-0047-2016" TargetMode="External" /><Relationship Id="rId20" Type="http://schemas.openxmlformats.org/officeDocument/2006/relationships/hyperlink" Target="https://doi.org/10.1016/j.fbr.2018.11.002" TargetMode="External" /><Relationship Id="rId29" Type="http://schemas.openxmlformats.org/officeDocument/2006/relationships/hyperlink" Target="https://doi.org/10.3389/fnut.2022.857216"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16/j.fgb.2017.10.002" TargetMode="External" /><Relationship Id="rId24" Type="http://schemas.openxmlformats.org/officeDocument/2006/relationships/hyperlink" Target="https://doi.org/10.1111/1541-4337.12818" TargetMode="External" /><Relationship Id="rId32" Type="http://schemas.openxmlformats.org/officeDocument/2006/relationships/hyperlink" Target="https://doi.org/10.1016/j.simyco.2017.07.002" TargetMode="External" /><Relationship Id="rId37" Type="http://schemas.openxmlformats.org/officeDocument/2006/relationships/footer" Target="footer1.xml" /><Relationship Id="rId40"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doi.org/10.3389/fpubh.2021.652468" TargetMode="External" /><Relationship Id="rId23" Type="http://schemas.openxmlformats.org/officeDocument/2006/relationships/hyperlink" Target="https://doi.org/10.1016/j.envres.2020.109899" TargetMode="External" /><Relationship Id="rId28" Type="http://schemas.openxmlformats.org/officeDocument/2006/relationships/hyperlink" Target="https://doi.org/10.3390/microorganisms9030659" TargetMode="External" /><Relationship Id="rId36" Type="http://schemas.openxmlformats.org/officeDocument/2006/relationships/hyperlink" Target="https://doi.org/10.1016/j.fbr.2017.12.003" TargetMode="External" /><Relationship Id="rId10" Type="http://schemas.openxmlformats.org/officeDocument/2006/relationships/hyperlink" Target="https://doi.org/10.1038/s41579-020-0360-3" TargetMode="External" /><Relationship Id="rId19" Type="http://schemas.openxmlformats.org/officeDocument/2006/relationships/hyperlink" Target="https://doi.org/10.2147/IDR.S291313" TargetMode="External" /><Relationship Id="rId31" Type="http://schemas.openxmlformats.org/officeDocument/2006/relationships/hyperlink" Target="https://doi.org/10.3390/toxins14030170" TargetMode="External" /><Relationship Id="rId4" Type="http://schemas.openxmlformats.org/officeDocument/2006/relationships/webSettings" Target="webSettings.xml" /><Relationship Id="rId9" Type="http://schemas.openxmlformats.org/officeDocument/2006/relationships/hyperlink" Target="https://doi.org/10.3390/ijerph182211771" TargetMode="External" /><Relationship Id="rId14" Type="http://schemas.openxmlformats.org/officeDocument/2006/relationships/hyperlink" Target="https://doi.org/10.3389/fmicb.2019.01168" TargetMode="External" /><Relationship Id="rId22" Type="http://schemas.openxmlformats.org/officeDocument/2006/relationships/hyperlink" Target="https://doi.org/10.1016/j.simyco.2020.05.001" TargetMode="External" /><Relationship Id="rId27" Type="http://schemas.openxmlformats.org/officeDocument/2006/relationships/hyperlink" Target="https://doi.org/10.1016/j.simyco.2020.01.002" TargetMode="External" /><Relationship Id="rId30" Type="http://schemas.openxmlformats.org/officeDocument/2006/relationships/hyperlink" Target="https://doi.org/10.3390/toxins12060387" TargetMode="External" /><Relationship Id="rId35" Type="http://schemas.openxmlformats.org/officeDocument/2006/relationships/hyperlink" Target="https://doi.org/10.1007/s12550-022-00447-2" TargetMode="External" /></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2"/>
          <c:y val="3.1746031746031744E-2"/>
        </c:manualLayout>
      </c:layout>
      <c:overlay val="0"/>
    </c:title>
    <c:autoTitleDeleted val="0"/>
    <c:plotArea>
      <c:layout>
        <c:manualLayout>
          <c:layoutTarget val="inner"/>
          <c:xMode val="edge"/>
          <c:yMode val="edge"/>
          <c:x val="4.8871885035545591E-2"/>
          <c:y val="0.18270002157874271"/>
          <c:w val="0.91254655711073862"/>
          <c:h val="0.56362029636163324"/>
        </c:manualLayout>
      </c:layout>
      <c:barChart>
        <c:barDir val="col"/>
        <c:grouping val="clustered"/>
        <c:varyColors val="0"/>
        <c:ser>
          <c:idx val="0"/>
          <c:order val="0"/>
          <c:tx>
            <c:strRef>
              <c:f>Sheet1!$B$1</c:f>
              <c:strCache>
                <c:ptCount val="1"/>
                <c:pt idx="0">
                  <c:v>Red</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145"/>
        <c:overlap val="-15"/>
        <c:axId val="263835648"/>
        <c:axId val="263837184"/>
      </c:barChart>
      <c:catAx>
        <c:axId val="263835648"/>
        <c:scaling>
          <c:orientation val="minMax"/>
        </c:scaling>
        <c:delete val="0"/>
        <c:axPos val="b"/>
        <c:numFmt formatCode="General" sourceLinked="0"/>
        <c:majorTickMark val="none"/>
        <c:minorTickMark val="none"/>
        <c:tickLblPos val="nextTo"/>
        <c:crossAx val="263837184"/>
        <c:crosses val="autoZero"/>
        <c:auto val="1"/>
        <c:lblAlgn val="ctr"/>
        <c:lblOffset val="100"/>
        <c:noMultiLvlLbl val="0"/>
      </c:catAx>
      <c:valAx>
        <c:axId val="263837184"/>
        <c:scaling>
          <c:orientation val="minMax"/>
        </c:scaling>
        <c:delete val="0"/>
        <c:axPos val="l"/>
        <c:majorGridlines/>
        <c:numFmt formatCode="General" sourceLinked="1"/>
        <c:majorTickMark val="none"/>
        <c:minorTickMark val="none"/>
        <c:tickLblPos val="nextTo"/>
        <c:spPr>
          <a:ln w="12700">
            <a:noFill/>
          </a:ln>
        </c:spPr>
        <c:crossAx val="263835648"/>
        <c:crosses val="autoZero"/>
        <c:crossBetween val="between"/>
      </c:valAx>
    </c:plotArea>
    <c:legend>
      <c:legendPos val="b"/>
      <c:legendEntry>
        <c:idx val="4"/>
        <c:delete val="1"/>
      </c:legendEntry>
      <c:layout>
        <c:manualLayout>
          <c:xMode val="edge"/>
          <c:yMode val="edge"/>
          <c:x val="2.3934678446136615E-2"/>
          <c:y val="0.85043820537714343"/>
          <c:w val="0.95676906702331199"/>
          <c:h val="9.62295841251893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8498</Words>
  <Characters>48440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aishatolaniyi5@gmail.com</cp:lastModifiedBy>
  <cp:revision>2</cp:revision>
  <dcterms:created xsi:type="dcterms:W3CDTF">2025-07-10T07:32:00Z</dcterms:created>
  <dcterms:modified xsi:type="dcterms:W3CDTF">2025-07-10T07:32:00Z</dcterms:modified>
</cp:coreProperties>
</file>