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i/>
          <w:sz w:val="28"/>
          <w:szCs w:val="28"/>
        </w:rPr>
      </w:pPr>
      <w:r>
        <w:rPr>
          <w:rFonts w:ascii="Times New Roman" w:cs="Times New Roman" w:hAnsi="Times New Roman"/>
          <w:b/>
          <w:sz w:val="28"/>
          <w:szCs w:val="28"/>
        </w:rPr>
        <w:t>ANTIBACTERIAL EFFICACY OF</w:t>
      </w:r>
      <w:r>
        <w:rPr>
          <w:rFonts w:ascii="Times New Roman" w:cs="Times New Roman" w:hAnsi="Times New Roman"/>
          <w:b/>
          <w:sz w:val="28"/>
          <w:szCs w:val="28"/>
        </w:rPr>
        <w:t xml:space="preserve"> BLUE GUM</w:t>
      </w:r>
      <w:r>
        <w:rPr>
          <w:rFonts w:ascii="Times New Roman" w:cs="Times New Roman" w:hAnsi="Times New Roman"/>
          <w:b/>
          <w:sz w:val="28"/>
          <w:szCs w:val="28"/>
        </w:rPr>
        <w:t xml:space="preserve"> </w:t>
      </w:r>
      <w:r>
        <w:rPr>
          <w:rFonts w:ascii="Times New Roman" w:cs="Times New Roman" w:hAnsi="Times New Roman"/>
          <w:b/>
          <w:sz w:val="28"/>
          <w:szCs w:val="28"/>
        </w:rPr>
        <w:t>(</w:t>
      </w:r>
      <w:r>
        <w:rPr>
          <w:rFonts w:ascii="Times New Roman" w:cs="Times New Roman" w:hAnsi="Times New Roman"/>
          <w:b/>
          <w:sz w:val="28"/>
          <w:szCs w:val="28"/>
        </w:rPr>
        <w:t>EUCALYPTUS GLOBULUS</w:t>
      </w:r>
      <w:r>
        <w:rPr>
          <w:rFonts w:ascii="Times New Roman" w:cs="Times New Roman" w:hAnsi="Times New Roman"/>
          <w:b/>
          <w:sz w:val="28"/>
          <w:szCs w:val="28"/>
        </w:rPr>
        <w:t>)</w:t>
      </w:r>
      <w:r>
        <w:rPr>
          <w:rFonts w:ascii="Times New Roman" w:cs="Times New Roman" w:hAnsi="Times New Roman"/>
          <w:b/>
          <w:sz w:val="28"/>
          <w:szCs w:val="28"/>
        </w:rPr>
        <w:t xml:space="preserve"> ON METHICILLIN RESISTANT </w:t>
      </w:r>
      <w:r>
        <w:rPr>
          <w:rFonts w:ascii="Times New Roman" w:cs="Times New Roman" w:hAnsi="Times New Roman"/>
          <w:b/>
          <w:i/>
          <w:sz w:val="28"/>
          <w:szCs w:val="28"/>
        </w:rPr>
        <w:t>S</w:t>
      </w:r>
      <w:r>
        <w:rPr>
          <w:rFonts w:ascii="Times New Roman" w:cs="Times New Roman" w:hAnsi="Times New Roman"/>
          <w:b/>
          <w:i/>
          <w:sz w:val="28"/>
          <w:szCs w:val="28"/>
        </w:rPr>
        <w:t>taphylococcus</w:t>
      </w:r>
      <w:r>
        <w:rPr>
          <w:rFonts w:ascii="Times New Roman" w:cs="Times New Roman" w:hAnsi="Times New Roman"/>
          <w:b/>
          <w:i/>
          <w:sz w:val="28"/>
          <w:szCs w:val="28"/>
        </w:rPr>
        <w:t xml:space="preserve"> </w:t>
      </w:r>
      <w:r>
        <w:rPr>
          <w:rFonts w:ascii="Times New Roman" w:cs="Times New Roman" w:hAnsi="Times New Roman"/>
          <w:b/>
          <w:i/>
          <w:sz w:val="28"/>
          <w:szCs w:val="28"/>
        </w:rPr>
        <w:t>aureus</w:t>
      </w:r>
      <w:r>
        <w:rPr>
          <w:rFonts w:ascii="Times New Roman" w:cs="Times New Roman" w:hAnsi="Times New Roman"/>
          <w:b/>
          <w:sz w:val="28"/>
          <w:szCs w:val="28"/>
        </w:rPr>
        <w:t xml:space="preserve"> </w:t>
      </w:r>
      <w:r>
        <w:rPr>
          <w:rFonts w:ascii="Times New Roman" w:cs="Times New Roman" w:hAnsi="Times New Roman"/>
          <w:b/>
          <w:sz w:val="28"/>
          <w:szCs w:val="28"/>
        </w:rPr>
        <w:t>AND E</w:t>
      </w:r>
      <w:r>
        <w:rPr>
          <w:rFonts w:ascii="Times New Roman" w:cs="Times New Roman" w:hAnsi="Times New Roman"/>
          <w:b/>
          <w:i/>
          <w:sz w:val="28"/>
          <w:szCs w:val="28"/>
        </w:rPr>
        <w:t xml:space="preserve">scherichia coli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BY</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MUSA SALIMAT AKEYEDE</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HND/23/SLT/FT/0045</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SUPERVISED BY</w:t>
      </w:r>
      <w:r>
        <w:rPr>
          <w:rFonts w:ascii="Times New Roman" w:cs="Times New Roman" w:hAnsi="Times New Roman"/>
          <w:b/>
          <w:bCs/>
          <w:sz w:val="28"/>
          <w:szCs w:val="28"/>
        </w:rPr>
        <w:t xml:space="preserve">: </w:t>
      </w:r>
      <w:r>
        <w:rPr>
          <w:rFonts w:ascii="Times New Roman" w:cs="Times New Roman" w:hAnsi="Times New Roman"/>
          <w:b/>
          <w:bCs/>
          <w:sz w:val="28"/>
          <w:szCs w:val="28"/>
        </w:rPr>
        <w:t>DAGBA IB</w:t>
      </w:r>
      <w:r>
        <w:rPr>
          <w:rFonts w:ascii="Times New Roman" w:cs="Times New Roman" w:hAnsi="Times New Roman"/>
          <w:b/>
          <w:bCs/>
          <w:sz w:val="28"/>
          <w:szCs w:val="28"/>
        </w:rPr>
        <w:t xml:space="preserve"> (MRS.)</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SUBMITTED </w:t>
      </w:r>
      <w:r>
        <w:rPr>
          <w:rFonts w:ascii="Times New Roman" w:cs="Times New Roman" w:hAnsi="Times New Roman"/>
          <w:b/>
          <w:bCs/>
          <w:sz w:val="28"/>
          <w:szCs w:val="28"/>
        </w:rPr>
        <w:t>TO</w:t>
      </w:r>
      <w:r>
        <w:rPr>
          <w:rFonts w:ascii="Times New Roman" w:cs="Times New Roman" w:hAnsi="Times New Roman"/>
          <w:b/>
          <w:bCs/>
          <w:sz w:val="28"/>
          <w:szCs w:val="28"/>
        </w:rPr>
        <w:t>:</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w:t>
      </w:r>
      <w:r>
        <w:rPr>
          <w:rFonts w:ascii="Times New Roman" w:cs="Times New Roman" w:hAnsi="Times New Roman"/>
          <w:b/>
          <w:sz w:val="28"/>
          <w:szCs w:val="28"/>
        </w:rPr>
        <w:t xml:space="preserve"> 2025</w:t>
      </w:r>
    </w:p>
    <w:p>
      <w:pPr>
        <w:pStyle w:val="style0"/>
        <w:spacing w:before="240"/>
        <w:ind w:right="27"/>
        <w:rPr>
          <w:rFonts w:ascii="Times New Roman" w:cs="Times New Roman" w:hAnsi="Times New Roman"/>
          <w:b/>
          <w:bCs/>
          <w:sz w:val="28"/>
          <w:szCs w:val="28"/>
        </w:rPr>
      </w:pPr>
    </w:p>
    <w:bookmarkStart w:id="0" w:name="_Toc203100984"/>
    <w:bookmarkStart w:id="1" w:name="_Toc203146280"/>
    <w:p>
      <w:pPr>
        <w:pStyle w:val="style1"/>
        <w:spacing w:lineRule="auto" w:line="480"/>
        <w:jc w:val="center"/>
        <w:rPr>
          <w:rFonts w:cs="Times New Roman" w:eastAsia="Times New Roman"/>
          <w:b w:val="false"/>
          <w:color w:val="auto"/>
          <w:sz w:val="28"/>
          <w:szCs w:val="28"/>
        </w:rPr>
      </w:pPr>
      <w:r>
        <w:rPr>
          <w:rFonts w:cs="Times New Roman" w:eastAsia="Times New Roman"/>
          <w:color w:val="auto"/>
          <w:sz w:val="28"/>
          <w:szCs w:val="28"/>
        </w:rPr>
        <w:t>CERTIFICATION</w:t>
      </w:r>
      <w:bookmarkEnd w:id="0"/>
      <w:bookmarkEnd w:id="1"/>
    </w:p>
    <w:p>
      <w:pPr>
        <w:pStyle w:val="style0"/>
        <w:spacing w:lineRule="auto" w:line="480"/>
        <w:ind w:right="27" w:firstLine="72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report was written by </w:t>
      </w:r>
      <w:r>
        <w:rPr>
          <w:rFonts w:ascii="Times New Roman" w:cs="Times New Roman" w:hAnsi="Times New Roman"/>
          <w:sz w:val="24"/>
          <w:szCs w:val="24"/>
          <w:lang w:val="en-US"/>
        </w:rPr>
        <w:t>MUSA SALIMAT AKEYEDE</w:t>
      </w:r>
      <w:r>
        <w:rPr>
          <w:rFonts w:ascii="Times New Roman" w:cs="Times New Roman" w:hAnsi="Times New Roman"/>
          <w:sz w:val="24"/>
          <w:szCs w:val="24"/>
        </w:rPr>
        <w:t xml:space="preserve"> </w:t>
      </w:r>
      <w:r>
        <w:rPr>
          <w:rFonts w:ascii="Times New Roman" w:cs="Times New Roman" w:hAnsi="Times New Roman"/>
          <w:sz w:val="24"/>
          <w:szCs w:val="24"/>
        </w:rPr>
        <w:t>with matric number HND/23/SLT/FT/0045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pPr>
        <w:pStyle w:val="style0"/>
        <w:rPr>
          <w:rFonts w:ascii="Times New Roman" w:cs="Times New Roman" w:hAnsi="Times New Roman"/>
          <w:sz w:val="24"/>
          <w:szCs w:val="24"/>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4"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4;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2"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2;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DAGBA IB</w:t>
      </w:r>
      <w:r>
        <w:rPr>
          <w:rFonts w:ascii="Times New Roman" w:cs="Times New Roman" w:hAnsi="Times New Roman"/>
          <w:sz w:val="26"/>
          <w:szCs w:val="26"/>
        </w:rPr>
        <w:t xml:space="preserve"> </w:t>
      </w:r>
      <w:r>
        <w:rPr>
          <w:rFonts w:ascii="Times New Roman" w:cs="Times New Roman" w:hAnsi="Times New Roman"/>
          <w:sz w:val="26"/>
          <w:szCs w:val="26"/>
        </w:rPr>
        <w:t xml:space="preserve">( </w:t>
      </w:r>
      <w:r>
        <w:rPr>
          <w:rFonts w:ascii="Times New Roman" w:cs="Times New Roman" w:hAnsi="Times New Roman"/>
          <w:sz w:val="26"/>
          <w:szCs w:val="26"/>
        </w:rPr>
        <w:t>MRS</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3"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5;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MISS AHMED 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Unit)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7"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7;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6"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6;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bookmarkStart w:id="2" w:name="_Toc203100985"/>
    <w:p>
      <w:pPr>
        <w:pStyle w:val="style1"/>
        <w:spacing w:lineRule="auto" w:line="480"/>
        <w:rPr>
          <w:rFonts w:cs="Times New Roman" w:eastAsia="Times New Roman"/>
          <w:color w:val="auto"/>
          <w:szCs w:val="24"/>
        </w:rPr>
      </w:pPr>
    </w:p>
    <w:p>
      <w:pPr>
        <w:pStyle w:val="style1"/>
        <w:spacing w:lineRule="auto" w:line="480"/>
        <w:jc w:val="center"/>
        <w:rPr>
          <w:rFonts w:cs="Times New Roman" w:eastAsia="Times New Roman"/>
          <w:color w:val="auto"/>
          <w:szCs w:val="24"/>
        </w:rPr>
      </w:pPr>
    </w:p>
    <w:p>
      <w:pPr>
        <w:pStyle w:val="style0"/>
        <w:rPr/>
      </w:pPr>
    </w:p>
    <w:p>
      <w:pPr>
        <w:pStyle w:val="style0"/>
        <w:rPr/>
      </w:pPr>
    </w:p>
    <w:bookmarkStart w:id="3" w:name="_Toc203146281"/>
    <w:p>
      <w:pPr>
        <w:pStyle w:val="style1"/>
        <w:spacing w:lineRule="auto" w:line="480"/>
        <w:jc w:val="center"/>
        <w:rPr>
          <w:b w:val="false"/>
        </w:rPr>
      </w:pPr>
      <w:r>
        <w:rPr>
          <w:rFonts w:cs="Times New Roman" w:eastAsia="Times New Roman"/>
          <w:color w:val="auto"/>
          <w:szCs w:val="24"/>
        </w:rPr>
        <w:t>DEDICATION</w:t>
      </w:r>
      <w:bookmarkEnd w:id="2"/>
      <w:bookmarkEnd w:id="3"/>
    </w:p>
    <w:p>
      <w:pPr>
        <w:pStyle w:val="style0"/>
        <w:spacing w:lineRule="auto" w:line="480"/>
        <w:rPr>
          <w:rFonts w:ascii="Times New Roman" w:cs="Times New Roman" w:eastAsia="Times New Roman" w:hAnsi="Times New Roman"/>
          <w:szCs w:val="24"/>
        </w:rPr>
      </w:pPr>
      <w:r>
        <w:rPr>
          <w:rFonts w:ascii="Times New Roman" w:cs="Times New Roman" w:eastAsia="Times New Roman" w:hAnsi="Times New Roman"/>
          <w:szCs w:val="24"/>
        </w:rPr>
        <w:t xml:space="preserve">I dedicated this project to almighty God for He is the one that makes this </w:t>
      </w:r>
      <w:r>
        <w:rPr>
          <w:rFonts w:ascii="Times New Roman" w:cs="Times New Roman" w:eastAsia="Times New Roman" w:hAnsi="Times New Roman"/>
          <w:szCs w:val="24"/>
        </w:rPr>
        <w:t>Programme</w:t>
      </w:r>
      <w:r>
        <w:rPr>
          <w:rFonts w:ascii="Times New Roman" w:cs="Times New Roman" w:eastAsia="Times New Roman" w:hAnsi="Times New Roman"/>
          <w:szCs w:val="24"/>
        </w:rPr>
        <w:t xml:space="preserve"> completion a reality </w:t>
      </w:r>
      <w:r>
        <w:rPr>
          <w:rFonts w:ascii="Times New Roman" w:cs="Times New Roman" w:eastAsia="Times New Roman" w:hAnsi="Times New Roman"/>
          <w:szCs w:val="24"/>
        </w:rPr>
        <w:t>and also</w:t>
      </w:r>
      <w:r>
        <w:rPr>
          <w:rFonts w:ascii="Times New Roman" w:cs="Times New Roman" w:eastAsia="Times New Roman" w:hAnsi="Times New Roman"/>
          <w:szCs w:val="24"/>
        </w:rPr>
        <w:t xml:space="preserve">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4" w:name="_Toc203100986"/>
    <w:p>
      <w:pPr>
        <w:pStyle w:val="style1"/>
        <w:spacing w:lineRule="auto" w:line="480"/>
        <w:jc w:val="center"/>
        <w:rPr>
          <w:rFonts w:cs="Times New Roman" w:eastAsia="Times New Roman"/>
          <w:b w:val="false"/>
          <w:color w:val="auto"/>
          <w:szCs w:val="24"/>
        </w:rPr>
      </w:pPr>
    </w:p>
    <w:p>
      <w:pPr>
        <w:pStyle w:val="style0"/>
        <w:numPr>
          <w:ilvl w:val="0"/>
          <w:numId w:val="0"/>
        </w:numPr>
        <w:spacing w:lineRule="auto" w:line="480"/>
        <w:jc w:val="center"/>
        <w:rPr>
          <w:rFonts w:cs="Times New Roman" w:eastAsia="Times New Roman"/>
          <w:b w:val="false"/>
          <w:color w:val="auto"/>
          <w:szCs w:val="24"/>
        </w:rPr>
      </w:pPr>
    </w:p>
    <w:p>
      <w:pPr>
        <w:pStyle w:val="style0"/>
        <w:rPr/>
      </w:pPr>
    </w:p>
    <w:p>
      <w:pPr>
        <w:pStyle w:val="style0"/>
        <w:rPr/>
      </w:pPr>
    </w:p>
    <w:bookmarkStart w:id="5" w:name="_Toc203146282"/>
    <w:p>
      <w:pPr>
        <w:pStyle w:val="style1"/>
        <w:spacing w:lineRule="auto" w:line="480"/>
        <w:jc w:val="center"/>
        <w:rPr>
          <w:rFonts w:cs="Times New Roman" w:eastAsia="Times New Roman"/>
          <w:b w:val="false"/>
          <w:color w:val="auto"/>
          <w:szCs w:val="24"/>
        </w:rPr>
      </w:pPr>
      <w:r>
        <w:rPr>
          <w:rFonts w:cs="Times New Roman" w:eastAsia="Times New Roman"/>
          <w:color w:val="auto"/>
          <w:szCs w:val="24"/>
        </w:rPr>
        <w:t>ACKNOWLEDGEMENT</w:t>
      </w:r>
      <w:bookmarkEnd w:id="4"/>
      <w:bookmarkEnd w:id="5"/>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First and foremost, I express my sincere gratitude to the Almighty Allah for granting me the strength, wisdom, and perseverance to successfully complete this report.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I am deeply grateful to my supervisor, Dagba IB ( Mrs).  for her invaluable guidance, constructive feedback, and consistent support throughout the course of this project. Her mentorship has greatly enriched my academic journey.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I also extend my heartfelt appreciation to my beloved parents, Mr. and Mrs. Musa Akeyede, for their unwavering love, encouragement, and moral support. Their sacrifices and prayers have been the foundation of my success.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To all my lecturers, colleagues, and friends(mutiyat,Damilola,maryam,kaosara,mum aisha)who contributed directly or indirectly to the completion of this work, I say thank you.</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hAnsi="Times New Roman"/>
          <w:b/>
          <w:sz w:val="24"/>
          <w:szCs w:val="24"/>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94"/>
        <w:jc w:val="center"/>
        <w:rPr>
          <w:b/>
        </w:rPr>
      </w:pPr>
    </w:p>
    <w:p>
      <w:pPr>
        <w:pStyle w:val="style266"/>
        <w:spacing w:lineRule="auto" w:line="480"/>
        <w:jc w:val="center"/>
        <w:rPr>
          <w:rFonts w:ascii="Times New Roman" w:cs="Times New Roman" w:eastAsia="Times New Roman" w:hAnsi="Times New Roman"/>
          <w:b/>
          <w:color w:val="auto"/>
          <w:sz w:val="24"/>
          <w:szCs w:val="24"/>
        </w:rPr>
      </w:pPr>
      <w:r>
        <w:rPr>
          <w:rFonts w:ascii="Times New Roman" w:cs="Times New Roman" w:eastAsia="Times New Roman" w:hAnsi="Times New Roman"/>
          <w:b/>
          <w:color w:val="auto"/>
          <w:sz w:val="24"/>
          <w:szCs w:val="24"/>
        </w:rPr>
        <w:t>TABLE OF CONTENTS</w:t>
      </w:r>
    </w:p>
    <w:p>
      <w:pPr>
        <w:pStyle w:val="style19"/>
        <w:tabs>
          <w:tab w:val="right" w:leader="none" w:pos="9350"/>
        </w:tabs>
        <w:rPr>
          <w:rFonts w:ascii="Times New Roman" w:cs="Times New Roman" w:eastAsia="宋体" w:hAnsi="Times New Roman"/>
          <w:noProof/>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i</w:t>
      </w:r>
      <w:bookmarkStart w:id="6" w:name="_GoBack"/>
      <w:bookmarkEnd w:id="6"/>
      <w:r>
        <w:rPr>
          <w:rFonts w:ascii="Times New Roman" w:cs="Times New Roman" w:hAnsi="Times New Roman"/>
          <w:sz w:val="24"/>
          <w:szCs w:val="24"/>
        </w:rPr>
        <w:br/>
      </w:r>
      <w:r>
        <w:rPr>
          <w:rFonts w:ascii="Times New Roman" w:cs="Times New Roman" w:hAnsi="Times New Roman"/>
          <w:sz w:val="24"/>
          <w:szCs w:val="24"/>
        </w:rPr>
        <w:fldChar w:fldCharType="begin"/>
      </w:r>
      <w:r>
        <w:rPr>
          <w:rFonts w:ascii="Times New Roman" w:cs="Times New Roman" w:hAnsi="Times New Roman"/>
          <w:sz w:val="24"/>
          <w:szCs w:val="24"/>
        </w:rPr>
        <w:instrText xml:space="preserve"> TOC \o "1-3" \h \z \u </w:instrText>
      </w:r>
      <w:r>
        <w:rPr>
          <w:rFonts w:ascii="Times New Roman" w:cs="Times New Roman" w:hAnsi="Times New Roman"/>
          <w:sz w:val="24"/>
          <w:szCs w:val="24"/>
        </w:rPr>
        <w:fldChar w:fldCharType="separate"/>
      </w:r>
      <w:r>
        <w:rPr/>
        <w:fldChar w:fldCharType="begin"/>
      </w:r>
      <w:r>
        <w:instrText xml:space="preserve"> HYPERLINK \l "_Toc203146280" </w:instrText>
      </w:r>
      <w:r>
        <w:rPr/>
        <w:fldChar w:fldCharType="separate"/>
      </w:r>
      <w:r>
        <w:rPr>
          <w:rStyle w:val="style85"/>
          <w:rFonts w:ascii="Times New Roman" w:cs="Times New Roman" w:eastAsia="Times New Roman" w:hAnsi="Times New Roman"/>
          <w:noProof/>
          <w:sz w:val="24"/>
          <w:szCs w:val="24"/>
        </w:rPr>
        <w:t>CERTIFICATION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"_Toc203146281" </w:instrText>
      </w:r>
      <w:r>
        <w:rPr/>
        <w:fldChar w:fldCharType="separate"/>
      </w:r>
      <w:r>
        <w:rPr>
          <w:rStyle w:val="style85"/>
          <w:rFonts w:ascii="Times New Roman" w:cs="Times New Roman" w:eastAsia="Times New Roman" w:hAnsi="Times New Roman"/>
          <w:noProof/>
          <w:sz w:val="24"/>
          <w:szCs w:val="24"/>
        </w:rPr>
        <w:t>DEDICATION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"_Toc203146282" </w:instrText>
      </w:r>
      <w:r>
        <w:rPr/>
        <w:fldChar w:fldCharType="separate"/>
      </w:r>
      <w:r>
        <w:rPr>
          <w:rStyle w:val="style85"/>
          <w:rFonts w:ascii="Times New Roman" w:cs="Times New Roman" w:eastAsia="Times New Roman" w:hAnsi="Times New Roman"/>
          <w:noProof/>
          <w:sz w:val="24"/>
          <w:szCs w:val="24"/>
        </w:rPr>
        <w:t>ACKNOWLEDGEMENT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iv</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"_Toc203146283" </w:instrText>
      </w:r>
      <w:r>
        <w:rPr/>
        <w:fldChar w:fldCharType="separate"/>
      </w:r>
      <w:r>
        <w:rPr>
          <w:rStyle w:val="style85"/>
          <w:rFonts w:ascii="Times New Roman" w:cs="Times New Roman" w:hAnsi="Times New Roman"/>
          <w:noProof/>
          <w:sz w:val="24"/>
          <w:szCs w:val="24"/>
        </w:rPr>
        <w:t>ABSTRACT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vii</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"_Toc203146284" </w:instrText>
      </w:r>
      <w:r>
        <w:rPr/>
        <w:fldChar w:fldCharType="separate"/>
      </w:r>
      <w:r>
        <w:rPr>
          <w:rStyle w:val="style85"/>
          <w:rFonts w:ascii="Times New Roman" w:cs="Times New Roman" w:hAnsi="Times New Roman"/>
          <w:noProof/>
          <w:sz w:val="24"/>
          <w:szCs w:val="24"/>
        </w:rPr>
        <w:t>CHAPTER ONE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"_Toc203146285" </w:instrText>
      </w:r>
      <w:r>
        <w:rPr/>
        <w:fldChar w:fldCharType="separate"/>
      </w:r>
      <w:r>
        <w:rPr>
          <w:rStyle w:val="style85"/>
          <w:rFonts w:ascii="Times New Roman" w:cs="Times New Roman" w:hAnsi="Times New Roman"/>
          <w:noProof/>
          <w:sz w:val="24"/>
          <w:szCs w:val="24"/>
        </w:rPr>
        <w:t>INTRODUCTION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"_Toc203146286" </w:instrText>
      </w:r>
      <w:r>
        <w:rPr/>
        <w:fldChar w:fldCharType="separate"/>
      </w:r>
      <w:r>
        <w:rPr>
          <w:rStyle w:val="style85"/>
          <w:rFonts w:ascii="Times New Roman" w:cs="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Background to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"_Toc203146287"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Statement of Problem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"_Toc203146288" </w:instrText>
      </w:r>
      <w:r>
        <w:rPr/>
        <w:fldChar w:fldCharType="separate"/>
      </w:r>
      <w:r>
        <w:rPr>
          <w:rStyle w:val="style85"/>
          <w:rFonts w:ascii="Times New Roman" w:cs="Times New Roman" w:eastAsia="Times New Roman" w:hAnsi="Times New Roman"/>
          <w:noProof/>
          <w:sz w:val="24"/>
          <w:szCs w:val="24"/>
        </w:rPr>
        <w:t>1.1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Justification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10</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"_Toc203146289" </w:instrText>
      </w:r>
      <w:r>
        <w:rPr/>
        <w:fldChar w:fldCharType="separate"/>
      </w:r>
      <w:r>
        <w:rPr>
          <w:rStyle w:val="style85"/>
          <w:rFonts w:ascii="Times New Roman" w:cs="Times New Roman" w:eastAsia="Times New Roman" w:hAnsi="Times New Roman"/>
          <w:noProof/>
          <w:sz w:val="24"/>
          <w:szCs w:val="24"/>
        </w:rPr>
        <w:t>1.3</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Aim and Objectives of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_Toc203146289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"_Toc203146290" </w:instrText>
      </w:r>
      <w:r>
        <w:rPr/>
        <w:fldChar w:fldCharType="separate"/>
      </w:r>
      <w:r>
        <w:rPr>
          <w:rStyle w:val="style85"/>
          <w:rFonts w:ascii="Times New Roman" w:cs="Times New Roman" w:hAnsi="Times New Roman"/>
          <w:noProof/>
          <w:sz w:val="24"/>
          <w:szCs w:val="24"/>
        </w:rPr>
        <w:t>1.3.1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Aim of the Study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"_Toc203146291" </w:instrText>
      </w:r>
      <w:r>
        <w:rPr/>
        <w:fldChar w:fldCharType="separate"/>
      </w:r>
      <w:r>
        <w:rPr>
          <w:rStyle w:val="style85"/>
          <w:rFonts w:ascii="Times New Roman" w:cs="Times New Roman" w:hAnsi="Times New Roman"/>
          <w:noProof/>
          <w:sz w:val="24"/>
          <w:szCs w:val="24"/>
        </w:rPr>
        <w:t>1.3.2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Specific Objectives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"_Toc203146292" </w:instrText>
      </w:r>
      <w:r>
        <w:rPr/>
        <w:fldChar w:fldCharType="separate"/>
      </w:r>
      <w:r>
        <w:rPr>
          <w:rStyle w:val="style85"/>
          <w:rFonts w:ascii="Times New Roman" w:cs="Times New Roman" w:hAnsi="Times New Roman"/>
          <w:noProof/>
          <w:sz w:val="24"/>
          <w:szCs w:val="24"/>
        </w:rPr>
        <w:t>CHAPTER TWO</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"_Toc203146293" </w:instrText>
      </w:r>
      <w:r>
        <w:rPr/>
        <w:fldChar w:fldCharType="separate"/>
      </w:r>
      <w:r>
        <w:rPr>
          <w:rStyle w:val="style85"/>
          <w:rFonts w:ascii="Times New Roman" w:cs="Times New Roman" w:hAnsi="Times New Roman"/>
          <w:noProof/>
          <w:sz w:val="24"/>
          <w:szCs w:val="24"/>
        </w:rPr>
        <w:t>LITERATURE REVIEW</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"_Toc203146294" </w:instrText>
      </w:r>
      <w:r>
        <w:rPr/>
        <w:fldChar w:fldCharType="separate"/>
      </w:r>
      <w:r>
        <w:rPr>
          <w:rStyle w:val="style85"/>
          <w:rFonts w:ascii="Times New Roman" w:cs="Times New Roman" w:hAnsi="Times New Roman"/>
          <w:noProof/>
          <w:sz w:val="24"/>
          <w:szCs w:val="24"/>
        </w:rPr>
        <w:t>2.1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12</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"_Toc203146295" </w:instrText>
      </w:r>
      <w:r>
        <w:rPr/>
        <w:fldChar w:fldCharType="separate"/>
      </w:r>
      <w:r>
        <w:rPr>
          <w:rStyle w:val="style85"/>
          <w:rFonts w:ascii="Times New Roman" w:cs="Times New Roman" w:hAnsi="Times New Roman"/>
          <w:noProof/>
          <w:sz w:val="24"/>
          <w:szCs w:val="24"/>
        </w:rPr>
        <w:t>2.1.1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Types of Antibacterial Agents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"_Toc203146296" </w:instrText>
      </w:r>
      <w:r>
        <w:rPr/>
        <w:fldChar w:fldCharType="separate"/>
      </w:r>
      <w:r>
        <w:rPr>
          <w:rStyle w:val="style85"/>
          <w:rFonts w:ascii="Times New Roman" w:cs="Times New Roman" w:hAnsi="Times New Roman"/>
          <w:noProof/>
          <w:sz w:val="24"/>
          <w:szCs w:val="24"/>
        </w:rPr>
        <w:t>2.1.2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Spectrum of Activity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"_Toc203146297" </w:instrText>
      </w:r>
      <w:r>
        <w:rPr/>
        <w:fldChar w:fldCharType="separate"/>
      </w:r>
      <w:r>
        <w:rPr>
          <w:rStyle w:val="style85"/>
          <w:rFonts w:ascii="Times New Roman" w:cs="Times New Roman" w:hAnsi="Times New Roman"/>
          <w:noProof/>
          <w:sz w:val="24"/>
          <w:szCs w:val="24"/>
        </w:rPr>
        <w:t>2.1.3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"_Toc203146298" </w:instrText>
      </w:r>
      <w:r>
        <w:rPr/>
        <w:fldChar w:fldCharType="separate"/>
      </w:r>
      <w:r>
        <w:rPr>
          <w:rStyle w:val="style85"/>
          <w:rFonts w:ascii="Times New Roman" w:cs="Times New Roman" w:hAnsi="Times New Roman"/>
          <w:noProof/>
          <w:sz w:val="24"/>
          <w:szCs w:val="24"/>
        </w:rPr>
        <w:t>2.1.4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Combination Therapy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16</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"_Toc203146299" </w:instrText>
      </w:r>
      <w:r>
        <w:rPr/>
        <w:fldChar w:fldCharType="separate"/>
      </w:r>
      <w:r>
        <w:rPr>
          <w:rStyle w:val="style85"/>
          <w:rFonts w:ascii="Times New Roman" w:cs="Times New Roman" w:hAnsi="Times New Roman"/>
          <w:noProof/>
          <w:sz w:val="24"/>
          <w:szCs w:val="24"/>
        </w:rPr>
        <w:t>2.2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Overview of Eucalyptus globulus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_Toc203146299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"_Toc203146300" </w:instrText>
      </w:r>
      <w:r>
        <w:rPr/>
        <w:fldChar w:fldCharType="separate"/>
      </w:r>
      <w:r>
        <w:rPr>
          <w:rStyle w:val="style85"/>
          <w:rFonts w:ascii="Times New Roman" w:cs="Times New Roman" w:hAnsi="Times New Roman"/>
          <w:noProof/>
          <w:sz w:val="24"/>
          <w:szCs w:val="24"/>
        </w:rPr>
        <w:t>2.3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 xml:space="preserve">Methicillin -Resistant Staphylococcus </w:t>
      </w:r>
      <w:r>
        <w:rPr>
          <w:rStyle w:val="style85"/>
          <w:rFonts w:ascii="Times New Roman" w:cs="Times New Roman" w:hAnsi="Times New Roman"/>
          <w:i/>
          <w:noProof/>
          <w:sz w:val="24"/>
          <w:szCs w:val="24"/>
        </w:rPr>
        <w:t>aureus</w:t>
      </w:r>
      <w:r>
        <w:rPr>
          <w:rStyle w:val="style85"/>
          <w:rFonts w:ascii="Times New Roman" w:cs="Times New Roman" w:hAnsi="Times New Roman"/>
          <w:noProof/>
          <w:sz w:val="24"/>
          <w:szCs w:val="24"/>
        </w:rPr>
        <w:t xml:space="preserve"> (MRSA)</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"_Toc203146301" </w:instrText>
      </w:r>
      <w:r>
        <w:rPr/>
        <w:fldChar w:fldCharType="separate"/>
      </w:r>
      <w:r>
        <w:rPr>
          <w:rStyle w:val="style85"/>
          <w:rFonts w:ascii="Times New Roman" w:cs="Times New Roman" w:hAnsi="Times New Roman"/>
          <w:noProof/>
          <w:sz w:val="24"/>
          <w:szCs w:val="24"/>
        </w:rPr>
        <w:t>2.3.1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Mechanisms of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"_Toc203146302" </w:instrText>
      </w:r>
      <w:r>
        <w:rPr/>
        <w:fldChar w:fldCharType="separate"/>
      </w:r>
      <w:r>
        <w:rPr>
          <w:rStyle w:val="style85"/>
          <w:rFonts w:ascii="Times New Roman" w:cs="Times New Roman" w:hAnsi="Times New Roman"/>
          <w:noProof/>
          <w:sz w:val="24"/>
          <w:szCs w:val="24"/>
        </w:rPr>
        <w:t>2.3.2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Epidemiology and Clinical Impact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"_Toc203146303" </w:instrText>
      </w:r>
      <w:r>
        <w:rPr/>
        <w:fldChar w:fldCharType="separate"/>
      </w:r>
      <w:r>
        <w:rPr>
          <w:rStyle w:val="style85"/>
          <w:rFonts w:ascii="Times New Roman" w:cs="Times New Roman" w:hAnsi="Times New Roman"/>
          <w:noProof/>
          <w:sz w:val="24"/>
          <w:szCs w:val="24"/>
        </w:rPr>
        <w:t>2.4</w:t>
      </w:r>
      <w:r>
        <w:rPr>
          <w:rFonts w:ascii="Times New Roman" w:cs="Times New Roman" w:eastAsia="宋体" w:hAnsi="Times New Roman"/>
          <w:noProof/>
          <w:sz w:val="24"/>
          <w:szCs w:val="24"/>
        </w:rPr>
        <w:tab/>
      </w:r>
      <w:r>
        <w:rPr>
          <w:rStyle w:val="style85"/>
          <w:rFonts w:ascii="Times New Roman" w:cs="Times New Roman" w:hAnsi="Times New Roman"/>
          <w:i/>
          <w:noProof/>
          <w:sz w:val="24"/>
          <w:szCs w:val="24"/>
        </w:rPr>
        <w:t>Escherichia coli</w:t>
      </w:r>
      <w:r>
        <w:rPr>
          <w:rStyle w:val="style85"/>
          <w:rFonts w:ascii="Times New Roman" w:cs="Times New Roman" w:hAnsi="Times New Roman"/>
          <w:noProof/>
          <w:sz w:val="24"/>
          <w:szCs w:val="24"/>
        </w:rPr>
        <w:t xml:space="preserve"> Infections and 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"_Toc203146304" </w:instrText>
      </w:r>
      <w:r>
        <w:rPr/>
        <w:fldChar w:fldCharType="separate"/>
      </w:r>
      <w:r>
        <w:rPr>
          <w:rStyle w:val="style85"/>
          <w:rFonts w:ascii="Times New Roman" w:cs="Times New Roman" w:hAnsi="Times New Roman"/>
          <w:noProof/>
          <w:sz w:val="24"/>
          <w:szCs w:val="24"/>
        </w:rPr>
        <w:t>2.4.1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Pathogenic Strains of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19</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"_Toc203146305" </w:instrText>
      </w:r>
      <w:r>
        <w:rPr/>
        <w:fldChar w:fldCharType="separate"/>
      </w:r>
      <w:r>
        <w:rPr>
          <w:rStyle w:val="style85"/>
          <w:rFonts w:ascii="Times New Roman" w:cs="Times New Roman" w:hAnsi="Times New Roman"/>
          <w:noProof/>
          <w:sz w:val="24"/>
          <w:szCs w:val="24"/>
        </w:rPr>
        <w:t>2.4.2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Mechanisms of Antibiotic Resistance in </w:t>
      </w:r>
      <w:r>
        <w:rPr>
          <w:rStyle w:val="style85"/>
          <w:rFonts w:ascii="Times New Roman" w:cs="Times New Roman" w:hAnsi="Times New Roman"/>
          <w:i/>
          <w:iCs/>
          <w:noProof/>
          <w:sz w:val="24"/>
          <w:szCs w:val="24"/>
        </w:rPr>
        <w:t>Escherichia coli</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20</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"_Toc203146306" </w:instrText>
      </w:r>
      <w:r>
        <w:rPr/>
        <w:fldChar w:fldCharType="separate"/>
      </w:r>
      <w:r>
        <w:rPr>
          <w:rStyle w:val="style85"/>
          <w:rFonts w:ascii="Times New Roman" w:cs="Times New Roman" w:hAnsi="Times New Roman"/>
          <w:noProof/>
          <w:sz w:val="24"/>
          <w:szCs w:val="24"/>
        </w:rPr>
        <w:t>2.4.3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 xml:space="preserve">Clinical Impact of </w:t>
      </w:r>
      <w:r>
        <w:rPr>
          <w:rStyle w:val="style85"/>
          <w:rFonts w:ascii="Times New Roman" w:cs="Times New Roman" w:hAnsi="Times New Roman"/>
          <w:i/>
          <w:iCs/>
          <w:noProof/>
          <w:sz w:val="24"/>
          <w:szCs w:val="24"/>
        </w:rPr>
        <w:t xml:space="preserve">E. coli </w:t>
      </w:r>
      <w:r>
        <w:rPr>
          <w:rStyle w:val="style85"/>
          <w:rFonts w:ascii="Times New Roman" w:cs="Times New Roman" w:hAnsi="Times New Roman"/>
          <w:noProof/>
          <w:sz w:val="24"/>
          <w:szCs w:val="24"/>
        </w:rPr>
        <w:t>Resistance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21</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"_Toc203146307" </w:instrText>
      </w:r>
      <w:r>
        <w:rPr/>
        <w:fldChar w:fldCharType="separate"/>
      </w:r>
      <w:r>
        <w:rPr>
          <w:rStyle w:val="style85"/>
          <w:rFonts w:ascii="Times New Roman" w:cs="Times New Roman" w:hAnsi="Times New Roman"/>
          <w:noProof/>
          <w:sz w:val="24"/>
          <w:szCs w:val="24"/>
        </w:rPr>
        <w:t>CHAPTER THREE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"_Toc203146308" </w:instrText>
      </w:r>
      <w:r>
        <w:rPr/>
        <w:fldChar w:fldCharType="separate"/>
      </w:r>
      <w:r>
        <w:rPr>
          <w:rStyle w:val="style85"/>
          <w:rFonts w:ascii="Times New Roman" w:cs="Times New Roman" w:hAnsi="Times New Roman"/>
          <w:noProof/>
          <w:sz w:val="24"/>
          <w:szCs w:val="24"/>
        </w:rPr>
        <w:t>MATERIALS AND METHODS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"_Toc203146309" </w:instrText>
      </w:r>
      <w:r>
        <w:rPr/>
        <w:fldChar w:fldCharType="separate"/>
      </w:r>
      <w:r>
        <w:rPr>
          <w:rStyle w:val="style85"/>
          <w:rFonts w:ascii="Times New Roman" w:cs="Times New Roman" w:eastAsia="Times New Roman" w:hAnsi="Times New Roman"/>
          <w:noProof/>
          <w:sz w:val="24"/>
          <w:szCs w:val="24"/>
        </w:rPr>
        <w:t>3.1</w:t>
      </w:r>
      <w:r>
        <w:rPr>
          <w:rFonts w:ascii="Times New Roman" w:cs="Times New Roman" w:eastAsia="宋体" w:hAnsi="Times New Roman"/>
          <w:noProof/>
          <w:sz w:val="24"/>
          <w:szCs w:val="24"/>
        </w:rPr>
        <w:tab/>
      </w:r>
      <w:r>
        <w:rPr>
          <w:rStyle w:val="style85"/>
          <w:rFonts w:ascii="Times New Roman" w:cs="Times New Roman" w:eastAsia="Times New Roman" w:hAnsi="Times New Roman"/>
          <w:noProof/>
          <w:sz w:val="24"/>
          <w:szCs w:val="24"/>
        </w:rPr>
        <w:t>Study Area and Sample Collection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_Toc203146309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"_Toc203146310" </w:instrText>
      </w:r>
      <w:r>
        <w:rPr/>
        <w:fldChar w:fldCharType="separate"/>
      </w:r>
      <w:r>
        <w:rPr>
          <w:rStyle w:val="style85"/>
          <w:rFonts w:ascii="Times New Roman" w:cs="Times New Roman" w:hAnsi="Times New Roman"/>
          <w:noProof/>
          <w:sz w:val="24"/>
          <w:szCs w:val="24"/>
        </w:rPr>
        <w:t>3.2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Collection and Preparation of Plant Material</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"_Toc203146311" </w:instrText>
      </w:r>
      <w:r>
        <w:rPr/>
        <w:fldChar w:fldCharType="separate"/>
      </w:r>
      <w:r>
        <w:rPr>
          <w:rStyle w:val="style85"/>
          <w:rFonts w:ascii="Times New Roman" w:cs="Times New Roman" w:hAnsi="Times New Roman"/>
          <w:noProof/>
          <w:sz w:val="24"/>
          <w:szCs w:val="24"/>
        </w:rPr>
        <w:t>3.3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Preparation of Plant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"_Toc203146312" </w:instrText>
      </w:r>
      <w:r>
        <w:rPr/>
        <w:fldChar w:fldCharType="separate"/>
      </w:r>
      <w:r>
        <w:rPr>
          <w:rStyle w:val="style85"/>
          <w:rFonts w:ascii="Times New Roman" w:cs="Times New Roman" w:hAnsi="Times New Roman"/>
          <w:noProof/>
          <w:sz w:val="24"/>
          <w:szCs w:val="24"/>
        </w:rPr>
        <w:t>3.3.1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Ethanol Extraction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23</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"_Toc203146313" </w:instrText>
      </w:r>
      <w:r>
        <w:rPr/>
        <w:fldChar w:fldCharType="separate"/>
      </w:r>
      <w:r>
        <w:rPr>
          <w:rStyle w:val="style85"/>
          <w:rFonts w:ascii="Times New Roman" w:cs="Times New Roman" w:hAnsi="Times New Roman"/>
          <w:noProof/>
          <w:sz w:val="24"/>
          <w:szCs w:val="24"/>
        </w:rPr>
        <w:t>3.4</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"_Toc203146314" </w:instrText>
      </w:r>
      <w:r>
        <w:rPr/>
        <w:fldChar w:fldCharType="separate"/>
      </w:r>
      <w:r>
        <w:rPr>
          <w:rStyle w:val="style85"/>
          <w:rFonts w:ascii="Times New Roman" w:cs="Times New Roman" w:hAnsi="Times New Roman"/>
          <w:noProof/>
          <w:sz w:val="24"/>
          <w:szCs w:val="24"/>
        </w:rPr>
        <w:t>3.4.1</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Alkaloids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"_Toc203146315" </w:instrText>
      </w:r>
      <w:r>
        <w:rPr/>
        <w:fldChar w:fldCharType="separate"/>
      </w:r>
      <w:r>
        <w:rPr>
          <w:rStyle w:val="style85"/>
          <w:rFonts w:ascii="Times New Roman" w:cs="Times New Roman" w:hAnsi="Times New Roman"/>
          <w:noProof/>
          <w:sz w:val="24"/>
          <w:szCs w:val="24"/>
        </w:rPr>
        <w:t>3.4.2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Flavonoids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"_Toc203146316" </w:instrText>
      </w:r>
      <w:r>
        <w:rPr/>
        <w:fldChar w:fldCharType="separate"/>
      </w:r>
      <w:r>
        <w:rPr>
          <w:rStyle w:val="style85"/>
          <w:rFonts w:ascii="Times New Roman" w:cs="Times New Roman" w:hAnsi="Times New Roman"/>
          <w:noProof/>
          <w:sz w:val="24"/>
          <w:szCs w:val="24"/>
        </w:rPr>
        <w:t>3.4.3</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Tannins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"_Toc203146317" </w:instrText>
      </w:r>
      <w:r>
        <w:rPr/>
        <w:fldChar w:fldCharType="separate"/>
      </w:r>
      <w:r>
        <w:rPr>
          <w:rStyle w:val="style85"/>
          <w:rFonts w:ascii="Times New Roman" w:cs="Times New Roman" w:hAnsi="Times New Roman"/>
          <w:noProof/>
          <w:sz w:val="24"/>
          <w:szCs w:val="24"/>
        </w:rPr>
        <w:t>3.4.4</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Saponins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"_Toc203146318" </w:instrText>
      </w:r>
      <w:r>
        <w:rPr/>
        <w:fldChar w:fldCharType="separate"/>
      </w:r>
      <w:r>
        <w:rPr>
          <w:rStyle w:val="style85"/>
          <w:rFonts w:ascii="Times New Roman" w:cs="Times New Roman" w:hAnsi="Times New Roman"/>
          <w:noProof/>
          <w:sz w:val="24"/>
          <w:szCs w:val="24"/>
        </w:rPr>
        <w:t>3.4.5</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Test for Phenolic Compounds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24</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"_Toc203146319" </w:instrText>
      </w:r>
      <w:r>
        <w:rPr/>
        <w:fldChar w:fldCharType="separate"/>
      </w:r>
      <w:r>
        <w:rPr>
          <w:rStyle w:val="style85"/>
          <w:rFonts w:ascii="Times New Roman" w:cs="Times New Roman" w:hAnsi="Times New Roman"/>
          <w:noProof/>
          <w:sz w:val="24"/>
          <w:szCs w:val="24"/>
        </w:rPr>
        <w:t>3.5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Standardization of Bacterial Inoculum</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_Toc203146319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"_Toc203146320" </w:instrText>
      </w:r>
      <w:r>
        <w:rPr/>
        <w:fldChar w:fldCharType="separate"/>
      </w:r>
      <w:r>
        <w:rPr>
          <w:rStyle w:val="style85"/>
          <w:rFonts w:ascii="Times New Roman" w:cs="Times New Roman" w:hAnsi="Times New Roman"/>
          <w:noProof/>
          <w:sz w:val="24"/>
          <w:szCs w:val="24"/>
        </w:rPr>
        <w:t>3.6</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Susceptibility Testing</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"_Toc203146321" </w:instrText>
      </w:r>
      <w:r>
        <w:rPr/>
        <w:fldChar w:fldCharType="separate"/>
      </w:r>
      <w:r>
        <w:rPr>
          <w:rStyle w:val="style85"/>
          <w:rFonts w:ascii="Times New Roman" w:cs="Times New Roman" w:hAnsi="Times New Roman"/>
          <w:noProof/>
          <w:sz w:val="24"/>
          <w:szCs w:val="24"/>
        </w:rPr>
        <w:t xml:space="preserve">3.6.1 </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21"/>
        <w:tabs>
          <w:tab w:val="left" w:leader="none" w:pos="132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"_Toc203146322" </w:instrText>
      </w:r>
      <w:r>
        <w:rPr/>
        <w:fldChar w:fldCharType="separate"/>
      </w:r>
      <w:r>
        <w:rPr>
          <w:rStyle w:val="style85"/>
          <w:rFonts w:ascii="Times New Roman" w:cs="Times New Roman" w:hAnsi="Times New Roman"/>
          <w:noProof/>
          <w:sz w:val="24"/>
          <w:szCs w:val="24"/>
        </w:rPr>
        <w:t>3.6.2</w:t>
      </w:r>
      <w:r>
        <w:rPr>
          <w:rFonts w:ascii="Times New Roman" w:cs="Times New Roman" w:eastAsia="宋体" w:hAnsi="Times New Roman"/>
          <w:noProof/>
          <w:sz w:val="24"/>
          <w:szCs w:val="24"/>
        </w:rPr>
        <w:t xml:space="preserve">       </w:t>
      </w:r>
      <w:r>
        <w:rPr>
          <w:rStyle w:val="style85"/>
          <w:rFonts w:ascii="Times New Roman" w:cs="Times New Roman" w:hAnsi="Times New Roman"/>
          <w:noProof/>
          <w:sz w:val="24"/>
          <w:szCs w:val="24"/>
        </w:rPr>
        <w:t>Minimum Inhibitory Concentration (MIC) Determination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25</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"_Toc203146323" </w:instrText>
      </w:r>
      <w:r>
        <w:rPr/>
        <w:fldChar w:fldCharType="separate"/>
      </w:r>
      <w:r>
        <w:rPr>
          <w:rStyle w:val="style85"/>
          <w:rFonts w:ascii="Times New Roman" w:cs="Times New Roman" w:hAnsi="Times New Roman"/>
          <w:noProof/>
          <w:sz w:val="24"/>
          <w:szCs w:val="24"/>
        </w:rPr>
        <w:t>CHAPTER FOUR</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"_Toc203146324" </w:instrText>
      </w:r>
      <w:r>
        <w:rPr/>
        <w:fldChar w:fldCharType="separate"/>
      </w:r>
      <w:r>
        <w:rPr>
          <w:rStyle w:val="style85"/>
          <w:rFonts w:ascii="Times New Roman" w:cs="Times New Roman" w:hAnsi="Times New Roman"/>
          <w:noProof/>
          <w:sz w:val="24"/>
          <w:szCs w:val="24"/>
        </w:rPr>
        <w:t>RESULTS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"_Toc203146325" </w:instrText>
      </w:r>
      <w:r>
        <w:rPr/>
        <w:fldChar w:fldCharType="separate"/>
      </w:r>
      <w:r>
        <w:rPr>
          <w:rStyle w:val="style85"/>
          <w:rFonts w:ascii="Times New Roman" w:cs="Times New Roman" w:hAnsi="Times New Roman"/>
          <w:noProof/>
          <w:sz w:val="24"/>
          <w:szCs w:val="24"/>
        </w:rPr>
        <w:t>4.1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Phytochemical Screening of Eucalyptus globulus Leaf Extracts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"_Toc203146326" </w:instrText>
      </w:r>
      <w:r>
        <w:rPr/>
        <w:fldChar w:fldCharType="separate"/>
      </w:r>
      <w:r>
        <w:rPr>
          <w:rStyle w:val="style85"/>
          <w:rFonts w:ascii="Times New Roman" w:cs="Times New Roman" w:hAnsi="Times New Roman"/>
          <w:noProof/>
          <w:sz w:val="24"/>
          <w:szCs w:val="24"/>
        </w:rPr>
        <w:t>4.2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Antibacterial Activity of Eucalyptus globulus Extracts Using Agar Well Diffusion Method</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_Toc203146326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27</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"_Toc203146327" </w:instrText>
      </w:r>
      <w:r>
        <w:rPr/>
        <w:fldChar w:fldCharType="separate"/>
      </w:r>
      <w:r>
        <w:rPr>
          <w:rStyle w:val="style85"/>
          <w:rFonts w:ascii="Times New Roman" w:cs="Times New Roman" w:hAnsi="Times New Roman"/>
          <w:noProof/>
          <w:sz w:val="24"/>
          <w:szCs w:val="24"/>
        </w:rPr>
        <w:t>4.3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Minimum Inhibitory Concentration (MIC) Determination of Ethanol Extract</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_Toc203146327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28</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"_Toc203146328" </w:instrText>
      </w:r>
      <w:r>
        <w:rPr/>
        <w:fldChar w:fldCharType="separate"/>
      </w:r>
      <w:r>
        <w:rPr>
          <w:rStyle w:val="style85"/>
          <w:rFonts w:ascii="Times New Roman" w:cs="Times New Roman" w:hAnsi="Times New Roman"/>
          <w:noProof/>
          <w:sz w:val="24"/>
          <w:szCs w:val="24"/>
        </w:rPr>
        <w:t>4.5</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Discussion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_Toc203146328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29</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"_Toc203146329" </w:instrText>
      </w:r>
      <w:r>
        <w:rPr/>
        <w:fldChar w:fldCharType="separate"/>
      </w:r>
      <w:r>
        <w:rPr>
          <w:rStyle w:val="style85"/>
          <w:rFonts w:ascii="Times New Roman" w:cs="Times New Roman" w:hAnsi="Times New Roman"/>
          <w:noProof/>
          <w:sz w:val="24"/>
          <w:szCs w:val="24"/>
        </w:rPr>
        <w:t>CHAPTER FIVE</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_Toc203146329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"_Toc203146330" </w:instrText>
      </w:r>
      <w:r>
        <w:rPr/>
        <w:fldChar w:fldCharType="separate"/>
      </w:r>
      <w:r>
        <w:rPr>
          <w:rStyle w:val="style85"/>
          <w:rFonts w:ascii="Times New Roman" w:cs="Times New Roman" w:hAnsi="Times New Roman"/>
          <w:noProof/>
          <w:sz w:val="24"/>
          <w:szCs w:val="24"/>
        </w:rPr>
        <w:t>SUMMARY, CONCLUSION AND RECOMMENDATION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_Toc203146330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"_Toc203146331" </w:instrText>
      </w:r>
      <w:r>
        <w:rPr/>
        <w:fldChar w:fldCharType="separate"/>
      </w:r>
      <w:r>
        <w:rPr>
          <w:rStyle w:val="style85"/>
          <w:rFonts w:ascii="Times New Roman" w:cs="Times New Roman" w:hAnsi="Times New Roman"/>
          <w:noProof/>
          <w:sz w:val="24"/>
          <w:szCs w:val="24"/>
        </w:rPr>
        <w:t>5.1</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Summary</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_Toc203146331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"_Toc203146332" </w:instrText>
      </w:r>
      <w:r>
        <w:rPr/>
        <w:fldChar w:fldCharType="separate"/>
      </w:r>
      <w:r>
        <w:rPr>
          <w:rStyle w:val="style85"/>
          <w:rFonts w:ascii="Times New Roman" w:cs="Times New Roman" w:hAnsi="Times New Roman"/>
          <w:noProof/>
          <w:sz w:val="24"/>
          <w:szCs w:val="24"/>
        </w:rPr>
        <w:t>5.2</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Conclusion</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_Toc203146332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32</w:t>
      </w:r>
      <w:r>
        <w:rPr>
          <w:rFonts w:ascii="Times New Roman" w:cs="Times New Roman" w:hAnsi="Times New Roman"/>
          <w:noProof/>
          <w:webHidden/>
          <w:sz w:val="24"/>
          <w:szCs w:val="24"/>
        </w:rPr>
        <w:fldChar w:fldCharType="end"/>
      </w:r>
      <w:r>
        <w:rPr/>
        <w:fldChar w:fldCharType="end"/>
      </w:r>
    </w:p>
    <w:p>
      <w:pPr>
        <w:pStyle w:val="style20"/>
        <w:tabs>
          <w:tab w:val="left" w:leader="none" w:pos="880"/>
          <w:tab w:val="right" w:leader="none" w:pos="9350"/>
        </w:tabs>
        <w:ind w:left="0"/>
        <w:rPr>
          <w:rFonts w:ascii="Times New Roman" w:cs="Times New Roman" w:eastAsia="宋体" w:hAnsi="Times New Roman"/>
          <w:noProof/>
          <w:sz w:val="24"/>
          <w:szCs w:val="24"/>
        </w:rPr>
      </w:pPr>
      <w:r>
        <w:rPr/>
        <w:fldChar w:fldCharType="begin"/>
      </w:r>
      <w:r>
        <w:instrText xml:space="preserve"> HYPERLINK \l "_Toc203146333" </w:instrText>
      </w:r>
      <w:r>
        <w:rPr/>
        <w:fldChar w:fldCharType="separate"/>
      </w:r>
      <w:r>
        <w:rPr>
          <w:rStyle w:val="style85"/>
          <w:rFonts w:ascii="Times New Roman" w:cs="Times New Roman" w:hAnsi="Times New Roman"/>
          <w:noProof/>
          <w:sz w:val="24"/>
          <w:szCs w:val="24"/>
        </w:rPr>
        <w:t>5.3</w:t>
      </w:r>
      <w:r>
        <w:rPr>
          <w:rFonts w:ascii="Times New Roman" w:cs="Times New Roman" w:eastAsia="宋体" w:hAnsi="Times New Roman"/>
          <w:noProof/>
          <w:sz w:val="24"/>
          <w:szCs w:val="24"/>
        </w:rPr>
        <w:tab/>
      </w:r>
      <w:r>
        <w:rPr>
          <w:rStyle w:val="style85"/>
          <w:rFonts w:ascii="Times New Roman" w:cs="Times New Roman" w:hAnsi="Times New Roman"/>
          <w:noProof/>
          <w:sz w:val="24"/>
          <w:szCs w:val="24"/>
        </w:rPr>
        <w:t>Recommendations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_Toc203146333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33</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"_Toc203146334" </w:instrText>
      </w:r>
      <w:r>
        <w:rPr/>
        <w:fldChar w:fldCharType="separate"/>
      </w:r>
      <w:r>
        <w:rPr>
          <w:rStyle w:val="style85"/>
          <w:rFonts w:ascii="Times New Roman" w:cs="Times New Roman" w:hAnsi="Times New Roman"/>
          <w:noProof/>
          <w:sz w:val="24"/>
          <w:szCs w:val="24"/>
        </w:rPr>
        <w:t>REFERENCES</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_Toc203146334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34</w:t>
      </w:r>
      <w:r>
        <w:rPr>
          <w:rFonts w:ascii="Times New Roman" w:cs="Times New Roman" w:hAnsi="Times New Roman"/>
          <w:noProof/>
          <w:webHidden/>
          <w:sz w:val="24"/>
          <w:szCs w:val="24"/>
        </w:rPr>
        <w:fldChar w:fldCharType="end"/>
      </w:r>
      <w:r>
        <w:rPr/>
        <w:fldChar w:fldCharType="end"/>
      </w:r>
    </w:p>
    <w:p>
      <w:pPr>
        <w:pStyle w:val="style19"/>
        <w:tabs>
          <w:tab w:val="right" w:leader="none" w:pos="9350"/>
        </w:tabs>
        <w:rPr>
          <w:rFonts w:ascii="Times New Roman" w:cs="Times New Roman" w:eastAsia="宋体" w:hAnsi="Times New Roman"/>
          <w:noProof/>
          <w:sz w:val="24"/>
          <w:szCs w:val="24"/>
        </w:rPr>
      </w:pPr>
      <w:r>
        <w:rPr/>
        <w:fldChar w:fldCharType="begin"/>
      </w:r>
      <w:r>
        <w:instrText xml:space="preserve"> HYPERLINK \l "_Toc203146335" </w:instrText>
      </w:r>
      <w:r>
        <w:rPr/>
        <w:fldChar w:fldCharType="separate"/>
      </w:r>
      <w:r>
        <w:rPr>
          <w:rStyle w:val="style85"/>
          <w:rFonts w:ascii="Times New Roman" w:cs="Times New Roman" w:hAnsi="Times New Roman"/>
          <w:noProof/>
          <w:sz w:val="24"/>
          <w:szCs w:val="24"/>
        </w:rPr>
        <w:t>APPENDIX</w:t>
      </w:r>
      <w:r>
        <w:rPr>
          <w:rFonts w:ascii="Times New Roman" w:cs="Times New Roman" w:hAnsi="Times New Roman"/>
          <w:noProof/>
          <w:webHidden/>
          <w:sz w:val="24"/>
          <w:szCs w:val="24"/>
        </w:rPr>
        <w:tab/>
      </w:r>
      <w:r>
        <w:rPr>
          <w:rFonts w:ascii="Times New Roman" w:cs="Times New Roman" w:hAnsi="Times New Roman"/>
          <w:noProof/>
          <w:webHidden/>
          <w:sz w:val="24"/>
          <w:szCs w:val="24"/>
        </w:rPr>
        <w:fldChar w:fldCharType="begin"/>
      </w:r>
      <w:r>
        <w:rPr>
          <w:rFonts w:ascii="Times New Roman" w:cs="Times New Roman" w:hAnsi="Times New Roman"/>
          <w:noProof/>
          <w:webHidden/>
          <w:sz w:val="24"/>
          <w:szCs w:val="24"/>
        </w:rPr>
        <w:instrText xml:space="preserve"> PAGEREF _Toc203146335 \h </w:instrText>
      </w:r>
      <w:r>
        <w:rPr>
          <w:rFonts w:ascii="Times New Roman" w:cs="Times New Roman" w:hAnsi="Times New Roman"/>
          <w:noProof/>
          <w:webHidden/>
          <w:sz w:val="24"/>
          <w:szCs w:val="24"/>
        </w:rPr>
        <w:fldChar w:fldCharType="separate"/>
      </w:r>
      <w:r>
        <w:rPr>
          <w:rFonts w:ascii="Times New Roman" w:cs="Times New Roman" w:hAnsi="Times New Roman"/>
          <w:noProof/>
          <w:webHidden/>
          <w:sz w:val="24"/>
          <w:szCs w:val="24"/>
        </w:rPr>
        <w:t>39</w:t>
      </w:r>
      <w:r>
        <w:rPr>
          <w:rFonts w:ascii="Times New Roman" w:cs="Times New Roman" w:hAnsi="Times New Roman"/>
          <w:noProof/>
          <w:webHidden/>
          <w:sz w:val="24"/>
          <w:szCs w:val="24"/>
        </w:rPr>
        <w:fldChar w:fldCharType="end"/>
      </w:r>
      <w:r>
        <w:rPr/>
        <w:fldChar w:fldCharType="end"/>
      </w:r>
    </w:p>
    <w:p>
      <w:pPr>
        <w:pStyle w:val="style0"/>
        <w:rPr>
          <w:rFonts w:ascii="Times New Roman" w:cs="Times New Roman" w:hAnsi="Times New Roman"/>
          <w:sz w:val="24"/>
          <w:szCs w:val="24"/>
        </w:rPr>
      </w:pPr>
      <w:r>
        <w:rPr>
          <w:rFonts w:ascii="Times New Roman" w:cs="Times New Roman" w:hAnsi="Times New Roman"/>
          <w:sz w:val="24"/>
          <w:szCs w:val="24"/>
        </w:rPr>
        <w:fldChar w:fldCharType="end"/>
      </w:r>
    </w:p>
    <w:p>
      <w:pPr>
        <w:pStyle w:val="style94"/>
        <w:jc w:val="center"/>
        <w:rPr>
          <w:b/>
        </w:rPr>
      </w:pPr>
    </w:p>
    <w:p>
      <w:pPr>
        <w:pStyle w:val="style94"/>
        <w:jc w:val="center"/>
        <w:rPr>
          <w:b/>
        </w:rPr>
      </w:pPr>
    </w:p>
    <w:bookmarkStart w:id="7" w:name="_Toc203146283"/>
    <w:p>
      <w:pPr>
        <w:pStyle w:val="style1"/>
        <w:spacing w:lineRule="auto" w:line="480"/>
        <w:jc w:val="center"/>
        <w:rPr/>
      </w:pPr>
      <w:r>
        <w:t>ABSTRACT</w:t>
      </w:r>
      <w:bookmarkEnd w:id="7"/>
    </w:p>
    <w:p>
      <w:pPr>
        <w:pStyle w:val="style94"/>
        <w:spacing w:before="0" w:beforeAutospacing="false" w:after="0" w:afterAutospacing="false"/>
        <w:ind w:firstLine="720"/>
        <w:jc w:val="both"/>
        <w:rPr>
          <w:i/>
          <w:iCs/>
        </w:rPr>
      </w:pPr>
      <w:r>
        <w:rPr>
          <w:i/>
          <w:iCs/>
        </w:rPr>
        <w:t xml:space="preserve">This study investigated the antibacterial efficacy of aqueous and ethanol extracts of Eucalyptus </w:t>
      </w:r>
      <w:r>
        <w:rPr>
          <w:i/>
          <w:iCs/>
        </w:rPr>
        <w:t>globulus</w:t>
      </w:r>
      <w:r>
        <w:rPr>
          <w:i/>
          <w:iCs/>
        </w:rPr>
        <w:t xml:space="preserve"> leaves against Methicillin-Resistant Staphylococcus aureus (MRSA) and Escherichia coli, two clinically important and drug-resistant bacterial pathogens. The study </w:t>
      </w:r>
      <w:r>
        <w:rPr>
          <w:i/>
          <w:iCs/>
        </w:rPr>
        <w:t>was carried out</w:t>
      </w:r>
      <w:r>
        <w:rPr>
          <w:i/>
          <w:iCs/>
        </w:rPr>
        <w:t xml:space="preserve"> at the Microbiology Laboratory Unit of Kwara State Polytechnic, Ilorin, Nigeria. Clinical isolates were obtained from the University of Ilorin Teaching Hospital (UITH</w:t>
      </w:r>
      <w:r>
        <w:rPr>
          <w:i/>
          <w:iCs/>
        </w:rPr>
        <w:t>) .</w:t>
      </w:r>
      <w:r>
        <w:rPr>
          <w:i/>
          <w:iCs/>
        </w:rPr>
        <w:t xml:space="preserve"> </w:t>
      </w:r>
      <w:r>
        <w:rPr>
          <w:i/>
          <w:iCs/>
        </w:rPr>
        <w:t xml:space="preserve">Fresh Eucalyptus </w:t>
      </w:r>
      <w:r>
        <w:rPr>
          <w:i/>
          <w:iCs/>
        </w:rPr>
        <w:t>globulus</w:t>
      </w:r>
      <w:r>
        <w:rPr>
          <w:i/>
          <w:iCs/>
        </w:rPr>
        <w:t xml:space="preserve"> leaves collected locally were processed and extracted using aqueous.</w:t>
      </w:r>
      <w:r>
        <w:rPr>
          <w:i/>
          <w:iCs/>
        </w:rPr>
        <w:t xml:space="preserve"> Phytochemical screening </w:t>
      </w:r>
      <w:r>
        <w:rPr>
          <w:i/>
          <w:iCs/>
        </w:rPr>
        <w:t>was performed</w:t>
      </w:r>
      <w:r>
        <w:rPr>
          <w:i/>
          <w:iCs/>
        </w:rPr>
        <w:t xml:space="preserve"> to identify key bioactive constituents. The antibacterial activity of the extracts </w:t>
      </w:r>
      <w:r>
        <w:rPr>
          <w:i/>
          <w:iCs/>
        </w:rPr>
        <w:t>was assessed</w:t>
      </w:r>
      <w:r>
        <w:rPr>
          <w:i/>
          <w:iCs/>
        </w:rPr>
        <w:t xml:space="preserve"> using the agar well diffusion method, and minimum inhibitory concentration (MIC) was determined through the agar dilution technique. Phytochemical analysis revealed the presence of</w:t>
      </w:r>
      <w:r>
        <w:rPr>
          <w:i/>
          <w:iCs/>
        </w:rPr>
        <w:t xml:space="preserve"> flavonoids, tannins</w:t>
      </w:r>
      <w:r>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Pr>
          <w:i/>
          <w:iCs/>
        </w:rPr>
        <w:t>E. coli</w:t>
      </w:r>
      <w:r>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r>
        <w:rPr>
          <w:i/>
          <w:iCs/>
        </w:rPr>
        <w:t>globulus</w:t>
      </w:r>
      <w:r>
        <w:rPr>
          <w:i/>
          <w:iCs/>
        </w:rPr>
        <w:t xml:space="preserve"> leaf extracts, particularly ethanol-based extracts, as a source of natural antibacterial agents. The presence of multiple phytochemicals known for antimicrobial activity likely contributed to the observed effects. Further studies </w:t>
      </w:r>
      <w:r>
        <w:rPr>
          <w:i/>
          <w:iCs/>
        </w:rPr>
        <w:t>are recommended</w:t>
      </w:r>
      <w:r>
        <w:rPr>
          <w:i/>
          <w:iCs/>
        </w:rPr>
        <w:t xml:space="preserve"> to isolate active compounds, test in vivo effectiveness, and evaluate toxicity to support future applications in pharmaceutical or herbal medicine.</w:t>
      </w:r>
    </w:p>
    <w:p>
      <w:pPr>
        <w:pStyle w:val="style0"/>
        <w:rPr>
          <w:rFonts w:ascii="Times New Roman" w:cs="Times New Roman" w:hAnsi="Times New Roman"/>
          <w:b/>
          <w:i/>
          <w:iCs/>
          <w:sz w:val="24"/>
          <w:szCs w:val="24"/>
        </w:rPr>
      </w:pPr>
    </w:p>
    <w:p>
      <w:pPr>
        <w:pStyle w:val="style0"/>
        <w:spacing w:after="0" w:lineRule="auto" w:line="480"/>
        <w:rPr>
          <w:rFonts w:ascii="Times New Roman" w:cs="Times New Roman" w:hAnsi="Times New Roman"/>
          <w:b/>
          <w:sz w:val="24"/>
          <w:szCs w:val="24"/>
        </w:rPr>
        <w:sectPr>
          <w:footerReference w:type="even" r:id="rId3"/>
          <w:footerReference w:type="default" r:id="rId4"/>
          <w:pgSz w:w="12240" w:h="15840" w:orient="portrait"/>
          <w:pgMar w:top="1440" w:right="1440" w:bottom="1440" w:left="1440" w:header="708" w:footer="708" w:gutter="0"/>
          <w:pgNumType w:fmt="lowerRoman" w:start="1"/>
          <w:cols w:space="708"/>
          <w:docGrid w:linePitch="360"/>
        </w:sectPr>
      </w:pPr>
    </w:p>
    <w:bookmarkStart w:id="8" w:name="_Toc203146284"/>
    <w:p>
      <w:pPr>
        <w:pStyle w:val="styl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bookmarkEnd w:id="8"/>
    </w:p>
    <w:bookmarkStart w:id="9" w:name="_Toc203146285"/>
    <w:p>
      <w:pPr>
        <w:pStyle w:val="style1"/>
        <w:spacing w:lineRule="auto" w:line="480"/>
        <w:jc w:val="center"/>
        <w:rPr/>
      </w:pPr>
      <w:r>
        <w:t>INTRODUCTION</w:t>
      </w:r>
      <w:bookmarkEnd w:id="9"/>
    </w:p>
    <w:bookmarkStart w:id="10" w:name="_Toc203146286"/>
    <w:p>
      <w:pPr>
        <w:pStyle w:val="style2"/>
        <w:spacing w:lineRule="auto" w:line="480"/>
        <w:rPr/>
      </w:pPr>
      <w:r>
        <w:t>1.1</w:t>
      </w:r>
      <w:r>
        <w:tab/>
      </w:r>
      <w:r>
        <w:t>Background to the Study</w:t>
      </w:r>
      <w:bookmarkEnd w:id="10"/>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MRSA is a major cause of hospital and community-acquired infections, while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w:t>
      </w:r>
      <w:r>
        <w:rPr>
          <w:rFonts w:ascii="Times New Roman" w:cs="Times New Roman" w:eastAsia="Times New Roman" w:hAnsi="Times New Roman"/>
          <w:sz w:val="24"/>
          <w:szCs w:val="24"/>
        </w:rPr>
        <w:t>have been linked</w:t>
      </w:r>
      <w:r>
        <w:rPr>
          <w:rFonts w:ascii="Times New Roman" w:cs="Times New Roman" w:eastAsia="Times New Roman" w:hAnsi="Times New Roman"/>
          <w:sz w:val="24"/>
          <w:szCs w:val="24"/>
        </w:rPr>
        <w:t xml:space="preserve"> to serious infections such as urinary tract infections and bloodstream infections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Resistance in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 middle-income countries where access to advanced antibiotics is limited (CDC, 2022). As a result, there is a critical need to search for new, effective, and affordable antimicrobial agents.</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Plants have always been a valuable source of medicines. Many modern antibiotics and drugs </w:t>
      </w:r>
      <w:r>
        <w:rPr>
          <w:rFonts w:ascii="Times New Roman" w:cs="Times New Roman" w:eastAsia="Times New Roman" w:hAnsi="Times New Roman"/>
          <w:sz w:val="24"/>
          <w:szCs w:val="24"/>
        </w:rPr>
        <w:t>have been derived</w:t>
      </w:r>
      <w:r>
        <w:rPr>
          <w:rFonts w:ascii="Times New Roman" w:cs="Times New Roman" w:eastAsia="Times New Roman" w:hAnsi="Times New Roman"/>
          <w:sz w:val="24"/>
          <w:szCs w:val="24"/>
        </w:rPr>
        <w:t xml:space="preserve"> directly or indirectly from plant sources. In the search for alternatives to synthetic antibiotics, medicinal plants are gaining attention for their antimicrobial activities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commonly known as the Blue Gum tree, is one such plant that ha</w:t>
      </w:r>
      <w:r>
        <w:rPr>
          <w:rFonts w:ascii="Times New Roman" w:cs="Times New Roman" w:eastAsia="Times New Roman" w:hAnsi="Times New Roman"/>
          <w:sz w:val="24"/>
          <w:szCs w:val="24"/>
        </w:rPr>
        <w:t>d</w:t>
      </w:r>
      <w:r>
        <w:rPr>
          <w:rFonts w:ascii="Times New Roman" w:cs="Times New Roman" w:eastAsia="Times New Roman" w:hAnsi="Times New Roman"/>
          <w:sz w:val="24"/>
          <w:szCs w:val="24"/>
        </w:rPr>
        <w:t xml:space="preserve"> shown promising antimicrobial properties. It belongs to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is widely cultivated for its essential oils, which are rich in bioactive compounds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essential oils extracted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 are known to contain compounds </w:t>
      </w:r>
      <w:r>
        <w:rPr>
          <w:rFonts w:ascii="Times New Roman" w:cs="Times New Roman" w:eastAsia="Times New Roman" w:hAnsi="Times New Roman"/>
          <w:sz w:val="24"/>
          <w:szCs w:val="24"/>
        </w:rPr>
        <w:t>such as 1</w:t>
      </w:r>
      <w:r>
        <w:rPr>
          <w:rFonts w:ascii="Times New Roman" w:cs="Times New Roman" w:eastAsia="Times New Roman" w:hAnsi="Times New Roman"/>
          <w:sz w:val="24"/>
          <w:szCs w:val="24"/>
        </w:rPr>
        <w:t>,8</w:t>
      </w:r>
      <w:r>
        <w:rPr>
          <w:rFonts w:ascii="Times New Roman" w:cs="Times New Roman" w:eastAsia="Times New Roman" w:hAnsi="Times New Roman"/>
          <w:sz w:val="24"/>
          <w:szCs w:val="24"/>
        </w:rPr>
        <w:t>-cineole (eucalyptol), α-</w:t>
      </w:r>
      <w:r>
        <w:rPr>
          <w:rFonts w:ascii="Times New Roman" w:cs="Times New Roman" w:eastAsia="Times New Roman" w:hAnsi="Times New Roman"/>
          <w:sz w:val="24"/>
          <w:szCs w:val="24"/>
        </w:rPr>
        <w:t>pinene</w:t>
      </w:r>
      <w:r>
        <w:rPr>
          <w:rFonts w:ascii="Times New Roman" w:cs="Times New Roman" w:eastAsia="Times New Roman" w:hAnsi="Times New Roman"/>
          <w:sz w:val="24"/>
          <w:szCs w:val="24"/>
        </w:rPr>
        <w:t xml:space="preserve">, and limonene. These compounds have demonstrated antibacterial, antiviral, and antifungal activities in several studies (da Silva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 Notably, 1</w:t>
      </w:r>
      <w:r>
        <w:rPr>
          <w:rFonts w:ascii="Times New Roman" w:cs="Times New Roman" w:eastAsia="Times New Roman" w:hAnsi="Times New Roman"/>
          <w:sz w:val="24"/>
          <w:szCs w:val="24"/>
        </w:rPr>
        <w:t>,8</w:t>
      </w:r>
      <w:r>
        <w:rPr>
          <w:rFonts w:ascii="Times New Roman" w:cs="Times New Roman" w:eastAsia="Times New Roman" w:hAnsi="Times New Roman"/>
          <w:sz w:val="24"/>
          <w:szCs w:val="24"/>
        </w:rPr>
        <w:t xml:space="preserve">-cineole has been shown to damage bacterial cell walls, disrupt membranes, and inhibit the growth of both Gram-positive and Gram-negative bacteria (Gomes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This makes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potential candidate for combating bacterial pathogens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Moreover, essential oils </w:t>
      </w:r>
      <w:r>
        <w:rPr>
          <w:rFonts w:ascii="Times New Roman" w:cs="Times New Roman" w:eastAsia="Times New Roman" w:hAnsi="Times New Roman"/>
          <w:sz w:val="24"/>
          <w:szCs w:val="24"/>
        </w:rPr>
        <w:t>are generally considered</w:t>
      </w:r>
      <w:r>
        <w:rPr>
          <w:rFonts w:ascii="Times New Roman" w:cs="Times New Roman" w:eastAsia="Times New Roman" w:hAnsi="Times New Roman"/>
          <w:sz w:val="24"/>
          <w:szCs w:val="24"/>
        </w:rPr>
        <w:t xml:space="preserve"> safe, biodegradable, and less toxic compared to synthetic antibiotics when used appropriately (</w:t>
      </w:r>
      <w:r>
        <w:rPr>
          <w:rFonts w:ascii="Times New Roman" w:cs="Times New Roman" w:eastAsia="Times New Roman" w:hAnsi="Times New Roman"/>
          <w:sz w:val="24"/>
          <w:szCs w:val="24"/>
        </w:rPr>
        <w:t>Júnior</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2020).</w:t>
      </w:r>
    </w:p>
    <w:p>
      <w:pPr>
        <w:pStyle w:val="style0"/>
        <w:spacing w:after="0"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Traditionally,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has been used</w:t>
      </w:r>
      <w:r>
        <w:rPr>
          <w:rFonts w:ascii="Times New Roman" w:cs="Times New Roman" w:eastAsia="Times New Roman" w:hAnsi="Times New Roman"/>
          <w:sz w:val="24"/>
          <w:szCs w:val="24"/>
        </w:rPr>
        <w:t xml:space="preserve"> in various cultures to treat infections, wounds, and respiratory problems. In modern times, scientific studies have supported some of these uses by demonstrating the antibacterial activity of </w:t>
      </w:r>
      <w:r>
        <w:rPr>
          <w:rFonts w:ascii="Times New Roman" w:cs="Times New Roman" w:eastAsia="Times New Roman" w:hAnsi="Times New Roman"/>
          <w:i/>
          <w:iCs/>
          <w:sz w:val="24"/>
          <w:szCs w:val="24"/>
        </w:rPr>
        <w:t>Eucalyptus</w:t>
      </w:r>
      <w:r>
        <w:rPr>
          <w:rFonts w:ascii="Times New Roman" w:cs="Times New Roman" w:eastAsia="Times New Roman" w:hAnsi="Times New Roman"/>
          <w:sz w:val="24"/>
          <w:szCs w:val="24"/>
        </w:rPr>
        <w:t xml:space="preserve"> extracts against a range of pathogens. For example, a study by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found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exhibited significant inhibitory effects against multidrug-resistant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strains isolated from clinical samples. Similarly, </w:t>
      </w: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reported that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oil effectively inhibited the growth of MRSA isolates collected from food and clinical settings.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these findings, there are still gaps in the literature regarding the specific effectiveness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especially using local strains isolated from different environments. More laboratory-based investigations </w:t>
      </w:r>
      <w:r>
        <w:rPr>
          <w:rFonts w:ascii="Times New Roman" w:cs="Times New Roman" w:eastAsia="Times New Roman" w:hAnsi="Times New Roman"/>
          <w:sz w:val="24"/>
          <w:szCs w:val="24"/>
        </w:rPr>
        <w:t>are needed</w:t>
      </w:r>
      <w:r>
        <w:rPr>
          <w:rFonts w:ascii="Times New Roman" w:cs="Times New Roman" w:eastAsia="Times New Roman" w:hAnsi="Times New Roman"/>
          <w:sz w:val="24"/>
          <w:szCs w:val="24"/>
        </w:rPr>
        <w:t xml:space="preserve"> to confirm its antibacterial potential, explore its mechanism of action, and determine its possible applications in </w:t>
      </w:r>
      <w:r>
        <w:rPr>
          <w:rFonts w:ascii="Times New Roman" w:cs="Times New Roman" w:eastAsia="Times New Roman" w:hAnsi="Times New Roman"/>
          <w:sz w:val="24"/>
          <w:szCs w:val="24"/>
        </w:rPr>
        <w:t>healthcare settings.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 the face of the global antibiotic resistance crisis, exploring natural resources like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is not just timely but necessary. Natural products offer a rich and relatively untapped reservoir of potential solutions to one of the most pressing medical challenges of the 21st century.</w:t>
      </w:r>
    </w:p>
    <w:bookmarkStart w:id="11" w:name="_Toc203146287"/>
    <w:p>
      <w:pPr>
        <w:pStyle w:val="style2"/>
        <w:spacing w:lineRule="auto" w:line="480"/>
        <w:rPr>
          <w:rFonts w:eastAsia="Times New Roman"/>
        </w:rPr>
      </w:pPr>
      <w:r>
        <w:rPr>
          <w:rFonts w:eastAsia="Times New Roman"/>
        </w:rPr>
        <w:t>1.1</w:t>
      </w:r>
      <w:r>
        <w:rPr>
          <w:rFonts w:eastAsia="Times New Roman"/>
        </w:rPr>
        <w:tab/>
      </w:r>
      <w:r>
        <w:rPr>
          <w:rFonts w:eastAsia="Times New Roman"/>
        </w:rPr>
        <w:t>Statement of Problem</w:t>
      </w:r>
      <w:bookmarkEnd w:id="11"/>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rise of antibiotic-resistant bacteria, particularly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resistant strains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2019).</w:t>
      </w:r>
    </w:p>
    <w:p>
      <w:pPr>
        <w:pStyle w:val="style0"/>
        <w:spacing w:after="0" w:lineRule="auto" w:line="480"/>
        <w:jc w:val="both"/>
        <w:rPr>
          <w:rFonts w:ascii="Times New Roman" w:cs="Times New Roman" w:eastAsia="Times New Roman" w:hAnsi="Times New Roman"/>
          <w:i/>
          <w:sz w:val="24"/>
          <w:szCs w:val="24"/>
        </w:rPr>
      </w:pP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under controlled laboratory conditions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 Most available studies have focused on general antimicrobial properties, but few have directly compared its activity against these two clinically significant bacteria</w:t>
      </w:r>
      <w:r>
        <w:rPr>
          <w:rFonts w:ascii="Times New Roman" w:cs="Times New Roman" w:eastAsia="Times New Roman" w:hAnsi="Times New Roman"/>
          <w:sz w:val="24"/>
          <w:szCs w:val="24"/>
        </w:rPr>
        <w:t xml:space="preserve"> hence this study of its efficacy on </w:t>
      </w:r>
      <w:r>
        <w:rPr>
          <w:rFonts w:ascii="Times New Roman" w:cs="Times New Roman" w:eastAsia="Times New Roman" w:hAnsi="Times New Roman"/>
          <w:i/>
          <w:sz w:val="24"/>
          <w:szCs w:val="24"/>
        </w:rPr>
        <w:t>MRSA</w:t>
      </w:r>
      <w:r>
        <w:rPr>
          <w:rFonts w:ascii="Times New Roman" w:cs="Times New Roman" w:eastAsia="Times New Roman" w:hAnsi="Times New Roman"/>
          <w:sz w:val="24"/>
          <w:szCs w:val="24"/>
        </w:rPr>
        <w:t xml:space="preserve"> and </w:t>
      </w:r>
      <w:r>
        <w:rPr>
          <w:rFonts w:ascii="Times New Roman" w:cs="Times New Roman" w:eastAsia="Times New Roman" w:hAnsi="Times New Roman"/>
          <w:i/>
          <w:sz w:val="24"/>
          <w:szCs w:val="24"/>
        </w:rPr>
        <w:t>E. coli</w:t>
      </w:r>
      <w:r>
        <w:rPr>
          <w:rFonts w:ascii="Times New Roman" w:cs="Times New Roman" w:eastAsia="Times New Roman" w:hAnsi="Times New Roman"/>
          <w:i/>
          <w:sz w:val="24"/>
          <w:szCs w:val="24"/>
        </w:rPr>
        <w:t>.</w:t>
      </w:r>
    </w:p>
    <w:bookmarkStart w:id="12" w:name="_Toc203146288"/>
    <w:p>
      <w:pPr>
        <w:pStyle w:val="style2"/>
        <w:spacing w:lineRule="auto" w:line="480"/>
        <w:rPr>
          <w:rFonts w:eastAsia="Times New Roman"/>
        </w:rPr>
      </w:pPr>
      <w:r>
        <w:rPr>
          <w:rFonts w:eastAsia="Times New Roman"/>
        </w:rPr>
        <w:t>1.1</w:t>
      </w:r>
      <w:r>
        <w:rPr>
          <w:rFonts w:eastAsia="Times New Roman"/>
        </w:rPr>
        <w:tab/>
      </w:r>
      <w:r>
        <w:rPr>
          <w:rFonts w:eastAsia="Times New Roman"/>
        </w:rPr>
        <w:t>J</w:t>
      </w:r>
      <w:r>
        <w:rPr>
          <w:rFonts w:eastAsia="Times New Roman"/>
        </w:rPr>
        <w:t>ustification</w:t>
      </w:r>
      <w:bookmarkEnd w:id="12"/>
      <w:r>
        <w:rPr>
          <w:rFonts w:eastAsia="Times New Roman"/>
        </w:rPr>
        <w:tab/>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growing problem of antibiotic resistance has created an urgent need for alternative antimicrobial agents. This study is significant because it explores the antibacterial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plant known for its medicinal properties, against two important resistant bacteria: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The study could contribute valuable knowledge to the </w:t>
      </w:r>
      <w:r>
        <w:rPr>
          <w:rFonts w:ascii="Times New Roman" w:cs="Times New Roman" w:eastAsia="Times New Roman" w:hAnsi="Times New Roman"/>
          <w:sz w:val="24"/>
          <w:szCs w:val="24"/>
        </w:rPr>
        <w:t>search for new, plant-based therapies to combat resistant infections.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proves effective, it could offer a safer, cheaper, and more natural alternative to synthetic antibiotics, especially in low- and middle-income countries where access to modern drugs is limited (</w:t>
      </w: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Ahmed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The study will also add to the existing body of scientific knowledge by providing updated information on the antibacterial effects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specifically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bookmarkStart w:id="13" w:name="_Toc203146289"/>
    <w:p>
      <w:pPr>
        <w:pStyle w:val="style2"/>
        <w:spacing w:lineRule="auto" w:line="480"/>
        <w:rPr>
          <w:rFonts w:eastAsia="Times New Roman"/>
        </w:rPr>
      </w:pPr>
      <w:r>
        <w:rPr>
          <w:rFonts w:eastAsia="Times New Roman"/>
        </w:rPr>
        <w:t>1.</w:t>
      </w:r>
      <w:r>
        <w:rPr>
          <w:rFonts w:eastAsia="Times New Roman"/>
        </w:rPr>
        <w:t>3</w:t>
      </w:r>
      <w:r>
        <w:rPr>
          <w:rFonts w:eastAsia="Times New Roman"/>
        </w:rPr>
        <w:tab/>
      </w:r>
      <w:r>
        <w:rPr>
          <w:rFonts w:eastAsia="Times New Roman"/>
        </w:rPr>
        <w:t>Aim and Objectives of Study</w:t>
      </w:r>
      <w:bookmarkEnd w:id="13"/>
      <w:r>
        <w:rPr>
          <w:rFonts w:eastAsia="Times New Roman"/>
        </w:rPr>
        <w:t xml:space="preserve"> </w:t>
      </w:r>
    </w:p>
    <w:bookmarkStart w:id="14" w:name="_Toc203146290"/>
    <w:p>
      <w:pPr>
        <w:pStyle w:val="style3"/>
        <w:spacing w:before="0" w:beforeAutospacing="false" w:after="0" w:afterAutospacing="false" w:lineRule="auto" w:line="480"/>
        <w:rPr>
          <w:szCs w:val="24"/>
        </w:rPr>
      </w:pPr>
      <w:r>
        <w:rPr>
          <w:szCs w:val="24"/>
        </w:rPr>
        <w:t>1.3.1</w:t>
      </w:r>
      <w:r>
        <w:rPr>
          <w:szCs w:val="24"/>
        </w:rPr>
        <w:tab/>
      </w:r>
      <w:r>
        <w:rPr>
          <w:szCs w:val="24"/>
        </w:rPr>
        <w:t>Aim of the Study</w:t>
      </w:r>
      <w:bookmarkEnd w:id="14"/>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aim of this study is to evaluate the antibacterial efficacy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against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w:t>
      </w:r>
    </w:p>
    <w:bookmarkStart w:id="15" w:name="_Toc203146291"/>
    <w:p>
      <w:pPr>
        <w:pStyle w:val="style3"/>
        <w:rPr>
          <w:bCs w:val="false"/>
          <w:szCs w:val="24"/>
        </w:rPr>
      </w:pPr>
      <w:r>
        <w:rPr>
          <w:bCs w:val="false"/>
          <w:szCs w:val="24"/>
        </w:rPr>
        <w:t>1.3.2</w:t>
      </w:r>
      <w:r>
        <w:rPr>
          <w:bCs w:val="false"/>
          <w:szCs w:val="24"/>
        </w:rPr>
        <w:tab/>
      </w:r>
      <w:r>
        <w:rPr>
          <w:bCs w:val="false"/>
          <w:szCs w:val="24"/>
        </w:rPr>
        <w:t>Specific Objectives</w:t>
      </w:r>
      <w:bookmarkEnd w:id="15"/>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specific objectives of the study are to:</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e</w:t>
      </w:r>
      <w:r>
        <w:rPr>
          <w:rFonts w:ascii="Times New Roman" w:cs="Times New Roman" w:eastAsia="Times New Roman" w:hAnsi="Times New Roman"/>
          <w:bCs/>
          <w:sz w:val="24"/>
          <w:szCs w:val="24"/>
        </w:rPr>
        <w:t>xtract</w:t>
      </w:r>
      <w:r>
        <w:rPr>
          <w:rFonts w:ascii="Times New Roman" w:cs="Times New Roman" w:eastAsia="Times New Roman" w:hAnsi="Times New Roman"/>
          <w:bCs/>
          <w:sz w:val="24"/>
          <w:szCs w:val="24"/>
        </w:rPr>
        <w:t xml:space="preserve"> and prepare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w:t>
      </w:r>
      <w:r>
        <w:rPr>
          <w:rFonts w:ascii="Times New Roman" w:cs="Times New Roman" w:eastAsia="Times New Roman" w:hAnsi="Times New Roman"/>
          <w:sz w:val="24"/>
          <w:szCs w:val="24"/>
        </w:rPr>
        <w:t xml:space="preserve"> extracts from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leaves.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d</w:t>
      </w:r>
      <w:r>
        <w:rPr>
          <w:rFonts w:ascii="Times New Roman" w:cs="Times New Roman" w:eastAsia="Times New Roman" w:hAnsi="Times New Roman"/>
          <w:bCs/>
          <w:sz w:val="24"/>
          <w:szCs w:val="24"/>
        </w:rPr>
        <w:t>etermine</w:t>
      </w:r>
      <w:r>
        <w:rPr>
          <w:rFonts w:ascii="Times New Roman" w:cs="Times New Roman" w:eastAsia="Times New Roman" w:hAnsi="Times New Roman"/>
          <w:bCs/>
          <w:sz w:val="24"/>
          <w:szCs w:val="24"/>
        </w:rPr>
        <w:t xml:space="preserve"> the antibacterial activity</w:t>
      </w:r>
      <w:r>
        <w:rPr>
          <w:rFonts w:ascii="Times New Roman" w:cs="Times New Roman" w:eastAsia="Times New Roman" w:hAnsi="Times New Roman"/>
          <w:sz w:val="24"/>
          <w:szCs w:val="24"/>
        </w:rPr>
        <w:t xml:space="preserve"> of </w:t>
      </w:r>
      <w:bookmarkStart w:id="16" w:name="_Hlk199157975"/>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w:t>
      </w:r>
      <w:bookmarkEnd w:id="16"/>
      <w:r>
        <w:rPr>
          <w:rFonts w:ascii="Times New Roman" w:cs="Times New Roman" w:eastAsia="Times New Roman" w:hAnsi="Times New Roman"/>
          <w:sz w:val="24"/>
          <w:szCs w:val="24"/>
        </w:rPr>
        <w:t xml:space="preserve">extract against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using standard microbiological methods.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Check the phytochemical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p>
    <w:p>
      <w:pPr>
        <w:pStyle w:val="style0"/>
        <w:numPr>
          <w:ilvl w:val="0"/>
          <w:numId w:val="1"/>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w:t>
      </w:r>
      <w:r>
        <w:rPr>
          <w:rFonts w:ascii="Times New Roman" w:cs="Times New Roman" w:eastAsia="Times New Roman" w:hAnsi="Times New Roman"/>
          <w:bCs/>
          <w:sz w:val="24"/>
          <w:szCs w:val="24"/>
        </w:rPr>
        <w:t>ssess</w:t>
      </w:r>
      <w:r>
        <w:rPr>
          <w:rFonts w:ascii="Times New Roman" w:cs="Times New Roman" w:eastAsia="Times New Roman" w:hAnsi="Times New Roman"/>
          <w:bCs/>
          <w:sz w:val="24"/>
          <w:szCs w:val="24"/>
        </w:rPr>
        <w:t xml:space="preserve"> the minimum inhibitory concentration (MIC)</w:t>
      </w:r>
      <w:r>
        <w:rPr>
          <w:rFonts w:ascii="Times New Roman" w:cs="Times New Roman" w:eastAsia="Times New Roman" w:hAnsi="Times New Roman"/>
          <w:sz w:val="24"/>
          <w:szCs w:val="24"/>
        </w:rPr>
        <w:t xml:space="preserve">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 against the two bacterial strains.</w:t>
      </w:r>
    </w:p>
    <w:p>
      <w:pPr>
        <w:pStyle w:val="style0"/>
        <w:spacing w:after="0" w:lineRule="auto" w:line="480"/>
        <w:rPr>
          <w:rFonts w:ascii="Times New Roman" w:cs="Times New Roman" w:eastAsia="Times New Roman" w:hAnsi="Times New Roman"/>
          <w:b/>
          <w:sz w:val="24"/>
          <w:szCs w:val="24"/>
        </w:rPr>
      </w:pPr>
    </w:p>
    <w:bookmarkStart w:id="17" w:name="_Toc203146292"/>
    <w:p>
      <w:pPr>
        <w:pStyle w:val="style1"/>
        <w:spacing w:lineRule="auto" w:line="480"/>
        <w:jc w:val="center"/>
        <w:rPr/>
      </w:pPr>
      <w:r>
        <w:t>CHAPTER TWO</w:t>
      </w:r>
      <w:bookmarkEnd w:id="17"/>
    </w:p>
    <w:bookmarkStart w:id="18" w:name="_Toc203146293"/>
    <w:p>
      <w:pPr>
        <w:pStyle w:val="style1"/>
        <w:spacing w:lineRule="auto" w:line="480"/>
        <w:jc w:val="center"/>
        <w:rPr/>
      </w:pPr>
      <w:r>
        <w:t>LITERATURE REVIEW</w:t>
      </w:r>
      <w:bookmarkEnd w:id="18"/>
    </w:p>
    <w:bookmarkStart w:id="19" w:name="_Toc203146294"/>
    <w:p>
      <w:pPr>
        <w:pStyle w:val="style2"/>
        <w:spacing w:lineRule="auto" w:line="480"/>
        <w:rPr/>
      </w:pPr>
      <w:r>
        <w:t>2.1</w:t>
      </w:r>
      <w:r>
        <w:tab/>
      </w:r>
      <w:r>
        <w:t>Antibacterial Agents</w:t>
      </w:r>
      <w:bookmarkEnd w:id="19"/>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r>
        <w:rPr>
          <w:rFonts w:ascii="Times New Roman" w:cs="Times New Roman" w:hAnsi="Times New Roman"/>
          <w:bCs/>
          <w:sz w:val="24"/>
          <w:szCs w:val="24"/>
        </w:rPr>
        <w:t>Ventola</w:t>
      </w:r>
      <w:r>
        <w:rPr>
          <w:rFonts w:ascii="Times New Roman" w:cs="Times New Roman" w:hAnsi="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r>
        <w:rPr>
          <w:rFonts w:ascii="Times New Roman" w:cs="Times New Roman" w:hAnsi="Times New Roman"/>
          <w:bCs/>
          <w:sz w:val="24"/>
          <w:szCs w:val="24"/>
        </w:rPr>
        <w:t>Gajdács</w:t>
      </w:r>
      <w:r>
        <w:rPr>
          <w:rFonts w:ascii="Times New Roman" w:cs="Times New Roman" w:hAnsi="Times New Roman"/>
          <w:bCs/>
          <w:sz w:val="24"/>
          <w:szCs w:val="24"/>
        </w:rPr>
        <w:t xml:space="preserve">, 2020). Plant extracts, essential oils, and phytochemicals such as flavonoids, tannins, and </w:t>
      </w:r>
      <w:r>
        <w:rPr>
          <w:rFonts w:ascii="Times New Roman" w:cs="Times New Roman" w:hAnsi="Times New Roman"/>
          <w:bCs/>
          <w:sz w:val="24"/>
          <w:szCs w:val="24"/>
        </w:rPr>
        <w:t>terpenoids</w:t>
      </w:r>
      <w:r>
        <w:rPr>
          <w:rFonts w:ascii="Times New Roman" w:cs="Times New Roman" w:hAnsi="Times New Roman"/>
          <w:bCs/>
          <w:sz w:val="24"/>
          <w:szCs w:val="24"/>
        </w:rPr>
        <w:t xml:space="preserve"> have shown significant antibacterial activities against both Gram-positive and Gram-negative bacteria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 However, despite their critical role, the growing problem of bacterial resistance to existing antibiotics presents a major challenge to global health.</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contain essential oils and phytochemicals with </w:t>
      </w:r>
      <w:r>
        <w:rPr>
          <w:rFonts w:ascii="Times New Roman" w:cs="Times New Roman" w:hAnsi="Times New Roman"/>
          <w:bCs/>
          <w:sz w:val="24"/>
          <w:szCs w:val="24"/>
        </w:rPr>
        <w:t>strong antibacterial properties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 These natural compounds offer the advantage of being less likely to induce resistance compared to synthetic antibiotics, and they may provide multiple mechanisms of action against bacterial pathogens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Moreover, the urgency of discovering novel antibacterial agents </w:t>
      </w:r>
      <w:r>
        <w:rPr>
          <w:rFonts w:ascii="Times New Roman" w:cs="Times New Roman" w:hAnsi="Times New Roman"/>
          <w:bCs/>
          <w:sz w:val="24"/>
          <w:szCs w:val="24"/>
        </w:rPr>
        <w:t>has been heightened</w:t>
      </w:r>
      <w:r>
        <w:rPr>
          <w:rFonts w:ascii="Times New Roman" w:cs="Times New Roman" w:hAnsi="Times New Roman"/>
          <w:bCs/>
          <w:sz w:val="24"/>
          <w:szCs w:val="24"/>
        </w:rPr>
        <w:t xml:space="preserve"> by the emergence of multidrug-resistant organisms such as Methicillin-Resistant Staphylococcus aureus (MRSA) and drug-resistant strains of Escherichia coli (</w:t>
      </w:r>
      <w:r>
        <w:rPr>
          <w:rFonts w:ascii="Times New Roman" w:cs="Times New Roman" w:hAnsi="Times New Roman"/>
          <w:bCs/>
          <w:sz w:val="24"/>
          <w:szCs w:val="24"/>
        </w:rPr>
        <w:t>Elbehiry</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bookmarkStart w:id="20" w:name="_Toc203146295"/>
    <w:p>
      <w:pPr>
        <w:pStyle w:val="style3"/>
        <w:rPr>
          <w:bCs w:val="false"/>
          <w:szCs w:val="24"/>
        </w:rPr>
      </w:pPr>
      <w:r>
        <w:rPr>
          <w:bCs w:val="false"/>
          <w:szCs w:val="24"/>
        </w:rPr>
        <w:t>2.1.1</w:t>
      </w:r>
      <w:r>
        <w:rPr>
          <w:bCs w:val="false"/>
          <w:szCs w:val="24"/>
        </w:rPr>
        <w:tab/>
      </w:r>
      <w:r>
        <w:rPr>
          <w:bCs w:val="false"/>
          <w:szCs w:val="24"/>
        </w:rPr>
        <w:t>Types of Antibacterial Agents</w:t>
      </w:r>
      <w:bookmarkEnd w:id="20"/>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w:t>
      </w:r>
      <w:r>
        <w:rPr>
          <w:rFonts w:ascii="Times New Roman" w:cs="Times New Roman" w:hAnsi="Times New Roman"/>
          <w:bCs/>
          <w:sz w:val="24"/>
          <w:szCs w:val="24"/>
        </w:rPr>
        <w:t>can be broadly classified</w:t>
      </w:r>
      <w:r>
        <w:rPr>
          <w:rFonts w:ascii="Times New Roman" w:cs="Times New Roman" w:hAnsi="Times New Roman"/>
          <w:bCs/>
          <w:sz w:val="24"/>
          <w:szCs w:val="24"/>
        </w:rPr>
        <w:t xml:space="preserve"> based on their origin, spectrum of activity, and mechanism of action. These agents have revolutionized the treatment of bacterial infections, enabling healthcare professionals to manage diseases that </w:t>
      </w:r>
      <w:r>
        <w:rPr>
          <w:rFonts w:ascii="Times New Roman" w:cs="Times New Roman" w:hAnsi="Times New Roman"/>
          <w:bCs/>
          <w:sz w:val="24"/>
          <w:szCs w:val="24"/>
        </w:rPr>
        <w:t>were once considered</w:t>
      </w:r>
      <w:r>
        <w:rPr>
          <w:rFonts w:ascii="Times New Roman" w:cs="Times New Roman" w:hAnsi="Times New Roman"/>
          <w:bCs/>
          <w:sz w:val="24"/>
          <w:szCs w:val="24"/>
        </w:rPr>
        <w:t xml:space="preserve"> fatal. This section explores the different types of antibacterial agents, highlighting their origins, therapeutic roles, and methods of action against pathogenic bacteria.</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Origin of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w:t>
      </w:r>
      <w:r>
        <w:rPr>
          <w:rFonts w:ascii="Times New Roman" w:cs="Times New Roman" w:hAnsi="Times New Roman"/>
          <w:bCs/>
          <w:sz w:val="24"/>
          <w:szCs w:val="24"/>
        </w:rPr>
        <w:t>can be categorized</w:t>
      </w:r>
      <w:r>
        <w:rPr>
          <w:rFonts w:ascii="Times New Roman" w:cs="Times New Roman" w:hAnsi="Times New Roman"/>
          <w:bCs/>
          <w:sz w:val="24"/>
          <w:szCs w:val="24"/>
        </w:rPr>
        <w:t xml:space="preserve"> based on their origin, which determines their composition and the process of their development. The three main types of antibacterial agents based on origin are natural, semi-synthetic, and synthetic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Natural Antibacterial Agents </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agents </w:t>
      </w:r>
      <w:r>
        <w:rPr>
          <w:rFonts w:ascii="Times New Roman" w:cs="Times New Roman" w:hAnsi="Times New Roman"/>
          <w:bCs/>
          <w:sz w:val="24"/>
          <w:szCs w:val="24"/>
        </w:rPr>
        <w:t>are derived</w:t>
      </w:r>
      <w:r>
        <w:rPr>
          <w:rFonts w:ascii="Times New Roman" w:cs="Times New Roman" w:hAnsi="Times New Roman"/>
          <w:bCs/>
          <w:sz w:val="24"/>
          <w:szCs w:val="24"/>
        </w:rPr>
        <w:t xml:space="preserve"> from naturally occurring sources, such as microorganisms, plants, and other natural substances. One of the most notable examples is penicillin, discovered from the mold </w:t>
      </w:r>
      <w:r>
        <w:rPr>
          <w:rFonts w:ascii="Times New Roman" w:cs="Times New Roman" w:hAnsi="Times New Roman"/>
          <w:bCs/>
          <w:sz w:val="24"/>
          <w:szCs w:val="24"/>
        </w:rPr>
        <w:t>Penicillium</w:t>
      </w:r>
      <w:r>
        <w:rPr>
          <w:rFonts w:ascii="Times New Roman" w:cs="Times New Roman" w:hAnsi="Times New Roman"/>
          <w:bCs/>
          <w:sz w:val="24"/>
          <w:szCs w:val="24"/>
        </w:rPr>
        <w:t xml:space="preserve"> .</w:t>
      </w:r>
      <w:r>
        <w:rPr>
          <w:rFonts w:ascii="Times New Roman" w:cs="Times New Roman" w:hAnsi="Times New Roman"/>
          <w:bCs/>
          <w:sz w:val="24"/>
          <w:szCs w:val="24"/>
        </w:rPr>
        <w:t xml:space="preserve"> Natural compounds have been a cornerstone of antibiotic development, with many modern antibiotics still based on their natural origins. Plant-based antibacterial agents, such as those derived from Eucalyptus </w:t>
      </w:r>
      <w:r>
        <w:rPr>
          <w:rFonts w:ascii="Times New Roman" w:cs="Times New Roman" w:hAnsi="Times New Roman"/>
          <w:bCs/>
          <w:sz w:val="24"/>
          <w:szCs w:val="24"/>
        </w:rPr>
        <w:t>globulus</w:t>
      </w:r>
      <w:r>
        <w:rPr>
          <w:rFonts w:ascii="Times New Roman" w:cs="Times New Roman" w:hAnsi="Times New Roman"/>
          <w:bCs/>
          <w:sz w:val="24"/>
          <w:szCs w:val="24"/>
        </w:rPr>
        <w:t>, have also gained attention for their promising antibacterial properties, offering an alternative to synthetic antibiotics (</w:t>
      </w:r>
      <w:r>
        <w:rPr>
          <w:rFonts w:ascii="Times New Roman" w:cs="Times New Roman" w:hAnsi="Times New Roman"/>
          <w:bCs/>
          <w:sz w:val="24"/>
          <w:szCs w:val="24"/>
        </w:rPr>
        <w:t>Salehi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Semi-Synthetic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Semi-synthetic antibiotics are chemical derivatives of natural compounds. These agents </w:t>
      </w:r>
      <w:r>
        <w:rPr>
          <w:rFonts w:ascii="Times New Roman" w:cs="Times New Roman" w:hAnsi="Times New Roman"/>
          <w:bCs/>
          <w:sz w:val="24"/>
          <w:szCs w:val="24"/>
        </w:rPr>
        <w:t>are modified</w:t>
      </w:r>
      <w:r>
        <w:rPr>
          <w:rFonts w:ascii="Times New Roman" w:cs="Times New Roman" w:hAnsi="Times New Roman"/>
          <w:bCs/>
          <w:sz w:val="24"/>
          <w:szCs w:val="24"/>
        </w:rPr>
        <w:t xml:space="preserve"> to enhance their antibacterial activity or to overcome specific bacterial resistances. For example, amoxicillin, derived from penicillin, </w:t>
      </w:r>
      <w:r>
        <w:rPr>
          <w:rFonts w:ascii="Times New Roman" w:cs="Times New Roman" w:hAnsi="Times New Roman"/>
          <w:bCs/>
          <w:sz w:val="24"/>
          <w:szCs w:val="24"/>
        </w:rPr>
        <w:t>has been chemically altered</w:t>
      </w:r>
      <w:r>
        <w:rPr>
          <w:rFonts w:ascii="Times New Roman" w:cs="Times New Roman" w:hAnsi="Times New Roman"/>
          <w:bCs/>
          <w:sz w:val="24"/>
          <w:szCs w:val="24"/>
        </w:rPr>
        <w:t xml:space="preserve"> to expand its effectiveness against a broader range of bacteria, particularly Escherichia coli and Streptococcus species (Livermore, 2020).</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Synthetic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antibiotics </w:t>
      </w:r>
      <w:r>
        <w:rPr>
          <w:rFonts w:ascii="Times New Roman" w:cs="Times New Roman" w:hAnsi="Times New Roman"/>
          <w:bCs/>
          <w:sz w:val="24"/>
          <w:szCs w:val="24"/>
        </w:rPr>
        <w:t>are entirely chemically synthesized</w:t>
      </w:r>
      <w:r>
        <w:rPr>
          <w:rFonts w:ascii="Times New Roman" w:cs="Times New Roman" w:hAnsi="Times New Roman"/>
          <w:bCs/>
          <w:sz w:val="24"/>
          <w:szCs w:val="24"/>
        </w:rPr>
        <w:t xml:space="preserve"> in laboratories. Sulfonamides and fluoroquinolones are prime examples of synthetic agents that </w:t>
      </w:r>
      <w:r>
        <w:rPr>
          <w:rFonts w:ascii="Times New Roman" w:cs="Times New Roman" w:hAnsi="Times New Roman"/>
          <w:bCs/>
          <w:sz w:val="24"/>
          <w:szCs w:val="24"/>
        </w:rPr>
        <w:t>were developed</w:t>
      </w:r>
      <w:r>
        <w:rPr>
          <w:rFonts w:ascii="Times New Roman" w:cs="Times New Roman" w:hAnsi="Times New Roman"/>
          <w:bCs/>
          <w:sz w:val="24"/>
          <w:szCs w:val="24"/>
        </w:rPr>
        <w:t xml:space="preserve"> to target specific bacterial processes (Blair </w:t>
      </w:r>
      <w:r>
        <w:rPr>
          <w:rFonts w:ascii="Times New Roman" w:cs="Times New Roman" w:hAnsi="Times New Roman"/>
          <w:bCs/>
          <w:i/>
          <w:sz w:val="24"/>
          <w:szCs w:val="24"/>
        </w:rPr>
        <w:t>et al</w:t>
      </w:r>
      <w:r>
        <w:rPr>
          <w:rFonts w:ascii="Times New Roman" w:cs="Times New Roman" w:hAnsi="Times New Roman"/>
          <w:bCs/>
          <w:sz w:val="24"/>
          <w:szCs w:val="24"/>
        </w:rPr>
        <w:t xml:space="preserve">., 2015). The advantage of synthetic agents lies in their ability to </w:t>
      </w:r>
      <w:r>
        <w:rPr>
          <w:rFonts w:ascii="Times New Roman" w:cs="Times New Roman" w:hAnsi="Times New Roman"/>
          <w:bCs/>
          <w:sz w:val="24"/>
          <w:szCs w:val="24"/>
        </w:rPr>
        <w:t>be tailored</w:t>
      </w:r>
      <w:r>
        <w:rPr>
          <w:rFonts w:ascii="Times New Roman" w:cs="Times New Roman" w:hAnsi="Times New Roman"/>
          <w:bCs/>
          <w:sz w:val="24"/>
          <w:szCs w:val="24"/>
        </w:rPr>
        <w:t xml:space="preserve"> for specific therapeutic needs, providing a wide range of options for clinicians.</w:t>
      </w:r>
    </w:p>
    <w:bookmarkStart w:id="21" w:name="_Toc203146296"/>
    <w:p>
      <w:pPr>
        <w:pStyle w:val="style3"/>
        <w:rPr>
          <w:bCs w:val="false"/>
          <w:szCs w:val="24"/>
        </w:rPr>
      </w:pPr>
      <w:r>
        <w:rPr>
          <w:bCs w:val="false"/>
          <w:szCs w:val="24"/>
        </w:rPr>
        <w:t>2.1.2</w:t>
      </w:r>
      <w:r>
        <w:rPr>
          <w:bCs w:val="false"/>
          <w:szCs w:val="24"/>
        </w:rPr>
        <w:tab/>
      </w:r>
      <w:r>
        <w:rPr>
          <w:bCs w:val="false"/>
          <w:szCs w:val="24"/>
        </w:rPr>
        <w:t>Spectrum of Activity</w:t>
      </w:r>
      <w:bookmarkEnd w:id="21"/>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Narrow-Spectrum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These agents target specific types of bacteria. For example, vancomycin is particularly effective against Gram-positive bacteria such as Staphylococcus aureus and Clostridium difficile (Cohen, 2019). Narrow-spectrum agents are typically preferred when the causative bacterial pathogen </w:t>
      </w:r>
      <w:r>
        <w:rPr>
          <w:rFonts w:ascii="Times New Roman" w:cs="Times New Roman" w:hAnsi="Times New Roman"/>
          <w:bCs/>
          <w:sz w:val="24"/>
          <w:szCs w:val="24"/>
        </w:rPr>
        <w:t xml:space="preserve">is </w:t>
      </w:r>
      <w:r>
        <w:rPr>
          <w:rFonts w:ascii="Times New Roman" w:cs="Times New Roman" w:hAnsi="Times New Roman"/>
          <w:bCs/>
          <w:sz w:val="24"/>
          <w:szCs w:val="24"/>
        </w:rPr>
        <w:t>known</w:t>
      </w:r>
      <w:r>
        <w:rPr>
          <w:rFonts w:ascii="Times New Roman" w:cs="Times New Roman" w:hAnsi="Times New Roman"/>
          <w:bCs/>
          <w:sz w:val="24"/>
          <w:szCs w:val="24"/>
        </w:rPr>
        <w:t>, as they minimize the disruption to beneficial microbiota and reduce the likelihood of resistance development.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Broad-Spectrum Antibacterial Agents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contrast, broad-spectrum antibiotics are effective against a wide range of bacterial species, both Gram-positive and Gram-negative. </w:t>
      </w:r>
      <w:r>
        <w:rPr>
          <w:rFonts w:ascii="Times New Roman" w:cs="Times New Roman" w:hAnsi="Times New Roman"/>
          <w:bCs/>
          <w:sz w:val="24"/>
          <w:szCs w:val="24"/>
        </w:rPr>
        <w:t>Tetracyclines</w:t>
      </w:r>
      <w:r>
        <w:rPr>
          <w:rFonts w:ascii="Times New Roman" w:cs="Times New Roman" w:hAnsi="Times New Roman"/>
          <w:bCs/>
          <w:sz w:val="24"/>
          <w:szCs w:val="24"/>
        </w:rPr>
        <w:t xml:space="preserve"> and fluoroquinolones are prime examples of broad-spectrum antibiotics (</w:t>
      </w:r>
      <w:r>
        <w:rPr>
          <w:rFonts w:ascii="Times New Roman" w:cs="Times New Roman" w:hAnsi="Times New Roman"/>
          <w:bCs/>
          <w:sz w:val="24"/>
          <w:szCs w:val="24"/>
        </w:rPr>
        <w:t>Deo</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bookmarkStart w:id="22" w:name="_Toc203146297"/>
    <w:p>
      <w:pPr>
        <w:pStyle w:val="style3"/>
        <w:rPr/>
      </w:pPr>
      <w:r>
        <w:t>2.1.3</w:t>
      </w:r>
      <w:r>
        <w:tab/>
      </w:r>
      <w:r>
        <w:t>Mechanisms of Action</w:t>
      </w:r>
      <w:bookmarkEnd w:id="22"/>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Antibacterial agents exert their therapeutic effects by targeting specific bacterial structures or processes, thereby interfering with bacterial growth or survival. These mechanisms </w:t>
      </w:r>
      <w:r>
        <w:rPr>
          <w:rFonts w:ascii="Times New Roman" w:cs="Times New Roman" w:hAnsi="Times New Roman"/>
          <w:bCs/>
          <w:sz w:val="24"/>
          <w:szCs w:val="24"/>
        </w:rPr>
        <w:t>can be grouped</w:t>
      </w:r>
      <w:r>
        <w:rPr>
          <w:rFonts w:ascii="Times New Roman" w:cs="Times New Roman" w:hAnsi="Times New Roman"/>
          <w:bCs/>
          <w:sz w:val="24"/>
          <w:szCs w:val="24"/>
        </w:rPr>
        <w:t xml:space="preserve"> into several categories based on the target within the bacterial cell.</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Cs/>
          <w:sz w:val="24"/>
          <w:szCs w:val="24"/>
        </w:rPr>
        <w:t>Cell Wall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Many antibiotics, such as β-lactams (including penicillin and </w:t>
      </w:r>
      <w:r>
        <w:rPr>
          <w:rFonts w:ascii="Times New Roman" w:cs="Times New Roman" w:hAnsi="Times New Roman"/>
          <w:bCs/>
          <w:sz w:val="24"/>
          <w:szCs w:val="24"/>
        </w:rPr>
        <w:t>cephalosporins</w:t>
      </w:r>
      <w:r>
        <w:rPr>
          <w:rFonts w:ascii="Times New Roman" w:cs="Times New Roman" w:hAnsi="Times New Roman"/>
          <w:bCs/>
          <w:sz w:val="24"/>
          <w:szCs w:val="24"/>
        </w:rPr>
        <w:t>), target bacterial cell wall synthesis. Bacterial cell walls are crucial for maintaining the structural integrity of the cell, and when their synthesis is blocked, the bacteria are unable to survive. This leads to cell lysis and death, particularly in Gram-positive bacteria (</w:t>
      </w:r>
      <w:r>
        <w:rPr>
          <w:rFonts w:ascii="Times New Roman" w:cs="Times New Roman" w:hAnsi="Times New Roman"/>
          <w:bCs/>
          <w:sz w:val="24"/>
          <w:szCs w:val="24"/>
        </w:rPr>
        <w:t>Gajdács</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Protein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Tetracyclines</w:t>
      </w:r>
      <w:r>
        <w:rPr>
          <w:rFonts w:ascii="Times New Roman" w:cs="Times New Roman" w:hAnsi="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r>
        <w:rPr>
          <w:rFonts w:ascii="Times New Roman" w:cs="Times New Roman" w:hAnsi="Times New Roman"/>
          <w:bCs/>
          <w:sz w:val="24"/>
          <w:szCs w:val="24"/>
        </w:rPr>
        <w:t>Boukhatem</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3.</w:t>
      </w:r>
      <w:r>
        <w:rPr>
          <w:rFonts w:ascii="Times New Roman" w:cs="Times New Roman" w:hAnsi="Times New Roman"/>
          <w:bCs/>
          <w:sz w:val="24"/>
          <w:szCs w:val="24"/>
        </w:rPr>
        <w:tab/>
      </w:r>
      <w:r>
        <w:rPr>
          <w:rFonts w:ascii="Times New Roman" w:cs="Times New Roman" w:hAnsi="Times New Roman"/>
          <w:bCs/>
          <w:sz w:val="24"/>
          <w:szCs w:val="24"/>
        </w:rPr>
        <w:t>DNA Synthesis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w:t>
      </w:r>
      <w:r>
        <w:rPr>
          <w:rFonts w:ascii="Times New Roman" w:cs="Times New Roman" w:hAnsi="Times New Roman"/>
          <w:bCs/>
          <w:sz w:val="24"/>
          <w:szCs w:val="24"/>
        </w:rPr>
        <w:t>Echeverría</w:t>
      </w:r>
      <w:r>
        <w:rPr>
          <w:rFonts w:ascii="Times New Roman" w:cs="Times New Roman" w:hAnsi="Times New Roman"/>
          <w:bCs/>
          <w:sz w:val="24"/>
          <w:szCs w:val="24"/>
        </w:rPr>
        <w:t xml:space="preserve"> &amp; Albuquerque,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4.</w:t>
      </w:r>
      <w:r>
        <w:rPr>
          <w:rFonts w:ascii="Times New Roman" w:cs="Times New Roman" w:hAnsi="Times New Roman"/>
          <w:bCs/>
          <w:sz w:val="24"/>
          <w:szCs w:val="24"/>
        </w:rPr>
        <w:tab/>
      </w:r>
      <w:r>
        <w:rPr>
          <w:rFonts w:ascii="Times New Roman" w:cs="Times New Roman" w:hAnsi="Times New Roman"/>
          <w:bCs/>
          <w:sz w:val="24"/>
          <w:szCs w:val="24"/>
        </w:rPr>
        <w:t>Cell Membrane Disruptors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Polymyxins</w:t>
      </w:r>
      <w:r>
        <w:rPr>
          <w:rFonts w:ascii="Times New Roman" w:cs="Times New Roman" w:hAnsi="Times New Roman"/>
          <w:bCs/>
          <w:sz w:val="24"/>
          <w:szCs w:val="24"/>
        </w:rPr>
        <w:t xml:space="preserve">, such as </w:t>
      </w:r>
      <w:r>
        <w:rPr>
          <w:rFonts w:ascii="Times New Roman" w:cs="Times New Roman" w:hAnsi="Times New Roman"/>
          <w:bCs/>
          <w:sz w:val="24"/>
          <w:szCs w:val="24"/>
        </w:rPr>
        <w:t>polymyxin</w:t>
      </w:r>
      <w:r>
        <w:rPr>
          <w:rFonts w:ascii="Times New Roman" w:cs="Times New Roman" w:hAnsi="Times New Roman"/>
          <w:bCs/>
          <w:sz w:val="24"/>
          <w:szCs w:val="24"/>
        </w:rPr>
        <w:t xml:space="preserve"> B and </w:t>
      </w:r>
      <w:r>
        <w:rPr>
          <w:rFonts w:ascii="Times New Roman" w:cs="Times New Roman" w:hAnsi="Times New Roman"/>
          <w:bCs/>
          <w:sz w:val="24"/>
          <w:szCs w:val="24"/>
        </w:rPr>
        <w:t>colistin</w:t>
      </w:r>
      <w:r>
        <w:rPr>
          <w:rFonts w:ascii="Times New Roman" w:cs="Times New Roman" w:hAnsi="Times New Roman"/>
          <w:bCs/>
          <w:sz w:val="24"/>
          <w:szCs w:val="24"/>
        </w:rPr>
        <w:t xml:space="preserve">, interact with the outer membrane of Gram-negative bacteria, increasing membrane permeability. This leads to the leakage of vital cellular contents, causing cell death. </w:t>
      </w:r>
      <w:r>
        <w:rPr>
          <w:rFonts w:ascii="Times New Roman" w:cs="Times New Roman" w:hAnsi="Times New Roman"/>
          <w:bCs/>
          <w:sz w:val="24"/>
          <w:szCs w:val="24"/>
        </w:rPr>
        <w:t>Polymyxins</w:t>
      </w:r>
      <w:r>
        <w:rPr>
          <w:rFonts w:ascii="Times New Roman" w:cs="Times New Roman" w:hAnsi="Times New Roman"/>
          <w:bCs/>
          <w:sz w:val="24"/>
          <w:szCs w:val="24"/>
        </w:rPr>
        <w:t xml:space="preserve"> </w:t>
      </w:r>
      <w:r>
        <w:rPr>
          <w:rFonts w:ascii="Times New Roman" w:cs="Times New Roman" w:hAnsi="Times New Roman"/>
          <w:bCs/>
          <w:sz w:val="24"/>
          <w:szCs w:val="24"/>
        </w:rPr>
        <w:t>are often reserved</w:t>
      </w:r>
      <w:r>
        <w:rPr>
          <w:rFonts w:ascii="Times New Roman" w:cs="Times New Roman" w:hAnsi="Times New Roman"/>
          <w:bCs/>
          <w:sz w:val="24"/>
          <w:szCs w:val="24"/>
        </w:rPr>
        <w:t xml:space="preserve"> for multi-drug-resistant Gram-negative infections due to their potency and potential toxicity (</w:t>
      </w:r>
      <w:r>
        <w:rPr>
          <w:rFonts w:ascii="Times New Roman" w:cs="Times New Roman" w:hAnsi="Times New Roman"/>
          <w:bCs/>
          <w:sz w:val="24"/>
          <w:szCs w:val="24"/>
        </w:rPr>
        <w:t>Gorib</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2021).</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5.</w:t>
      </w:r>
      <w:r>
        <w:rPr>
          <w:rFonts w:ascii="Times New Roman" w:cs="Times New Roman" w:hAnsi="Times New Roman"/>
          <w:bCs/>
          <w:sz w:val="24"/>
          <w:szCs w:val="24"/>
        </w:rPr>
        <w:tab/>
      </w:r>
      <w:r>
        <w:rPr>
          <w:rFonts w:ascii="Times New Roman" w:cs="Times New Roman" w:hAnsi="Times New Roman"/>
          <w:bCs/>
          <w:sz w:val="24"/>
          <w:szCs w:val="24"/>
        </w:rPr>
        <w:t>Metabolic Pathway Inhibitors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Pr>
          <w:rFonts w:ascii="Times New Roman" w:cs="Times New Roman" w:hAnsi="Times New Roman"/>
          <w:bCs/>
          <w:i/>
          <w:sz w:val="24"/>
          <w:szCs w:val="24"/>
        </w:rPr>
        <w:t>et al</w:t>
      </w:r>
      <w:r>
        <w:rPr>
          <w:rFonts w:ascii="Times New Roman" w:cs="Times New Roman" w:hAnsi="Times New Roman"/>
          <w:bCs/>
          <w:sz w:val="24"/>
          <w:szCs w:val="24"/>
        </w:rPr>
        <w:t>., 2015).</w:t>
      </w:r>
    </w:p>
    <w:bookmarkStart w:id="23" w:name="_Toc203146298"/>
    <w:p>
      <w:pPr>
        <w:pStyle w:val="style3"/>
        <w:rPr/>
      </w:pPr>
      <w:r>
        <w:t>2.1.4</w:t>
      </w:r>
      <w:r>
        <w:tab/>
      </w:r>
      <w:r>
        <w:t>Combination Therapy</w:t>
      </w:r>
      <w:bookmarkEnd w:id="23"/>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r>
        <w:rPr>
          <w:rFonts w:ascii="Times New Roman" w:cs="Times New Roman" w:hAnsi="Times New Roman"/>
          <w:bCs/>
          <w:sz w:val="24"/>
          <w:szCs w:val="24"/>
        </w:rPr>
        <w:t>Bonomo</w:t>
      </w:r>
      <w:r>
        <w:rPr>
          <w:rFonts w:ascii="Times New Roman" w:cs="Times New Roman" w:hAnsi="Times New Roman"/>
          <w:bCs/>
          <w:sz w:val="24"/>
          <w:szCs w:val="24"/>
        </w:rPr>
        <w:t xml:space="preserve">, 2020). For example, combining β-lactams with β-lactamase inhibitors can restore the effectiveness </w:t>
      </w:r>
      <w:r>
        <w:rPr>
          <w:rFonts w:ascii="Times New Roman" w:cs="Times New Roman" w:hAnsi="Times New Roman"/>
          <w:bCs/>
          <w:sz w:val="24"/>
          <w:szCs w:val="24"/>
        </w:rPr>
        <w:t>of the former against bacteria that produce β-lactamase, an enzyme that degrades penicillin and related drugs.</w:t>
      </w:r>
    </w:p>
    <w:bookmarkStart w:id="24" w:name="_Toc203146299"/>
    <w:p>
      <w:pPr>
        <w:pStyle w:val="style2"/>
        <w:rPr/>
      </w:pPr>
      <w:r>
        <w:t>2.2</w:t>
      </w:r>
      <w:r>
        <w:tab/>
      </w:r>
      <w:r>
        <w:t xml:space="preserve">Overview of Eucalyptus </w:t>
      </w:r>
      <w:r>
        <w:t>globulus</w:t>
      </w:r>
      <w:bookmarkEnd w:id="24"/>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w:t>
      </w:r>
      <w:r>
        <w:rPr>
          <w:rFonts w:ascii="Times New Roman" w:cs="Times New Roman" w:hAnsi="Times New Roman"/>
          <w:bCs/>
          <w:sz w:val="24"/>
          <w:szCs w:val="24"/>
        </w:rPr>
        <w:t>is commonly known</w:t>
      </w:r>
      <w:r>
        <w:rPr>
          <w:rFonts w:ascii="Times New Roman" w:cs="Times New Roman" w:hAnsi="Times New Roman"/>
          <w:bCs/>
          <w:sz w:val="24"/>
          <w:szCs w:val="24"/>
        </w:rPr>
        <w:t xml:space="preserve"> as the blue gum tree and it is a species of evergreen tree native to Australia. It belongs to the </w:t>
      </w:r>
      <w:r>
        <w:rPr>
          <w:rFonts w:ascii="Times New Roman" w:cs="Times New Roman" w:hAnsi="Times New Roman"/>
          <w:bCs/>
          <w:sz w:val="24"/>
          <w:szCs w:val="24"/>
        </w:rPr>
        <w:t>Myrtaceae</w:t>
      </w:r>
      <w:r>
        <w:rPr>
          <w:rFonts w:ascii="Times New Roman" w:cs="Times New Roman" w:hAnsi="Times New Roman"/>
          <w:bCs/>
          <w:sz w:val="24"/>
          <w:szCs w:val="24"/>
        </w:rPr>
        <w:t xml:space="preserve"> family, which includes a diverse range of trees and shrubs.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one of the most economically significant species within the genus Eucalyptus, due to its widespread use in the timber, paper, and medicinal industries (Sharma </w:t>
      </w:r>
      <w:r>
        <w:rPr>
          <w:rFonts w:ascii="Times New Roman" w:cs="Times New Roman" w:hAnsi="Times New Roman"/>
          <w:bCs/>
          <w:i/>
          <w:sz w:val="24"/>
          <w:szCs w:val="24"/>
        </w:rPr>
        <w:t>et al</w:t>
      </w:r>
      <w:r>
        <w:rPr>
          <w:rFonts w:ascii="Times New Roman" w:cs="Times New Roman" w:hAnsi="Times New Roman"/>
          <w:bCs/>
          <w:sz w:val="24"/>
          <w:szCs w:val="24"/>
        </w:rPr>
        <w:t xml:space="preserve">., 2020). The tree </w:t>
      </w:r>
      <w:r>
        <w:rPr>
          <w:rFonts w:ascii="Times New Roman" w:cs="Times New Roman" w:hAnsi="Times New Roman"/>
          <w:bCs/>
          <w:sz w:val="24"/>
          <w:szCs w:val="24"/>
        </w:rPr>
        <w:t>is recognized</w:t>
      </w:r>
      <w:r>
        <w:rPr>
          <w:rFonts w:ascii="Times New Roman" w:cs="Times New Roman" w:hAnsi="Times New Roman"/>
          <w:bCs/>
          <w:sz w:val="24"/>
          <w:szCs w:val="24"/>
        </w:rPr>
        <w:t xml:space="preserve"> for its tall stature, with some specimens reaching over 70 meters in height, and its distinctive blue-green leaves that give it the common name "blue gum" (Sharma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is renowned for its medicinal properties, particularly its antimicrobial, anti-inflammatory, and analgesic activities. The essential oil extracted from the leaves of the tree </w:t>
      </w:r>
      <w:r>
        <w:rPr>
          <w:rFonts w:ascii="Times New Roman" w:cs="Times New Roman" w:hAnsi="Times New Roman"/>
          <w:bCs/>
          <w:sz w:val="24"/>
          <w:szCs w:val="24"/>
        </w:rPr>
        <w:t>has long been used</w:t>
      </w:r>
      <w:r>
        <w:rPr>
          <w:rFonts w:ascii="Times New Roman" w:cs="Times New Roman" w:hAnsi="Times New Roman"/>
          <w:bCs/>
          <w:sz w:val="24"/>
          <w:szCs w:val="24"/>
        </w:rPr>
        <w:t xml:space="preserve"> in traditional medicine, and its therapeutic potential is now being explored through modern pharmacological research (Mackenzie </w:t>
      </w:r>
      <w:r>
        <w:rPr>
          <w:rFonts w:ascii="Times New Roman" w:cs="Times New Roman" w:hAnsi="Times New Roman"/>
          <w:bCs/>
          <w:i/>
          <w:sz w:val="24"/>
          <w:szCs w:val="24"/>
        </w:rPr>
        <w:t>et al</w:t>
      </w:r>
      <w:r>
        <w:rPr>
          <w:rFonts w:ascii="Times New Roman" w:cs="Times New Roman" w:hAnsi="Times New Roman"/>
          <w:bCs/>
          <w:sz w:val="24"/>
          <w:szCs w:val="24"/>
        </w:rPr>
        <w:t>., 2019). This essential oil is rich in compounds such as eucalyptol (also known as 1</w:t>
      </w:r>
      <w:r>
        <w:rPr>
          <w:rFonts w:ascii="Times New Roman" w:cs="Times New Roman" w:hAnsi="Times New Roman"/>
          <w:bCs/>
          <w:sz w:val="24"/>
          <w:szCs w:val="24"/>
        </w:rPr>
        <w:t>,8</w:t>
      </w:r>
      <w:r>
        <w:rPr>
          <w:rFonts w:ascii="Times New Roman" w:cs="Times New Roman" w:hAnsi="Times New Roman"/>
          <w:bCs/>
          <w:sz w:val="24"/>
          <w:szCs w:val="24"/>
        </w:rPr>
        <w:t xml:space="preserve">-cineole), which is the primary bioactive compound responsible for the plant's antimicrobial properties (Sani </w:t>
      </w:r>
      <w:r>
        <w:rPr>
          <w:rFonts w:ascii="Times New Roman" w:cs="Times New Roman" w:hAnsi="Times New Roman"/>
          <w:bCs/>
          <w:i/>
          <w:sz w:val="24"/>
          <w:szCs w:val="24"/>
        </w:rPr>
        <w:t>et al</w:t>
      </w:r>
      <w:r>
        <w:rPr>
          <w:rFonts w:ascii="Times New Roman" w:cs="Times New Roman" w:hAnsi="Times New Roman"/>
          <w:bCs/>
          <w:sz w:val="24"/>
          <w:szCs w:val="24"/>
        </w:rPr>
        <w:t xml:space="preserve">., 2020). The wide application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r>
        <w:rPr>
          <w:rFonts w:ascii="Times New Roman" w:cs="Times New Roman" w:hAnsi="Times New Roman"/>
          <w:bCs/>
          <w:sz w:val="24"/>
          <w:szCs w:val="24"/>
        </w:rPr>
        <w:t>globulus</w:t>
      </w:r>
      <w:r>
        <w:rPr>
          <w:rFonts w:ascii="Times New Roman" w:cs="Times New Roman" w:hAnsi="Times New Roman"/>
          <w:bCs/>
          <w:sz w:val="24"/>
          <w:szCs w:val="24"/>
        </w:rPr>
        <w:t xml:space="preserve"> and its essential oil has been the subject of numerous studies, which have demonstrated its effectiveness against a variety of bacterial strains, including Gram-positive and Gram-negative bacteria (</w:t>
      </w:r>
      <w:r>
        <w:rPr>
          <w:rFonts w:ascii="Times New Roman" w:cs="Times New Roman" w:hAnsi="Times New Roman"/>
          <w:bCs/>
          <w:sz w:val="24"/>
          <w:szCs w:val="24"/>
        </w:rPr>
        <w:t>Fadeyi</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2018; Silva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5" w:name="_Toc203146300"/>
    <w:p>
      <w:pPr>
        <w:pStyle w:val="style2"/>
        <w:spacing w:lineRule="auto" w:line="480"/>
        <w:rPr/>
      </w:pPr>
      <w:r>
        <w:t>2.3</w:t>
      </w:r>
      <w:r>
        <w:tab/>
      </w:r>
      <w:r>
        <w:t xml:space="preserve">Methicillin -Resistant Staphylococcus </w:t>
      </w:r>
      <w:r>
        <w:rPr>
          <w:i/>
        </w:rPr>
        <w:t>aureus</w:t>
      </w:r>
      <w:r>
        <w:t xml:space="preserve"> (MRSA)</w:t>
      </w:r>
      <w:bookmarkEnd w:id="25"/>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Staphylococcus aureus is a gram-positive bacterium that is a common pathogen in both healthcare and community settings. It </w:t>
      </w:r>
      <w:r>
        <w:rPr>
          <w:rFonts w:ascii="Times New Roman" w:cs="Times New Roman" w:hAnsi="Times New Roman"/>
          <w:bCs/>
          <w:sz w:val="24"/>
          <w:szCs w:val="24"/>
        </w:rPr>
        <w:t>is known</w:t>
      </w:r>
      <w:r>
        <w:rPr>
          <w:rFonts w:ascii="Times New Roman" w:cs="Times New Roman" w:hAnsi="Times New Roman"/>
          <w:bCs/>
          <w:sz w:val="24"/>
          <w:szCs w:val="24"/>
        </w:rPr>
        <w:t xml:space="preserve"> for causing a wide range of infections, from mild skin infections to severe conditions such as pneumonia, endocarditis, and osteomyelitis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2020). One of the most concerning aspects of S. aureus is its ability to acquire resistance to antibiotics, particularly methicillin, which has led to the emergence of methicillin-resistant Staphylococcus aureus (MRSA).</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MRSA refers to strains of S. aureus that have developed resistance to beta-lactam antibiotics, including methicillin, </w:t>
      </w:r>
      <w:r>
        <w:rPr>
          <w:rFonts w:ascii="Times New Roman" w:cs="Times New Roman" w:hAnsi="Times New Roman"/>
          <w:bCs/>
          <w:sz w:val="24"/>
          <w:szCs w:val="24"/>
        </w:rPr>
        <w:t>oxacillin</w:t>
      </w:r>
      <w:r>
        <w:rPr>
          <w:rFonts w:ascii="Times New Roman" w:cs="Times New Roman" w:hAnsi="Times New Roman"/>
          <w:bCs/>
          <w:sz w:val="24"/>
          <w:szCs w:val="24"/>
        </w:rPr>
        <w:t xml:space="preserve">, and penicillin. This resistance is due to the acquisition of the </w:t>
      </w:r>
      <w:r>
        <w:rPr>
          <w:rFonts w:ascii="Times New Roman" w:cs="Times New Roman" w:hAnsi="Times New Roman"/>
          <w:bCs/>
          <w:sz w:val="24"/>
          <w:szCs w:val="24"/>
        </w:rPr>
        <w:t>mecA</w:t>
      </w:r>
      <w:r>
        <w:rPr>
          <w:rFonts w:ascii="Times New Roman" w:cs="Times New Roman" w:hAnsi="Times New Roman"/>
          <w:bCs/>
          <w:sz w:val="24"/>
          <w:szCs w:val="24"/>
        </w:rPr>
        <w:t xml:space="preserve"> gene, which encodes a modified penicillin-binding protein (PBP2a) that has a low affinity for beta-lactam antibiotics (</w:t>
      </w:r>
      <w:r>
        <w:rPr>
          <w:rFonts w:ascii="Times New Roman" w:cs="Times New Roman" w:hAnsi="Times New Roman"/>
          <w:bCs/>
          <w:sz w:val="24"/>
          <w:szCs w:val="24"/>
        </w:rPr>
        <w:t>Bouchiat</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Pr>
          <w:rFonts w:ascii="Times New Roman" w:cs="Times New Roman" w:hAnsi="Times New Roman"/>
          <w:bCs/>
          <w:i/>
          <w:sz w:val="24"/>
          <w:szCs w:val="24"/>
        </w:rPr>
        <w:t>et al</w:t>
      </w:r>
      <w:r>
        <w:rPr>
          <w:rFonts w:ascii="Times New Roman" w:cs="Times New Roman" w:hAnsi="Times New Roman"/>
          <w:bCs/>
          <w:sz w:val="24"/>
          <w:szCs w:val="24"/>
        </w:rPr>
        <w:t>., 2019).</w:t>
      </w:r>
    </w:p>
    <w:bookmarkStart w:id="26" w:name="_Toc203146301"/>
    <w:p>
      <w:pPr>
        <w:pStyle w:val="style3"/>
        <w:rPr/>
      </w:pPr>
      <w:r>
        <w:t>2.3.1</w:t>
      </w:r>
      <w:r>
        <w:tab/>
      </w:r>
      <w:r>
        <w:t>Mechanisms of Resistance</w:t>
      </w:r>
      <w:bookmarkEnd w:id="26"/>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w:t>
      </w:r>
      <w:r>
        <w:rPr>
          <w:rFonts w:ascii="Times New Roman" w:cs="Times New Roman" w:hAnsi="Times New Roman"/>
          <w:bCs/>
          <w:sz w:val="24"/>
          <w:szCs w:val="24"/>
        </w:rPr>
        <w:t xml:space="preserve">resistance of S. aureus to methicillin and other antibiotics is primarily mediated by the </w:t>
      </w:r>
      <w:r>
        <w:rPr>
          <w:rFonts w:ascii="Times New Roman" w:cs="Times New Roman" w:hAnsi="Times New Roman"/>
          <w:bCs/>
          <w:sz w:val="24"/>
          <w:szCs w:val="24"/>
        </w:rPr>
        <w:t>mecA</w:t>
      </w:r>
      <w:r>
        <w:rPr>
          <w:rFonts w:ascii="Times New Roman" w:cs="Times New Roman" w:hAnsi="Times New Roman"/>
          <w:bCs/>
          <w:sz w:val="24"/>
          <w:szCs w:val="24"/>
        </w:rPr>
        <w:t xml:space="preserve"> gene</w:t>
      </w:r>
      <w:r>
        <w:rPr>
          <w:rFonts w:ascii="Times New Roman" w:cs="Times New Roman" w:hAnsi="Times New Roman"/>
          <w:bCs/>
          <w:sz w:val="24"/>
          <w:szCs w:val="24"/>
        </w:rPr>
        <w:t xml:space="preserve">, which is located on a mobile genetic element known as the staphylococcal cassette chromosome </w:t>
      </w:r>
      <w:r>
        <w:rPr>
          <w:rFonts w:ascii="Times New Roman" w:cs="Times New Roman" w:hAnsi="Times New Roman"/>
          <w:bCs/>
          <w:sz w:val="24"/>
          <w:szCs w:val="24"/>
        </w:rPr>
        <w:t>mec</w:t>
      </w:r>
      <w:r>
        <w:rPr>
          <w:rFonts w:ascii="Times New Roman" w:cs="Times New Roman" w:hAnsi="Times New Roman"/>
          <w:bCs/>
          <w:sz w:val="24"/>
          <w:szCs w:val="24"/>
        </w:rPr>
        <w:t xml:space="preserve"> (</w:t>
      </w:r>
      <w:r>
        <w:rPr>
          <w:rFonts w:ascii="Times New Roman" w:cs="Times New Roman" w:hAnsi="Times New Roman"/>
          <w:bCs/>
          <w:sz w:val="24"/>
          <w:szCs w:val="24"/>
        </w:rPr>
        <w:t>SCCmec</w:t>
      </w:r>
      <w:r>
        <w:rPr>
          <w:rFonts w:ascii="Times New Roman" w:cs="Times New Roman" w:hAnsi="Times New Roman"/>
          <w:bCs/>
          <w:sz w:val="24"/>
          <w:szCs w:val="24"/>
        </w:rPr>
        <w:t>). This gene encodes PBP2a, which alters the structure of the bacterial cell wall, rendering it less susceptible to beta-lactams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the </w:t>
      </w:r>
      <w:r>
        <w:rPr>
          <w:rFonts w:ascii="Times New Roman" w:cs="Times New Roman" w:hAnsi="Times New Roman"/>
          <w:bCs/>
          <w:sz w:val="24"/>
          <w:szCs w:val="24"/>
        </w:rPr>
        <w:t>mecA</w:t>
      </w:r>
      <w:r>
        <w:rPr>
          <w:rFonts w:ascii="Times New Roman" w:cs="Times New Roman" w:hAnsi="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27" w:name="_Toc203146302"/>
    <w:p>
      <w:pPr>
        <w:pStyle w:val="style3"/>
        <w:rPr/>
      </w:pPr>
      <w:r>
        <w:t>2.3.2</w:t>
      </w:r>
      <w:r>
        <w:tab/>
      </w:r>
      <w:r>
        <w:t>Epidemiology and Clinical Impact</w:t>
      </w:r>
      <w:bookmarkEnd w:id="27"/>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Pr>
          <w:rFonts w:ascii="Times New Roman" w:cs="Times New Roman" w:hAnsi="Times New Roman"/>
          <w:bCs/>
          <w:i/>
          <w:sz w:val="24"/>
          <w:szCs w:val="24"/>
        </w:rPr>
        <w:t>et al</w:t>
      </w:r>
      <w:r>
        <w:rPr>
          <w:rFonts w:ascii="Times New Roman" w:cs="Times New Roman" w:hAnsi="Times New Roman"/>
          <w:bCs/>
          <w:sz w:val="24"/>
          <w:szCs w:val="24"/>
        </w:rPr>
        <w:t>., 2020). The ability of CA-MRSA to spread in the community is a growing concern, particularly due to the ease of transmission through close contact and shared personal items.</w:t>
      </w:r>
    </w:p>
    <w:bookmarkStart w:id="28" w:name="_Toc203146303"/>
    <w:p>
      <w:pPr>
        <w:pStyle w:val="style2"/>
        <w:spacing w:lineRule="auto" w:line="480"/>
        <w:rPr/>
      </w:pPr>
      <w:r>
        <w:t>2.4</w:t>
      </w:r>
      <w:r>
        <w:tab/>
      </w:r>
      <w:r>
        <w:rPr>
          <w:i/>
        </w:rPr>
        <w:t>Escherichia coli</w:t>
      </w:r>
      <w:r>
        <w:t xml:space="preserve"> Infections and Resistance</w:t>
      </w:r>
      <w:bookmarkEnd w:id="28"/>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Escherichia coli (</w:t>
      </w:r>
      <w:r>
        <w:rPr>
          <w:rFonts w:ascii="Times New Roman" w:cs="Times New Roman" w:hAnsi="Times New Roman"/>
          <w:bCs/>
          <w:i/>
          <w:sz w:val="24"/>
          <w:szCs w:val="24"/>
        </w:rPr>
        <w:t>E. coli</w:t>
      </w:r>
      <w:r>
        <w:rPr>
          <w:rFonts w:ascii="Times New Roman" w:cs="Times New Roman" w:hAnsi="Times New Roman"/>
          <w:bCs/>
          <w:sz w:val="24"/>
          <w:szCs w:val="24"/>
        </w:rPr>
        <w:t xml:space="preserve">) is a gram-negative bacterium commonly found in the intestines of humans and animals. While many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w:t>
      </w:r>
      <w:r>
        <w:rPr>
          <w:rFonts w:ascii="Times New Roman" w:cs="Times New Roman" w:hAnsi="Times New Roman"/>
          <w:bCs/>
          <w:sz w:val="24"/>
          <w:szCs w:val="24"/>
        </w:rPr>
        <w:t>Ranjbar</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2021). In recent years, the increasing resistance of </w:t>
      </w:r>
      <w:r>
        <w:rPr>
          <w:rFonts w:ascii="Times New Roman" w:cs="Times New Roman" w:hAnsi="Times New Roman"/>
          <w:bCs/>
          <w:i/>
          <w:sz w:val="24"/>
          <w:szCs w:val="24"/>
        </w:rPr>
        <w:t>E. coli</w:t>
      </w:r>
      <w:r>
        <w:rPr>
          <w:rFonts w:ascii="Times New Roman" w:cs="Times New Roman" w:hAnsi="Times New Roman"/>
          <w:bCs/>
          <w:sz w:val="24"/>
          <w:szCs w:val="24"/>
        </w:rPr>
        <w:t xml:space="preserve"> to multiple antibiotics has become a significant public health concern.</w:t>
      </w:r>
    </w:p>
    <w:bookmarkStart w:id="29" w:name="_Toc203146304"/>
    <w:p>
      <w:pPr>
        <w:pStyle w:val="style3"/>
        <w:rPr/>
      </w:pPr>
      <w:r>
        <w:t>2.4.1</w:t>
      </w:r>
      <w:r>
        <w:tab/>
      </w:r>
      <w:r>
        <w:t xml:space="preserve">Pathogenic Strains of </w:t>
      </w:r>
      <w:r>
        <w:rPr>
          <w:i/>
          <w:iCs/>
        </w:rPr>
        <w:t>Escherichia coli</w:t>
      </w:r>
      <w:bookmarkEnd w:id="29"/>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majority of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w:t>
      </w:r>
      <w:r>
        <w:rPr>
          <w:rFonts w:ascii="Times New Roman" w:cs="Times New Roman" w:hAnsi="Times New Roman"/>
          <w:bCs/>
          <w:sz w:val="24"/>
          <w:szCs w:val="24"/>
        </w:rPr>
        <w:t>are caused</w:t>
      </w:r>
      <w:r>
        <w:rPr>
          <w:rFonts w:ascii="Times New Roman" w:cs="Times New Roman" w:hAnsi="Times New Roman"/>
          <w:bCs/>
          <w:sz w:val="24"/>
          <w:szCs w:val="24"/>
        </w:rPr>
        <w:t xml:space="preserve"> by specific pathogenic strains. Among the most notable of these are </w:t>
      </w:r>
      <w:r>
        <w:rPr>
          <w:rFonts w:ascii="Times New Roman" w:cs="Times New Roman" w:hAnsi="Times New Roman"/>
          <w:bCs/>
          <w:sz w:val="24"/>
          <w:szCs w:val="24"/>
        </w:rPr>
        <w:t>Enterotoxigenic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(ETEC), which is commonly associated with traveler's diarrhea, and </w:t>
      </w:r>
      <w:r>
        <w:rPr>
          <w:rFonts w:ascii="Times New Roman" w:cs="Times New Roman" w:hAnsi="Times New Roman"/>
          <w:bCs/>
          <w:sz w:val="24"/>
          <w:szCs w:val="24"/>
        </w:rPr>
        <w:t>Enteropathogenic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(EPEC), a major cause of infant diarrhea. Another </w:t>
      </w:r>
      <w:r>
        <w:rPr>
          <w:rFonts w:ascii="Times New Roman" w:cs="Times New Roman" w:hAnsi="Times New Roman"/>
          <w:bCs/>
          <w:sz w:val="24"/>
          <w:szCs w:val="24"/>
        </w:rPr>
        <w:t xml:space="preserve">significant pathogenic strain, </w:t>
      </w:r>
      <w:r>
        <w:rPr>
          <w:rFonts w:ascii="Times New Roman" w:cs="Times New Roman" w:hAnsi="Times New Roman"/>
          <w:bCs/>
          <w:sz w:val="24"/>
          <w:szCs w:val="24"/>
        </w:rPr>
        <w:t>Enterohemorrhagic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(EHEC), </w:t>
      </w:r>
      <w:r>
        <w:rPr>
          <w:rFonts w:ascii="Times New Roman" w:cs="Times New Roman" w:hAnsi="Times New Roman"/>
          <w:bCs/>
          <w:sz w:val="24"/>
          <w:szCs w:val="24"/>
        </w:rPr>
        <w:t>has been linked</w:t>
      </w:r>
      <w:r>
        <w:rPr>
          <w:rFonts w:ascii="Times New Roman" w:cs="Times New Roman" w:hAnsi="Times New Roman"/>
          <w:bCs/>
          <w:sz w:val="24"/>
          <w:szCs w:val="24"/>
        </w:rPr>
        <w:t xml:space="preserve"> to outbreaks of foodborne illness, with some strains producing Shiga toxins that can cause hemolytic uremic syndrome (HUS), a potentially fatal condition. </w:t>
      </w:r>
      <w:r>
        <w:rPr>
          <w:rFonts w:ascii="Times New Roman" w:cs="Times New Roman" w:hAnsi="Times New Roman"/>
          <w:bCs/>
          <w:sz w:val="24"/>
          <w:szCs w:val="24"/>
        </w:rPr>
        <w:t>Uropathogenic</w:t>
      </w:r>
      <w:r>
        <w:rPr>
          <w:rFonts w:ascii="Times New Roman" w:cs="Times New Roman" w:hAnsi="Times New Roman"/>
          <w:bCs/>
          <w:sz w:val="24"/>
          <w:szCs w:val="24"/>
        </w:rPr>
        <w:t xml:space="preserve"> </w:t>
      </w:r>
      <w:r>
        <w:rPr>
          <w:rFonts w:ascii="Times New Roman" w:cs="Times New Roman" w:hAnsi="Times New Roman"/>
          <w:bCs/>
          <w:i/>
          <w:sz w:val="24"/>
          <w:szCs w:val="24"/>
        </w:rPr>
        <w:t>E. coli</w:t>
      </w:r>
      <w:r>
        <w:rPr>
          <w:rFonts w:ascii="Times New Roman" w:cs="Times New Roman" w:hAnsi="Times New Roman"/>
          <w:bCs/>
          <w:sz w:val="24"/>
          <w:szCs w:val="24"/>
        </w:rPr>
        <w:t xml:space="preserve"> (UPEC) is another key strain, primarily responsible for UTIs, both in community settings and healthcare facilities (</w:t>
      </w:r>
      <w:r>
        <w:rPr>
          <w:rFonts w:ascii="Times New Roman" w:cs="Times New Roman" w:hAnsi="Times New Roman"/>
          <w:bCs/>
          <w:sz w:val="24"/>
          <w:szCs w:val="24"/>
        </w:rPr>
        <w:t>Zong</w:t>
      </w:r>
      <w:r>
        <w:rPr>
          <w:rFonts w:ascii="Times New Roman" w:cs="Times New Roman" w:hAnsi="Times New Roman"/>
          <w:bCs/>
          <w:sz w:val="24"/>
          <w:szCs w:val="24"/>
        </w:rPr>
        <w:t xml:space="preserve"> </w:t>
      </w:r>
      <w:r>
        <w:rPr>
          <w:rFonts w:ascii="Times New Roman" w:cs="Times New Roman" w:hAnsi="Times New Roman"/>
          <w:bCs/>
          <w:i/>
          <w:sz w:val="24"/>
          <w:szCs w:val="24"/>
        </w:rPr>
        <w:t>et al</w:t>
      </w:r>
      <w:r>
        <w:rPr>
          <w:rFonts w:ascii="Times New Roman" w:cs="Times New Roman" w:hAnsi="Times New Roman"/>
          <w:bCs/>
          <w:sz w:val="24"/>
          <w:szCs w:val="24"/>
        </w:rPr>
        <w:t xml:space="preserve">., 2020). These pathogenic strains are equipped with a range of virulence factors, including </w:t>
      </w:r>
      <w:r>
        <w:rPr>
          <w:rFonts w:ascii="Times New Roman" w:cs="Times New Roman" w:hAnsi="Times New Roman"/>
          <w:bCs/>
          <w:sz w:val="24"/>
          <w:szCs w:val="24"/>
        </w:rPr>
        <w:t>adhesins</w:t>
      </w:r>
      <w:r>
        <w:rPr>
          <w:rFonts w:ascii="Times New Roman" w:cs="Times New Roman" w:hAnsi="Times New Roman"/>
          <w:bCs/>
          <w:sz w:val="24"/>
          <w:szCs w:val="24"/>
        </w:rPr>
        <w:t>, toxins, and the ability to form biofilms, which enable them to adhere to and invade host tissues, evade immune responses, and resist antibiotic treatment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2019).</w:t>
      </w:r>
    </w:p>
    <w:bookmarkStart w:id="30" w:name="_Toc203146305"/>
    <w:p>
      <w:pPr>
        <w:pStyle w:val="style3"/>
        <w:rPr/>
      </w:pPr>
      <w:r>
        <w:t>2.4.2</w:t>
      </w:r>
      <w:r>
        <w:tab/>
      </w:r>
      <w:r>
        <w:t xml:space="preserve">Mechanisms of Antibiotic Resistance in </w:t>
      </w:r>
      <w:r>
        <w:rPr>
          <w:i/>
          <w:iCs/>
        </w:rPr>
        <w:t>Escherichia coli</w:t>
      </w:r>
      <w:bookmarkEnd w:id="30"/>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 significant concern regarding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is the growing problem of antibiotic resistance. Several mechanisms contribute to the ability of </w:t>
      </w:r>
      <w:r>
        <w:rPr>
          <w:rFonts w:ascii="Times New Roman" w:cs="Times New Roman" w:hAnsi="Times New Roman"/>
          <w:bCs/>
          <w:i/>
          <w:sz w:val="24"/>
          <w:szCs w:val="24"/>
        </w:rPr>
        <w:t>E. coli</w:t>
      </w:r>
      <w:r>
        <w:rPr>
          <w:rFonts w:ascii="Times New Roman" w:cs="Times New Roman" w:hAnsi="Times New Roman"/>
          <w:bCs/>
          <w:sz w:val="24"/>
          <w:szCs w:val="24"/>
        </w:rPr>
        <w:t xml:space="preserve"> to evade the effects of antibiotics, complicating treatment options and leading to more severe clinical outcomes. One of the most common mechanisms is beta-lactam resistance, which </w:t>
      </w:r>
      <w:r>
        <w:rPr>
          <w:rFonts w:ascii="Times New Roman" w:cs="Times New Roman" w:hAnsi="Times New Roman"/>
          <w:bCs/>
          <w:sz w:val="24"/>
          <w:szCs w:val="24"/>
        </w:rPr>
        <w:t>is typically mediated</w:t>
      </w:r>
      <w:r>
        <w:rPr>
          <w:rFonts w:ascii="Times New Roman" w:cs="Times New Roman" w:hAnsi="Times New Roman"/>
          <w:bCs/>
          <w:sz w:val="24"/>
          <w:szCs w:val="24"/>
        </w:rPr>
        <w:t xml:space="preserve"> by the production of beta-lactamases. These enzymes degrade beta-lactam antibiotics, such as </w:t>
      </w:r>
      <w:r>
        <w:rPr>
          <w:rFonts w:ascii="Times New Roman" w:cs="Times New Roman" w:hAnsi="Times New Roman"/>
          <w:bCs/>
          <w:sz w:val="24"/>
          <w:szCs w:val="24"/>
        </w:rPr>
        <w:t>penicillins</w:t>
      </w:r>
      <w:r>
        <w:rPr>
          <w:rFonts w:ascii="Times New Roman" w:cs="Times New Roman" w:hAnsi="Times New Roman"/>
          <w:bCs/>
          <w:sz w:val="24"/>
          <w:szCs w:val="24"/>
        </w:rPr>
        <w:t xml:space="preserve"> and </w:t>
      </w:r>
      <w:r>
        <w:rPr>
          <w:rFonts w:ascii="Times New Roman" w:cs="Times New Roman" w:hAnsi="Times New Roman"/>
          <w:bCs/>
          <w:sz w:val="24"/>
          <w:szCs w:val="24"/>
        </w:rPr>
        <w:t>cephalosporins</w:t>
      </w:r>
      <w:r>
        <w:rPr>
          <w:rFonts w:ascii="Times New Roman" w:cs="Times New Roman" w:hAnsi="Times New Roman"/>
          <w:bCs/>
          <w:sz w:val="24"/>
          <w:szCs w:val="24"/>
        </w:rPr>
        <w:t xml:space="preserve">, rendering them ineffective. Extended-spectrum beta-lactamases (ESBLs) are particularly problematic, as they can hydrolyze third-generation </w:t>
      </w:r>
      <w:r>
        <w:rPr>
          <w:rFonts w:ascii="Times New Roman" w:cs="Times New Roman" w:hAnsi="Times New Roman"/>
          <w:bCs/>
          <w:sz w:val="24"/>
          <w:szCs w:val="24"/>
        </w:rPr>
        <w:t>cephalosporins</w:t>
      </w:r>
      <w:r>
        <w:rPr>
          <w:rFonts w:ascii="Times New Roman" w:cs="Times New Roman" w:hAnsi="Times New Roman"/>
          <w:bCs/>
          <w:sz w:val="24"/>
          <w:szCs w:val="24"/>
        </w:rPr>
        <w:t xml:space="preserve"> and </w:t>
      </w:r>
      <w:r>
        <w:rPr>
          <w:rFonts w:ascii="Times New Roman" w:cs="Times New Roman" w:hAnsi="Times New Roman"/>
          <w:bCs/>
          <w:sz w:val="24"/>
          <w:szCs w:val="24"/>
        </w:rPr>
        <w:t>monobactams</w:t>
      </w:r>
      <w:r>
        <w:rPr>
          <w:rFonts w:ascii="Times New Roman" w:cs="Times New Roman" w:hAnsi="Times New Roman"/>
          <w:bCs/>
          <w:sz w:val="24"/>
          <w:szCs w:val="24"/>
        </w:rPr>
        <w:t xml:space="preserve">, which </w:t>
      </w:r>
      <w:r>
        <w:rPr>
          <w:rFonts w:ascii="Times New Roman" w:cs="Times New Roman" w:hAnsi="Times New Roman"/>
          <w:bCs/>
          <w:sz w:val="24"/>
          <w:szCs w:val="24"/>
        </w:rPr>
        <w:t>are often used</w:t>
      </w:r>
      <w:r>
        <w:rPr>
          <w:rFonts w:ascii="Times New Roman" w:cs="Times New Roman" w:hAnsi="Times New Roman"/>
          <w:bCs/>
          <w:sz w:val="24"/>
          <w:szCs w:val="24"/>
        </w:rPr>
        <w:t xml:space="preserve"> as the first line of treatment in infections caused by </w:t>
      </w:r>
      <w:r>
        <w:rPr>
          <w:rFonts w:ascii="Times New Roman" w:cs="Times New Roman" w:hAnsi="Times New Roman"/>
          <w:bCs/>
          <w:i/>
          <w:sz w:val="24"/>
          <w:szCs w:val="24"/>
        </w:rPr>
        <w:t>E. coli</w:t>
      </w:r>
      <w:r>
        <w:rPr>
          <w:rFonts w:ascii="Times New Roman" w:cs="Times New Roman" w:hAnsi="Times New Roman"/>
          <w:bCs/>
          <w:sz w:val="24"/>
          <w:szCs w:val="24"/>
        </w:rPr>
        <w:t xml:space="preserve"> (Paterson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beta-lactam resistance, </w:t>
      </w:r>
      <w:r>
        <w:rPr>
          <w:rFonts w:ascii="Times New Roman" w:cs="Times New Roman" w:hAnsi="Times New Roman"/>
          <w:bCs/>
          <w:i/>
          <w:sz w:val="24"/>
          <w:szCs w:val="24"/>
        </w:rPr>
        <w:t>E. coli</w:t>
      </w:r>
      <w:r>
        <w:rPr>
          <w:rFonts w:ascii="Times New Roman" w:cs="Times New Roman" w:hAnsi="Times New Roman"/>
          <w:bCs/>
          <w:sz w:val="24"/>
          <w:szCs w:val="24"/>
        </w:rPr>
        <w:t xml:space="preserve"> has also developed resistance to other classes of antibiotics, including aminoglycosides and fluoroquinolones. Aminoglycoside resistance </w:t>
      </w:r>
      <w:r>
        <w:rPr>
          <w:rFonts w:ascii="Times New Roman" w:cs="Times New Roman" w:hAnsi="Times New Roman"/>
          <w:bCs/>
          <w:sz w:val="24"/>
          <w:szCs w:val="24"/>
        </w:rPr>
        <w:t>is primarily driven</w:t>
      </w:r>
      <w:r>
        <w:rPr>
          <w:rFonts w:ascii="Times New Roman" w:cs="Times New Roman" w:hAnsi="Times New Roman"/>
          <w:bCs/>
          <w:sz w:val="24"/>
          <w:szCs w:val="24"/>
        </w:rPr>
        <w:t xml:space="preserve"> by the production of modifying enzymes that inactivate these drugs, while fluoroquinolone resistance is often the result of mutations in the bacterial DNA gyrase and topoisomerase IV, which are the targets of these drugs (Wu </w:t>
      </w:r>
      <w:r>
        <w:rPr>
          <w:rFonts w:ascii="Times New Roman" w:cs="Times New Roman" w:hAnsi="Times New Roman"/>
          <w:bCs/>
          <w:i/>
          <w:sz w:val="24"/>
          <w:szCs w:val="24"/>
        </w:rPr>
        <w:t>et al</w:t>
      </w:r>
      <w:r>
        <w:rPr>
          <w:rFonts w:ascii="Times New Roman" w:cs="Times New Roman" w:hAnsi="Times New Roman"/>
          <w:bCs/>
          <w:sz w:val="24"/>
          <w:szCs w:val="24"/>
        </w:rPr>
        <w:t xml:space="preserve">., 2020). Another concerning development is </w:t>
      </w:r>
      <w:r>
        <w:rPr>
          <w:rFonts w:ascii="Times New Roman" w:cs="Times New Roman" w:hAnsi="Times New Roman"/>
          <w:bCs/>
          <w:sz w:val="24"/>
          <w:szCs w:val="24"/>
        </w:rPr>
        <w:t>carbapenem</w:t>
      </w:r>
      <w:r>
        <w:rPr>
          <w:rFonts w:ascii="Times New Roman" w:cs="Times New Roman" w:hAnsi="Times New Roman"/>
          <w:bCs/>
          <w:sz w:val="24"/>
          <w:szCs w:val="24"/>
        </w:rPr>
        <w:t xml:space="preserve"> resistance. </w:t>
      </w:r>
      <w:r>
        <w:rPr>
          <w:rFonts w:ascii="Times New Roman" w:cs="Times New Roman" w:hAnsi="Times New Roman"/>
          <w:bCs/>
          <w:sz w:val="24"/>
          <w:szCs w:val="24"/>
        </w:rPr>
        <w:t>Carbapenems</w:t>
      </w:r>
      <w:r>
        <w:rPr>
          <w:rFonts w:ascii="Times New Roman" w:cs="Times New Roman" w:hAnsi="Times New Roman"/>
          <w:bCs/>
          <w:sz w:val="24"/>
          <w:szCs w:val="24"/>
        </w:rPr>
        <w:t xml:space="preserve">, such as </w:t>
      </w:r>
      <w:r>
        <w:rPr>
          <w:rFonts w:ascii="Times New Roman" w:cs="Times New Roman" w:hAnsi="Times New Roman"/>
          <w:bCs/>
          <w:sz w:val="24"/>
          <w:szCs w:val="24"/>
        </w:rPr>
        <w:t>meropenem</w:t>
      </w:r>
      <w:r>
        <w:rPr>
          <w:rFonts w:ascii="Times New Roman" w:cs="Times New Roman" w:hAnsi="Times New Roman"/>
          <w:bCs/>
          <w:sz w:val="24"/>
          <w:szCs w:val="24"/>
        </w:rPr>
        <w:t xml:space="preserve">, </w:t>
      </w:r>
      <w:r>
        <w:rPr>
          <w:rFonts w:ascii="Times New Roman" w:cs="Times New Roman" w:hAnsi="Times New Roman"/>
          <w:bCs/>
          <w:sz w:val="24"/>
          <w:szCs w:val="24"/>
        </w:rPr>
        <w:t>are considered</w:t>
      </w:r>
      <w:r>
        <w:rPr>
          <w:rFonts w:ascii="Times New Roman" w:cs="Times New Roman" w:hAnsi="Times New Roman"/>
          <w:bCs/>
          <w:sz w:val="24"/>
          <w:szCs w:val="24"/>
        </w:rPr>
        <w:t xml:space="preserve"> last-resort antibiotics for treating multi-drug-resistant (MDR) </w:t>
      </w:r>
      <w:r>
        <w:rPr>
          <w:rFonts w:ascii="Times New Roman" w:cs="Times New Roman" w:hAnsi="Times New Roman"/>
          <w:bCs/>
          <w:i/>
          <w:sz w:val="24"/>
          <w:szCs w:val="24"/>
        </w:rPr>
        <w:t>E. coli</w:t>
      </w:r>
      <w:r>
        <w:rPr>
          <w:rFonts w:ascii="Times New Roman" w:cs="Times New Roman" w:hAnsi="Times New Roman"/>
          <w:bCs/>
          <w:sz w:val="24"/>
          <w:szCs w:val="24"/>
        </w:rPr>
        <w:t xml:space="preserve"> strains. The emergence of </w:t>
      </w:r>
      <w:r>
        <w:rPr>
          <w:rFonts w:ascii="Times New Roman" w:cs="Times New Roman" w:hAnsi="Times New Roman"/>
          <w:bCs/>
          <w:sz w:val="24"/>
          <w:szCs w:val="24"/>
        </w:rPr>
        <w:t>carbapenemases</w:t>
      </w:r>
      <w:r>
        <w:rPr>
          <w:rFonts w:ascii="Times New Roman" w:cs="Times New Roman" w:hAnsi="Times New Roman"/>
          <w:bCs/>
          <w:sz w:val="24"/>
          <w:szCs w:val="24"/>
        </w:rPr>
        <w:t xml:space="preserve">, such as New Delhi </w:t>
      </w:r>
      <w:r>
        <w:rPr>
          <w:rFonts w:ascii="Times New Roman" w:cs="Times New Roman" w:hAnsi="Times New Roman"/>
          <w:bCs/>
          <w:sz w:val="24"/>
          <w:szCs w:val="24"/>
        </w:rPr>
        <w:t>metallo</w:t>
      </w:r>
      <w:r>
        <w:rPr>
          <w:rFonts w:ascii="Times New Roman" w:cs="Times New Roman" w:hAnsi="Times New Roman"/>
          <w:bCs/>
          <w:sz w:val="24"/>
          <w:szCs w:val="24"/>
        </w:rPr>
        <w:t xml:space="preserve">-beta-lactamase (NDM) and </w:t>
      </w:r>
      <w:r>
        <w:rPr>
          <w:rFonts w:ascii="Times New Roman" w:cs="Times New Roman" w:hAnsi="Times New Roman"/>
          <w:bCs/>
          <w:sz w:val="24"/>
          <w:szCs w:val="24"/>
        </w:rPr>
        <w:t>Klebsiella</w:t>
      </w:r>
      <w:r>
        <w:rPr>
          <w:rFonts w:ascii="Times New Roman" w:cs="Times New Roman" w:hAnsi="Times New Roman"/>
          <w:bCs/>
          <w:sz w:val="24"/>
          <w:szCs w:val="24"/>
        </w:rPr>
        <w:t xml:space="preserve"> </w:t>
      </w:r>
      <w:r>
        <w:rPr>
          <w:rFonts w:ascii="Times New Roman" w:cs="Times New Roman" w:hAnsi="Times New Roman"/>
          <w:bCs/>
          <w:sz w:val="24"/>
          <w:szCs w:val="24"/>
        </w:rPr>
        <w:t>pneumoniae</w:t>
      </w:r>
      <w:r>
        <w:rPr>
          <w:rFonts w:ascii="Times New Roman" w:cs="Times New Roman" w:hAnsi="Times New Roman"/>
          <w:bCs/>
          <w:sz w:val="24"/>
          <w:szCs w:val="24"/>
        </w:rPr>
        <w:t xml:space="preserve"> </w:t>
      </w:r>
      <w:r>
        <w:rPr>
          <w:rFonts w:ascii="Times New Roman" w:cs="Times New Roman" w:hAnsi="Times New Roman"/>
          <w:bCs/>
          <w:sz w:val="24"/>
          <w:szCs w:val="24"/>
        </w:rPr>
        <w:t>carbapenemase</w:t>
      </w:r>
      <w:r>
        <w:rPr>
          <w:rFonts w:ascii="Times New Roman" w:cs="Times New Roman" w:hAnsi="Times New Roman"/>
          <w:bCs/>
          <w:sz w:val="24"/>
          <w:szCs w:val="24"/>
        </w:rPr>
        <w:t xml:space="preserve"> (KPC), in </w:t>
      </w:r>
      <w:r>
        <w:rPr>
          <w:rFonts w:ascii="Times New Roman" w:cs="Times New Roman" w:hAnsi="Times New Roman"/>
          <w:bCs/>
          <w:i/>
          <w:sz w:val="24"/>
          <w:szCs w:val="24"/>
        </w:rPr>
        <w:t>E. coli</w:t>
      </w:r>
      <w:r>
        <w:rPr>
          <w:rFonts w:ascii="Times New Roman" w:cs="Times New Roman" w:hAnsi="Times New Roman"/>
          <w:bCs/>
          <w:sz w:val="24"/>
          <w:szCs w:val="24"/>
        </w:rPr>
        <w:t xml:space="preserve"> poses a serious threat to public health by rendering these antibiotics ineffective and limiting treatment options (Tucker </w:t>
      </w:r>
      <w:r>
        <w:rPr>
          <w:rFonts w:ascii="Times New Roman" w:cs="Times New Roman" w:hAnsi="Times New Roman"/>
          <w:bCs/>
          <w:i/>
          <w:sz w:val="24"/>
          <w:szCs w:val="24"/>
        </w:rPr>
        <w:t>et al</w:t>
      </w:r>
      <w:r>
        <w:rPr>
          <w:rFonts w:ascii="Times New Roman" w:cs="Times New Roman" w:hAnsi="Times New Roman"/>
          <w:bCs/>
          <w:sz w:val="24"/>
          <w:szCs w:val="24"/>
        </w:rPr>
        <w:t xml:space="preserve">., 2019). The increasing prevalence of multidrug-resistant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has significantly </w:t>
      </w:r>
      <w:r>
        <w:rPr>
          <w:rFonts w:ascii="Times New Roman" w:cs="Times New Roman" w:hAnsi="Times New Roman"/>
          <w:bCs/>
          <w:sz w:val="24"/>
          <w:szCs w:val="24"/>
        </w:rPr>
        <w:t>impacted</w:t>
      </w:r>
      <w:r>
        <w:rPr>
          <w:rFonts w:ascii="Times New Roman" w:cs="Times New Roman" w:hAnsi="Times New Roman"/>
          <w:bCs/>
          <w:sz w:val="24"/>
          <w:szCs w:val="24"/>
        </w:rPr>
        <w:t xml:space="preserve"> clinical outcomes, as these infections are more difficult to treat, often requiring more expensive and toxic drugs. This, in turn, leads to prolonged hospital stays, higher healthcare costs, and increased morbidity and mortality (Guerra </w:t>
      </w:r>
      <w:r>
        <w:rPr>
          <w:rFonts w:ascii="Times New Roman" w:cs="Times New Roman" w:hAnsi="Times New Roman"/>
          <w:bCs/>
          <w:i/>
          <w:sz w:val="24"/>
          <w:szCs w:val="24"/>
        </w:rPr>
        <w:t>et al</w:t>
      </w:r>
      <w:r>
        <w:rPr>
          <w:rFonts w:ascii="Times New Roman" w:cs="Times New Roman" w:hAnsi="Times New Roman"/>
          <w:bCs/>
          <w:sz w:val="24"/>
          <w:szCs w:val="24"/>
        </w:rPr>
        <w:t>., 2020).</w:t>
      </w:r>
    </w:p>
    <w:bookmarkStart w:id="31" w:name="_Toc203146306"/>
    <w:p>
      <w:pPr>
        <w:pStyle w:val="style3"/>
        <w:rPr/>
      </w:pPr>
      <w:r>
        <w:t>2.4.3</w:t>
      </w:r>
      <w:r>
        <w:tab/>
      </w:r>
      <w:r>
        <w:t xml:space="preserve">Clinical Impact of </w:t>
      </w:r>
      <w:r>
        <w:rPr>
          <w:i/>
          <w:iCs/>
        </w:rPr>
        <w:t>E. coli</w:t>
      </w:r>
      <w:r>
        <w:rPr>
          <w:i/>
          <w:iCs/>
        </w:rPr>
        <w:t xml:space="preserve"> </w:t>
      </w:r>
      <w:r>
        <w:t>Resistance</w:t>
      </w:r>
      <w:bookmarkEnd w:id="31"/>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rise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within healthcare settings can lead to outbreaks, further complicating infection control efforts. For example, resistant strains of </w:t>
      </w:r>
      <w:r>
        <w:rPr>
          <w:rFonts w:ascii="Times New Roman" w:cs="Times New Roman" w:hAnsi="Times New Roman"/>
          <w:bCs/>
          <w:i/>
          <w:sz w:val="24"/>
          <w:szCs w:val="24"/>
        </w:rPr>
        <w:t>E. coli</w:t>
      </w:r>
      <w:r>
        <w:rPr>
          <w:rFonts w:ascii="Times New Roman" w:cs="Times New Roman" w:hAnsi="Times New Roman"/>
          <w:bCs/>
          <w:sz w:val="24"/>
          <w:szCs w:val="24"/>
        </w:rPr>
        <w:t xml:space="preserve"> </w:t>
      </w:r>
      <w:r>
        <w:rPr>
          <w:rFonts w:ascii="Times New Roman" w:cs="Times New Roman" w:hAnsi="Times New Roman"/>
          <w:bCs/>
          <w:sz w:val="24"/>
          <w:szCs w:val="24"/>
        </w:rPr>
        <w:t>are frequently implicated</w:t>
      </w:r>
      <w:r>
        <w:rPr>
          <w:rFonts w:ascii="Times New Roman" w:cs="Times New Roman" w:hAnsi="Times New Roman"/>
          <w:bCs/>
          <w:sz w:val="24"/>
          <w:szCs w:val="24"/>
        </w:rPr>
        <w:t xml:space="preserve"> in nosocomial infections, where patients in hospitals or long-term care facilities acquire infections from the healthcare environment itself (Tucker </w:t>
      </w:r>
      <w:r>
        <w:rPr>
          <w:rFonts w:ascii="Times New Roman" w:cs="Times New Roman" w:hAnsi="Times New Roman"/>
          <w:bCs/>
          <w:i/>
          <w:sz w:val="24"/>
          <w:szCs w:val="24"/>
        </w:rPr>
        <w:t>et al</w:t>
      </w:r>
      <w:r>
        <w:rPr>
          <w:rFonts w:ascii="Times New Roman" w:cs="Times New Roman" w:hAnsi="Times New Roman"/>
          <w:bCs/>
          <w:sz w:val="24"/>
          <w:szCs w:val="24"/>
        </w:rPr>
        <w:t>., 2019).</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To combat the increasing prevalence of antibiotic-resistant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several strategies </w:t>
      </w:r>
      <w:r>
        <w:rPr>
          <w:rFonts w:ascii="Times New Roman" w:cs="Times New Roman" w:hAnsi="Times New Roman"/>
          <w:bCs/>
          <w:sz w:val="24"/>
          <w:szCs w:val="24"/>
        </w:rPr>
        <w:t>have been proposed</w:t>
      </w:r>
      <w:r>
        <w:rPr>
          <w:rFonts w:ascii="Times New Roman" w:cs="Times New Roman" w:hAnsi="Times New Roman"/>
          <w:bCs/>
          <w:sz w:val="24"/>
          <w:szCs w:val="24"/>
        </w:rPr>
        <w:t xml:space="preserve">. Antimicrobial stewardship programs, which aim to optimize antibiotic use in clinical settings, </w:t>
      </w:r>
      <w:r>
        <w:rPr>
          <w:rFonts w:ascii="Times New Roman" w:cs="Times New Roman" w:hAnsi="Times New Roman"/>
          <w:bCs/>
          <w:sz w:val="24"/>
          <w:szCs w:val="24"/>
        </w:rPr>
        <w:t>have been shown</w:t>
      </w:r>
      <w:r>
        <w:rPr>
          <w:rFonts w:ascii="Times New Roman" w:cs="Times New Roman" w:hAnsi="Times New Roman"/>
          <w:bCs/>
          <w:sz w:val="24"/>
          <w:szCs w:val="24"/>
        </w:rPr>
        <w:t xml:space="preserve">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Pr>
          <w:rFonts w:ascii="Times New Roman" w:cs="Times New Roman" w:hAnsi="Times New Roman"/>
          <w:bCs/>
          <w:i/>
          <w:sz w:val="24"/>
          <w:szCs w:val="24"/>
        </w:rPr>
        <w:t>et al</w:t>
      </w:r>
      <w:r>
        <w:rPr>
          <w:rFonts w:ascii="Times New Roman" w:cs="Times New Roman" w:hAnsi="Times New Roman"/>
          <w:bCs/>
          <w:sz w:val="24"/>
          <w:szCs w:val="24"/>
        </w:rPr>
        <w:t xml:space="preserve">., 2020). In addition to stewardship, stringent infection control measures, including hand hygiene, proper sanitation, and isolation of infected patients, are essential for </w:t>
      </w:r>
      <w:r>
        <w:rPr>
          <w:rFonts w:ascii="Times New Roman" w:cs="Times New Roman" w:hAnsi="Times New Roman"/>
          <w:bCs/>
          <w:sz w:val="24"/>
          <w:szCs w:val="24"/>
        </w:rPr>
        <w:t xml:space="preserve">preventing the transmission of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strains in hospitals and other healthcare environments.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Research into alternative therapies is also underway to provide new options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r>
        <w:rPr>
          <w:rFonts w:ascii="Times New Roman" w:cs="Times New Roman" w:hAnsi="Times New Roman"/>
          <w:bCs/>
          <w:sz w:val="24"/>
          <w:szCs w:val="24"/>
        </w:rPr>
        <w:t>Nataro</w:t>
      </w:r>
      <w:r>
        <w:rPr>
          <w:rFonts w:ascii="Times New Roman" w:cs="Times New Roman" w:hAnsi="Times New Roman"/>
          <w:bCs/>
          <w:sz w:val="24"/>
          <w:szCs w:val="24"/>
        </w:rPr>
        <w:t xml:space="preserve"> &amp; </w:t>
      </w:r>
      <w:r>
        <w:rPr>
          <w:rFonts w:ascii="Times New Roman" w:cs="Times New Roman" w:hAnsi="Times New Roman"/>
          <w:bCs/>
          <w:sz w:val="24"/>
          <w:szCs w:val="24"/>
        </w:rPr>
        <w:t>Kaper</w:t>
      </w:r>
      <w:r>
        <w:rPr>
          <w:rFonts w:ascii="Times New Roman" w:cs="Times New Roman" w:hAnsi="Times New Roman"/>
          <w:bCs/>
          <w:sz w:val="24"/>
          <w:szCs w:val="24"/>
        </w:rPr>
        <w:t xml:space="preserve">, 2019). Another area of research is the development of vaccines against </w:t>
      </w:r>
      <w:r>
        <w:rPr>
          <w:rFonts w:ascii="Times New Roman" w:cs="Times New Roman" w:hAnsi="Times New Roman"/>
          <w:bCs/>
          <w:i/>
          <w:sz w:val="24"/>
          <w:szCs w:val="24"/>
        </w:rPr>
        <w:t>E. coli</w:t>
      </w:r>
      <w:r>
        <w:rPr>
          <w:rFonts w:ascii="Times New Roman" w:cs="Times New Roman" w:hAnsi="Times New Roman"/>
          <w:bCs/>
          <w:sz w:val="24"/>
          <w:szCs w:val="24"/>
        </w:rPr>
        <w:t xml:space="preserve"> strains, especially those that cause gastroenteritis and UTIs. Additionally, novel antibiotics targeting new bacterial pathways </w:t>
      </w:r>
      <w:r>
        <w:rPr>
          <w:rFonts w:ascii="Times New Roman" w:cs="Times New Roman" w:hAnsi="Times New Roman"/>
          <w:bCs/>
          <w:sz w:val="24"/>
          <w:szCs w:val="24"/>
        </w:rPr>
        <w:t>are being explored</w:t>
      </w:r>
      <w:r>
        <w:rPr>
          <w:rFonts w:ascii="Times New Roman" w:cs="Times New Roman" w:hAnsi="Times New Roman"/>
          <w:bCs/>
          <w:sz w:val="24"/>
          <w:szCs w:val="24"/>
        </w:rPr>
        <w:t xml:space="preserve">, which may provide much-needed solutions for treating resistant </w:t>
      </w:r>
      <w:r>
        <w:rPr>
          <w:rFonts w:ascii="Times New Roman" w:cs="Times New Roman" w:hAnsi="Times New Roman"/>
          <w:bCs/>
          <w:i/>
          <w:sz w:val="24"/>
          <w:szCs w:val="24"/>
        </w:rPr>
        <w:t>E. coli</w:t>
      </w:r>
      <w:r>
        <w:rPr>
          <w:rFonts w:ascii="Times New Roman" w:cs="Times New Roman" w:hAnsi="Times New Roman"/>
          <w:bCs/>
          <w:sz w:val="24"/>
          <w:szCs w:val="24"/>
        </w:rPr>
        <w:t xml:space="preserve"> infections (Wu </w:t>
      </w:r>
      <w:r>
        <w:rPr>
          <w:rFonts w:ascii="Times New Roman" w:cs="Times New Roman" w:hAnsi="Times New Roman"/>
          <w:bCs/>
          <w:i/>
          <w:sz w:val="24"/>
          <w:szCs w:val="24"/>
        </w:rPr>
        <w:t>et al</w:t>
      </w:r>
      <w:r>
        <w:rPr>
          <w:rFonts w:ascii="Times New Roman" w:cs="Times New Roman" w:hAnsi="Times New Roman"/>
          <w:bCs/>
          <w:sz w:val="24"/>
          <w:szCs w:val="24"/>
        </w:rPr>
        <w:t>., 2020).</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 </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p>
    <w:bookmarkStart w:id="32" w:name="_Toc203146307"/>
    <w:p>
      <w:pPr>
        <w:pStyle w:val="style1"/>
        <w:jc w:val="center"/>
        <w:rPr/>
      </w:pPr>
      <w:r>
        <w:t>CHAPTER THREE</w:t>
      </w:r>
      <w:bookmarkEnd w:id="32"/>
    </w:p>
    <w:bookmarkStart w:id="33" w:name="_Toc203146308"/>
    <w:p>
      <w:pPr>
        <w:pStyle w:val="style1"/>
        <w:spacing w:lineRule="auto" w:line="480"/>
        <w:jc w:val="center"/>
        <w:rPr/>
      </w:pPr>
      <w:r>
        <w:t>MATERIALS AND METHODS</w:t>
      </w:r>
      <w:bookmarkEnd w:id="33"/>
    </w:p>
    <w:bookmarkStart w:id="34" w:name="_Toc203146309"/>
    <w:p>
      <w:pPr>
        <w:pStyle w:val="style2"/>
        <w:spacing w:lineRule="auto" w:line="480"/>
        <w:rPr>
          <w:rFonts w:eastAsia="Times New Roman"/>
        </w:rPr>
      </w:pPr>
      <w:r>
        <w:rPr>
          <w:rFonts w:eastAsia="Times New Roman"/>
        </w:rPr>
        <w:t>3.1</w:t>
      </w:r>
      <w:r>
        <w:rPr>
          <w:rFonts w:eastAsia="Times New Roman"/>
        </w:rPr>
        <w:tab/>
      </w:r>
      <w:r>
        <w:rPr>
          <w:rFonts w:eastAsia="Times New Roman"/>
        </w:rPr>
        <w:t>Study Area and Sample Collection</w:t>
      </w:r>
      <w:bookmarkEnd w:id="34"/>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w:t>
      </w:r>
      <w:r>
        <w:rPr>
          <w:rFonts w:ascii="Times New Roman" w:cs="Times New Roman" w:eastAsia="Times New Roman" w:hAnsi="Times New Roman"/>
          <w:sz w:val="24"/>
          <w:szCs w:val="24"/>
        </w:rPr>
        <w:t>was conducted</w:t>
      </w:r>
      <w:r>
        <w:rPr>
          <w:rFonts w:ascii="Times New Roman" w:cs="Times New Roman" w:eastAsia="Times New Roman" w:hAnsi="Times New Roman"/>
          <w:sz w:val="24"/>
          <w:szCs w:val="24"/>
        </w:rPr>
        <w:t xml:space="preserve"> in the Microbiology Laboratory Unit of Kwara State Polytechnic, Ilorin, Nigeria. The clinical isolates of </w:t>
      </w:r>
      <w:r>
        <w:rPr>
          <w:rFonts w:ascii="Times New Roman" w:cs="Times New Roman" w:eastAsia="Times New Roman" w:hAnsi="Times New Roman"/>
          <w:i/>
          <w:iCs/>
          <w:sz w:val="24"/>
          <w:szCs w:val="24"/>
        </w:rPr>
        <w:t>Methicillin-Resistant Staphylococcus aureus</w:t>
      </w:r>
      <w:r>
        <w:rPr>
          <w:rFonts w:ascii="Times New Roman" w:cs="Times New Roman" w:eastAsia="Times New Roman" w:hAnsi="Times New Roman"/>
          <w:sz w:val="24"/>
          <w:szCs w:val="24"/>
        </w:rPr>
        <w:t xml:space="preserve"> (MRSA)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w:t>
      </w:r>
      <w:r>
        <w:rPr>
          <w:rFonts w:ascii="Times New Roman" w:cs="Times New Roman" w:eastAsia="Times New Roman" w:hAnsi="Times New Roman"/>
          <w:i/>
          <w:sz w:val="24"/>
          <w:szCs w:val="24"/>
        </w:rPr>
        <w:t>. coli</w:t>
      </w:r>
      <w:r>
        <w:rPr>
          <w:rFonts w:ascii="Times New Roman" w:cs="Times New Roman" w:eastAsia="Times New Roman" w:hAnsi="Times New Roman"/>
          <w:sz w:val="24"/>
          <w:szCs w:val="24"/>
        </w:rPr>
        <w:t xml:space="preserve"> ) </w:t>
      </w:r>
      <w:r>
        <w:rPr>
          <w:rFonts w:ascii="Times New Roman" w:cs="Times New Roman" w:eastAsia="Times New Roman" w:hAnsi="Times New Roman"/>
          <w:sz w:val="24"/>
          <w:szCs w:val="24"/>
        </w:rPr>
        <w:t xml:space="preserve">were obtained from the University of Ilorin Teaching Hospital (UITH), Ilorin, Kwara State. These isolates </w:t>
      </w:r>
      <w:r>
        <w:rPr>
          <w:rFonts w:ascii="Times New Roman" w:cs="Times New Roman" w:eastAsia="Times New Roman" w:hAnsi="Times New Roman"/>
          <w:sz w:val="24"/>
          <w:szCs w:val="24"/>
        </w:rPr>
        <w:t>were selected</w:t>
      </w:r>
      <w:r>
        <w:rPr>
          <w:rFonts w:ascii="Times New Roman" w:cs="Times New Roman" w:eastAsia="Times New Roman" w:hAnsi="Times New Roman"/>
          <w:sz w:val="24"/>
          <w:szCs w:val="24"/>
        </w:rPr>
        <w:t xml:space="preserve"> for their clinical significance and resistance patterns.</w:t>
      </w:r>
    </w:p>
    <w:bookmarkStart w:id="35" w:name="_Toc203146310"/>
    <w:p>
      <w:pPr>
        <w:pStyle w:val="style2"/>
        <w:rPr/>
      </w:pPr>
      <w:r>
        <w:t>3.2</w:t>
      </w:r>
      <w:r>
        <w:tab/>
      </w:r>
      <w:r>
        <w:t>Collection and Preparation of Plant Material</w:t>
      </w:r>
      <w:bookmarkEnd w:id="35"/>
    </w:p>
    <w:p>
      <w:pPr>
        <w:pStyle w:val="style94"/>
        <w:spacing w:lineRule="auto" w:line="480"/>
        <w:jc w:val="both"/>
        <w:rPr/>
      </w:pPr>
      <w:r>
        <w:t xml:space="preserve">Fresh leaves of </w:t>
      </w:r>
      <w:r>
        <w:rPr>
          <w:rStyle w:val="style88"/>
          <w:rFonts w:eastAsia="宋体"/>
        </w:rPr>
        <w:t xml:space="preserve">Eucalyptus </w:t>
      </w:r>
      <w:r>
        <w:rPr>
          <w:rStyle w:val="style88"/>
          <w:rFonts w:eastAsia="宋体"/>
        </w:rPr>
        <w:t>globulus</w:t>
      </w:r>
      <w:r>
        <w:t xml:space="preserve"> </w:t>
      </w:r>
      <w:r>
        <w:t>were collected</w:t>
      </w:r>
      <w:r>
        <w:t xml:space="preserve"> from a natural stand in Ilorin, Kwara State, Nigeria. </w:t>
      </w:r>
      <w:r>
        <w:t>The plant was authenticated by a plant taxonomist at the Department of Plant Biology, University of Ilorin</w:t>
      </w:r>
      <w:r>
        <w:t xml:space="preserve">. The leaves were thoroughly washed with clean water to remove dirt, </w:t>
      </w:r>
      <w:r>
        <w:t>then</w:t>
      </w:r>
      <w:r>
        <w:t xml:space="preserve"> air-dried at room temperature in a shaded area for 7–10 days. The dried leaves were ground into fine powder using a sterile mortar</w:t>
      </w:r>
      <w:r>
        <w:t xml:space="preserve"> and pestle. </w:t>
      </w:r>
    </w:p>
    <w:bookmarkStart w:id="36" w:name="_Toc203146311"/>
    <w:p>
      <w:pPr>
        <w:pStyle w:val="style2"/>
        <w:rPr/>
      </w:pPr>
      <w:r>
        <w:t>3.3</w:t>
      </w:r>
      <w:r>
        <w:tab/>
      </w:r>
      <w:r>
        <w:t>Preparation of Plant Extracts</w:t>
      </w:r>
      <w:bookmarkEnd w:id="36"/>
    </w:p>
    <w:bookmarkStart w:id="37" w:name="_Toc203146312"/>
    <w:p>
      <w:pPr>
        <w:pStyle w:val="style3"/>
        <w:rPr>
          <w:rFonts w:eastAsia="Calibri"/>
        </w:rPr>
      </w:pPr>
      <w:r>
        <w:rPr>
          <w:rFonts w:eastAsia="Calibri"/>
        </w:rPr>
        <w:t>3.3.1</w:t>
      </w:r>
      <w:r>
        <w:rPr>
          <w:rFonts w:eastAsia="Calibri"/>
        </w:rPr>
        <w:tab/>
      </w:r>
      <w:r>
        <w:rPr>
          <w:rFonts w:eastAsia="Calibri"/>
        </w:rPr>
        <w:t>Ethanol Extraction</w:t>
      </w:r>
      <w:bookmarkEnd w:id="37"/>
    </w:p>
    <w:p>
      <w:pPr>
        <w:pStyle w:val="style94"/>
        <w:spacing w:before="0" w:beforeAutospacing="false" w:after="0" w:afterAutospacing="false" w:lineRule="auto" w:line="480"/>
        <w:jc w:val="both"/>
        <w:rPr/>
      </w:pPr>
      <w:r>
        <w:t xml:space="preserve">A total of 30 g portion of the powdered leaves was soaked in 150 ml of absolute ethanol in a sterile conical flask. The mixture </w:t>
      </w:r>
      <w:r>
        <w:t>was placed</w:t>
      </w:r>
      <w:r>
        <w:t xml:space="preserve"> in a shaking incubator at 42 °C and 80 rpm for 7 days. After extraction, the solution was filtered using </w:t>
      </w:r>
      <w:r>
        <w:t>Whatman</w:t>
      </w:r>
      <w:r>
        <w:t xml:space="preserve"> No.1 filter paper. The filtrate </w:t>
      </w:r>
      <w:r>
        <w:t>was concentrated by evaporation in a water bath at 40 °C to remove residual ethanol and then stored in sterile bottles at 4 °C for further analysis</w:t>
      </w:r>
      <w:r>
        <w:t xml:space="preserve">. </w:t>
      </w:r>
    </w:p>
    <w:p>
      <w:pPr>
        <w:pStyle w:val="style3"/>
        <w:spacing w:before="0"/>
        <w:rPr>
          <w:bCs w:val="false"/>
          <w:szCs w:val="24"/>
        </w:rPr>
      </w:pPr>
    </w:p>
    <w:bookmarkStart w:id="38" w:name="_Toc203146313"/>
    <w:p>
      <w:pPr>
        <w:pStyle w:val="style2"/>
        <w:rPr>
          <w:bCs/>
        </w:rPr>
      </w:pPr>
      <w:r>
        <w:t>3.4</w:t>
      </w:r>
      <w:r>
        <w:tab/>
      </w:r>
      <w:r>
        <w:t>Phytochemical Screening</w:t>
      </w:r>
      <w:bookmarkEnd w:id="38"/>
    </w:p>
    <w:p>
      <w:pPr>
        <w:pStyle w:val="style94"/>
        <w:spacing w:before="0" w:beforeAutospacing="false" w:lineRule="auto" w:line="480"/>
        <w:jc w:val="both"/>
        <w:rPr/>
      </w:pPr>
      <w:r>
        <w:t>Preliminary phytochemical screening was conducted</w:t>
      </w:r>
      <w:r>
        <w:t>,</w:t>
      </w:r>
      <w:r>
        <w:t xml:space="preserve"> ethanol extracts of </w:t>
      </w:r>
      <w:r>
        <w:rPr>
          <w:rStyle w:val="style88"/>
          <w:rFonts w:eastAsia="宋体"/>
        </w:rPr>
        <w:t xml:space="preserve">Eucalyptus </w:t>
      </w:r>
      <w:r>
        <w:rPr>
          <w:rStyle w:val="style88"/>
          <w:rFonts w:eastAsia="宋体"/>
        </w:rPr>
        <w:t>globulus</w:t>
      </w:r>
      <w:r>
        <w:t xml:space="preserve"> leaves to detect the presence of key secondary metabolites, including alkaloids, flavonoids, tannins, </w:t>
      </w:r>
      <w:r>
        <w:t>saponins</w:t>
      </w:r>
      <w:r>
        <w:t xml:space="preserve">, and phenolic compounds. These tests </w:t>
      </w:r>
      <w:r>
        <w:t>were performed</w:t>
      </w:r>
      <w:r>
        <w:t xml:space="preserve"> using standard qualitative methods described by </w:t>
      </w:r>
      <w:r>
        <w:t>Yakubu</w:t>
      </w:r>
      <w:r>
        <w:t xml:space="preserve"> </w:t>
      </w:r>
      <w:r>
        <w:rPr>
          <w:i/>
        </w:rPr>
        <w:t>et al</w:t>
      </w:r>
      <w:r>
        <w:t xml:space="preserve">. (2020). Each test </w:t>
      </w:r>
      <w:r>
        <w:t>is detailed</w:t>
      </w:r>
      <w:r>
        <w:t xml:space="preserve"> below.</w:t>
      </w:r>
    </w:p>
    <w:bookmarkStart w:id="39" w:name="_Toc203146314"/>
    <w:p>
      <w:pPr>
        <w:pStyle w:val="style3"/>
        <w:rPr/>
      </w:pPr>
      <w:r>
        <w:t>3.</w:t>
      </w:r>
      <w:r>
        <w:t>4</w:t>
      </w:r>
      <w:r>
        <w:t>.</w:t>
      </w:r>
      <w:r>
        <w:t>1</w:t>
      </w:r>
      <w:r>
        <w:tab/>
      </w:r>
      <w:r>
        <w:t>Test for Alkaloids</w:t>
      </w:r>
      <w:bookmarkEnd w:id="39"/>
    </w:p>
    <w:p>
      <w:pPr>
        <w:pStyle w:val="style94"/>
        <w:spacing w:before="0" w:beforeAutospacing="false" w:lineRule="auto" w:line="480"/>
        <w:jc w:val="both"/>
        <w:rPr/>
      </w:pPr>
      <w:r>
        <w:t>Two drops of Mayer’s reagent were added</w:t>
      </w:r>
      <w:r>
        <w:t xml:space="preserve"> to</w:t>
      </w:r>
      <w:r>
        <w:t xml:space="preserve"> 2 ml of each </w:t>
      </w:r>
      <w:r>
        <w:t>extract .</w:t>
      </w:r>
      <w:r>
        <w:t xml:space="preserve"> The formation of a cream-colored precipitate indicated the presence of alkaloids in the extract.</w:t>
      </w:r>
    </w:p>
    <w:bookmarkStart w:id="40" w:name="_Toc203146315"/>
    <w:p>
      <w:pPr>
        <w:pStyle w:val="style3"/>
        <w:rPr/>
      </w:pPr>
      <w:r>
        <w:t>3.4.2</w:t>
      </w:r>
      <w:r>
        <w:tab/>
      </w:r>
      <w:r>
        <w:t>Test for Flavonoids</w:t>
      </w:r>
      <w:bookmarkEnd w:id="40"/>
    </w:p>
    <w:p>
      <w:pPr>
        <w:pStyle w:val="style94"/>
        <w:spacing w:before="0" w:beforeAutospacing="false" w:lineRule="auto" w:line="480"/>
        <w:jc w:val="both"/>
        <w:rPr/>
      </w:pPr>
      <w:r>
        <w:t xml:space="preserve">One </w:t>
      </w:r>
      <w:r>
        <w:t>millilitre</w:t>
      </w:r>
      <w:r>
        <w:t xml:space="preserve"> of the extract </w:t>
      </w:r>
      <w:r>
        <w:t>was mixed</w:t>
      </w:r>
      <w:r>
        <w:t xml:space="preserve"> with a few drops of dilute sodium hydroxide solution. An intense yellow color </w:t>
      </w:r>
      <w:r>
        <w:t>appeared,</w:t>
      </w:r>
      <w:r>
        <w:t xml:space="preserve"> which became colorless upon the addition of dilute hydrochloric acid. This color change confirmed the presence of flavonoids.</w:t>
      </w:r>
    </w:p>
    <w:bookmarkStart w:id="41" w:name="_Toc203146316"/>
    <w:p>
      <w:pPr>
        <w:pStyle w:val="style3"/>
        <w:rPr/>
      </w:pPr>
      <w:r>
        <w:t>3.4.3</w:t>
      </w:r>
      <w:r>
        <w:tab/>
      </w:r>
      <w:r>
        <w:t>Test for Tannins</w:t>
      </w:r>
      <w:bookmarkEnd w:id="41"/>
    </w:p>
    <w:p>
      <w:pPr>
        <w:pStyle w:val="style94"/>
        <w:spacing w:before="0" w:beforeAutospacing="false" w:lineRule="auto" w:line="480"/>
        <w:jc w:val="both"/>
        <w:rPr/>
      </w:pPr>
      <w:r>
        <w:t xml:space="preserve">A few drops of 0.1% ferric chloride solution </w:t>
      </w:r>
      <w:r>
        <w:t>were added</w:t>
      </w:r>
      <w:r>
        <w:t xml:space="preserve"> to 2ml of the extracts. The formation of a blue-black or greenish-black coloration indicated the presence of tannins.</w:t>
      </w:r>
    </w:p>
    <w:bookmarkStart w:id="42" w:name="_Toc203146317"/>
    <w:p>
      <w:pPr>
        <w:pStyle w:val="style3"/>
        <w:rPr/>
      </w:pPr>
      <w:r>
        <w:t>3.4.4</w:t>
      </w:r>
      <w:r>
        <w:tab/>
      </w:r>
      <w:r>
        <w:t xml:space="preserve">Test for </w:t>
      </w:r>
      <w:r>
        <w:t>Saponins</w:t>
      </w:r>
      <w:bookmarkEnd w:id="42"/>
    </w:p>
    <w:p>
      <w:pPr>
        <w:pStyle w:val="style94"/>
        <w:spacing w:before="0" w:beforeAutospacing="false" w:lineRule="auto" w:line="480"/>
        <w:jc w:val="both"/>
        <w:rPr/>
      </w:pPr>
      <w:r>
        <w:t xml:space="preserve">About 5 ml of the extract </w:t>
      </w:r>
      <w:r>
        <w:t>was mixed</w:t>
      </w:r>
      <w:r>
        <w:t xml:space="preserve"> with 5 ml of distilled water in a test tube. The mixture </w:t>
      </w:r>
      <w:r>
        <w:t>was vigorously shaken for 30 seconds and allowed to stand for 10 minutes</w:t>
      </w:r>
      <w:r>
        <w:t xml:space="preserve">. The presence of persistent frothing (foam layer) indicated the presence of </w:t>
      </w:r>
      <w:r>
        <w:t>saponins</w:t>
      </w:r>
      <w:r>
        <w:t>.</w:t>
      </w:r>
    </w:p>
    <w:bookmarkStart w:id="43" w:name="_Toc203146318"/>
    <w:p>
      <w:pPr>
        <w:pStyle w:val="style3"/>
        <w:rPr/>
      </w:pPr>
      <w:r>
        <w:t>3.4.5</w:t>
      </w:r>
      <w:r>
        <w:tab/>
      </w:r>
      <w:r>
        <w:t>Test for Phenolic Compounds</w:t>
      </w:r>
      <w:bookmarkEnd w:id="43"/>
    </w:p>
    <w:p>
      <w:pPr>
        <w:pStyle w:val="style94"/>
        <w:spacing w:before="0" w:beforeAutospacing="false" w:after="0" w:afterAutospacing="false" w:lineRule="auto" w:line="480"/>
        <w:jc w:val="both"/>
        <w:rPr/>
      </w:pPr>
      <w:r>
        <w:t xml:space="preserve">Two </w:t>
      </w:r>
      <w:r>
        <w:t>millilitres</w:t>
      </w:r>
      <w:r>
        <w:t xml:space="preserve"> of the extract </w:t>
      </w:r>
      <w:r>
        <w:t>were treated</w:t>
      </w:r>
      <w:r>
        <w:t xml:space="preserve"> with a few drops of 5% ferric chloride solution. The appearance of a deep blue or dark green coloration confirmed the presence of phenolic compounds. </w:t>
      </w:r>
    </w:p>
    <w:bookmarkStart w:id="44" w:name="_Toc203146319"/>
    <w:p>
      <w:pPr>
        <w:pStyle w:val="style2"/>
        <w:spacing w:lineRule="auto" w:line="480"/>
        <w:rPr/>
      </w:pPr>
      <w:r>
        <w:t>3.5</w:t>
      </w:r>
      <w:r>
        <w:tab/>
      </w:r>
      <w:r>
        <w:t>Standardization of Bacterial Inoculum</w:t>
      </w:r>
      <w:bookmarkEnd w:id="44"/>
      <w:r>
        <w:t xml:space="preserve"> </w:t>
      </w:r>
    </w:p>
    <w:p>
      <w:pPr>
        <w:pStyle w:val="style94"/>
        <w:spacing w:before="0" w:beforeAutospacing="false" w:after="0" w:afterAutospacing="false" w:lineRule="auto" w:line="480"/>
        <w:jc w:val="both"/>
        <w:rPr/>
      </w:pPr>
      <w:r>
        <w:t>The bacterial isolates were standardized by adjusting their turbidity to match that of 0.5 McFarland standard, equivalent to approximately 1.5 × 10⁸ CFU/ml. This standardization ensured uniformity in bacterial concentration during susceptibility testing.</w:t>
      </w:r>
    </w:p>
    <w:bookmarkStart w:id="45" w:name="_Toc203146320"/>
    <w:p>
      <w:pPr>
        <w:pStyle w:val="style2"/>
        <w:spacing w:lineRule="auto" w:line="480"/>
        <w:rPr/>
      </w:pPr>
      <w:r>
        <w:t>3.6</w:t>
      </w:r>
      <w:r>
        <w:tab/>
      </w:r>
      <w:r>
        <w:t>Antibacterial Susceptibility Testing</w:t>
      </w:r>
      <w:bookmarkEnd w:id="45"/>
    </w:p>
    <w:bookmarkStart w:id="46" w:name="_Toc203146321"/>
    <w:p>
      <w:pPr>
        <w:pStyle w:val="style3"/>
        <w:spacing w:lineRule="auto" w:line="480"/>
        <w:rPr>
          <w:rFonts w:eastAsia="Calibri"/>
        </w:rPr>
      </w:pPr>
      <w:r>
        <w:rPr>
          <w:rFonts w:eastAsia="Calibri"/>
        </w:rPr>
        <w:t xml:space="preserve">3.6.1 </w:t>
      </w:r>
      <w:r>
        <w:rPr>
          <w:rFonts w:eastAsia="Calibri"/>
        </w:rPr>
        <w:tab/>
      </w:r>
      <w:r>
        <w:rPr>
          <w:rFonts w:eastAsia="Calibri"/>
        </w:rPr>
        <w:t>Agar Well Diffusion Method</w:t>
      </w:r>
      <w:bookmarkEnd w:id="46"/>
    </w:p>
    <w:p>
      <w:pPr>
        <w:pStyle w:val="style94"/>
        <w:spacing w:before="0" w:beforeAutospacing="false" w:after="0" w:afterAutospacing="false" w:lineRule="auto" w:line="480"/>
        <w:jc w:val="both"/>
        <w:rPr/>
      </w:pPr>
      <w:r>
        <w:t xml:space="preserve">Mueller-Hinton Agar (MHA) plates were prepared and sterilized. The standardized bacterial inoculum </w:t>
      </w:r>
      <w:r>
        <w:t>was uniformly spread</w:t>
      </w:r>
      <w:r>
        <w:t xml:space="preserve"> over the surface of the agar plates using a sterile swab. Wells of 6 mm diameter </w:t>
      </w:r>
      <w:r>
        <w:t>were made</w:t>
      </w:r>
      <w:r>
        <w:t xml:space="preserve"> using a sterile </w:t>
      </w:r>
      <w:r>
        <w:t>cork</w:t>
      </w:r>
      <w:r>
        <w:t xml:space="preserve"> borer. Different volumes (100 </w:t>
      </w:r>
      <w:r>
        <w:t>μl</w:t>
      </w:r>
      <w:r>
        <w:t xml:space="preserve">, 200 </w:t>
      </w:r>
      <w:r>
        <w:t>μl</w:t>
      </w:r>
      <w:r>
        <w:t xml:space="preserve">, and 300 </w:t>
      </w:r>
      <w:r>
        <w:t>μl</w:t>
      </w:r>
      <w:r>
        <w:t xml:space="preserve">) of each extract (aqueous and ethanol) were introduced into the wells. A well containing ethanol alone served as a negative control. The plates </w:t>
      </w:r>
      <w:r>
        <w:t>were incubated</w:t>
      </w:r>
      <w:r>
        <w:t xml:space="preserve"> at 37 °C for 24 hours. After incubation, the zones of inhibition </w:t>
      </w:r>
      <w:r>
        <w:t>were measured</w:t>
      </w:r>
      <w:r>
        <w:t xml:space="preserve"> in millimeters using a transparent ruler, and the average diameter from three replicates was recorded for each sample.</w:t>
      </w:r>
    </w:p>
    <w:bookmarkStart w:id="47" w:name="_Toc203146322"/>
    <w:p>
      <w:pPr>
        <w:pStyle w:val="style3"/>
        <w:rPr>
          <w:rFonts w:eastAsia="Calibri"/>
        </w:rPr>
      </w:pPr>
      <w:r>
        <w:rPr>
          <w:rFonts w:eastAsia="Calibri"/>
        </w:rPr>
        <w:t>3.6</w:t>
      </w:r>
      <w:r>
        <w:rPr>
          <w:rFonts w:eastAsia="Calibri"/>
        </w:rPr>
        <w:t>.2</w:t>
      </w:r>
      <w:r>
        <w:rPr>
          <w:rFonts w:eastAsia="Calibri"/>
        </w:rPr>
        <w:tab/>
      </w:r>
      <w:r>
        <w:rPr>
          <w:rFonts w:eastAsia="Calibri"/>
        </w:rPr>
        <w:t>Minimum Inhibitory Concentration (MIC) Determination</w:t>
      </w:r>
      <w:bookmarkEnd w:id="47"/>
    </w:p>
    <w:p>
      <w:pPr>
        <w:pStyle w:val="style94"/>
        <w:spacing w:lineRule="auto" w:line="480"/>
        <w:jc w:val="both"/>
        <w:rPr/>
      </w:pPr>
      <w:r>
        <w:t xml:space="preserve">The MIC of the ethanol extract was determined using the agar dilution method. Different concentrations of the extract </w:t>
      </w:r>
      <w:r>
        <w:t>were incorporated</w:t>
      </w:r>
      <w:r>
        <w:t xml:space="preserve"> into molten Mueller-Hinton Agar at ratios of 0.15 and 0.2 (v/v). The agar was poured into sterile Petri dishes and allowed to solidify. The standardized bacterial suspensions of MRSA and </w:t>
      </w:r>
      <w:r>
        <w:rPr>
          <w:rStyle w:val="style88"/>
          <w:rFonts w:eastAsia="宋体"/>
        </w:rPr>
        <w:t>E. coli</w:t>
      </w:r>
      <w:r>
        <w:t xml:space="preserve"> were then spot-inoculated onto the surface of the agar. The plates </w:t>
      </w:r>
      <w:r>
        <w:t xml:space="preserve">were incubated at 37 °C for 24 hours and observed for visible bacterial </w:t>
      </w:r>
      <w:r>
        <w:t>growth</w:t>
      </w:r>
      <w:r>
        <w:t xml:space="preserve">. The lowest concentration of extract at which no growth </w:t>
      </w:r>
      <w:r>
        <w:t>was observed</w:t>
      </w:r>
      <w:r>
        <w:t xml:space="preserve"> was recorded as the MIC.</w:t>
      </w:r>
    </w:p>
    <w:p>
      <w:pPr>
        <w:pStyle w:val="style0"/>
        <w:rPr>
          <w:rFonts w:ascii="Times New Roman" w:cs="Times New Roman" w:eastAsia="Times New Roman" w:hAnsi="Times New Roman"/>
          <w:sz w:val="24"/>
          <w:szCs w:val="24"/>
        </w:rPr>
      </w:pPr>
      <w:r>
        <w:br w:type="page"/>
      </w:r>
    </w:p>
    <w:bookmarkStart w:id="48" w:name="_Toc203146323"/>
    <w:p>
      <w:pPr>
        <w:pStyle w:val="style1"/>
        <w:spacing w:lineRule="auto" w:line="480"/>
        <w:jc w:val="center"/>
        <w:rPr>
          <w:rFonts w:eastAsia="Times New Roman"/>
          <w:szCs w:val="24"/>
        </w:rPr>
      </w:pPr>
      <w:r>
        <w:t>CHAPTER FOUR</w:t>
      </w:r>
      <w:bookmarkEnd w:id="48"/>
    </w:p>
    <w:bookmarkStart w:id="49" w:name="_Toc203146324"/>
    <w:p>
      <w:pPr>
        <w:pStyle w:val="style1"/>
        <w:spacing w:lineRule="auto" w:line="480"/>
        <w:jc w:val="center"/>
        <w:rPr/>
      </w:pPr>
      <w:r>
        <w:t>RESULTS</w:t>
      </w:r>
      <w:bookmarkEnd w:id="49"/>
    </w:p>
    <w:bookmarkStart w:id="50" w:name="_Toc203146325"/>
    <w:p>
      <w:pPr>
        <w:pStyle w:val="style2"/>
        <w:rPr/>
      </w:pPr>
      <w:r>
        <w:t>4.1</w:t>
      </w:r>
      <w:r>
        <w:tab/>
      </w:r>
      <w:r>
        <w:t xml:space="preserve">Phytochemical Screening of Eucalyptus </w:t>
      </w:r>
      <w:r>
        <w:t>globulus</w:t>
      </w:r>
      <w:r>
        <w:t xml:space="preserve"> Leaf Extracts</w:t>
      </w:r>
      <w:bookmarkEnd w:id="50"/>
    </w:p>
    <w:p>
      <w:pPr>
        <w:pStyle w:val="style94"/>
        <w:spacing w:lineRule="auto" w:line="480"/>
        <w:jc w:val="both"/>
        <w:rPr/>
      </w:pPr>
      <w:r>
        <w:t xml:space="preserve">The phytochemical analysis </w:t>
      </w:r>
      <w:r>
        <w:t>of  ethanol</w:t>
      </w:r>
      <w:r>
        <w:t xml:space="preserve"> extracts of </w:t>
      </w:r>
      <w:r>
        <w:rPr>
          <w:rStyle w:val="style88"/>
        </w:rPr>
        <w:t xml:space="preserve">Eucalyptus </w:t>
      </w:r>
      <w:r>
        <w:rPr>
          <w:rStyle w:val="style88"/>
        </w:rPr>
        <w:t>globulus</w:t>
      </w:r>
      <w:r>
        <w:t xml:space="preserve"> revealed the presence of several bioactive compounds known for their antimicrobial properties. The results </w:t>
      </w:r>
      <w:r>
        <w:t>are summarized</w:t>
      </w:r>
      <w:r>
        <w:t xml:space="preserve"> in Table 4.1 below.</w:t>
      </w:r>
    </w:p>
    <w:p>
      <w:pPr>
        <w:pStyle w:val="style94"/>
        <w:rPr/>
      </w:pPr>
      <w:r>
        <w:rPr>
          <w:rStyle w:val="style87"/>
        </w:rPr>
        <w:t xml:space="preserve">Table 4.1: Phytochemical Constituents of Ethanol Extracts of </w:t>
      </w:r>
      <w:r>
        <w:rPr>
          <w:rStyle w:val="style88"/>
        </w:rPr>
        <w:t xml:space="preserve">Eucalyptus </w:t>
      </w:r>
      <w:r>
        <w:rPr>
          <w:rStyle w:val="style88"/>
        </w:rPr>
        <w:t>globulus</w:t>
      </w:r>
    </w:p>
    <w:tbl>
      <w:tblPr>
        <w:tblStyle w:val="style4100"/>
        <w:tblW w:w="5888" w:type="dxa"/>
        <w:shd w:val="clear" w:color="auto" w:fill="ffffff"/>
        <w:tblLook w:val="04A0" w:firstRow="1" w:lastRow="0" w:firstColumn="1" w:lastColumn="0" w:noHBand="0" w:noVBand="1"/>
      </w:tblPr>
      <w:tblGrid>
        <w:gridCol w:w="3218"/>
        <w:gridCol w:w="2669"/>
      </w:tblGrid>
      <w:tr>
        <w:trPr>
          <w:trHeight w:val="304" w:hRule="atLeast"/>
        </w:trPr>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Phytochemical</w:t>
            </w:r>
          </w:p>
        </w:tc>
        <w:tc>
          <w:tcPr>
            <w:tcW w:w="0" w:type="auto"/>
            <w:tcBorders/>
            <w:shd w:val="clear" w:color="auto" w:fill="ffffff"/>
          </w:tcPr>
          <w:p>
            <w:pPr>
              <w:pStyle w:val="style0"/>
              <w:jc w:val="center"/>
              <w:rPr>
                <w:rFonts w:ascii="Times New Roman" w:cs="Times New Roman" w:hAnsi="Times New Roman"/>
                <w:b w:val="false"/>
                <w:color w:val="auto"/>
                <w:sz w:val="24"/>
                <w:szCs w:val="24"/>
              </w:rPr>
            </w:pPr>
            <w:r>
              <w:rPr>
                <w:rFonts w:ascii="Times New Roman" w:cs="Times New Roman" w:hAnsi="Times New Roman"/>
                <w:bCs w:val="false"/>
                <w:color w:val="auto"/>
                <w:sz w:val="24"/>
                <w:szCs w:val="24"/>
              </w:rPr>
              <w:t>Ethanol Extract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Alkaloids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Flavonoids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Tannins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304"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Saponins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r>
        <w:tblPrEx/>
        <w:trPr>
          <w:trHeight w:val="288" w:hRule="atLeast"/>
        </w:trPr>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b w:val="false"/>
                <w:bCs w:val="false"/>
                <w:color w:val="auto"/>
                <w:sz w:val="24"/>
                <w:szCs w:val="24"/>
              </w:rPr>
              <w:t>Phenolic Compounds</w:t>
            </w:r>
          </w:p>
        </w:tc>
        <w:tc>
          <w:tcPr>
            <w:tcW w:w="0" w:type="auto"/>
            <w:tcBorders/>
            <w:shd w:val="clear" w:color="auto" w:fill="ffffff"/>
          </w:tcPr>
          <w:p>
            <w:pPr>
              <w:pStyle w:val="style0"/>
              <w:rPr>
                <w:rFonts w:ascii="Times New Roman" w:cs="Times New Roman" w:hAnsi="Times New Roman"/>
                <w:color w:val="auto"/>
                <w:sz w:val="24"/>
                <w:szCs w:val="24"/>
              </w:rPr>
            </w:pPr>
            <w:r>
              <w:rPr>
                <w:rFonts w:ascii="Times New Roman" w:cs="Times New Roman" w:hAnsi="Times New Roman"/>
                <w:color w:val="auto"/>
                <w:sz w:val="24"/>
                <w:szCs w:val="24"/>
              </w:rPr>
              <w:t>+</w:t>
            </w:r>
          </w:p>
        </w:tc>
      </w:tr>
    </w:tbl>
    <w:p>
      <w:pPr>
        <w:pStyle w:val="style94"/>
        <w:spacing w:before="0" w:beforeAutospacing="false" w:after="0" w:afterAutospacing="false"/>
        <w:rPr>
          <w:i/>
        </w:rPr>
      </w:pPr>
      <w:r>
        <w:rPr>
          <w:rStyle w:val="style87"/>
        </w:rPr>
        <w:t>Key:</w:t>
      </w:r>
      <w:r>
        <w:rPr>
          <w:i/>
        </w:rPr>
        <w:t xml:space="preserve"> (+) = Present</w:t>
      </w:r>
    </w:p>
    <w:p>
      <w:pPr>
        <w:pStyle w:val="style94"/>
        <w:spacing w:before="0" w:beforeAutospacing="false" w:after="0" w:afterAutospacing="false"/>
        <w:rPr>
          <w:i/>
        </w:rPr>
      </w:pPr>
      <w:r>
        <w:rPr>
          <w:i/>
        </w:rPr>
        <w:t xml:space="preserve">        (-) = Absent</w:t>
      </w:r>
    </w:p>
    <w:p>
      <w:pPr>
        <w:pStyle w:val="style94"/>
        <w:spacing w:before="0" w:beforeAutospacing="false" w:after="0" w:afterAutospacing="false" w:lineRule="auto" w:line="480"/>
        <w:jc w:val="both"/>
        <w:rPr>
          <w:b/>
        </w:rPr>
      </w:pPr>
    </w:p>
    <w:bookmarkStart w:id="51" w:name="_Toc203146326"/>
    <w:p>
      <w:pPr>
        <w:pStyle w:val="style2"/>
        <w:rPr/>
      </w:pPr>
      <w:r>
        <w:t>4.2</w:t>
      </w:r>
      <w:r>
        <w:tab/>
      </w:r>
      <w:r>
        <w:t xml:space="preserve">Antibacterial Activity of Eucalyptus </w:t>
      </w:r>
      <w:r>
        <w:t>globulus</w:t>
      </w:r>
      <w:r>
        <w:t xml:space="preserve"> Extracts Using Agar Well Diffusion Method</w:t>
      </w:r>
      <w:bookmarkEnd w:id="51"/>
    </w:p>
    <w:p>
      <w:pPr>
        <w:pStyle w:val="style94"/>
        <w:spacing w:lineRule="auto" w:line="480"/>
        <w:jc w:val="both"/>
        <w:rPr/>
      </w:pPr>
      <w:r>
        <w:t xml:space="preserve">The antibacterial effects of both aqueous and ethanol extracts of </w:t>
      </w:r>
      <w:r>
        <w:rPr>
          <w:rStyle w:val="style88"/>
        </w:rPr>
        <w:t xml:space="preserve">Eucalyptus </w:t>
      </w:r>
      <w:r>
        <w:rPr>
          <w:rStyle w:val="style88"/>
        </w:rPr>
        <w:t>globulus</w:t>
      </w:r>
      <w:r>
        <w:t xml:space="preserve"> leaves </w:t>
      </w:r>
      <w:r>
        <w:t>were evaluated</w:t>
      </w:r>
      <w:r>
        <w:t xml:space="preserve"> against MRSA and </w:t>
      </w:r>
      <w:r>
        <w:rPr>
          <w:rStyle w:val="style88"/>
        </w:rPr>
        <w:t>Escherichia coli</w:t>
      </w:r>
      <w:r>
        <w:t xml:space="preserve"> using the agar well diffusion method. Different volumes of extracts (100 µl, 200 µl, and 300 µl) were tested, and the zones of inhibition </w:t>
      </w:r>
      <w:r>
        <w:t>were measured</w:t>
      </w:r>
      <w:r>
        <w:t xml:space="preserve"> after 24 hours of incubation at 37°C.The ethanol extract showed larger zones of inhibition against both bacterial strains compared to the aqueous extract, indicating higher antibacterial potency.</w:t>
      </w:r>
    </w:p>
    <w:p>
      <w:pPr>
        <w:pStyle w:val="style0"/>
        <w:spacing w:before="100" w:beforeAutospacing="true" w:after="100" w:afterAutospacing="true" w:lineRule="auto" w:line="240"/>
        <w:rPr>
          <w:rFonts w:ascii="Times New Roman" w:cs="Times New Roman" w:hAnsi="Times New Roman"/>
          <w:b/>
          <w:sz w:val="24"/>
          <w:szCs w:val="24"/>
        </w:rPr>
      </w:pPr>
    </w:p>
    <w:p>
      <w:pPr>
        <w:pStyle w:val="style0"/>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4.2: Zones of Inhibition (mm) of Eucalyptus </w:t>
      </w:r>
      <w:r>
        <w:rPr>
          <w:rFonts w:ascii="Times New Roman" w:cs="Times New Roman" w:eastAsia="Times New Roman" w:hAnsi="Times New Roman"/>
          <w:b/>
          <w:sz w:val="24"/>
          <w:szCs w:val="24"/>
        </w:rPr>
        <w:t>globulus</w:t>
      </w:r>
      <w:r>
        <w:rPr>
          <w:rFonts w:ascii="Times New Roman" w:cs="Times New Roman" w:eastAsia="Times New Roman" w:hAnsi="Times New Roman"/>
          <w:b/>
          <w:sz w:val="24"/>
          <w:szCs w:val="24"/>
        </w:rPr>
        <w:t xml:space="preserve"> Extracts </w:t>
      </w:r>
      <w:r>
        <w:rPr>
          <w:rFonts w:ascii="Times New Roman" w:cs="Times New Roman" w:eastAsia="Times New Roman" w:hAnsi="Times New Roman"/>
          <w:b/>
          <w:sz w:val="24"/>
          <w:szCs w:val="24"/>
        </w:rPr>
        <w:t>Against</w:t>
      </w:r>
      <w:r>
        <w:rPr>
          <w:rFonts w:ascii="Times New Roman" w:cs="Times New Roman" w:eastAsia="Times New Roman" w:hAnsi="Times New Roman"/>
          <w:b/>
          <w:sz w:val="24"/>
          <w:szCs w:val="24"/>
        </w:rPr>
        <w:t xml:space="preserve"> MRSA and </w:t>
      </w:r>
      <w:r>
        <w:rPr>
          <w:rFonts w:ascii="Times New Roman" w:cs="Times New Roman" w:eastAsia="Times New Roman" w:hAnsi="Times New Roman"/>
          <w:b/>
          <w:sz w:val="24"/>
          <w:szCs w:val="24"/>
        </w:rPr>
        <w:t>E. coli</w:t>
      </w:r>
      <w:r>
        <w:rPr>
          <w:rFonts w:ascii="Times New Roman" w:cs="Times New Roman" w:eastAsia="Times New Roman" w:hAnsi="Times New Roman"/>
          <w:b/>
          <w:sz w:val="24"/>
          <w:szCs w:val="24"/>
        </w:rPr>
        <w:t xml:space="preserve"> Using Agar Well Diffusion</w:t>
      </w:r>
    </w:p>
    <w:p>
      <w:pPr>
        <w:pStyle w:val="style0"/>
        <w:spacing w:after="0" w:lineRule="auto" w:line="240"/>
        <w:rPr>
          <w:rFonts w:ascii="Times New Roman" w:cs="Times New Roman" w:eastAsia="Times New Roman" w:hAnsi="Times New Roman"/>
          <w:sz w:val="24"/>
          <w:szCs w:val="24"/>
        </w:rPr>
      </w:pPr>
    </w:p>
    <w:tbl>
      <w:tblPr>
        <w:tblStyle w:val="style4100"/>
        <w:tblW w:w="0" w:type="auto"/>
        <w:shd w:val="clear" w:color="auto" w:fill="ffffff"/>
        <w:tblLook w:val="04A0" w:firstRow="1" w:lastRow="0" w:firstColumn="1" w:lastColumn="0" w:noHBand="0" w:noVBand="1"/>
      </w:tblPr>
      <w:tblGrid>
        <w:gridCol w:w="2786"/>
        <w:gridCol w:w="1303"/>
        <w:gridCol w:w="2641"/>
        <w:gridCol w:w="2628"/>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Type</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Volume (µl)</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Zone of Inhibition (mm) MRSA</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 xml:space="preserve">Zone of Inhibition (mm) </w:t>
            </w:r>
            <w:r>
              <w:rPr>
                <w:rFonts w:ascii="Times New Roman" w:cs="Times New Roman" w:eastAsia="Times New Roman" w:hAnsi="Times New Roman"/>
                <w:i/>
                <w:iCs/>
                <w:sz w:val="24"/>
                <w:szCs w:val="24"/>
              </w:rPr>
              <w:t>E. coli</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0.30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0.35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0.45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Extract</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0.55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0.65 ± 0.03</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0.70 ± 0.02</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0.04</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0.80 ± 0.03</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Ethanol Control</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r>
        <w:tblPrEx/>
        <w:trPr/>
        <w:tc>
          <w:tcPr>
            <w:tcW w:w="0" w:type="auto"/>
            <w:tcBorders/>
            <w:shd w:val="clear" w:color="auto" w:fill="ffffff"/>
          </w:tcPr>
          <w:p>
            <w:pPr>
              <w:pStyle w:val="style0"/>
              <w:rPr>
                <w:rFonts w:ascii="Times New Roman" w:cs="Times New Roman" w:eastAsia="Times New Roman" w:hAnsi="Times New Roman"/>
                <w:bCs w:val="false"/>
                <w:sz w:val="24"/>
                <w:szCs w:val="24"/>
              </w:rPr>
            </w:pPr>
            <w:r>
              <w:rPr>
                <w:rFonts w:ascii="Times New Roman" w:cs="Times New Roman" w:eastAsia="Times New Roman" w:hAnsi="Times New Roman"/>
                <w:b w:val="false"/>
                <w:sz w:val="24"/>
                <w:szCs w:val="24"/>
              </w:rPr>
              <w:t>Aqueous Control (Ionized Water)</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0.00 ± 0.04</w:t>
            </w:r>
          </w:p>
        </w:tc>
      </w:tr>
    </w:tbl>
    <w:p>
      <w:pPr>
        <w:pStyle w:val="style0"/>
        <w:spacing w:before="100" w:beforeAutospacing="true" w:after="100" w:afterAutospacing="true" w:lineRule="auto" w:line="240"/>
        <w:rPr>
          <w:rFonts w:ascii="Times New Roman" w:cs="Times New Roman" w:hAnsi="Times New Roman"/>
          <w:b/>
          <w:sz w:val="24"/>
          <w:szCs w:val="24"/>
        </w:rPr>
      </w:pPr>
    </w:p>
    <w:bookmarkStart w:id="52" w:name="_Toc203146327"/>
    <w:p>
      <w:pPr>
        <w:pStyle w:val="style2"/>
        <w:spacing w:lineRule="auto" w:line="480"/>
        <w:rPr/>
      </w:pPr>
      <w:r>
        <w:t>4.3</w:t>
      </w:r>
      <w:r>
        <w:tab/>
      </w:r>
      <w:r>
        <w:t>Minimum Inhibitory Concentration (MIC) Determination of Ethanol Extract</w:t>
      </w:r>
      <w:bookmarkEnd w:id="52"/>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results showed that at the 0.15 concentration, No inhibition of bacterial growth </w:t>
      </w:r>
      <w:r>
        <w:rPr>
          <w:rFonts w:ascii="Times New Roman" w:cs="Times New Roman" w:hAnsi="Times New Roman"/>
          <w:sz w:val="24"/>
          <w:szCs w:val="24"/>
        </w:rPr>
        <w:t>was observed</w:t>
      </w:r>
      <w:r>
        <w:rPr>
          <w:rFonts w:ascii="Times New Roman" w:cs="Times New Roman" w:hAnsi="Times New Roman"/>
          <w:sz w:val="24"/>
          <w:szCs w:val="24"/>
        </w:rPr>
        <w:t xml:space="preserve"> for both organisms. Complete inhibition of growth was achieved at the 0.2 concentration for the </w:t>
      </w:r>
      <w:r>
        <w:rPr>
          <w:rFonts w:ascii="Times New Roman" w:cs="Times New Roman" w:hAnsi="Times New Roman"/>
          <w:i/>
          <w:sz w:val="24"/>
          <w:szCs w:val="24"/>
        </w:rPr>
        <w:t xml:space="preserve">Methicillin-Resistant </w:t>
      </w:r>
      <w:r>
        <w:rPr>
          <w:rFonts w:ascii="Times New Roman" w:cs="Times New Roman" w:hAnsi="Times New Roman"/>
          <w:i/>
          <w:iCs/>
          <w:sz w:val="24"/>
          <w:szCs w:val="24"/>
        </w:rPr>
        <w:t>Staphylococcus aureus</w:t>
      </w:r>
      <w:r>
        <w:rPr>
          <w:rFonts w:ascii="Times New Roman" w:cs="Times New Roman" w:hAnsi="Times New Roman"/>
          <w:i/>
          <w:sz w:val="24"/>
          <w:szCs w:val="24"/>
        </w:rPr>
        <w:t xml:space="preserve"> (MRSA), </w:t>
      </w:r>
      <w:r>
        <w:rPr>
          <w:rFonts w:ascii="Times New Roman" w:cs="Times New Roman" w:hAnsi="Times New Roman"/>
          <w:sz w:val="24"/>
          <w:szCs w:val="24"/>
        </w:rPr>
        <w:t xml:space="preserve">indicating that this represents the minimum inhibitory concentration for MRSA and while no inhibition for </w:t>
      </w:r>
      <w:r>
        <w:rPr>
          <w:rFonts w:ascii="Times New Roman" w:cs="Times New Roman" w:hAnsi="Times New Roman"/>
          <w:i/>
          <w:iCs/>
          <w:sz w:val="24"/>
          <w:szCs w:val="24"/>
        </w:rPr>
        <w:t>E. coli</w:t>
      </w:r>
      <w:r>
        <w:rPr>
          <w:rFonts w:ascii="Times New Roman" w:cs="Times New Roman" w:hAnsi="Times New Roman"/>
          <w:sz w:val="24"/>
          <w:szCs w:val="24"/>
        </w:rPr>
        <w: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4.3: MIC of Ethanol Extract of </w:t>
      </w:r>
      <w:r>
        <w:rPr>
          <w:rFonts w:ascii="Times New Roman" w:cs="Times New Roman" w:eastAsia="Times New Roman" w:hAnsi="Times New Roman"/>
          <w:b/>
          <w:bCs/>
          <w:i/>
          <w:iCs/>
          <w:sz w:val="24"/>
          <w:szCs w:val="24"/>
        </w:rPr>
        <w:t xml:space="preserve">Eucalyptus </w:t>
      </w:r>
      <w:r>
        <w:rPr>
          <w:rFonts w:ascii="Times New Roman" w:cs="Times New Roman" w:eastAsia="Times New Roman" w:hAnsi="Times New Roman"/>
          <w:b/>
          <w:bCs/>
          <w:i/>
          <w:iCs/>
          <w:sz w:val="24"/>
          <w:szCs w:val="24"/>
        </w:rPr>
        <w:t>globulus</w:t>
      </w:r>
      <w:r>
        <w:rPr>
          <w:rFonts w:ascii="Times New Roman" w:cs="Times New Roman" w:eastAsia="Times New Roman" w:hAnsi="Times New Roman"/>
          <w:b/>
          <w:bCs/>
          <w:sz w:val="24"/>
          <w:szCs w:val="24"/>
        </w:rPr>
        <w:t xml:space="preserve"> Against MRSA and </w:t>
      </w:r>
      <w:r>
        <w:rPr>
          <w:rFonts w:ascii="Times New Roman" w:cs="Times New Roman" w:eastAsia="Times New Roman" w:hAnsi="Times New Roman"/>
          <w:b/>
          <w:bCs/>
          <w:i/>
          <w:iCs/>
          <w:sz w:val="24"/>
          <w:szCs w:val="24"/>
        </w:rPr>
        <w:t>E. coli</w:t>
      </w:r>
    </w:p>
    <w:tbl>
      <w:tblPr>
        <w:tblStyle w:val="style4100"/>
        <w:tblW w:w="0" w:type="auto"/>
        <w:shd w:val="clear" w:color="auto" w:fill="ffffff"/>
        <w:tblLook w:val="04A0" w:firstRow="1" w:lastRow="0" w:firstColumn="1" w:lastColumn="0" w:noHBand="0" w:noVBand="1"/>
      </w:tblPr>
      <w:tblGrid>
        <w:gridCol w:w="3086"/>
        <w:gridCol w:w="1807"/>
        <w:gridCol w:w="1685"/>
      </w:tblGrid>
      <w:tr>
        <w:trPr/>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Extract Concentration (v/v)</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MRSA Growth</w:t>
            </w:r>
          </w:p>
        </w:tc>
        <w:tc>
          <w:tcPr>
            <w:tcW w:w="0" w:type="auto"/>
            <w:tcBorders/>
            <w:shd w:val="clear" w:color="auto" w:fill="ffffff"/>
          </w:tcPr>
          <w:p>
            <w:pPr>
              <w:pStyle w:val="style0"/>
              <w:jc w:val="center"/>
              <w:rPr>
                <w:rFonts w:ascii="Times New Roman" w:cs="Times New Roman" w:eastAsia="Times New Roman" w:hAnsi="Times New Roman"/>
                <w:b w:val="false"/>
                <w:bCs w:val="false"/>
                <w:sz w:val="24"/>
                <w:szCs w:val="24"/>
              </w:rPr>
            </w:pP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Growth</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0.15</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p>
            <w:pPr>
              <w:pStyle w:val="style0"/>
              <w:rPr>
                <w:rFonts w:ascii="Times New Roman" w:cs="Times New Roman" w:eastAsia="Times New Roman" w:hAnsi="Times New Roman"/>
                <w:sz w:val="24"/>
                <w:szCs w:val="24"/>
              </w:rPr>
            </w:pP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r>
        <w:tblPrEx/>
        <w:trPr/>
        <w:tc>
          <w:tcPr>
            <w:tcW w:w="0" w:type="auto"/>
            <w:tcBorders/>
            <w:shd w:val="clear" w:color="auto" w:fill="ffffff"/>
          </w:tcPr>
          <w:p>
            <w:pPr>
              <w:pStyle w:val="style0"/>
              <w:rPr>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0.20</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Total Inhibition</w:t>
            </w:r>
          </w:p>
        </w:tc>
        <w:tc>
          <w:tcPr>
            <w:tcW w:w="0" w:type="auto"/>
            <w:tcBorders/>
            <w:shd w:val="clear" w:color="auto" w:fill="ffffff"/>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 Inhibition</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bookmarkStart w:id="53" w:name="_Toc203146328"/>
    <w:p>
      <w:pPr>
        <w:pStyle w:val="style2"/>
        <w:spacing w:lineRule="auto" w:line="480"/>
        <w:rPr/>
      </w:pPr>
      <w:r>
        <w:t>4.5</w:t>
      </w:r>
      <w:r>
        <w:tab/>
      </w:r>
      <w:r>
        <w:t>Discussion</w:t>
      </w:r>
      <w:bookmarkEnd w:id="53"/>
    </w:p>
    <w:p>
      <w:pPr>
        <w:pStyle w:val="style94"/>
        <w:spacing w:before="0" w:beforeAutospacing="false" w:after="0" w:afterAutospacing="false" w:lineRule="auto" w:line="480"/>
        <w:jc w:val="both"/>
        <w:rPr/>
      </w:pPr>
      <w:r>
        <w:t xml:space="preserve">This study was carried out to evaluate the antibacterial efficacy of </w:t>
      </w:r>
      <w:r>
        <w:rPr>
          <w:rStyle w:val="style88"/>
        </w:rPr>
        <w:t xml:space="preserve">Eucalyptus </w:t>
      </w:r>
      <w:r>
        <w:rPr>
          <w:rStyle w:val="style88"/>
        </w:rPr>
        <w:t>globulus</w:t>
      </w:r>
      <w:r>
        <w:t xml:space="preserve"> leaf extracts against two clinically significant bacteria: Methicillin-Resistant </w:t>
      </w:r>
      <w:r>
        <w:rPr>
          <w:rStyle w:val="style88"/>
        </w:rPr>
        <w:t>Staphylococcus aureus</w:t>
      </w:r>
      <w:r>
        <w:t xml:space="preserve"> (MRSA) </w:t>
      </w:r>
      <w:r>
        <w:t>alkaloids</w:t>
      </w:r>
      <w:r>
        <w:t>,and</w:t>
      </w:r>
      <w:r>
        <w:t xml:space="preserve"> </w:t>
      </w:r>
      <w:r>
        <w:rPr>
          <w:rStyle w:val="style88"/>
        </w:rPr>
        <w:t>Escherichia coli</w:t>
      </w:r>
      <w:r>
        <w:t xml:space="preserve">. These organisms were selected due to their public health importance, particularly MRSA, which is resistant to multiple antibiotics, and </w:t>
      </w:r>
      <w:r>
        <w:rPr>
          <w:rStyle w:val="style88"/>
        </w:rPr>
        <w:t>E. coli</w:t>
      </w:r>
      <w:r>
        <w:t>, which is a common cause of gastrointestinal and urinary tract infections. The confirmation of the bacterial isolates using standard biochemical and microbiological techniques ensured the reliability of the experimental results.</w:t>
      </w:r>
    </w:p>
    <w:p>
      <w:pPr>
        <w:pStyle w:val="style94"/>
        <w:spacing w:before="0" w:beforeAutospacing="false" w:after="0" w:afterAutospacing="false" w:lineRule="auto" w:line="480"/>
        <w:ind w:firstLine="720"/>
        <w:jc w:val="both"/>
        <w:rPr/>
      </w:pPr>
      <w:r>
        <w:t>Phytochemical screening of the extracts revealed the presence of several important secondary metabolites, including flavonoids, tannins</w:t>
      </w:r>
      <w:r>
        <w:t>,  and</w:t>
      </w:r>
      <w:r>
        <w:t xml:space="preserve"> phenolic compounds but </w:t>
      </w:r>
      <w:r>
        <w:t>alkanoids</w:t>
      </w:r>
      <w:r>
        <w:t xml:space="preserve"> and </w:t>
      </w:r>
      <w:r>
        <w:t>saponin</w:t>
      </w:r>
      <w:r>
        <w:t xml:space="preserve"> were absent. These compounds </w:t>
      </w:r>
      <w:r>
        <w:t>are known</w:t>
      </w:r>
      <w:r>
        <w:t xml:space="preserve"> for their various biological activities, especially antimicrobial action. Alkaloids, for instance, interfere with microbial DNA replication; flavonoids disrupt microbial cell membranes; tannins can bind to microbial proteins and enzymes; while </w:t>
      </w:r>
      <w:r>
        <w:t>phenolics</w:t>
      </w:r>
      <w:r>
        <w:t xml:space="preserve"> and </w:t>
      </w:r>
      <w:r>
        <w:t>saponins</w:t>
      </w:r>
      <w:r>
        <w:t xml:space="preserve"> possess both bacteriostatic and bactericidal effects (</w:t>
      </w:r>
      <w:r>
        <w:t>Sasidharan</w:t>
      </w:r>
      <w:r>
        <w:t xml:space="preserve"> </w:t>
      </w:r>
      <w:r>
        <w:rPr>
          <w:i/>
        </w:rPr>
        <w:t>et al</w:t>
      </w:r>
      <w:r>
        <w:t xml:space="preserve">., 2011; Singh </w:t>
      </w:r>
      <w:r>
        <w:rPr>
          <w:i/>
        </w:rPr>
        <w:t>et al</w:t>
      </w:r>
      <w:r>
        <w:t xml:space="preserve">., 2021). The presence of these phytochemicals in </w:t>
      </w:r>
      <w:r>
        <w:rPr>
          <w:rStyle w:val="style88"/>
        </w:rPr>
        <w:t xml:space="preserve">Eucalyptus </w:t>
      </w:r>
      <w:r>
        <w:rPr>
          <w:rStyle w:val="style88"/>
        </w:rPr>
        <w:t>globulus</w:t>
      </w:r>
      <w:r>
        <w:t xml:space="preserve"> may explain the observed antibacterial activity.</w:t>
      </w:r>
    </w:p>
    <w:p>
      <w:pPr>
        <w:pStyle w:val="style94"/>
        <w:spacing w:before="0" w:beforeAutospacing="false" w:after="0" w:afterAutospacing="false" w:lineRule="auto" w:line="480"/>
        <w:ind w:firstLine="720"/>
        <w:jc w:val="both"/>
        <w:rPr/>
      </w:pPr>
      <w:r>
        <w:t xml:space="preserve">The antibacterial assay using the agar well diffusion method showed that both the aqueous and ethanol extracts were effective against MRSA and </w:t>
      </w:r>
      <w:r>
        <w:rPr>
          <w:rStyle w:val="style88"/>
        </w:rPr>
        <w:t>E. coli</w:t>
      </w:r>
      <w:r>
        <w:t xml:space="preserve">, but the ethanol extract exhibited greater inhibitory activities. This higher potency of the ethanol extract </w:t>
      </w:r>
      <w:r>
        <w:t>can be attributed</w:t>
      </w:r>
      <w:r>
        <w:t xml:space="preserve"> to the better solubility of bioactive compounds in ethanol compared to water. Ethanol, being an organic solvent, is more effective at extracting non-polar or </w:t>
      </w:r>
      <w:r>
        <w:t>moderately polar</w:t>
      </w:r>
      <w:r>
        <w:t xml:space="preserve"> compounds like flavonoids, essential oils, and certain alkaloids which possess antimicrobial effects (</w:t>
      </w:r>
      <w:r>
        <w:t>Alabi</w:t>
      </w:r>
      <w:r>
        <w:t xml:space="preserve"> </w:t>
      </w:r>
      <w:r>
        <w:rPr>
          <w:i/>
        </w:rPr>
        <w:t>et al</w:t>
      </w:r>
      <w:r>
        <w:t xml:space="preserve">., 2019; </w:t>
      </w:r>
      <w:r>
        <w:t>Ogunyemi</w:t>
      </w:r>
      <w:r>
        <w:t xml:space="preserve"> </w:t>
      </w:r>
      <w:r>
        <w:rPr>
          <w:i/>
        </w:rPr>
        <w:t>et al</w:t>
      </w:r>
      <w:r>
        <w:t xml:space="preserve">., 2022). The increase in inhibition zones with higher extract volumes further </w:t>
      </w:r>
      <w:r>
        <w:t xml:space="preserve">demonstrates a dose-dependent relationship. At 300 µl, the ethanol extract produced a zone of inhibition of 0.80 ± 0.04 mm against MRSA and 0.80 ± 0.03 mm against </w:t>
      </w:r>
      <w:r>
        <w:rPr>
          <w:rStyle w:val="style88"/>
        </w:rPr>
        <w:t>E. coli</w:t>
      </w:r>
      <w:r>
        <w:t xml:space="preserve">, while the aqueous extract produced zones of 0.60 ± 0.05 mm and 0.65 ± 0.04 mm respectively. These findings align with those reported by Mohamed </w:t>
      </w:r>
      <w:r>
        <w:rPr>
          <w:i/>
        </w:rPr>
        <w:t>et al</w:t>
      </w:r>
      <w:r>
        <w:t xml:space="preserve">. (2020), who found that ethanol extracts of </w:t>
      </w:r>
      <w:r>
        <w:rPr>
          <w:rStyle w:val="style88"/>
        </w:rPr>
        <w:t xml:space="preserve">Eucalyptus </w:t>
      </w:r>
      <w:r>
        <w:rPr>
          <w:rStyle w:val="style88"/>
        </w:rPr>
        <w:t>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w:t>
      </w:r>
      <w:r>
        <w:t>0</w:t>
      </w:r>
      <w:r>
        <w:t xml:space="preserve">. 2 v/v </w:t>
      </w:r>
      <w:r>
        <w:t>for  Methicillin</w:t>
      </w:r>
      <w:r>
        <w:t xml:space="preserve">-Resistant </w:t>
      </w:r>
      <w:r>
        <w:rPr>
          <w:rStyle w:val="style88"/>
        </w:rPr>
        <w:t>Staphylococcus aureus</w:t>
      </w:r>
      <w:r>
        <w:t xml:space="preserve"> (MRSA). This suggests that even small quantities of the ethanol extract can exert effective antibacterial action. </w:t>
      </w:r>
      <w:r>
        <w:t xml:space="preserve">Similar MIC values were reported by </w:t>
      </w:r>
      <w:r>
        <w:t>Taiwo</w:t>
      </w:r>
      <w:r>
        <w:t xml:space="preserve"> </w:t>
      </w:r>
      <w:r>
        <w:rPr>
          <w:i/>
        </w:rPr>
        <w:t>et al</w:t>
      </w:r>
      <w:r>
        <w:t xml:space="preserve">. (2021), who tested </w:t>
      </w:r>
      <w:r>
        <w:rPr>
          <w:rStyle w:val="style88"/>
        </w:rPr>
        <w:t xml:space="preserve">Eucalyptus </w:t>
      </w:r>
      <w:r>
        <w:rPr>
          <w:rStyle w:val="style88"/>
        </w:rPr>
        <w:t>globulus</w:t>
      </w:r>
      <w:r>
        <w:t xml:space="preserve"> against multidrug-resistant </w:t>
      </w:r>
      <w:r>
        <w:rPr>
          <w:rStyle w:val="style88"/>
        </w:rPr>
        <w:t>Staphylococcus aureus</w:t>
      </w:r>
      <w:r>
        <w:t xml:space="preserve"> and other Gram-negative pathogens</w:t>
      </w:r>
      <w:r>
        <w:t>.</w:t>
      </w:r>
    </w:p>
    <w:p>
      <w:pPr>
        <w:pStyle w:val="style94"/>
        <w:spacing w:before="0" w:beforeAutospacing="false" w:after="0" w:afterAutospacing="false" w:lineRule="auto" w:line="480"/>
        <w:ind w:firstLine="720"/>
        <w:jc w:val="both"/>
        <w:rPr/>
      </w:pPr>
      <w:r>
        <w:t xml:space="preserve">The difference in activity between MRSA (Gram-positive) and </w:t>
      </w:r>
      <w:r>
        <w:rPr>
          <w:rStyle w:val="style88"/>
        </w:rPr>
        <w:t>E. coli</w:t>
      </w:r>
      <w:r>
        <w:t xml:space="preserve"> (Gram-negative) was minimal in this study, though Gram-negative bacteria </w:t>
      </w:r>
      <w:r>
        <w:t>are generally considered</w:t>
      </w:r>
      <w:r>
        <w:t xml:space="preserve"> more resistant due to their outer membrane, which limits the penetration of antibacterial agents. The similar response from both organisms suggests that the phytochemicals in </w:t>
      </w:r>
      <w:r>
        <w:rPr>
          <w:rStyle w:val="style88"/>
        </w:rPr>
        <w:t xml:space="preserve">Eucalyptus </w:t>
      </w:r>
      <w:r>
        <w:rPr>
          <w:rStyle w:val="style88"/>
        </w:rPr>
        <w:t>globulus</w:t>
      </w:r>
      <w:r>
        <w:t xml:space="preserve"> may act through multiple mechanisms that overcome this structural barrier. This supports earlier findings by </w:t>
      </w:r>
      <w:r>
        <w:t>Akinmoladun</w:t>
      </w:r>
      <w:r>
        <w:t xml:space="preserve"> </w:t>
      </w:r>
      <w:r>
        <w:rPr>
          <w:i/>
        </w:rPr>
        <w:t>et al</w:t>
      </w:r>
      <w:r>
        <w:t xml:space="preserve">. (2020), who noted that </w:t>
      </w:r>
      <w:r>
        <w:rPr>
          <w:rStyle w:val="style88"/>
        </w:rPr>
        <w:t xml:space="preserve">Eucalyptus </w:t>
      </w:r>
      <w:r>
        <w:rPr>
          <w:rStyle w:val="style88"/>
        </w:rPr>
        <w:t>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style88"/>
        </w:rPr>
        <w:t xml:space="preserve">Eucalyptus </w:t>
      </w:r>
      <w:r>
        <w:rPr>
          <w:rStyle w:val="style88"/>
        </w:rPr>
        <w:t>globulus</w:t>
      </w:r>
      <w:r>
        <w:t xml:space="preserve"> offer a promising natural alternative or complementary option, especially in resource-limited settings. The ease of plant collection, low toxicity, and </w:t>
      </w:r>
      <w:r>
        <w:t>broad-spectrum activity make them suitable candidates for further development into antimicrobial formulations.</w:t>
      </w:r>
    </w:p>
    <w:p>
      <w:pPr>
        <w:pStyle w:val="style0"/>
        <w:rPr/>
      </w:pPr>
    </w:p>
    <w:p>
      <w:pPr>
        <w:pStyle w:val="style94"/>
        <w:spacing w:lineRule="auto" w:line="480"/>
        <w:jc w:val="both"/>
        <w:rPr/>
      </w:pPr>
    </w:p>
    <w:p>
      <w:pPr>
        <w:pStyle w:val="style94"/>
        <w:spacing w:lineRule="auto" w:line="480"/>
        <w:jc w:val="both"/>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bookmarkStart w:id="54" w:name="_Toc203146329"/>
    <w:p>
      <w:pPr>
        <w:pStyle w:val="style1"/>
        <w:jc w:val="center"/>
        <w:rPr/>
      </w:pPr>
      <w:r>
        <w:t>CHAPTER FIVE</w:t>
      </w:r>
      <w:bookmarkEnd w:id="54"/>
    </w:p>
    <w:bookmarkStart w:id="55" w:name="_Toc203146330"/>
    <w:p>
      <w:pPr>
        <w:pStyle w:val="style1"/>
        <w:spacing w:lineRule="auto" w:line="480"/>
        <w:jc w:val="center"/>
        <w:rPr/>
      </w:pPr>
      <w:r>
        <w:t>SUMMARY, CONCLUSION AND RECOMMENDATION</w:t>
      </w:r>
      <w:bookmarkEnd w:id="55"/>
    </w:p>
    <w:bookmarkStart w:id="56" w:name="_Toc203146331"/>
    <w:p>
      <w:pPr>
        <w:pStyle w:val="style2"/>
        <w:spacing w:lineRule="auto" w:line="480"/>
        <w:rPr>
          <w:rFonts w:eastAsia="Calibri"/>
        </w:rPr>
      </w:pPr>
      <w:r>
        <w:rPr>
          <w:rFonts w:eastAsia="Calibri"/>
        </w:rPr>
        <w:t>5.1</w:t>
      </w:r>
      <w:r>
        <w:rPr>
          <w:rFonts w:eastAsia="Calibri"/>
        </w:rPr>
        <w:tab/>
      </w:r>
      <w:r>
        <w:rPr>
          <w:rFonts w:eastAsia="Calibri"/>
        </w:rPr>
        <w:t>Summary</w:t>
      </w:r>
      <w:bookmarkEnd w:id="56"/>
    </w:p>
    <w:p>
      <w:pPr>
        <w:pStyle w:val="style94"/>
        <w:spacing w:lineRule="auto" w:line="480"/>
        <w:jc w:val="both"/>
        <w:rPr/>
      </w:pPr>
      <w:r>
        <w:t xml:space="preserve">This study evaluated the antibacterial efficacy of aqueous and ethanol extracts of </w:t>
      </w:r>
      <w:r>
        <w:rPr>
          <w:rStyle w:val="style88"/>
          <w:rFonts w:eastAsia="宋体"/>
        </w:rPr>
        <w:t xml:space="preserve">Eucalyptus </w:t>
      </w:r>
      <w:r>
        <w:rPr>
          <w:rStyle w:val="style88"/>
          <w:rFonts w:eastAsia="宋体"/>
        </w:rPr>
        <w:t>globulus</w:t>
      </w:r>
      <w:r>
        <w:t xml:space="preserve"> leaves against clinically important bacterial isolates of Methicillin-Resistant </w:t>
      </w:r>
      <w:r>
        <w:rPr>
          <w:rStyle w:val="style88"/>
          <w:rFonts w:eastAsia="宋体"/>
        </w:rPr>
        <w:t>Staphylococcus aureus</w:t>
      </w:r>
      <w:r>
        <w:t xml:space="preserve"> (MRSA) and </w:t>
      </w:r>
      <w:r>
        <w:rPr>
          <w:rStyle w:val="style88"/>
          <w:rFonts w:eastAsia="宋体"/>
        </w:rPr>
        <w:t>Escherichia coli</w:t>
      </w:r>
      <w:r>
        <w:t xml:space="preserve">. The bacterial isolates </w:t>
      </w:r>
      <w:r>
        <w:t>were obtained</w:t>
      </w:r>
      <w:r>
        <w:t xml:space="preserve"> from the University of Ilorin Teaching Hospital and confirmed using standard microbiological and biochemical methods. Preliminary phytochemical screening </w:t>
      </w:r>
      <w:r>
        <w:t xml:space="preserve">revealed  </w:t>
      </w:r>
      <w:r>
        <w:t>no</w:t>
      </w:r>
      <w:r>
        <w:t xml:space="preserve"> </w:t>
      </w:r>
      <w:r>
        <w:t>p</w:t>
      </w:r>
      <w:r>
        <w:t xml:space="preserve">resence of alkaloids and </w:t>
      </w:r>
      <w:r>
        <w:t>saponins</w:t>
      </w:r>
      <w:r>
        <w:t xml:space="preserve"> while  flavonoids, tannins</w:t>
      </w:r>
      <w:r>
        <w:t>, and phenolic compounds</w:t>
      </w:r>
      <w:r>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bookmarkStart w:id="57" w:name="_Toc203146332"/>
    <w:p>
      <w:pPr>
        <w:pStyle w:val="style2"/>
        <w:spacing w:lineRule="auto" w:line="480"/>
        <w:rPr/>
      </w:pPr>
      <w:r>
        <w:t>5.2</w:t>
      </w:r>
      <w:r>
        <w:tab/>
      </w:r>
      <w:r>
        <w:t>Conclusion</w:t>
      </w:r>
      <w:bookmarkEnd w:id="57"/>
    </w:p>
    <w:p>
      <w:pPr>
        <w:pStyle w:val="style94"/>
        <w:spacing w:before="0" w:beforeAutospacing="false" w:after="0" w:afterAutospacing="false" w:lineRule="auto" w:line="480"/>
        <w:jc w:val="both"/>
        <w:rPr/>
      </w:pPr>
      <w:r>
        <w:t xml:space="preserve">The findings revealed that </w:t>
      </w:r>
      <w:r>
        <w:rPr>
          <w:rStyle w:val="style88"/>
          <w:rFonts w:eastAsia="宋体"/>
        </w:rPr>
        <w:t xml:space="preserve">Eucalyptus </w:t>
      </w:r>
      <w:r>
        <w:rPr>
          <w:rStyle w:val="style88"/>
          <w:rFonts w:eastAsia="宋体"/>
        </w:rPr>
        <w:t>globulus</w:t>
      </w:r>
      <w:r>
        <w:t xml:space="preserve"> leaf extracts, especially the ethanol extract, possess significant antibacterial activity against MRSA and </w:t>
      </w:r>
      <w:r>
        <w:rPr>
          <w:rStyle w:val="style88"/>
          <w:rFonts w:eastAsia="宋体"/>
        </w:rPr>
        <w:t>E. coli</w:t>
      </w:r>
      <w:r>
        <w:t>. The presence of bioactive phytochemicals</w:t>
      </w:r>
      <w:r>
        <w:t xml:space="preserve"> (flavonoids, tannins, and phenolic compounds)</w:t>
      </w:r>
      <w:r>
        <w:t xml:space="preserve"> in the extracts contributes to this effect. These results support the potential use of </w:t>
      </w:r>
      <w:r>
        <w:rPr>
          <w:rStyle w:val="style88"/>
          <w:rFonts w:eastAsia="宋体"/>
        </w:rPr>
        <w:t xml:space="preserve">Eucalyptus </w:t>
      </w:r>
      <w:r>
        <w:rPr>
          <w:rStyle w:val="style88"/>
          <w:rFonts w:eastAsia="宋体"/>
        </w:rPr>
        <w:t>globulus</w:t>
      </w:r>
      <w:r>
        <w:t xml:space="preserve"> as a natural source of antibacterial agents, particularly in combating resistant bacterial strains.</w:t>
      </w: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p>
      <w:pPr>
        <w:pStyle w:val="style94"/>
        <w:spacing w:before="0" w:beforeAutospacing="false" w:after="0" w:afterAutospacing="false" w:lineRule="auto" w:line="480"/>
        <w:jc w:val="both"/>
        <w:rPr>
          <w:b/>
        </w:rPr>
      </w:pPr>
    </w:p>
    <w:bookmarkStart w:id="58" w:name="_Toc203146333"/>
    <w:p>
      <w:pPr>
        <w:pStyle w:val="style2"/>
        <w:spacing w:lineRule="auto" w:line="480"/>
        <w:rPr/>
      </w:pPr>
      <w:r>
        <w:t>5.3</w:t>
      </w:r>
      <w:r>
        <w:tab/>
      </w:r>
      <w:r>
        <w:t>Recommendations</w:t>
      </w:r>
      <w:bookmarkEnd w:id="58"/>
    </w:p>
    <w:p>
      <w:pPr>
        <w:pStyle w:val="style94"/>
        <w:spacing w:before="0" w:beforeAutospacing="false" w:lineRule="auto" w:line="480"/>
        <w:jc w:val="both"/>
        <w:rPr/>
      </w:pPr>
      <w:r>
        <w:t xml:space="preserve">Based on the findings of this study, the following recommendations </w:t>
      </w:r>
      <w:r>
        <w:t>are made</w:t>
      </w:r>
      <w:r>
        <w:t>:</w:t>
      </w:r>
    </w:p>
    <w:p>
      <w:pPr>
        <w:pStyle w:val="style94"/>
        <w:numPr>
          <w:ilvl w:val="0"/>
          <w:numId w:val="2"/>
        </w:numPr>
        <w:spacing w:lineRule="auto" w:line="480"/>
        <w:jc w:val="both"/>
        <w:rPr/>
      </w:pPr>
      <w:r>
        <w:t>Further research should be conducted to isolate and characterize the specific bioactive compounds responsible for the antibacterial effects observed.</w:t>
      </w:r>
    </w:p>
    <w:p>
      <w:pPr>
        <w:pStyle w:val="style94"/>
        <w:numPr>
          <w:ilvl w:val="0"/>
          <w:numId w:val="2"/>
        </w:numPr>
        <w:spacing w:lineRule="auto" w:line="480"/>
        <w:jc w:val="both"/>
        <w:rPr/>
      </w:pPr>
      <w:r>
        <w:t xml:space="preserve">In vivo studies and toxicity evaluations are necessary to assess the safety and efficacy of </w:t>
      </w:r>
      <w:r>
        <w:rPr>
          <w:rStyle w:val="style88"/>
          <w:rFonts w:eastAsia="宋体"/>
        </w:rPr>
        <w:t xml:space="preserve">Eucalyptus </w:t>
      </w:r>
      <w:r>
        <w:rPr>
          <w:rStyle w:val="style88"/>
          <w:rFonts w:eastAsia="宋体"/>
        </w:rPr>
        <w:t>globulus</w:t>
      </w:r>
      <w:r>
        <w:t xml:space="preserve"> extracts before clinical applications.</w:t>
      </w:r>
    </w:p>
    <w:p>
      <w:pPr>
        <w:pStyle w:val="style94"/>
        <w:numPr>
          <w:ilvl w:val="0"/>
          <w:numId w:val="2"/>
        </w:numPr>
        <w:spacing w:lineRule="auto" w:line="480"/>
        <w:jc w:val="both"/>
        <w:rPr/>
      </w:pPr>
      <w:r>
        <w:t xml:space="preserve">Development of formulations using </w:t>
      </w:r>
      <w:r>
        <w:rPr>
          <w:rStyle w:val="style88"/>
          <w:rFonts w:eastAsia="宋体"/>
        </w:rPr>
        <w:t xml:space="preserve">Eucalyptus </w:t>
      </w:r>
      <w:r>
        <w:rPr>
          <w:rStyle w:val="style88"/>
          <w:rFonts w:eastAsia="宋体"/>
        </w:rPr>
        <w:t>globulus</w:t>
      </w:r>
      <w:r>
        <w:t xml:space="preserve"> extracts for topical or systemic antibacterial therapy could be explored.</w:t>
      </w:r>
    </w:p>
    <w:p>
      <w:pPr>
        <w:pStyle w:val="style94"/>
        <w:numPr>
          <w:ilvl w:val="0"/>
          <w:numId w:val="2"/>
        </w:numPr>
        <w:spacing w:lineRule="auto" w:line="480"/>
        <w:jc w:val="both"/>
        <w:rPr/>
      </w:pPr>
      <w:r>
        <w:t>Continuous monitoring of resistance patterns in clinical isolates is essential to evaluate the long-term effectiveness of plant-based antibacterial agents.</w:t>
      </w:r>
    </w:p>
    <w:p>
      <w:pPr>
        <w:pStyle w:val="style0"/>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0"/>
        <w:spacing w:after="100" w:afterAutospacing="true" w:lineRule="auto" w:line="480"/>
        <w:jc w:val="both"/>
        <w:rPr>
          <w:rFonts w:ascii="Times New Roman" w:cs="Times New Roman" w:hAnsi="Times New Roman"/>
          <w:b/>
          <w:sz w:val="24"/>
          <w:szCs w:val="24"/>
        </w:rPr>
      </w:pPr>
    </w:p>
    <w:bookmarkStart w:id="59" w:name="_Toc203146334"/>
    <w:p>
      <w:pPr>
        <w:pStyle w:val="style1"/>
        <w:rPr/>
      </w:pPr>
      <w:r>
        <w:t>REFERENCES</w:t>
      </w:r>
      <w:bookmarkEnd w:id="59"/>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Abdallah, A. M., Al-Omar, M. S., &amp; El-Sayed, E. (2021).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bioactive compounds: An overview. </w:t>
      </w:r>
      <w:r>
        <w:rPr>
          <w:rFonts w:ascii="Times New Roman" w:cs="Times New Roman" w:eastAsia="Times New Roman" w:hAnsi="Times New Roman"/>
          <w:i/>
          <w:iCs/>
          <w:sz w:val="24"/>
          <w:szCs w:val="24"/>
        </w:rPr>
        <w:t>Antioxidants, 10</w:t>
      </w:r>
      <w:r>
        <w:rPr>
          <w:rFonts w:ascii="Times New Roman" w:cs="Times New Roman" w:eastAsia="Times New Roman" w:hAnsi="Times New Roman"/>
          <w:sz w:val="24"/>
          <w:szCs w:val="24"/>
        </w:rPr>
        <w:t>(11), 1746.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M., Khan, M. S., Khan, M. S., &amp; </w:t>
      </w:r>
      <w:r>
        <w:rPr>
          <w:rFonts w:ascii="Times New Roman" w:cs="Times New Roman" w:eastAsia="Times New Roman" w:hAnsi="Times New Roman"/>
          <w:sz w:val="24"/>
          <w:szCs w:val="24"/>
        </w:rPr>
        <w:t>Alouffi</w:t>
      </w:r>
      <w:r>
        <w:rPr>
          <w:rFonts w:ascii="Times New Roman" w:cs="Times New Roman" w:eastAsia="Times New Roman" w:hAnsi="Times New Roman"/>
          <w:sz w:val="24"/>
          <w:szCs w:val="24"/>
        </w:rPr>
        <w:t xml:space="preserve">, S. (2021). A review on the antibacterial potential of medicinal plants and their secondary metabolites against multidrug-resistant bacteria.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1074. https://doi.org/10.3390/antibiotics10091074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S., Khan, M. S., &amp; Khan, M. S. (2021). Plant-derived antimicrobials: A potential solution to combat antibiotic resistance. </w:t>
      </w:r>
      <w:r>
        <w:rPr>
          <w:rFonts w:ascii="Times New Roman" w:cs="Times New Roman" w:eastAsia="Times New Roman" w:hAnsi="Times New Roman"/>
          <w:i/>
          <w:iCs/>
          <w:sz w:val="24"/>
          <w:szCs w:val="24"/>
        </w:rPr>
        <w:t>Saudi Journal of Biological Sciences</w:t>
      </w:r>
      <w:r>
        <w:rPr>
          <w:rFonts w:ascii="Times New Roman" w:cs="Times New Roman" w:eastAsia="Times New Roman" w:hAnsi="Times New Roman"/>
          <w:sz w:val="24"/>
          <w:szCs w:val="24"/>
        </w:rPr>
        <w:t>, 28(9), 4913–4920. https://doi.org/10.1016/j.sjbs.2021.04.053</w:t>
      </w:r>
    </w:p>
    <w:p>
      <w:pPr>
        <w:pStyle w:val="style94"/>
        <w:ind w:left="567" w:hanging="567"/>
        <w:jc w:val="both"/>
        <w:rPr/>
      </w:pPr>
      <w:r>
        <w:t>Akinmoladun</w:t>
      </w:r>
      <w:r>
        <w:t xml:space="preserve">, F. O., </w:t>
      </w:r>
      <w:r>
        <w:t>Olaleye</w:t>
      </w:r>
      <w:r>
        <w:t xml:space="preserve">, T. M., &amp; </w:t>
      </w:r>
      <w:r>
        <w:t>Obuotor</w:t>
      </w:r>
      <w:r>
        <w:t xml:space="preserve">, E. M. (2020). Antibacterial activity of </w:t>
      </w:r>
      <w:r>
        <w:rPr>
          <w:rStyle w:val="style88"/>
        </w:rPr>
        <w:t xml:space="preserve">Eucalyptus </w:t>
      </w:r>
      <w:r>
        <w:rPr>
          <w:rStyle w:val="style88"/>
        </w:rPr>
        <w:t>globulus</w:t>
      </w:r>
      <w:r>
        <w:t xml:space="preserve"> leaf extracts against clinical pathogens. </w:t>
      </w:r>
      <w:r>
        <w:rPr>
          <w:rStyle w:val="style88"/>
        </w:rPr>
        <w:t>Journal of Medicinal Plants Research</w:t>
      </w:r>
      <w:r>
        <w:t>, 14(4), 156-164.</w:t>
      </w:r>
    </w:p>
    <w:p>
      <w:pPr>
        <w:pStyle w:val="style94"/>
        <w:ind w:left="567" w:hanging="567"/>
        <w:jc w:val="both"/>
        <w:rPr/>
      </w:pPr>
      <w:r>
        <w:t>Alabi</w:t>
      </w:r>
      <w:r>
        <w:t xml:space="preserve">, O. J., </w:t>
      </w:r>
      <w:r>
        <w:t>Ogunlade</w:t>
      </w:r>
      <w:r>
        <w:t xml:space="preserve">, B. O., &amp; Salami, A. A. (2019). Comparative evaluation of antibacterial effects of aqueous and ethanol extracts of </w:t>
      </w:r>
      <w:r>
        <w:rPr>
          <w:rStyle w:val="style88"/>
        </w:rPr>
        <w:t>Eucalyptus</w:t>
      </w:r>
      <w:r>
        <w:t xml:space="preserve"> species. </w:t>
      </w:r>
      <w:r>
        <w:rPr>
          <w:rStyle w:val="style88"/>
        </w:rPr>
        <w:t>African Journal of Biotechnology</w:t>
      </w:r>
      <w:r>
        <w:t>, 18(6), 185-191.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Aljaafari</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AlAli</w:t>
      </w:r>
      <w:r>
        <w:rPr>
          <w:rFonts w:ascii="Times New Roman" w:cs="Times New Roman" w:eastAsia="Times New Roman" w:hAnsi="Times New Roman"/>
          <w:sz w:val="24"/>
          <w:szCs w:val="24"/>
        </w:rPr>
        <w:t xml:space="preserve">, A. A., </w:t>
      </w:r>
      <w:r>
        <w:rPr>
          <w:rFonts w:ascii="Times New Roman" w:cs="Times New Roman" w:eastAsia="Times New Roman" w:hAnsi="Times New Roman"/>
          <w:sz w:val="24"/>
          <w:szCs w:val="24"/>
        </w:rPr>
        <w:t>Badulla</w:t>
      </w:r>
      <w:r>
        <w:rPr>
          <w:rFonts w:ascii="Times New Roman" w:cs="Times New Roman" w:eastAsia="Times New Roman" w:hAnsi="Times New Roman"/>
          <w:sz w:val="24"/>
          <w:szCs w:val="24"/>
        </w:rPr>
        <w:t xml:space="preserve">, W. F. A. R., &amp; </w:t>
      </w:r>
      <w:r>
        <w:rPr>
          <w:rFonts w:ascii="Times New Roman" w:cs="Times New Roman" w:eastAsia="Times New Roman" w:hAnsi="Times New Roman"/>
          <w:sz w:val="24"/>
          <w:szCs w:val="24"/>
        </w:rPr>
        <w:t>Venkatesan</w:t>
      </w:r>
      <w:r>
        <w:rPr>
          <w:rFonts w:ascii="Times New Roman" w:cs="Times New Roman" w:eastAsia="Times New Roman" w:hAnsi="Times New Roman"/>
          <w:sz w:val="24"/>
          <w:szCs w:val="24"/>
        </w:rPr>
        <w:t xml:space="preserve">, T. (2022). Essential oils as a novel alternative to combat bacterial resistance: A review.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(1), 145. https://doi.org/10.3390/molecules27010145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Ameen, M., Arora, S., &amp; </w:t>
      </w:r>
      <w:r>
        <w:rPr>
          <w:rFonts w:ascii="Times New Roman" w:cs="Times New Roman" w:eastAsia="Times New Roman" w:hAnsi="Times New Roman"/>
          <w:sz w:val="24"/>
          <w:szCs w:val="24"/>
        </w:rPr>
        <w:t>Parvez</w:t>
      </w:r>
      <w:r>
        <w:rPr>
          <w:rFonts w:ascii="Times New Roman" w:cs="Times New Roman" w:eastAsia="Times New Roman" w:hAnsi="Times New Roman"/>
          <w:sz w:val="24"/>
          <w:szCs w:val="24"/>
        </w:rPr>
        <w:t xml:space="preserve">, M. (2021).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essential oil: A review. </w:t>
      </w:r>
      <w:r>
        <w:rPr>
          <w:rFonts w:ascii="Times New Roman" w:cs="Times New Roman" w:eastAsia="Times New Roman" w:hAnsi="Times New Roman"/>
          <w:i/>
          <w:iCs/>
          <w:sz w:val="24"/>
          <w:szCs w:val="24"/>
        </w:rPr>
        <w:t>International Journal of Microbiological Research, 12</w:t>
      </w:r>
      <w:r>
        <w:rPr>
          <w:rFonts w:ascii="Times New Roman" w:cs="Times New Roman" w:eastAsia="Times New Roman" w:hAnsi="Times New Roman"/>
          <w:sz w:val="24"/>
          <w:szCs w:val="24"/>
        </w:rPr>
        <w:t>(3), 85-92.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Blair, J. M., Webber, M. A., </w:t>
      </w:r>
      <w:r>
        <w:rPr>
          <w:rFonts w:ascii="Times New Roman" w:cs="Times New Roman" w:eastAsia="Times New Roman" w:hAnsi="Times New Roman"/>
          <w:sz w:val="24"/>
          <w:szCs w:val="24"/>
        </w:rPr>
        <w:t>Baylay</w:t>
      </w:r>
      <w:r>
        <w:rPr>
          <w:rFonts w:ascii="Times New Roman" w:cs="Times New Roman" w:eastAsia="Times New Roman" w:hAnsi="Times New Roman"/>
          <w:sz w:val="24"/>
          <w:szCs w:val="24"/>
        </w:rPr>
        <w:t xml:space="preserve">, A. J., &amp;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(2015). Molecular mechanisms of antibiotic resistance. </w:t>
      </w:r>
      <w:r>
        <w:rPr>
          <w:rFonts w:ascii="Times New Roman" w:cs="Times New Roman" w:eastAsia="Times New Roman" w:hAnsi="Times New Roman"/>
          <w:i/>
          <w:iCs/>
          <w:sz w:val="24"/>
          <w:szCs w:val="24"/>
        </w:rPr>
        <w:t>Nature Reviews Microbiology, 13</w:t>
      </w:r>
      <w:r>
        <w:rPr>
          <w:rFonts w:ascii="Times New Roman" w:cs="Times New Roman" w:eastAsia="Times New Roman" w:hAnsi="Times New Roman"/>
          <w:sz w:val="24"/>
          <w:szCs w:val="24"/>
        </w:rPr>
        <w:t>(1), 42-51.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Borges, A., Abreu, A. C., Dias, C., Saavedra, M. J., &amp; </w:t>
      </w:r>
      <w:r>
        <w:rPr>
          <w:rFonts w:ascii="Times New Roman" w:cs="Times New Roman" w:eastAsia="Times New Roman" w:hAnsi="Times New Roman"/>
          <w:sz w:val="24"/>
          <w:szCs w:val="24"/>
        </w:rPr>
        <w:t>Simões</w:t>
      </w:r>
      <w:r>
        <w:rPr>
          <w:rFonts w:ascii="Times New Roman" w:cs="Times New Roman" w:eastAsia="Times New Roman" w:hAnsi="Times New Roman"/>
          <w:sz w:val="24"/>
          <w:szCs w:val="24"/>
        </w:rPr>
        <w:t xml:space="preserve">, M. (2020). New perspectives on the use of phytochemicals as an emergent strategy to control bacterial infections including biofilms. </w:t>
      </w:r>
      <w:r>
        <w:rPr>
          <w:rFonts w:ascii="Times New Roman" w:cs="Times New Roman" w:eastAsia="Times New Roman" w:hAnsi="Times New Roman"/>
          <w:i/>
          <w:iCs/>
          <w:sz w:val="24"/>
          <w:szCs w:val="24"/>
        </w:rPr>
        <w:t>Molecules</w:t>
      </w:r>
      <w:r>
        <w:rPr>
          <w:rFonts w:ascii="Times New Roman" w:cs="Times New Roman" w:eastAsia="Times New Roman" w:hAnsi="Times New Roman"/>
          <w:sz w:val="24"/>
          <w:szCs w:val="24"/>
        </w:rPr>
        <w:t>, 25(13), 3204. https://doi.org/10.3390/molecules25133204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Bouchiat</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Bornet</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Lemaître</w:t>
      </w:r>
      <w:r>
        <w:rPr>
          <w:rFonts w:ascii="Times New Roman" w:cs="Times New Roman" w:eastAsia="Times New Roman" w:hAnsi="Times New Roman"/>
          <w:sz w:val="24"/>
          <w:szCs w:val="24"/>
        </w:rPr>
        <w:t xml:space="preserve">, N. (2019). Molecular epidemiology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and its management. </w:t>
      </w:r>
      <w:r>
        <w:rPr>
          <w:rFonts w:ascii="Times New Roman" w:cs="Times New Roman" w:eastAsia="Times New Roman" w:hAnsi="Times New Roman"/>
          <w:i/>
          <w:iCs/>
          <w:sz w:val="24"/>
          <w:szCs w:val="24"/>
        </w:rPr>
        <w:t>Clinical Microbiology and Infection, 25</w:t>
      </w:r>
      <w:r>
        <w:rPr>
          <w:rFonts w:ascii="Times New Roman" w:cs="Times New Roman" w:eastAsia="Times New Roman" w:hAnsi="Times New Roman"/>
          <w:sz w:val="24"/>
          <w:szCs w:val="24"/>
        </w:rPr>
        <w:t>(3), 299-307.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sz w:val="24"/>
          <w:szCs w:val="24"/>
        </w:rPr>
        <w:t>Aboud</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Ferhat</w:t>
      </w:r>
      <w:r>
        <w:rPr>
          <w:rFonts w:ascii="Times New Roman" w:cs="Times New Roman" w:eastAsia="Times New Roman" w:hAnsi="Times New Roman"/>
          <w:sz w:val="24"/>
          <w:szCs w:val="24"/>
        </w:rPr>
        <w:t xml:space="preserve">, M. (2020). Eucalyptus essential oil and its antimicrobial properties.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14</w:t>
      </w:r>
      <w:r>
        <w:rPr>
          <w:rFonts w:ascii="Times New Roman" w:cs="Times New Roman" w:eastAsia="Times New Roman" w:hAnsi="Times New Roman"/>
          <w:sz w:val="24"/>
          <w:szCs w:val="24"/>
        </w:rPr>
        <w:t>(28), 69-77.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Boukhatem</w:t>
      </w:r>
      <w:r>
        <w:rPr>
          <w:rFonts w:ascii="Times New Roman" w:cs="Times New Roman" w:eastAsia="Times New Roman" w:hAnsi="Times New Roman"/>
          <w:sz w:val="24"/>
          <w:szCs w:val="24"/>
        </w:rPr>
        <w:t xml:space="preserve">, M.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(2020). Eucalyptus essential oils: Biological activities and therapeutic potential. </w:t>
      </w:r>
      <w:r>
        <w:rPr>
          <w:rFonts w:ascii="Times New Roman" w:cs="Times New Roman" w:eastAsia="Times New Roman" w:hAnsi="Times New Roman"/>
          <w:i/>
          <w:iCs/>
          <w:sz w:val="24"/>
          <w:szCs w:val="24"/>
        </w:rPr>
        <w:t>Natural Product Research</w:t>
      </w:r>
      <w:r>
        <w:rPr>
          <w:rFonts w:ascii="Times New Roman" w:cs="Times New Roman" w:eastAsia="Times New Roman" w:hAnsi="Times New Roman"/>
          <w:sz w:val="24"/>
          <w:szCs w:val="24"/>
        </w:rPr>
        <w:t>, 34(18), 2607–2620. https://doi.org/10.1080/14786419.2018.1550070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Centers for Disease Control and Prevention (CDC). (2022). </w:t>
      </w:r>
      <w:r>
        <w:rPr>
          <w:rFonts w:ascii="Times New Roman" w:cs="Times New Roman" w:eastAsia="Times New Roman" w:hAnsi="Times New Roman"/>
          <w:i/>
          <w:iCs/>
          <w:sz w:val="24"/>
          <w:szCs w:val="24"/>
        </w:rPr>
        <w:t>Antibiotic Resistance Threats in the United States, 2022</w:t>
      </w:r>
      <w:r>
        <w:rPr>
          <w:rFonts w:ascii="Times New Roman" w:cs="Times New Roman" w:eastAsia="Times New Roman" w:hAnsi="Times New Roman"/>
          <w:sz w:val="24"/>
          <w:szCs w:val="24"/>
        </w:rPr>
        <w:t xml:space="preserve">. Retrieved from </w:t>
      </w:r>
      <w:r>
        <w:rPr/>
        <w:fldChar w:fldCharType="begin"/>
      </w:r>
      <w:r>
        <w:instrText xml:space="preserve"> HYPERLINK "https://www.cdc.gov" \t "_new" </w:instrText>
      </w:r>
      <w:r>
        <w:rPr/>
        <w:fldChar w:fldCharType="separate"/>
      </w:r>
      <w:r>
        <w:rPr>
          <w:rFonts w:ascii="Times New Roman" w:cs="Times New Roman" w:eastAsia="Times New Roman" w:hAnsi="Times New Roman"/>
          <w:color w:val="0000ff"/>
          <w:sz w:val="24"/>
          <w:szCs w:val="24"/>
          <w:u w:val="single"/>
        </w:rPr>
        <w:t>https://www.cdc.gov</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Cohen, M. L. (2019). Epidemiology of drug resistance: implications for a post-antimicrobial era. </w:t>
      </w:r>
      <w:r>
        <w:rPr>
          <w:rFonts w:ascii="Times New Roman" w:cs="Times New Roman" w:eastAsia="Times New Roman" w:hAnsi="Times New Roman"/>
          <w:i/>
          <w:iCs/>
          <w:sz w:val="24"/>
          <w:szCs w:val="24"/>
        </w:rPr>
        <w:t>Science, 257</w:t>
      </w:r>
      <w:r>
        <w:rPr>
          <w:rFonts w:ascii="Times New Roman" w:cs="Times New Roman" w:eastAsia="Times New Roman" w:hAnsi="Times New Roman"/>
          <w:sz w:val="24"/>
          <w:szCs w:val="24"/>
        </w:rPr>
        <w:t>(5073), 1050-1055.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 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Byler, K. G.,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as antibacterial agents: A review.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(6), 292. https://doi.org/10.3390/antibiotics9060292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 </w:t>
      </w:r>
      <w:r>
        <w:rPr>
          <w:rFonts w:ascii="Times New Roman" w:cs="Times New Roman" w:eastAsia="Times New Roman" w:hAnsi="Times New Roman"/>
          <w:sz w:val="24"/>
          <w:szCs w:val="24"/>
        </w:rPr>
        <w:t>Morais</w:t>
      </w:r>
      <w:r>
        <w:rPr>
          <w:rFonts w:ascii="Times New Roman" w:cs="Times New Roman" w:eastAsia="Times New Roman" w:hAnsi="Times New Roman"/>
          <w:sz w:val="24"/>
          <w:szCs w:val="24"/>
        </w:rPr>
        <w:t xml:space="preserve">, J. D., Silva, J. P., &amp; Fonseca, S. G. (2020). Eucalyptus essential oil: Industrial production and antimicrobial properties. </w:t>
      </w:r>
      <w:r>
        <w:rPr>
          <w:rFonts w:ascii="Times New Roman" w:cs="Times New Roman" w:eastAsia="Times New Roman" w:hAnsi="Times New Roman"/>
          <w:i/>
          <w:iCs/>
          <w:sz w:val="24"/>
          <w:szCs w:val="24"/>
        </w:rPr>
        <w:t>Journal of Essential Oil Research, 32</w:t>
      </w:r>
      <w:r>
        <w:rPr>
          <w:rFonts w:ascii="Times New Roman" w:cs="Times New Roman" w:eastAsia="Times New Roman" w:hAnsi="Times New Roman"/>
          <w:sz w:val="24"/>
          <w:szCs w:val="24"/>
        </w:rPr>
        <w:t>(5), 417-426.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Deo</w:t>
      </w:r>
      <w:r>
        <w:rPr>
          <w:rFonts w:ascii="Times New Roman" w:cs="Times New Roman" w:eastAsia="Times New Roman" w:hAnsi="Times New Roman"/>
          <w:sz w:val="24"/>
          <w:szCs w:val="24"/>
        </w:rPr>
        <w:t xml:space="preserve">, S. S., Bhat, R. V., &amp; </w:t>
      </w:r>
      <w:r>
        <w:rPr>
          <w:rFonts w:ascii="Times New Roman" w:cs="Times New Roman" w:eastAsia="Times New Roman" w:hAnsi="Times New Roman"/>
          <w:sz w:val="24"/>
          <w:szCs w:val="24"/>
        </w:rPr>
        <w:t>Jayaraj</w:t>
      </w:r>
      <w:r>
        <w:rPr>
          <w:rFonts w:ascii="Times New Roman" w:cs="Times New Roman" w:eastAsia="Times New Roman" w:hAnsi="Times New Roman"/>
          <w:sz w:val="24"/>
          <w:szCs w:val="24"/>
        </w:rPr>
        <w:t xml:space="preserve">, R. (2018). Antibacterial properties of fluoroquinolones. </w:t>
      </w:r>
      <w:r>
        <w:rPr>
          <w:rFonts w:ascii="Times New Roman" w:cs="Times New Roman" w:eastAsia="Times New Roman" w:hAnsi="Times New Roman"/>
          <w:i/>
          <w:iCs/>
          <w:sz w:val="24"/>
          <w:szCs w:val="24"/>
        </w:rPr>
        <w:t>Journal of Microbiology and Infectious Diseases, 12</w:t>
      </w:r>
      <w:r>
        <w:rPr>
          <w:rFonts w:ascii="Times New Roman" w:cs="Times New Roman" w:eastAsia="Times New Roman" w:hAnsi="Times New Roman"/>
          <w:sz w:val="24"/>
          <w:szCs w:val="24"/>
        </w:rPr>
        <w:t>(2), 87-92.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J., &amp; Albuquerque, R. D. D. G. (2020). Antimicrobial and antioxidant activities of plants extracts. </w:t>
      </w:r>
      <w:r>
        <w:rPr>
          <w:rFonts w:ascii="Times New Roman" w:cs="Times New Roman" w:eastAsia="Times New Roman" w:hAnsi="Times New Roman"/>
          <w:i/>
          <w:iCs/>
          <w:sz w:val="24"/>
          <w:szCs w:val="24"/>
        </w:rPr>
        <w:t>Pharmaceuticals</w:t>
      </w:r>
      <w:r>
        <w:rPr>
          <w:rFonts w:ascii="Times New Roman" w:cs="Times New Roman" w:eastAsia="Times New Roman" w:hAnsi="Times New Roman"/>
          <w:sz w:val="24"/>
          <w:szCs w:val="24"/>
        </w:rPr>
        <w:t>, 13(5), 88. https://doi.org/10.3390/ph13050088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Echeverría</w:t>
      </w:r>
      <w:r>
        <w:rPr>
          <w:rFonts w:ascii="Times New Roman" w:cs="Times New Roman" w:eastAsia="Times New Roman" w:hAnsi="Times New Roman"/>
          <w:sz w:val="24"/>
          <w:szCs w:val="24"/>
        </w:rPr>
        <w:t xml:space="preserve">, M. L., &amp; Albuquerque, T. M. (2020). Antibiotics: Mechanisms of action and antibacterial resistance. </w:t>
      </w:r>
      <w:r>
        <w:rPr>
          <w:rFonts w:ascii="Times New Roman" w:cs="Times New Roman" w:eastAsia="Times New Roman" w:hAnsi="Times New Roman"/>
          <w:i/>
          <w:iCs/>
          <w:sz w:val="24"/>
          <w:szCs w:val="24"/>
        </w:rPr>
        <w:t>Antimicrobial Agents and Chemotherapy, 64</w:t>
      </w:r>
      <w:r>
        <w:rPr>
          <w:rFonts w:ascii="Times New Roman" w:cs="Times New Roman" w:eastAsia="Times New Roman" w:hAnsi="Times New Roman"/>
          <w:sz w:val="24"/>
          <w:szCs w:val="24"/>
        </w:rPr>
        <w:t>(8), e02123-19.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E., Moussa, I. M., &amp; El-</w:t>
      </w:r>
      <w:r>
        <w:rPr>
          <w:rFonts w:ascii="Times New Roman" w:cs="Times New Roman" w:eastAsia="Times New Roman" w:hAnsi="Times New Roman"/>
          <w:sz w:val="24"/>
          <w:szCs w:val="24"/>
        </w:rPr>
        <w:t>Gedawy</w:t>
      </w:r>
      <w:r>
        <w:rPr>
          <w:rFonts w:ascii="Times New Roman" w:cs="Times New Roman" w:eastAsia="Times New Roman" w:hAnsi="Times New Roman"/>
          <w:sz w:val="24"/>
          <w:szCs w:val="24"/>
        </w:rPr>
        <w:t xml:space="preserve">, A. (2022). Resistance patterns and genetic characterization of multidrug-resistant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isolated from clinical and food samples.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11(1), 66. https://doi.org/10.3390/antibiotics11010066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Elbehiry</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xml:space="preserve">, E., Moussa, I. M., </w:t>
      </w:r>
      <w:r>
        <w:rPr>
          <w:rFonts w:ascii="Times New Roman" w:cs="Times New Roman" w:eastAsia="Times New Roman" w:hAnsi="Times New Roman"/>
          <w:sz w:val="24"/>
          <w:szCs w:val="24"/>
        </w:rPr>
        <w:t>Alreshidi</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Lafi</w:t>
      </w:r>
      <w:r>
        <w:rPr>
          <w:rFonts w:ascii="Times New Roman" w:cs="Times New Roman" w:eastAsia="Times New Roman" w:hAnsi="Times New Roman"/>
          <w:sz w:val="24"/>
          <w:szCs w:val="24"/>
        </w:rPr>
        <w:t xml:space="preserve">, S. (2022). Antimicrobial efficacy of essential oils against multidrug-resistant bacterial strains isolated from food and clinical sources. </w:t>
      </w:r>
      <w:r>
        <w:rPr>
          <w:rFonts w:ascii="Times New Roman" w:cs="Times New Roman" w:eastAsia="Times New Roman" w:hAnsi="Times New Roman"/>
          <w:i/>
          <w:iCs/>
          <w:sz w:val="24"/>
          <w:szCs w:val="24"/>
        </w:rPr>
        <w:t>Antibiotics, 11</w:t>
      </w:r>
      <w:r>
        <w:rPr>
          <w:rFonts w:ascii="Times New Roman" w:cs="Times New Roman" w:eastAsia="Times New Roman" w:hAnsi="Times New Roman"/>
          <w:sz w:val="24"/>
          <w:szCs w:val="24"/>
        </w:rPr>
        <w:t>(8), 1069. https://doi.org/10.3390/antibiotics11081069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Fadeyi</w:t>
      </w:r>
      <w:r>
        <w:rPr>
          <w:rFonts w:ascii="Times New Roman" w:cs="Times New Roman" w:eastAsia="Times New Roman" w:hAnsi="Times New Roman"/>
          <w:sz w:val="24"/>
          <w:szCs w:val="24"/>
        </w:rPr>
        <w:t xml:space="preserve">, O. O., </w:t>
      </w:r>
      <w:r>
        <w:rPr>
          <w:rFonts w:ascii="Times New Roman" w:cs="Times New Roman" w:eastAsia="Times New Roman" w:hAnsi="Times New Roman"/>
          <w:sz w:val="24"/>
          <w:szCs w:val="24"/>
        </w:rPr>
        <w:t>Sobowale</w:t>
      </w:r>
      <w:r>
        <w:rPr>
          <w:rFonts w:ascii="Times New Roman" w:cs="Times New Roman" w:eastAsia="Times New Roman" w:hAnsi="Times New Roman"/>
          <w:sz w:val="24"/>
          <w:szCs w:val="24"/>
        </w:rPr>
        <w:t xml:space="preserve">, S. F., &amp; </w:t>
      </w:r>
      <w:r>
        <w:rPr>
          <w:rFonts w:ascii="Times New Roman" w:cs="Times New Roman" w:eastAsia="Times New Roman" w:hAnsi="Times New Roman"/>
          <w:sz w:val="24"/>
          <w:szCs w:val="24"/>
        </w:rPr>
        <w:t>Olaniyi</w:t>
      </w:r>
      <w:r>
        <w:rPr>
          <w:rFonts w:ascii="Times New Roman" w:cs="Times New Roman" w:eastAsia="Times New Roman" w:hAnsi="Times New Roman"/>
          <w:sz w:val="24"/>
          <w:szCs w:val="24"/>
        </w:rPr>
        <w:t xml:space="preserve">, O. E. (2018). Antibacterial properties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 systematic review.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xml:space="preserve"> Reviews, 12</w:t>
      </w:r>
      <w:r>
        <w:rPr>
          <w:rFonts w:ascii="Times New Roman" w:cs="Times New Roman" w:eastAsia="Times New Roman" w:hAnsi="Times New Roman"/>
          <w:sz w:val="24"/>
          <w:szCs w:val="24"/>
        </w:rPr>
        <w:t>(24), 77-82.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Antibacterial resistance: from molecular mechanisms to clinical applications. </w:t>
      </w:r>
      <w:r>
        <w:rPr>
          <w:rFonts w:ascii="Times New Roman" w:cs="Times New Roman" w:eastAsia="Times New Roman" w:hAnsi="Times New Roman"/>
          <w:i/>
          <w:iCs/>
          <w:sz w:val="24"/>
          <w:szCs w:val="24"/>
        </w:rPr>
        <w:t>Antibiotics, 9</w:t>
      </w:r>
      <w:r>
        <w:rPr>
          <w:rFonts w:ascii="Times New Roman" w:cs="Times New Roman" w:eastAsia="Times New Roman" w:hAnsi="Times New Roman"/>
          <w:sz w:val="24"/>
          <w:szCs w:val="24"/>
        </w:rPr>
        <w:t>(8), 510.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Gajdács</w:t>
      </w:r>
      <w:r>
        <w:rPr>
          <w:rFonts w:ascii="Times New Roman" w:cs="Times New Roman" w:eastAsia="Times New Roman" w:hAnsi="Times New Roman"/>
          <w:sz w:val="24"/>
          <w:szCs w:val="24"/>
        </w:rPr>
        <w:t xml:space="preserve">, M. (2020). The continuing threat of antibiotic resistance: The role of natural compounds and plants in overcoming the problem. </w:t>
      </w:r>
      <w:r>
        <w:rPr>
          <w:rFonts w:ascii="Times New Roman" w:cs="Times New Roman" w:eastAsia="Times New Roman" w:hAnsi="Times New Roman"/>
          <w:i/>
          <w:iCs/>
          <w:sz w:val="24"/>
          <w:szCs w:val="24"/>
        </w:rPr>
        <w:t>Antibiotics</w:t>
      </w:r>
      <w:r>
        <w:rPr>
          <w:rFonts w:ascii="Times New Roman" w:cs="Times New Roman" w:eastAsia="Times New Roman" w:hAnsi="Times New Roman"/>
          <w:sz w:val="24"/>
          <w:szCs w:val="24"/>
        </w:rPr>
        <w:t>, 9(8), 473. https://doi.org/10.3390/antibiotics9080473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Saavedra, M. J., &amp; </w:t>
      </w:r>
      <w:r>
        <w:rPr>
          <w:rFonts w:ascii="Times New Roman" w:cs="Times New Roman" w:eastAsia="Times New Roman" w:hAnsi="Times New Roman"/>
          <w:sz w:val="24"/>
          <w:szCs w:val="24"/>
        </w:rPr>
        <w:t>Henriques</w:t>
      </w:r>
      <w:r>
        <w:rPr>
          <w:rFonts w:ascii="Times New Roman" w:cs="Times New Roman" w:eastAsia="Times New Roman" w:hAnsi="Times New Roman"/>
          <w:sz w:val="24"/>
          <w:szCs w:val="24"/>
        </w:rPr>
        <w:t xml:space="preserve">, M. (2021). Bacterial biofilms in endodontic infections: An update on their resistance and treatment strategies. </w:t>
      </w:r>
      <w:r>
        <w:rPr>
          <w:rFonts w:ascii="Times New Roman" w:cs="Times New Roman" w:eastAsia="Times New Roman" w:hAnsi="Times New Roman"/>
          <w:i/>
          <w:iCs/>
          <w:sz w:val="24"/>
          <w:szCs w:val="24"/>
        </w:rPr>
        <w:t>Critical Reviews in Microbiology</w:t>
      </w:r>
      <w:r>
        <w:rPr>
          <w:rFonts w:ascii="Times New Roman" w:cs="Times New Roman" w:eastAsia="Times New Roman" w:hAnsi="Times New Roman"/>
          <w:sz w:val="24"/>
          <w:szCs w:val="24"/>
        </w:rPr>
        <w:t>, 47(4), 401–411. https://doi.org/10.1080/1040841X.2020.1868913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Gomes, F., Teixeira, P., &amp; </w:t>
      </w:r>
      <w:r>
        <w:rPr>
          <w:rFonts w:ascii="Times New Roman" w:cs="Times New Roman" w:eastAsia="Times New Roman" w:hAnsi="Times New Roman"/>
          <w:sz w:val="24"/>
          <w:szCs w:val="24"/>
        </w:rPr>
        <w:t>Ceri</w:t>
      </w:r>
      <w:r>
        <w:rPr>
          <w:rFonts w:ascii="Times New Roman" w:cs="Times New Roman" w:eastAsia="Times New Roman" w:hAnsi="Times New Roman"/>
          <w:sz w:val="24"/>
          <w:szCs w:val="24"/>
        </w:rPr>
        <w:t xml:space="preserve">, H. (2021). Using essential oils to fight multidrug-resistant bacterial biofilms: Current research and future perspectives. </w:t>
      </w:r>
      <w:r>
        <w:rPr>
          <w:rFonts w:ascii="Times New Roman" w:cs="Times New Roman" w:eastAsia="Times New Roman" w:hAnsi="Times New Roman"/>
          <w:i/>
          <w:iCs/>
          <w:sz w:val="24"/>
          <w:szCs w:val="24"/>
        </w:rPr>
        <w:t>Pathogens, 10</w:t>
      </w:r>
      <w:r>
        <w:rPr>
          <w:rFonts w:ascii="Times New Roman" w:cs="Times New Roman" w:eastAsia="Times New Roman" w:hAnsi="Times New Roman"/>
          <w:sz w:val="24"/>
          <w:szCs w:val="24"/>
        </w:rPr>
        <w:t>(2), 248. https://doi.org/10.3390/pathogens10020248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Gorib</w:t>
      </w:r>
      <w:r>
        <w:rPr>
          <w:rFonts w:ascii="Times New Roman" w:cs="Times New Roman" w:eastAsia="Times New Roman" w:hAnsi="Times New Roman"/>
          <w:sz w:val="24"/>
          <w:szCs w:val="24"/>
        </w:rPr>
        <w:t xml:space="preserve">, M. S., </w:t>
      </w:r>
      <w:r>
        <w:rPr>
          <w:rFonts w:ascii="Times New Roman" w:cs="Times New Roman" w:eastAsia="Times New Roman" w:hAnsi="Times New Roman"/>
          <w:sz w:val="24"/>
          <w:szCs w:val="24"/>
        </w:rPr>
        <w:t>Haque</w:t>
      </w:r>
      <w:r>
        <w:rPr>
          <w:rFonts w:ascii="Times New Roman" w:cs="Times New Roman" w:eastAsia="Times New Roman" w:hAnsi="Times New Roman"/>
          <w:sz w:val="24"/>
          <w:szCs w:val="24"/>
        </w:rPr>
        <w:t xml:space="preserve">, M. A., &amp; Ali, S. (2021). The clinical relevance of </w:t>
      </w:r>
      <w:r>
        <w:rPr>
          <w:rFonts w:ascii="Times New Roman" w:cs="Times New Roman" w:eastAsia="Times New Roman" w:hAnsi="Times New Roman"/>
          <w:sz w:val="24"/>
          <w:szCs w:val="24"/>
        </w:rPr>
        <w:t>polymyxin</w:t>
      </w:r>
      <w:r>
        <w:rPr>
          <w:rFonts w:ascii="Times New Roman" w:cs="Times New Roman" w:eastAsia="Times New Roman" w:hAnsi="Times New Roman"/>
          <w:sz w:val="24"/>
          <w:szCs w:val="24"/>
        </w:rPr>
        <w:t xml:space="preserve"> antibiotics in multidrug-resistant bacteria. </w:t>
      </w:r>
      <w:r>
        <w:rPr>
          <w:rFonts w:ascii="Times New Roman" w:cs="Times New Roman" w:eastAsia="Times New Roman" w:hAnsi="Times New Roman"/>
          <w:i/>
          <w:iCs/>
          <w:sz w:val="24"/>
          <w:szCs w:val="24"/>
        </w:rPr>
        <w:t>Journal of Antimicrobial Chemotherapy, 76</w:t>
      </w:r>
      <w:r>
        <w:rPr>
          <w:rFonts w:ascii="Times New Roman" w:cs="Times New Roman" w:eastAsia="Times New Roman" w:hAnsi="Times New Roman"/>
          <w:sz w:val="24"/>
          <w:szCs w:val="24"/>
        </w:rPr>
        <w:t>(1), 44-56.</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Guerra, B., &amp; Alves, D. (2020).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antibiotic resistance and its epidemiological implications. </w:t>
      </w:r>
      <w:r>
        <w:rPr>
          <w:rFonts w:ascii="Times New Roman" w:cs="Times New Roman" w:eastAsia="Times New Roman" w:hAnsi="Times New Roman"/>
          <w:i/>
          <w:iCs/>
          <w:sz w:val="24"/>
          <w:szCs w:val="24"/>
        </w:rPr>
        <w:t>Antimicrobial Resistance and Infection Control, 9</w:t>
      </w:r>
      <w:r>
        <w:rPr>
          <w:rFonts w:ascii="Times New Roman" w:cs="Times New Roman" w:eastAsia="Times New Roman" w:hAnsi="Times New Roman"/>
          <w:sz w:val="24"/>
          <w:szCs w:val="24"/>
        </w:rPr>
        <w:t>(1), 135-144.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Lefroy</w:t>
      </w:r>
      <w:r>
        <w:rPr>
          <w:rFonts w:ascii="Times New Roman" w:cs="Times New Roman" w:eastAsia="Times New Roman" w:hAnsi="Times New Roman"/>
          <w:sz w:val="24"/>
          <w:szCs w:val="24"/>
        </w:rPr>
        <w:t xml:space="preserve">, T. E., </w:t>
      </w:r>
      <w:r>
        <w:rPr>
          <w:rFonts w:ascii="Times New Roman" w:cs="Times New Roman" w:eastAsia="Times New Roman" w:hAnsi="Times New Roman"/>
          <w:sz w:val="24"/>
          <w:szCs w:val="24"/>
        </w:rPr>
        <w:t>Aylward</w:t>
      </w:r>
      <w:r>
        <w:rPr>
          <w:rFonts w:ascii="Times New Roman" w:cs="Times New Roman" w:eastAsia="Times New Roman" w:hAnsi="Times New Roman"/>
          <w:sz w:val="24"/>
          <w:szCs w:val="24"/>
        </w:rPr>
        <w:t xml:space="preserve">, D., &amp; Smith, M. (2019).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Ecology and commercial potential. </w:t>
      </w:r>
      <w:r>
        <w:rPr>
          <w:rFonts w:ascii="Times New Roman" w:cs="Times New Roman" w:eastAsia="Times New Roman" w:hAnsi="Times New Roman"/>
          <w:i/>
          <w:iCs/>
          <w:sz w:val="24"/>
          <w:szCs w:val="24"/>
        </w:rPr>
        <w:t>Journal of Environmental Management, 45</w:t>
      </w:r>
      <w:r>
        <w:rPr>
          <w:rFonts w:ascii="Times New Roman" w:cs="Times New Roman" w:eastAsia="Times New Roman" w:hAnsi="Times New Roman"/>
          <w:sz w:val="24"/>
          <w:szCs w:val="24"/>
        </w:rPr>
        <w:t>(3), 1502-1511.</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Livermore, D. M. (2020). Antibiotic resistance in the era of antimicrobial stewardship. </w:t>
      </w:r>
      <w:r>
        <w:rPr>
          <w:rFonts w:ascii="Times New Roman" w:cs="Times New Roman" w:eastAsia="Times New Roman" w:hAnsi="Times New Roman"/>
          <w:i/>
          <w:iCs/>
          <w:sz w:val="24"/>
          <w:szCs w:val="24"/>
        </w:rPr>
        <w:t>Clinical Microbiology and Infection, 26</w:t>
      </w:r>
      <w:r>
        <w:rPr>
          <w:rFonts w:ascii="Times New Roman" w:cs="Times New Roman" w:eastAsia="Times New Roman" w:hAnsi="Times New Roman"/>
          <w:sz w:val="24"/>
          <w:szCs w:val="24"/>
        </w:rPr>
        <w:t>(6), 722-730.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Mackenzie, K. M., </w:t>
      </w:r>
      <w:r>
        <w:rPr>
          <w:rFonts w:ascii="Times New Roman" w:cs="Times New Roman" w:eastAsia="Times New Roman" w:hAnsi="Times New Roman"/>
          <w:sz w:val="24"/>
          <w:szCs w:val="24"/>
        </w:rPr>
        <w:t>Popham</w:t>
      </w:r>
      <w:r>
        <w:rPr>
          <w:rFonts w:ascii="Times New Roman" w:cs="Times New Roman" w:eastAsia="Times New Roman" w:hAnsi="Times New Roman"/>
          <w:sz w:val="24"/>
          <w:szCs w:val="24"/>
        </w:rPr>
        <w:t xml:space="preserve">, P. L., &amp; Westwood, T. J. (2019). Medicinal potential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and its components. </w:t>
      </w:r>
      <w:r>
        <w:rPr>
          <w:rFonts w:ascii="Times New Roman" w:cs="Times New Roman" w:eastAsia="Times New Roman" w:hAnsi="Times New Roman"/>
          <w:i/>
          <w:iCs/>
          <w:sz w:val="24"/>
          <w:szCs w:val="24"/>
        </w:rPr>
        <w:t>Journal of Medicinal Plants, 31</w:t>
      </w:r>
      <w:r>
        <w:rPr>
          <w:rFonts w:ascii="Times New Roman" w:cs="Times New Roman" w:eastAsia="Times New Roman" w:hAnsi="Times New Roman"/>
          <w:sz w:val="24"/>
          <w:szCs w:val="24"/>
        </w:rPr>
        <w:t>(7), 890-902.</w:t>
      </w:r>
    </w:p>
    <w:p>
      <w:pPr>
        <w:pStyle w:val="style94"/>
        <w:ind w:left="567" w:hanging="567"/>
        <w:jc w:val="both"/>
        <w:rPr/>
      </w:pPr>
      <w:r>
        <w:t xml:space="preserve">Mohamed, A. S., El-Sayed, H. A., &amp; Hassan, M. F. (2020). Antibacterial and antioxidant activities of </w:t>
      </w:r>
      <w:r>
        <w:rPr>
          <w:rStyle w:val="style88"/>
        </w:rPr>
        <w:t xml:space="preserve">Eucalyptus </w:t>
      </w:r>
      <w:r>
        <w:rPr>
          <w:rStyle w:val="style88"/>
        </w:rPr>
        <w:t>globulus</w:t>
      </w:r>
      <w:r>
        <w:t xml:space="preserve"> extracts against multi-drug resistant bacteria. </w:t>
      </w:r>
      <w:r>
        <w:rPr>
          <w:rStyle w:val="style88"/>
        </w:rPr>
        <w:t>Journal of Herbal Medicine</w:t>
      </w:r>
      <w:r>
        <w:t>, 21, 100-107.</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Nash, K. A., </w:t>
      </w:r>
      <w:r>
        <w:rPr>
          <w:rFonts w:ascii="Times New Roman" w:cs="Times New Roman" w:eastAsia="Times New Roman" w:hAnsi="Times New Roman"/>
          <w:sz w:val="24"/>
          <w:szCs w:val="24"/>
        </w:rPr>
        <w:t>Piddock</w:t>
      </w:r>
      <w:r>
        <w:rPr>
          <w:rFonts w:ascii="Times New Roman" w:cs="Times New Roman" w:eastAsia="Times New Roman" w:hAnsi="Times New Roman"/>
          <w:sz w:val="24"/>
          <w:szCs w:val="24"/>
        </w:rPr>
        <w:t xml:space="preserve">, L. J. V., &amp; </w:t>
      </w:r>
      <w:r>
        <w:rPr>
          <w:rFonts w:ascii="Times New Roman" w:cs="Times New Roman" w:eastAsia="Times New Roman" w:hAnsi="Times New Roman"/>
          <w:sz w:val="24"/>
          <w:szCs w:val="24"/>
        </w:rPr>
        <w:t>Giske</w:t>
      </w:r>
      <w:r>
        <w:rPr>
          <w:rFonts w:ascii="Times New Roman" w:cs="Times New Roman" w:eastAsia="Times New Roman" w:hAnsi="Times New Roman"/>
          <w:sz w:val="24"/>
          <w:szCs w:val="24"/>
        </w:rPr>
        <w:t xml:space="preserve">, C. G. (2019). Emergence of multidrug-resistant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strains in hospital and community settings. </w:t>
      </w:r>
      <w:r>
        <w:rPr>
          <w:rFonts w:ascii="Times New Roman" w:cs="Times New Roman" w:eastAsia="Times New Roman" w:hAnsi="Times New Roman"/>
          <w:i/>
          <w:iCs/>
          <w:sz w:val="24"/>
          <w:szCs w:val="24"/>
        </w:rPr>
        <w:t>Journal of Antimicrobial Chemotherapy, 74</w:t>
      </w:r>
      <w:r>
        <w:rPr>
          <w:rFonts w:ascii="Times New Roman" w:cs="Times New Roman" w:eastAsia="Times New Roman" w:hAnsi="Times New Roman"/>
          <w:sz w:val="24"/>
          <w:szCs w:val="24"/>
        </w:rPr>
        <w:t>(5), 1219-1229.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Nataro</w:t>
      </w:r>
      <w:r>
        <w:rPr>
          <w:rFonts w:ascii="Times New Roman" w:cs="Times New Roman" w:eastAsia="Times New Roman" w:hAnsi="Times New Roman"/>
          <w:sz w:val="24"/>
          <w:szCs w:val="24"/>
        </w:rPr>
        <w:t xml:space="preserve">, J. P., &amp; </w:t>
      </w:r>
      <w:r>
        <w:rPr>
          <w:rFonts w:ascii="Times New Roman" w:cs="Times New Roman" w:eastAsia="Times New Roman" w:hAnsi="Times New Roman"/>
          <w:sz w:val="24"/>
          <w:szCs w:val="24"/>
        </w:rPr>
        <w:t>Kaper</w:t>
      </w:r>
      <w:r>
        <w:rPr>
          <w:rFonts w:ascii="Times New Roman" w:cs="Times New Roman" w:eastAsia="Times New Roman" w:hAnsi="Times New Roman"/>
          <w:sz w:val="24"/>
          <w:szCs w:val="24"/>
        </w:rPr>
        <w:t xml:space="preserve">, J. B. (2019). </w:t>
      </w:r>
      <w:r>
        <w:rPr>
          <w:rFonts w:ascii="Times New Roman" w:cs="Times New Roman" w:eastAsia="Times New Roman" w:hAnsi="Times New Roman"/>
          <w:sz w:val="24"/>
          <w:szCs w:val="24"/>
        </w:rPr>
        <w:t>Diarrheagenic</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Clinical Microbiology Reviews, 32</w:t>
      </w:r>
      <w:r>
        <w:rPr>
          <w:rFonts w:ascii="Times New Roman" w:cs="Times New Roman" w:eastAsia="Times New Roman" w:hAnsi="Times New Roman"/>
          <w:sz w:val="24"/>
          <w:szCs w:val="24"/>
        </w:rPr>
        <w:t>(1), e00001-19.</w:t>
      </w:r>
    </w:p>
    <w:p>
      <w:pPr>
        <w:pStyle w:val="style94"/>
        <w:ind w:left="567" w:hanging="567"/>
        <w:jc w:val="both"/>
        <w:rPr/>
      </w:pPr>
      <w:r>
        <w:t>Ogunyemi</w:t>
      </w:r>
      <w:r>
        <w:t xml:space="preserve">, T. S., </w:t>
      </w:r>
      <w:r>
        <w:t>Adewale</w:t>
      </w:r>
      <w:r>
        <w:t xml:space="preserve">, O. A., &amp; </w:t>
      </w:r>
      <w:r>
        <w:t>Ajayi</w:t>
      </w:r>
      <w:r>
        <w:t xml:space="preserve">, O. A. (2022). Phytochemical and antimicrobial evaluation of ethanol and aqueous extracts of </w:t>
      </w:r>
      <w:r>
        <w:rPr>
          <w:rStyle w:val="style88"/>
        </w:rPr>
        <w:t xml:space="preserve">Eucalyptus </w:t>
      </w:r>
      <w:r>
        <w:rPr>
          <w:rStyle w:val="style88"/>
        </w:rPr>
        <w:t>globulus</w:t>
      </w:r>
      <w:r>
        <w:t xml:space="preserve">. </w:t>
      </w:r>
      <w:r>
        <w:rPr>
          <w:rStyle w:val="style88"/>
        </w:rPr>
        <w:t>Journal of Applied Pharmaceutical Science</w:t>
      </w:r>
      <w:r>
        <w:t>, 12(3), 45-52.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beta-lactamases: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(3), e00052-19.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&amp; </w:t>
      </w:r>
      <w:r>
        <w:rPr>
          <w:rFonts w:ascii="Times New Roman" w:cs="Times New Roman" w:eastAsia="Times New Roman" w:hAnsi="Times New Roman"/>
          <w:sz w:val="24"/>
          <w:szCs w:val="24"/>
        </w:rPr>
        <w:t>Bonomo</w:t>
      </w:r>
      <w:r>
        <w:rPr>
          <w:rFonts w:ascii="Times New Roman" w:cs="Times New Roman" w:eastAsia="Times New Roman" w:hAnsi="Times New Roman"/>
          <w:sz w:val="24"/>
          <w:szCs w:val="24"/>
        </w:rPr>
        <w:t xml:space="preserve">, R. A. (2020). Extended-spectrum β-lactamases: A clinical update.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e00010-19.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Paterson, D. L., Lee, C. C., &amp; Chang, F. Y. (2020). The evolving challenge of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Infection, 48</w:t>
      </w:r>
      <w:r>
        <w:rPr>
          <w:rFonts w:ascii="Times New Roman" w:cs="Times New Roman" w:eastAsia="Times New Roman" w:hAnsi="Times New Roman"/>
          <w:sz w:val="24"/>
          <w:szCs w:val="24"/>
        </w:rPr>
        <w:t>(2), 145-155.</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Prestinaci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Pezzotti</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Pantosti</w:t>
      </w:r>
      <w:r>
        <w:rPr>
          <w:rFonts w:ascii="Times New Roman" w:cs="Times New Roman" w:eastAsia="Times New Roman" w:hAnsi="Times New Roman"/>
          <w:sz w:val="24"/>
          <w:szCs w:val="24"/>
        </w:rPr>
        <w:t xml:space="preserve">, A. (2019). Antimicrobial resistance: A global multifaceted phenomenon. </w:t>
      </w:r>
      <w:r>
        <w:rPr>
          <w:rFonts w:ascii="Times New Roman" w:cs="Times New Roman" w:eastAsia="Times New Roman" w:hAnsi="Times New Roman"/>
          <w:i/>
          <w:iCs/>
          <w:sz w:val="24"/>
          <w:szCs w:val="24"/>
        </w:rPr>
        <w:t>Pathogens and Global Health, 113</w:t>
      </w:r>
      <w:r>
        <w:rPr>
          <w:rFonts w:ascii="Times New Roman" w:cs="Times New Roman" w:eastAsia="Times New Roman" w:hAnsi="Times New Roman"/>
          <w:sz w:val="24"/>
          <w:szCs w:val="24"/>
        </w:rPr>
        <w:t>(7), 349–358. https://doi.org/10.1080/20477724.2019.1699494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Fokou</w:t>
      </w:r>
      <w:r>
        <w:rPr>
          <w:rFonts w:ascii="Times New Roman" w:cs="Times New Roman" w:eastAsia="Times New Roman" w:hAnsi="Times New Roman"/>
          <w:sz w:val="24"/>
          <w:szCs w:val="24"/>
        </w:rPr>
        <w:t xml:space="preserve">, P. V. T., &amp; </w:t>
      </w:r>
      <w:r>
        <w:rPr>
          <w:rFonts w:ascii="Times New Roman" w:cs="Times New Roman" w:eastAsia="Times New Roman" w:hAnsi="Times New Roman"/>
          <w:sz w:val="24"/>
          <w:szCs w:val="24"/>
        </w:rPr>
        <w:t>Badii</w:t>
      </w:r>
      <w:r>
        <w:rPr>
          <w:rFonts w:ascii="Times New Roman" w:cs="Times New Roman" w:eastAsia="Times New Roman" w:hAnsi="Times New Roman"/>
          <w:sz w:val="24"/>
          <w:szCs w:val="24"/>
        </w:rPr>
        <w:t xml:space="preserve">, F. (2021). The antimicrobial properties of Eucalyptus essential oils: A systematic review. </w:t>
      </w:r>
      <w:r>
        <w:rPr>
          <w:rFonts w:ascii="Times New Roman" w:cs="Times New Roman" w:eastAsia="Times New Roman" w:hAnsi="Times New Roman"/>
          <w:i/>
          <w:iCs/>
          <w:sz w:val="24"/>
          <w:szCs w:val="24"/>
        </w:rPr>
        <w:t>Antibiotics, 10</w:t>
      </w:r>
      <w:r>
        <w:rPr>
          <w:rFonts w:ascii="Times New Roman" w:cs="Times New Roman" w:eastAsia="Times New Roman" w:hAnsi="Times New Roman"/>
          <w:sz w:val="24"/>
          <w:szCs w:val="24"/>
        </w:rPr>
        <w:t>(9), 1090.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Sharopov</w:t>
      </w:r>
      <w:r>
        <w:rPr>
          <w:rFonts w:ascii="Times New Roman" w:cs="Times New Roman" w:eastAsia="Times New Roman" w:hAnsi="Times New Roman"/>
          <w:sz w:val="24"/>
          <w:szCs w:val="24"/>
        </w:rPr>
        <w:t xml:space="preserve">, F. (2021). Therapeutic potential of essential oils in bacterial infections: A review.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(17), 4984. https://doi.org/10.3390/molecules26174984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Salehi</w:t>
      </w:r>
      <w:r>
        <w:rPr>
          <w:rFonts w:ascii="Times New Roman" w:cs="Times New Roman" w:eastAsia="Times New Roman" w:hAnsi="Times New Roman"/>
          <w:sz w:val="24"/>
          <w:szCs w:val="24"/>
        </w:rPr>
        <w:t xml:space="preserve">, B., </w:t>
      </w:r>
      <w:r>
        <w:rPr>
          <w:rFonts w:ascii="Times New Roman" w:cs="Times New Roman" w:eastAsia="Times New Roman" w:hAnsi="Times New Roman"/>
          <w:sz w:val="24"/>
          <w:szCs w:val="24"/>
        </w:rPr>
        <w:t>Upadhyay</w:t>
      </w:r>
      <w:r>
        <w:rPr>
          <w:rFonts w:ascii="Times New Roman" w:cs="Times New Roman" w:eastAsia="Times New Roman" w:hAnsi="Times New Roman"/>
          <w:sz w:val="24"/>
          <w:szCs w:val="24"/>
        </w:rPr>
        <w:t xml:space="preserve">, S., Erdogan </w:t>
      </w:r>
      <w:r>
        <w:rPr>
          <w:rFonts w:ascii="Times New Roman" w:cs="Times New Roman" w:eastAsia="Times New Roman" w:hAnsi="Times New Roman"/>
          <w:sz w:val="24"/>
          <w:szCs w:val="24"/>
        </w:rPr>
        <w:t>Orhan</w:t>
      </w:r>
      <w:r>
        <w:rPr>
          <w:rFonts w:ascii="Times New Roman" w:cs="Times New Roman" w:eastAsia="Times New Roman" w:hAnsi="Times New Roman"/>
          <w:sz w:val="24"/>
          <w:szCs w:val="24"/>
        </w:rPr>
        <w:t xml:space="preserve">, I., Kumar </w:t>
      </w:r>
      <w:r>
        <w:rPr>
          <w:rFonts w:ascii="Times New Roman" w:cs="Times New Roman" w:eastAsia="Times New Roman" w:hAnsi="Times New Roman"/>
          <w:sz w:val="24"/>
          <w:szCs w:val="24"/>
        </w:rPr>
        <w:t>Jugran</w:t>
      </w:r>
      <w:r>
        <w:rPr>
          <w:rFonts w:ascii="Times New Roman" w:cs="Times New Roman" w:eastAsia="Times New Roman" w:hAnsi="Times New Roman"/>
          <w:sz w:val="24"/>
          <w:szCs w:val="24"/>
        </w:rPr>
        <w:t xml:space="preserve">, A., LD </w:t>
      </w:r>
      <w:r>
        <w:rPr>
          <w:rFonts w:ascii="Times New Roman" w:cs="Times New Roman" w:eastAsia="Times New Roman" w:hAnsi="Times New Roman"/>
          <w:sz w:val="24"/>
          <w:szCs w:val="24"/>
        </w:rPr>
        <w:t>Jayaweera</w:t>
      </w:r>
      <w:r>
        <w:rPr>
          <w:rFonts w:ascii="Times New Roman" w:cs="Times New Roman" w:eastAsia="Times New Roman" w:hAnsi="Times New Roman"/>
          <w:sz w:val="24"/>
          <w:szCs w:val="24"/>
        </w:rPr>
        <w:t xml:space="preserve">, S., Dias, D. A., ... &amp; </w:t>
      </w:r>
      <w:r>
        <w:rPr>
          <w:rFonts w:ascii="Times New Roman" w:cs="Times New Roman" w:eastAsia="Times New Roman" w:hAnsi="Times New Roman"/>
          <w:sz w:val="24"/>
          <w:szCs w:val="24"/>
        </w:rPr>
        <w:t>Sharifi</w:t>
      </w:r>
      <w:r>
        <w:rPr>
          <w:rFonts w:ascii="Times New Roman" w:cs="Times New Roman" w:eastAsia="Times New Roman" w:hAnsi="Times New Roman"/>
          <w:sz w:val="24"/>
          <w:szCs w:val="24"/>
        </w:rPr>
        <w:t xml:space="preserve">-Rad, J. (2021). Therapeutic potential of Eucalyptus species phytochemicals: A review. </w:t>
      </w:r>
      <w:r>
        <w:rPr>
          <w:rFonts w:ascii="Times New Roman" w:cs="Times New Roman" w:eastAsia="Times New Roman" w:hAnsi="Times New Roman"/>
          <w:i/>
          <w:iCs/>
          <w:sz w:val="24"/>
          <w:szCs w:val="24"/>
        </w:rPr>
        <w:t>Food and Chemical Toxicology</w:t>
      </w:r>
      <w:r>
        <w:rPr>
          <w:rFonts w:ascii="Times New Roman" w:cs="Times New Roman" w:eastAsia="Times New Roman" w:hAnsi="Times New Roman"/>
          <w:sz w:val="24"/>
          <w:szCs w:val="24"/>
        </w:rPr>
        <w:t>, 148, 111974. https://doi.org/10.1016/j.fct.2021.111974</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Sani, A., </w:t>
      </w:r>
      <w:r>
        <w:rPr>
          <w:rFonts w:ascii="Times New Roman" w:cs="Times New Roman" w:eastAsia="Times New Roman" w:hAnsi="Times New Roman"/>
          <w:sz w:val="24"/>
          <w:szCs w:val="24"/>
        </w:rPr>
        <w:t>Sahid</w:t>
      </w:r>
      <w:r>
        <w:rPr>
          <w:rFonts w:ascii="Times New Roman" w:cs="Times New Roman" w:eastAsia="Times New Roman" w:hAnsi="Times New Roman"/>
          <w:sz w:val="24"/>
          <w:szCs w:val="24"/>
        </w:rPr>
        <w:t xml:space="preserve">, I., &amp; </w:t>
      </w:r>
      <w:r>
        <w:rPr>
          <w:rFonts w:ascii="Times New Roman" w:cs="Times New Roman" w:eastAsia="Times New Roman" w:hAnsi="Times New Roman"/>
          <w:sz w:val="24"/>
          <w:szCs w:val="24"/>
        </w:rPr>
        <w:t>Madenda</w:t>
      </w:r>
      <w:r>
        <w:rPr>
          <w:rFonts w:ascii="Times New Roman" w:cs="Times New Roman" w:eastAsia="Times New Roman" w:hAnsi="Times New Roman"/>
          <w:sz w:val="24"/>
          <w:szCs w:val="24"/>
        </w:rPr>
        <w:t xml:space="preserve">, S. M. (2020). Phytochemical and antibacterial activities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essential oil. </w:t>
      </w:r>
      <w:r>
        <w:rPr>
          <w:rFonts w:ascii="Times New Roman" w:cs="Times New Roman" w:eastAsia="Times New Roman" w:hAnsi="Times New Roman"/>
          <w:i/>
          <w:iCs/>
          <w:sz w:val="24"/>
          <w:szCs w:val="24"/>
        </w:rPr>
        <w:t>Journal of Applied Microbiology, 129</w:t>
      </w:r>
      <w:r>
        <w:rPr>
          <w:rFonts w:ascii="Times New Roman" w:cs="Times New Roman" w:eastAsia="Times New Roman" w:hAnsi="Times New Roman"/>
          <w:sz w:val="24"/>
          <w:szCs w:val="24"/>
        </w:rPr>
        <w:t>(5), 1241-1252.</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Serrato</w:t>
      </w:r>
      <w:r>
        <w:rPr>
          <w:rFonts w:ascii="Times New Roman" w:cs="Times New Roman" w:eastAsia="Times New Roman" w:hAnsi="Times New Roman"/>
          <w:sz w:val="24"/>
          <w:szCs w:val="24"/>
        </w:rPr>
        <w:t xml:space="preserve">, L., Pereira, J., &amp; Almeida, M. S. (2020).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extracts inhibit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biofilm formation and planktonic growth. </w:t>
      </w:r>
      <w:r>
        <w:rPr>
          <w:rFonts w:ascii="Times New Roman" w:cs="Times New Roman" w:eastAsia="Times New Roman" w:hAnsi="Times New Roman"/>
          <w:i/>
          <w:iCs/>
          <w:sz w:val="24"/>
          <w:szCs w:val="24"/>
        </w:rPr>
        <w:t>Microorganisms, 8</w:t>
      </w:r>
      <w:r>
        <w:rPr>
          <w:rFonts w:ascii="Times New Roman" w:cs="Times New Roman" w:eastAsia="Times New Roman" w:hAnsi="Times New Roman"/>
          <w:sz w:val="24"/>
          <w:szCs w:val="24"/>
        </w:rPr>
        <w:t>(11), 1759.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D. M., Souza, R. A., &amp; Silva, M. F. (2020). Antibacterial activity of </w:t>
      </w:r>
      <w:r>
        <w:rPr>
          <w:rFonts w:ascii="Times New Roman" w:cs="Times New Roman" w:eastAsia="Times New Roman" w:hAnsi="Times New Roman"/>
          <w:i/>
          <w:iCs/>
          <w:sz w:val="24"/>
          <w:szCs w:val="24"/>
        </w:rPr>
        <w:t xml:space="preserve">Eucalyptus </w:t>
      </w:r>
      <w:r>
        <w:rPr>
          <w:rFonts w:ascii="Times New Roman" w:cs="Times New Roman" w:eastAsia="Times New Roman" w:hAnsi="Times New Roman"/>
          <w:i/>
          <w:iCs/>
          <w:sz w:val="24"/>
          <w:szCs w:val="24"/>
        </w:rPr>
        <w:t>globulus</w:t>
      </w:r>
      <w:r>
        <w:rPr>
          <w:rFonts w:ascii="Times New Roman" w:cs="Times New Roman" w:eastAsia="Times New Roman" w:hAnsi="Times New Roman"/>
          <w:sz w:val="24"/>
          <w:szCs w:val="24"/>
        </w:rPr>
        <w:t xml:space="preserve"> against clinical bacterial isolates. </w:t>
      </w:r>
      <w:r>
        <w:rPr>
          <w:rFonts w:ascii="Times New Roman" w:cs="Times New Roman" w:eastAsia="Times New Roman" w:hAnsi="Times New Roman"/>
          <w:i/>
          <w:iCs/>
          <w:sz w:val="24"/>
          <w:szCs w:val="24"/>
        </w:rPr>
        <w:t xml:space="preserve">Brazilian Journal of </w:t>
      </w:r>
      <w:r>
        <w:rPr>
          <w:rFonts w:ascii="Times New Roman" w:cs="Times New Roman" w:eastAsia="Times New Roman" w:hAnsi="Times New Roman"/>
          <w:i/>
          <w:iCs/>
          <w:sz w:val="24"/>
          <w:szCs w:val="24"/>
        </w:rPr>
        <w:t>Pharmacognosy</w:t>
      </w:r>
      <w:r>
        <w:rPr>
          <w:rFonts w:ascii="Times New Roman" w:cs="Times New Roman" w:eastAsia="Times New Roman" w:hAnsi="Times New Roman"/>
          <w:i/>
          <w:iCs/>
          <w:sz w:val="24"/>
          <w:szCs w:val="24"/>
        </w:rPr>
        <w:t>, 30</w:t>
      </w:r>
      <w:r>
        <w:rPr>
          <w:rFonts w:ascii="Times New Roman" w:cs="Times New Roman" w:eastAsia="Times New Roman" w:hAnsi="Times New Roman"/>
          <w:sz w:val="24"/>
          <w:szCs w:val="24"/>
        </w:rPr>
        <w:t>(6), 763-770.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Silva, J. K. R., </w:t>
      </w:r>
      <w:r>
        <w:rPr>
          <w:rFonts w:ascii="Times New Roman" w:cs="Times New Roman" w:eastAsia="Times New Roman" w:hAnsi="Times New Roman"/>
          <w:sz w:val="24"/>
          <w:szCs w:val="24"/>
        </w:rPr>
        <w:t>Figueiredo</w:t>
      </w:r>
      <w:r>
        <w:rPr>
          <w:rFonts w:ascii="Times New Roman" w:cs="Times New Roman" w:eastAsia="Times New Roman" w:hAnsi="Times New Roman"/>
          <w:sz w:val="24"/>
          <w:szCs w:val="24"/>
        </w:rPr>
        <w:t xml:space="preserve">, P. L. B., &amp; </w:t>
      </w:r>
      <w:r>
        <w:rPr>
          <w:rFonts w:ascii="Times New Roman" w:cs="Times New Roman" w:eastAsia="Times New Roman" w:hAnsi="Times New Roman"/>
          <w:sz w:val="24"/>
          <w:szCs w:val="24"/>
        </w:rPr>
        <w:t>Setzer</w:t>
      </w:r>
      <w:r>
        <w:rPr>
          <w:rFonts w:ascii="Times New Roman" w:cs="Times New Roman" w:eastAsia="Times New Roman" w:hAnsi="Times New Roman"/>
          <w:sz w:val="24"/>
          <w:szCs w:val="24"/>
        </w:rPr>
        <w:t xml:space="preserve">, W. N. (2020). Essential oils from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and their antimicrobial activity against resistant pathogens. </w:t>
      </w:r>
      <w:r>
        <w:rPr>
          <w:rFonts w:ascii="Times New Roman" w:cs="Times New Roman" w:eastAsia="Times New Roman" w:hAnsi="Times New Roman"/>
          <w:i/>
          <w:iCs/>
          <w:sz w:val="24"/>
          <w:szCs w:val="24"/>
        </w:rPr>
        <w:t>Molecules, 25</w:t>
      </w:r>
      <w:r>
        <w:rPr>
          <w:rFonts w:ascii="Times New Roman" w:cs="Times New Roman" w:eastAsia="Times New Roman" w:hAnsi="Times New Roman"/>
          <w:sz w:val="24"/>
          <w:szCs w:val="24"/>
        </w:rPr>
        <w:t>(14), 3276. https://doi.org/10.3390/molecules25143276</w:t>
      </w:r>
    </w:p>
    <w:p>
      <w:pPr>
        <w:pStyle w:val="style94"/>
        <w:ind w:left="567" w:hanging="567"/>
        <w:jc w:val="both"/>
        <w:rPr/>
      </w:pPr>
      <w:r>
        <w:t xml:space="preserve">Singh, P., Kaur, N., &amp; Kaur, G. (2021). Role of phytochemicals in combating antibiotic resistance: A review. </w:t>
      </w:r>
      <w:r>
        <w:rPr>
          <w:rStyle w:val="style88"/>
        </w:rPr>
        <w:t>Biomedicine &amp; Pharmacotherapy</w:t>
      </w:r>
      <w:r>
        <w:t>, 134, 111121.</w:t>
      </w:r>
    </w:p>
    <w:p>
      <w:pPr>
        <w:pStyle w:val="style94"/>
        <w:ind w:left="567" w:hanging="567"/>
        <w:jc w:val="both"/>
        <w:rPr/>
      </w:pPr>
      <w:r>
        <w:t>Taiwo</w:t>
      </w:r>
      <w:r>
        <w:t xml:space="preserve">, A. O., </w:t>
      </w:r>
      <w:r>
        <w:t>Lawal</w:t>
      </w:r>
      <w:r>
        <w:t xml:space="preserve">, O. A., &amp; </w:t>
      </w:r>
      <w:r>
        <w:t>Adeyemi</w:t>
      </w:r>
      <w:r>
        <w:t xml:space="preserve">, O. A. (2021). Antibacterial effects of </w:t>
      </w:r>
      <w:r>
        <w:rPr>
          <w:rStyle w:val="style88"/>
        </w:rPr>
        <w:t xml:space="preserve">Eucalyptus </w:t>
      </w:r>
      <w:r>
        <w:rPr>
          <w:rStyle w:val="style88"/>
        </w:rPr>
        <w:t>globulus</w:t>
      </w:r>
      <w:r>
        <w:t xml:space="preserve"> ethanol extracts on multidrug-resistant clinical isolates. </w:t>
      </w:r>
      <w:r>
        <w:rPr>
          <w:rStyle w:val="style88"/>
        </w:rPr>
        <w:t>International Journal of Microbiology</w:t>
      </w:r>
      <w:r>
        <w:t>, 2021, Article ID 8887653.</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Tucker, M. T., Diaz, G. J., &amp; Hernandez, L. (2019). Antibiotic resistance mechanisms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 review. </w:t>
      </w:r>
      <w:r>
        <w:rPr>
          <w:rFonts w:ascii="Times New Roman" w:cs="Times New Roman" w:eastAsia="Times New Roman" w:hAnsi="Times New Roman"/>
          <w:i/>
          <w:iCs/>
          <w:sz w:val="24"/>
          <w:szCs w:val="24"/>
        </w:rPr>
        <w:t>Microorganisms, 7</w:t>
      </w:r>
      <w:r>
        <w:rPr>
          <w:rFonts w:ascii="Times New Roman" w:cs="Times New Roman" w:eastAsia="Times New Roman" w:hAnsi="Times New Roman"/>
          <w:sz w:val="24"/>
          <w:szCs w:val="24"/>
        </w:rPr>
        <w:t>(2), 69-80.</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Health Organization (WHO). (2020). </w:t>
      </w:r>
      <w:r>
        <w:rPr>
          <w:rFonts w:ascii="Times New Roman" w:cs="Times New Roman" w:eastAsia="Times New Roman" w:hAnsi="Times New Roman"/>
          <w:i/>
          <w:iCs/>
          <w:sz w:val="24"/>
          <w:szCs w:val="24"/>
        </w:rPr>
        <w:t>Antibacterial agents in clinical development: An analysis of the antibacterial clinical development pipeline</w:t>
      </w:r>
      <w:r>
        <w:rPr>
          <w:rFonts w:ascii="Times New Roman" w:cs="Times New Roman" w:eastAsia="Times New Roman" w:hAnsi="Times New Roman"/>
          <w:sz w:val="24"/>
          <w:szCs w:val="24"/>
        </w:rPr>
        <w:t xml:space="preserve">. Retrieved from </w:t>
      </w:r>
      <w:r>
        <w:rPr/>
        <w:fldChar w:fldCharType="begin"/>
      </w:r>
      <w:r>
        <w:instrText xml:space="preserve"> HYPERLINK "https://www.who.int/publications/i/item/9789240000193" \t "_new" </w:instrText>
      </w:r>
      <w:r>
        <w:rPr/>
        <w:fldChar w:fldCharType="separate"/>
      </w:r>
      <w:r>
        <w:rPr>
          <w:rFonts w:ascii="Times New Roman" w:cs="Times New Roman" w:eastAsia="Times New Roman" w:hAnsi="Times New Roman"/>
          <w:color w:val="0000ff"/>
          <w:sz w:val="24"/>
          <w:szCs w:val="24"/>
          <w:u w:val="single"/>
        </w:rPr>
        <w:t>https://www.who.int/publications/i/item/9789240000193</w:t>
      </w:r>
      <w:r>
        <w:rPr/>
        <w:fldChar w:fldCharType="end"/>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Wu, Q., Zhang, Y., &amp; Wang, X. (2020). The epidemiology of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infections and its antibiotic resistance. </w:t>
      </w:r>
      <w:r>
        <w:rPr>
          <w:rFonts w:ascii="Times New Roman" w:cs="Times New Roman" w:eastAsia="Times New Roman" w:hAnsi="Times New Roman"/>
          <w:i/>
          <w:iCs/>
          <w:sz w:val="24"/>
          <w:szCs w:val="24"/>
        </w:rPr>
        <w:t>Infection Control and Hospital Epidemiology, 41</w:t>
      </w:r>
      <w:r>
        <w:rPr>
          <w:rFonts w:ascii="Times New Roman" w:cs="Times New Roman" w:eastAsia="Times New Roman" w:hAnsi="Times New Roman"/>
          <w:sz w:val="24"/>
          <w:szCs w:val="24"/>
        </w:rPr>
        <w:t>(10), 1211-1218.</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Y., &amp; Zhang, H. (2020). Molecular mechanisms of antimicrobial resistance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Antimicrobial Agents, 56</w:t>
      </w:r>
      <w:r>
        <w:rPr>
          <w:rFonts w:ascii="Times New Roman" w:cs="Times New Roman" w:eastAsia="Times New Roman" w:hAnsi="Times New Roman"/>
          <w:sz w:val="24"/>
          <w:szCs w:val="24"/>
        </w:rPr>
        <w:t>(2), 188-199.</w:t>
      </w:r>
    </w:p>
    <w:p>
      <w:pPr>
        <w:pStyle w:val="style0"/>
        <w:spacing w:before="100" w:beforeAutospacing="true" w:after="100" w:afterAutospacing="true" w:lineRule="auto" w:line="24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Zong</w:t>
      </w:r>
      <w:r>
        <w:rPr>
          <w:rFonts w:ascii="Times New Roman" w:cs="Times New Roman" w:eastAsia="Times New Roman" w:hAnsi="Times New Roman"/>
          <w:sz w:val="24"/>
          <w:szCs w:val="24"/>
        </w:rPr>
        <w:t xml:space="preserve">, Z., Zhang, H., &amp; </w:t>
      </w:r>
      <w:r>
        <w:rPr>
          <w:rFonts w:ascii="Times New Roman" w:cs="Times New Roman" w:eastAsia="Times New Roman" w:hAnsi="Times New Roman"/>
          <w:sz w:val="24"/>
          <w:szCs w:val="24"/>
        </w:rPr>
        <w:t>Xie</w:t>
      </w:r>
      <w:r>
        <w:rPr>
          <w:rFonts w:ascii="Times New Roman" w:cs="Times New Roman" w:eastAsia="Times New Roman" w:hAnsi="Times New Roman"/>
          <w:sz w:val="24"/>
          <w:szCs w:val="24"/>
        </w:rPr>
        <w:t xml:space="preserve">, S. (2020).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and its resistance mechanisms. </w:t>
      </w:r>
      <w:r>
        <w:rPr>
          <w:rFonts w:ascii="Times New Roman" w:cs="Times New Roman" w:eastAsia="Times New Roman" w:hAnsi="Times New Roman"/>
          <w:i/>
          <w:iCs/>
          <w:sz w:val="24"/>
          <w:szCs w:val="24"/>
        </w:rPr>
        <w:t>Clinical Microbiology Reviews, 33</w:t>
      </w:r>
      <w:r>
        <w:rPr>
          <w:rFonts w:ascii="Times New Roman" w:cs="Times New Roman" w:eastAsia="Times New Roman" w:hAnsi="Times New Roman"/>
          <w:sz w:val="24"/>
          <w:szCs w:val="24"/>
        </w:rPr>
        <w:t>(1), e00094-19.</w:t>
      </w: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bookmarkStart w:id="60" w:name="_Toc203146335"/>
    <w:p>
      <w:pPr>
        <w:pStyle w:val="style1"/>
        <w:jc w:val="center"/>
        <w:rPr/>
      </w:pPr>
      <w:r>
        <w:t>APPENDIX</w:t>
      </w:r>
      <w:bookmarkEnd w:id="60"/>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noProof/>
        </w:rPr>
        <w:drawing>
          <wp:anchor distT="0" distB="0" distL="114300" distR="114300" simplePos="false" relativeHeight="8" behindDoc="false" locked="false" layoutInCell="true" allowOverlap="true">
            <wp:simplePos x="0" y="0"/>
            <wp:positionH relativeFrom="column">
              <wp:posOffset>0</wp:posOffset>
            </wp:positionH>
            <wp:positionV relativeFrom="paragraph">
              <wp:posOffset>294640</wp:posOffset>
            </wp:positionV>
            <wp:extent cx="1819275" cy="2057400"/>
            <wp:effectExtent l="0" t="0" r="9525" b="0"/>
            <wp:wrapSquare wrapText="bothSides"/>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l="0" t="0" r="0" b="0"/>
                    <a:stretch/>
                  </pic:blipFill>
                  <pic:spPr>
                    <a:xfrm rot="0">
                      <a:off x="0" y="0"/>
                      <a:ext cx="1819275" cy="2057400"/>
                    </a:xfrm>
                    <a:prstGeom prst="rect"/>
                    <a:ln>
                      <a:noFill/>
                    </a:ln>
                  </pic:spPr>
                </pic:pic>
              </a:graphicData>
            </a:graphic>
            <wp14:sizeRelH relativeFrom="margin">
              <wp14:pctWidth>0</wp14:pctWidth>
            </wp14:sizeRelH>
          </wp:anchor>
        </w:drawing>
      </w:r>
    </w:p>
    <w:p>
      <w:pPr>
        <w:pStyle w:val="style0"/>
        <w:jc w:val="center"/>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noProof/>
        </w:rPr>
        <w:drawing>
          <wp:inline distL="0" distT="0" distB="0" distR="0">
            <wp:extent cx="2223770" cy="1609725"/>
            <wp:effectExtent l="0" t="0" r="5080" b="9525"/>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srcRect l="0" t="0" r="0" b="0"/>
                    <a:stretch/>
                  </pic:blipFill>
                  <pic:spPr>
                    <a:xfrm rot="0">
                      <a:off x="0" y="0"/>
                      <a:ext cx="2223770" cy="1609725"/>
                    </a:xfrm>
                    <a:prstGeom prst="rect"/>
                    <a:ln>
                      <a:noFill/>
                    </a:ln>
                  </pic:spPr>
                </pic:pic>
              </a:graphicData>
            </a:graphic>
          </wp:inline>
        </w:drawing>
      </w:r>
    </w:p>
    <w:p>
      <w:pPr>
        <w:pStyle w:val="style0"/>
        <w:rPr>
          <w:rFonts w:ascii="Times New Roman" w:cs="Times New Roman" w:hAnsi="Times New Roman"/>
          <w:sz w:val="24"/>
          <w:szCs w:val="24"/>
        </w:rPr>
      </w:pPr>
      <w:r>
        <w:rPr>
          <w:rFonts w:ascii="Times New Roman" w:cs="Times New Roman" w:hAnsi="Times New Roman"/>
          <w:sz w:val="24"/>
          <w:szCs w:val="24"/>
        </w:rPr>
        <w:t xml:space="preserve">                          Plate 2: MIC result of </w:t>
      </w:r>
      <w:r>
        <w:rPr>
          <w:rFonts w:ascii="Times New Roman" w:cs="Times New Roman" w:hAnsi="Times New Roman"/>
          <w:i/>
          <w:sz w:val="24"/>
          <w:szCs w:val="24"/>
        </w:rPr>
        <w:t>E. coli</w:t>
      </w:r>
      <w:r>
        <w:rPr>
          <w:rFonts w:ascii="Times New Roman" w:cs="Times New Roman" w:hAnsi="Times New Roman"/>
          <w:sz w:val="24"/>
          <w:szCs w:val="24"/>
        </w:rPr>
        <w:t xml:space="preserve"> at 0.2 concentration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drawing>
          <wp:inline distL="0" distT="0" distB="0" distR="0">
            <wp:extent cx="1746309" cy="2746721"/>
            <wp:effectExtent l="0" t="0" r="0"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7" cstate="print"/>
                    <a:srcRect l="0" t="0" r="0" b="0"/>
                    <a:stretch/>
                  </pic:blipFill>
                  <pic:spPr>
                    <a:xfrm rot="0" flipV="1">
                      <a:off x="0" y="0"/>
                      <a:ext cx="1746309" cy="2746721"/>
                    </a:xfrm>
                    <a:prstGeom prst="rect"/>
                  </pic:spPr>
                </pic:pic>
              </a:graphicData>
            </a:graphic>
          </wp:inline>
        </w:drawing>
      </w:r>
    </w:p>
    <w:p>
      <w:pPr>
        <w:pStyle w:val="style0"/>
        <w:rPr>
          <w:rFonts w:ascii="Times New Roman" w:cs="Times New Roman" w:hAnsi="Times New Roman"/>
          <w:sz w:val="24"/>
          <w:szCs w:val="24"/>
        </w:rPr>
      </w:pPr>
      <w:r>
        <w:rPr>
          <w:rFonts w:ascii="Times New Roman" w:cs="Times New Roman" w:hAnsi="Times New Roman"/>
          <w:sz w:val="24"/>
          <w:szCs w:val="24"/>
        </w:rPr>
        <w:t>PLATE 3: MIC result of MRSA at 0.15 con</w:t>
      </w:r>
      <w:r>
        <w:rPr>
          <w:rFonts w:ascii="Times New Roman" w:cs="Times New Roman" w:hAnsi="Times New Roman"/>
          <w:sz w:val="24"/>
          <w:szCs w:val="24"/>
        </w:rPr>
        <w:t>centration</w:t>
      </w:r>
    </w:p>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w:t>
      </w:r>
      <w:r>
        <w:rPr/>
        <w:drawing>
          <wp:inline distL="114300" distT="0" distB="0" distR="114300">
            <wp:extent cx="2520561" cy="396240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8" cstate="print"/>
                    <a:srcRect l="0" t="0" r="0" b="0"/>
                    <a:stretch/>
                  </pic:blipFill>
                  <pic:spPr>
                    <a:xfrm rot="0">
                      <a:off x="0" y="0"/>
                      <a:ext cx="2520561" cy="3962400"/>
                    </a:xfrm>
                    <a:prstGeom prst="rect"/>
                  </pic:spPr>
                </pic:pic>
              </a:graphicData>
            </a:graphic>
          </wp:inline>
        </w:drawing>
      </w:r>
    </w:p>
    <w:p>
      <w:pPr>
        <w:pStyle w:val="style0"/>
        <w:rPr>
          <w:rFonts w:ascii="Times New Roman" w:cs="Times New Roman" w:hAnsi="Times New Roman"/>
          <w:sz w:val="24"/>
          <w:szCs w:val="24"/>
        </w:rPr>
      </w:pPr>
      <w:r>
        <w:rPr>
          <w:rFonts w:ascii="Times New Roman" w:cs="Times New Roman" w:hAnsi="Times New Roman"/>
          <w:sz w:val="24"/>
          <w:szCs w:val="24"/>
          <w:lang w:val="en-US"/>
        </w:rPr>
        <w:t xml:space="preserve">        PLATE4:MIC result of MRSA at 0.2 concentration                                                   </w:t>
      </w:r>
      <w:r>
        <w:rPr/>
        <w:drawing>
          <wp:inline distL="0" distT="0" distB="0" distR="0">
            <wp:extent cx="6423213" cy="8564284"/>
            <wp:effectExtent l="0" t="0" r="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9" cstate="print"/>
                    <a:srcRect l="0" t="0" r="0" b="0"/>
                    <a:stretch/>
                  </pic:blipFill>
                  <pic:spPr>
                    <a:xfrm rot="0">
                      <a:off x="0" y="0"/>
                      <a:ext cx="6423213" cy="8564284"/>
                    </a:xfrm>
                    <a:prstGeom prst="rect"/>
                  </pic:spPr>
                </pic:pic>
              </a:graphicData>
            </a:graphic>
          </wp:inline>
        </w:drawing>
      </w: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jc w:val="center"/>
      <w:rPr>
        <w:rStyle w:val="style41"/>
      </w:rPr>
    </w:pPr>
    <w:r>
      <w:rPr>
        <w:rStyle w:val="style41"/>
      </w:rPr>
      <w:fldChar w:fldCharType="begin"/>
    </w:r>
    <w:r>
      <w:rPr>
        <w:rStyle w:val="style41"/>
      </w:rPr>
      <w:instrText xml:space="preserve"> 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01"/>
    <w:multiLevelType w:val="multilevel"/>
    <w:tmpl w:val="4934DF20"/>
    <w:lvl w:ilvl="0">
      <w:start w:val="1"/>
      <w:numFmt w:val="decimal"/>
      <w:lvlText w:val="%1."/>
      <w:lvlJc w:val="left"/>
      <w:pPr>
        <w:tabs>
          <w:tab w:val="left" w:leader="none" w:pos="720"/>
        </w:tabs>
        <w:ind w:left="720" w:hanging="360"/>
      </w:pPr>
    </w:lvl>
    <w:lvl w:ilvl="1">
      <w:start w:val="1"/>
      <w:numFmt w:val="bullet"/>
      <w:lvlText w:val=""/>
      <w:lvlJc w:val="left"/>
      <w:pPr>
        <w:ind w:left="1440" w:hanging="360"/>
      </w:pPr>
      <w:rPr>
        <w:rFonts w:ascii="Symbol" w:cs="Times New Roman" w:eastAsia="Times New Roman" w:hAnsi="Symbol"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BEAECE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240" w:after="0"/>
      <w:outlineLvl w:val="0"/>
    </w:pPr>
    <w:rPr>
      <w:rFonts w:ascii="Times New Roman" w:cs="宋体" w:eastAsia="宋体" w:hAnsi="Times New Roman"/>
      <w:b/>
      <w:color w:val="000000"/>
      <w:sz w:val="24"/>
      <w:szCs w:val="32"/>
    </w:rPr>
  </w:style>
  <w:style w:type="paragraph" w:styleId="style2">
    <w:name w:val="heading 2"/>
    <w:basedOn w:val="style0"/>
    <w:next w:val="style0"/>
    <w:link w:val="style4104"/>
    <w:qFormat/>
    <w:uiPriority w:val="9"/>
    <w:pPr>
      <w:keepNext/>
      <w:keepLines/>
      <w:spacing w:before="40" w:after="0"/>
      <w:outlineLvl w:val="1"/>
    </w:pPr>
    <w:rPr>
      <w:rFonts w:ascii="Times New Roman" w:cs="宋体" w:eastAsia="宋体" w:hAnsi="Times New Roman"/>
      <w:b/>
      <w:color w:val="000000"/>
      <w:sz w:val="24"/>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4"/>
      <w:szCs w:val="27"/>
    </w:rPr>
  </w:style>
  <w:style w:type="paragraph" w:styleId="style5">
    <w:name w:val="heading 5"/>
    <w:basedOn w:val="style0"/>
    <w:next w:val="style0"/>
    <w:link w:val="style4098"/>
    <w:qFormat/>
    <w:uiPriority w:val="9"/>
    <w:pPr>
      <w:keepNext/>
      <w:keepLines/>
      <w:spacing w:before="40" w:after="0"/>
      <w:outlineLvl w:val="4"/>
    </w:pPr>
    <w:rPr>
      <w:rFonts w:ascii="Calibri Light" w:cs="宋体" w:eastAsia="宋体" w:hAnsi="Calibri Light"/>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ba518e1a-cb87-4780-a7b2-af17117a5023"/>
    <w:basedOn w:val="style65"/>
    <w:next w:val="style4097"/>
    <w:link w:val="style3"/>
    <w:uiPriority w:val="9"/>
    <w:rPr>
      <w:rFonts w:ascii="Times New Roman" w:cs="Times New Roman" w:eastAsia="Times New Roman" w:hAnsi="Times New Roman"/>
      <w:b/>
      <w:bCs/>
      <w:sz w:val="24"/>
      <w:szCs w:val="27"/>
    </w:rPr>
  </w:style>
  <w:style w:type="character" w:customStyle="1" w:styleId="style4098">
    <w:name w:val="Heading 5 Char_04123062-0e97-469d-9571-c05ae5393728"/>
    <w:basedOn w:val="style65"/>
    <w:next w:val="style4098"/>
    <w:link w:val="style5"/>
    <w:uiPriority w:val="9"/>
    <w:rPr>
      <w:rFonts w:ascii="Calibri Light" w:cs="宋体" w:eastAsia="宋体" w:hAnsi="Calibri Light"/>
      <w:color w:val="2e74b5"/>
    </w:rPr>
  </w:style>
  <w:style w:type="character" w:styleId="style88">
    <w:name w:val="Emphasis"/>
    <w:basedOn w:val="style65"/>
    <w:next w:val="style88"/>
    <w:qFormat/>
    <w:uiPriority w:val="20"/>
    <w:rPr>
      <w:i/>
      <w:iCs/>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table" w:customStyle="1" w:styleId="style4099">
    <w:name w:val="List Table 6 Colorful"/>
    <w:basedOn w:val="style105"/>
    <w:next w:val="style4099"/>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79">
    <w:name w:val="List Paragraph"/>
    <w:basedOn w:val="style0"/>
    <w:next w:val="style179"/>
    <w:qFormat/>
    <w:uiPriority w:val="34"/>
    <w:pPr>
      <w:ind w:left="720"/>
      <w:contextualSpacing/>
    </w:pPr>
    <w:rPr/>
  </w:style>
  <w:style w:type="table" w:customStyle="1" w:styleId="style4100">
    <w:name w:val="List Table 6 Colorful1"/>
    <w:basedOn w:val="style105"/>
    <w:next w:val="style4100"/>
    <w:uiPriority w:val="51"/>
    <w:pPr>
      <w:spacing w:after="0" w:lineRule="auto" w:line="240"/>
    </w:pPr>
    <w:rPr>
      <w:color w:val="000000"/>
      <w:sz w:val="20"/>
      <w:szCs w:val="20"/>
    </w:rPr>
    <w:tblPr>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customStyle="1" w:styleId="style4101">
    <w:name w:val="Heading 1 Char_123bc4e2-254d-4d2a-9a9e-ece2489d2430"/>
    <w:basedOn w:val="style65"/>
    <w:next w:val="style4101"/>
    <w:link w:val="style1"/>
    <w:uiPriority w:val="9"/>
    <w:rPr>
      <w:rFonts w:ascii="Times New Roman" w:cs="宋体" w:eastAsia="宋体" w:hAnsi="Times New Roman"/>
      <w:b/>
      <w:color w:val="000000"/>
      <w:sz w:val="24"/>
      <w:szCs w:val="32"/>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2da76374-bd92-46d2-870f-9562ff048d6f"/>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fceb2a7f-ed54-42eb-93b2-863a00fab094"/>
    <w:basedOn w:val="style65"/>
    <w:next w:val="style4103"/>
    <w:link w:val="style32"/>
    <w:uiPriority w:val="99"/>
  </w:style>
  <w:style w:type="character" w:styleId="style41">
    <w:name w:val="page number"/>
    <w:basedOn w:val="style65"/>
    <w:next w:val="style41"/>
    <w:uiPriority w:val="99"/>
  </w:style>
  <w:style w:type="character" w:customStyle="1" w:styleId="style4104">
    <w:name w:val="Heading 2 Char_7ccd5275-b02d-4e5b-999c-b3f735f94c44"/>
    <w:basedOn w:val="style65"/>
    <w:next w:val="style4104"/>
    <w:link w:val="style2"/>
    <w:uiPriority w:val="9"/>
    <w:rPr>
      <w:rFonts w:ascii="Times New Roman" w:cs="宋体" w:eastAsia="宋体" w:hAnsi="Times New Roman"/>
      <w:b/>
      <w:color w:val="000000"/>
      <w:sz w:val="24"/>
      <w:szCs w:val="26"/>
    </w:rPr>
  </w:style>
  <w:style w:type="paragraph" w:styleId="style266">
    <w:name w:val="TOC Heading"/>
    <w:basedOn w:val="style1"/>
    <w:next w:val="style0"/>
    <w:qFormat/>
    <w:uiPriority w:val="39"/>
    <w:pPr>
      <w:outlineLvl w:val="9"/>
    </w:pPr>
    <w:rPr>
      <w:rFonts w:ascii="Calibri Light" w:hAnsi="Calibri Light"/>
      <w:b w:val="false"/>
      <w:color w:val="2e74b5"/>
      <w:sz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image" Target="media/image6.jpeg"/><Relationship Id="rId14" Type="http://schemas.openxmlformats.org/officeDocument/2006/relationships/customXml" Target="../customXml/item1.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Words>7868</Words>
  <Pages>40</Pages>
  <Characters>48691</Characters>
  <Application>WPS Office</Application>
  <DocSecurity>0</DocSecurity>
  <Paragraphs>514</Paragraphs>
  <ScaleCrop>false</ScaleCrop>
  <LinksUpToDate>false</LinksUpToDate>
  <CharactersWithSpaces>56575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2025-07-11T16:07:00Z</dcterms:created>
  <dc:creator>Hassan Musa</dc:creator>
  <lastModifiedBy>TECNO KL4</lastModifiedBy>
  <dcterms:modified xsi:type="dcterms:W3CDTF">2025-07-11T20:02:54Z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1e08d4d29815496ea93222cf80dfe41a</vt:lpwstr>
  </property>
</Properties>
</file>