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4530">
      <w:pPr>
        <w:spacing w:after="240"/>
        <w:ind w:right="4"/>
        <w:jc w:val="center"/>
        <w:rPr>
          <w:rFonts w:ascii="Times New Roman" w:hAnsi="Times New Roman"/>
          <w:sz w:val="28"/>
          <w:szCs w:val="28"/>
        </w:rPr>
      </w:pPr>
      <w:r>
        <w:rPr>
          <w:rFonts w:ascii="Times New Roman" w:hAnsi="Times New Roman"/>
          <w:sz w:val="28"/>
          <w:szCs w:val="28"/>
          <w:lang w:eastAsia="en-US"/>
        </w:rPr>
        <w:drawing>
          <wp:inline distT="0" distB="0" distL="0" distR="0">
            <wp:extent cx="1121410" cy="1017905"/>
            <wp:effectExtent l="19050" t="0" r="2540" b="0"/>
            <wp:docPr id="17"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a:picLocks noChangeAspect="1" noChangeArrowheads="1"/>
                    </pic:cNvPicPr>
                  </pic:nvPicPr>
                  <pic:blipFill>
                    <a:blip r:embed="rId8"/>
                    <a:srcRect/>
                    <a:stretch>
                      <a:fillRect/>
                    </a:stretch>
                  </pic:blipFill>
                  <pic:spPr>
                    <a:xfrm>
                      <a:off x="0" y="0"/>
                      <a:ext cx="1121410" cy="1017905"/>
                    </a:xfrm>
                    <a:prstGeom prst="rect">
                      <a:avLst/>
                    </a:prstGeom>
                    <a:noFill/>
                    <a:ln w="9525">
                      <a:noFill/>
                      <a:miter lim="800000"/>
                      <a:headEnd/>
                      <a:tailEnd/>
                    </a:ln>
                  </pic:spPr>
                </pic:pic>
              </a:graphicData>
            </a:graphic>
          </wp:inline>
        </w:drawing>
      </w:r>
    </w:p>
    <w:p w14:paraId="220156D0">
      <w:pPr>
        <w:spacing w:after="240" w:line="240" w:lineRule="auto"/>
        <w:ind w:right="4"/>
        <w:jc w:val="center"/>
        <w:rPr>
          <w:rFonts w:ascii="Times New Roman" w:hAnsi="Times New Roman"/>
          <w:b/>
          <w:bCs/>
          <w:sz w:val="28"/>
          <w:szCs w:val="28"/>
        </w:rPr>
      </w:pPr>
      <w:r>
        <w:rPr>
          <w:rFonts w:ascii="Times New Roman" w:hAnsi="Times New Roman"/>
          <w:b/>
          <w:bCs/>
          <w:sz w:val="28"/>
          <w:szCs w:val="28"/>
        </w:rPr>
        <w:t>PROJECT REPORT</w:t>
      </w:r>
    </w:p>
    <w:p w14:paraId="4436F9A1">
      <w:pPr>
        <w:spacing w:after="240" w:line="240" w:lineRule="auto"/>
        <w:ind w:right="4"/>
        <w:jc w:val="center"/>
        <w:rPr>
          <w:rFonts w:ascii="Times New Roman" w:hAnsi="Times New Roman"/>
          <w:b/>
          <w:bCs/>
          <w:i/>
          <w:iCs/>
          <w:sz w:val="28"/>
          <w:szCs w:val="28"/>
        </w:rPr>
      </w:pPr>
      <w:r>
        <w:rPr>
          <w:rFonts w:ascii="Times New Roman" w:hAnsi="Times New Roman"/>
          <w:b/>
          <w:bCs/>
          <w:i/>
          <w:iCs/>
          <w:sz w:val="28"/>
          <w:szCs w:val="28"/>
        </w:rPr>
        <w:t>ON</w:t>
      </w:r>
    </w:p>
    <w:p w14:paraId="552EE107">
      <w:pPr>
        <w:snapToGrid w:val="0"/>
        <w:spacing w:before="240" w:line="360" w:lineRule="auto"/>
        <w:jc w:val="center"/>
        <w:textAlignment w:val="baseline"/>
        <w:rPr>
          <w:rFonts w:ascii="Times New Roman" w:hAnsi="Times New Roman"/>
          <w:b/>
          <w:sz w:val="24"/>
          <w:szCs w:val="24"/>
        </w:rPr>
      </w:pPr>
      <w:r>
        <w:rPr>
          <w:rFonts w:ascii="Times New Roman" w:hAnsi="Times New Roman"/>
          <w:b/>
          <w:sz w:val="24"/>
          <w:szCs w:val="24"/>
        </w:rPr>
        <w:t>ANALYSIS OF FOODBORNE PATHOGENS IN READY-TO-EAT SNACKS (CHIN CHIN): A STUDY OF STREET VENDORS IN ILORIN</w:t>
      </w:r>
    </w:p>
    <w:p w14:paraId="5BFEC1F4">
      <w:pPr>
        <w:spacing w:before="240" w:after="240" w:line="240" w:lineRule="auto"/>
        <w:ind w:right="4"/>
        <w:jc w:val="center"/>
        <w:rPr>
          <w:rFonts w:ascii="Times New Roman" w:hAnsi="Times New Roman"/>
          <w:b/>
          <w:bCs/>
          <w:sz w:val="28"/>
          <w:szCs w:val="28"/>
        </w:rPr>
      </w:pPr>
      <w:r>
        <w:rPr>
          <w:rFonts w:ascii="Times New Roman" w:hAnsi="Times New Roman"/>
          <w:b/>
          <w:bCs/>
          <w:sz w:val="28"/>
          <w:szCs w:val="28"/>
        </w:rPr>
        <w:t>BY:</w:t>
      </w:r>
    </w:p>
    <w:p w14:paraId="684CAB79">
      <w:pPr>
        <w:spacing w:after="240" w:line="240" w:lineRule="auto"/>
        <w:ind w:right="4"/>
        <w:jc w:val="center"/>
        <w:rPr>
          <w:rFonts w:hint="default" w:ascii="Times New Roman" w:hAnsi="Times New Roman"/>
          <w:b/>
          <w:sz w:val="32"/>
          <w:szCs w:val="32"/>
          <w:lang w:val="en-US"/>
        </w:rPr>
      </w:pPr>
      <w:r>
        <w:rPr>
          <w:rFonts w:hint="default" w:ascii="Times New Roman" w:hAnsi="Times New Roman"/>
          <w:b/>
          <w:sz w:val="32"/>
          <w:szCs w:val="32"/>
          <w:lang w:val="en-US"/>
        </w:rPr>
        <w:t>OSIFADE KABIRAT OLUWARANTIMI</w:t>
      </w:r>
    </w:p>
    <w:p w14:paraId="30275314">
      <w:pPr>
        <w:spacing w:after="240" w:line="240" w:lineRule="auto"/>
        <w:ind w:right="4"/>
        <w:jc w:val="center"/>
        <w:rPr>
          <w:rFonts w:hint="default" w:ascii="Times New Roman" w:hAnsi="Times New Roman"/>
          <w:b/>
          <w:bCs/>
          <w:sz w:val="28"/>
          <w:szCs w:val="28"/>
          <w:lang w:val="en-US"/>
        </w:rPr>
      </w:pPr>
      <w:r>
        <w:rPr>
          <w:rFonts w:ascii="Times New Roman" w:hAnsi="Times New Roman"/>
          <w:b/>
          <w:bCs/>
          <w:sz w:val="28"/>
          <w:szCs w:val="28"/>
        </w:rPr>
        <w:t>HND/23/SLT/FT/0</w:t>
      </w:r>
      <w:r>
        <w:rPr>
          <w:rFonts w:hint="default" w:ascii="Times New Roman" w:hAnsi="Times New Roman"/>
          <w:b/>
          <w:bCs/>
          <w:sz w:val="28"/>
          <w:szCs w:val="28"/>
          <w:lang w:val="en-US"/>
        </w:rPr>
        <w:t>648</w:t>
      </w:r>
    </w:p>
    <w:p w14:paraId="701203DC">
      <w:pPr>
        <w:spacing w:after="240" w:line="240" w:lineRule="auto"/>
        <w:ind w:right="4"/>
        <w:jc w:val="center"/>
        <w:rPr>
          <w:rFonts w:ascii="Times New Roman" w:hAnsi="Times New Roman"/>
          <w:b/>
          <w:bCs/>
          <w:sz w:val="28"/>
          <w:szCs w:val="28"/>
        </w:rPr>
      </w:pPr>
      <w:r>
        <w:rPr>
          <w:rFonts w:ascii="Times New Roman" w:hAnsi="Times New Roman"/>
          <w:b/>
          <w:bCs/>
          <w:sz w:val="28"/>
          <w:szCs w:val="28"/>
        </w:rPr>
        <w:t>SUBMITTED TO:</w:t>
      </w:r>
    </w:p>
    <w:p w14:paraId="4F207698">
      <w:pPr>
        <w:spacing w:after="240"/>
        <w:ind w:left="720" w:right="4"/>
        <w:jc w:val="center"/>
        <w:rPr>
          <w:rFonts w:ascii="Times New Roman" w:hAnsi="Times New Roman"/>
          <w:b/>
          <w:bCs/>
          <w:sz w:val="28"/>
          <w:szCs w:val="28"/>
        </w:rPr>
      </w:pPr>
      <w:r>
        <w:rPr>
          <w:rFonts w:ascii="Times New Roman" w:hAnsi="Times New Roman"/>
          <w:b/>
          <w:bCs/>
          <w:sz w:val="28"/>
          <w:szCs w:val="28"/>
        </w:rPr>
        <w:t xml:space="preserve">THE DEPARTMENT OF SCIENCE LABORATORY TECHNOLOGY, INSTITUTE OF APPLIED SCIENCE, (IAS) </w:t>
      </w:r>
    </w:p>
    <w:p w14:paraId="71DF5FD9">
      <w:pPr>
        <w:spacing w:after="240"/>
        <w:ind w:right="4"/>
        <w:jc w:val="center"/>
        <w:rPr>
          <w:rFonts w:ascii="Times New Roman" w:hAnsi="Times New Roman"/>
          <w:b/>
          <w:bCs/>
          <w:sz w:val="28"/>
          <w:szCs w:val="28"/>
        </w:rPr>
      </w:pPr>
      <w:r>
        <w:rPr>
          <w:rFonts w:ascii="Times New Roman" w:hAnsi="Times New Roman"/>
          <w:b/>
          <w:bCs/>
          <w:sz w:val="28"/>
          <w:szCs w:val="28"/>
        </w:rPr>
        <w:t>KWARA STATE POLYTECHNIC, ILORIN</w:t>
      </w:r>
    </w:p>
    <w:p w14:paraId="18D54963">
      <w:pPr>
        <w:spacing w:before="240" w:after="240"/>
        <w:ind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14:paraId="42C11158">
      <w:pPr>
        <w:spacing w:before="240" w:after="240"/>
        <w:ind w:right="4"/>
        <w:jc w:val="center"/>
        <w:rPr>
          <w:rFonts w:ascii="Times New Roman" w:hAnsi="Times New Roman"/>
          <w:b/>
          <w:bCs/>
          <w:sz w:val="28"/>
          <w:szCs w:val="28"/>
        </w:rPr>
      </w:pPr>
      <w:r>
        <w:rPr>
          <w:rFonts w:ascii="Times New Roman" w:hAnsi="Times New Roman"/>
          <w:b/>
          <w:bCs/>
          <w:sz w:val="28"/>
          <w:szCs w:val="28"/>
        </w:rPr>
        <w:t>SUPERVISED BY:</w:t>
      </w:r>
    </w:p>
    <w:p w14:paraId="6DF5AD07">
      <w:pPr>
        <w:pStyle w:val="27"/>
        <w:spacing w:after="240" w:line="360" w:lineRule="auto"/>
        <w:jc w:val="center"/>
        <w:rPr>
          <w:rFonts w:ascii="Times New Roman" w:hAnsi="Times New Roman"/>
          <w:b/>
          <w:sz w:val="28"/>
          <w:szCs w:val="28"/>
        </w:rPr>
      </w:pPr>
      <w:r>
        <w:rPr>
          <w:rFonts w:ascii="Times New Roman" w:hAnsi="Times New Roman"/>
          <w:b/>
          <w:sz w:val="28"/>
          <w:szCs w:val="28"/>
        </w:rPr>
        <w:t>MRS. OTUYO M.</w:t>
      </w:r>
    </w:p>
    <w:p w14:paraId="14A652C7">
      <w:pPr>
        <w:pStyle w:val="27"/>
        <w:spacing w:after="240" w:line="360" w:lineRule="auto"/>
        <w:jc w:val="right"/>
        <w:rPr>
          <w:rFonts w:ascii="Times New Roman" w:hAnsi="Times New Roman"/>
          <w:b/>
          <w:bCs/>
          <w:sz w:val="28"/>
          <w:szCs w:val="28"/>
        </w:rPr>
      </w:pPr>
      <w:r>
        <w:rPr>
          <w:rFonts w:ascii="Times New Roman" w:hAnsi="Times New Roman"/>
          <w:b/>
          <w:bCs/>
          <w:sz w:val="28"/>
          <w:szCs w:val="28"/>
        </w:rPr>
        <w:t>2024/2025 SESSION</w:t>
      </w:r>
    </w:p>
    <w:p w14:paraId="7FF95A01">
      <w:pPr>
        <w:spacing w:line="360" w:lineRule="auto"/>
        <w:jc w:val="center"/>
        <w:rPr>
          <w:rFonts w:ascii="Times New Roman" w:hAnsi="Times New Roman"/>
          <w:b/>
          <w:sz w:val="24"/>
          <w:szCs w:val="24"/>
        </w:rPr>
      </w:pPr>
    </w:p>
    <w:p w14:paraId="04C03FF6">
      <w:pPr>
        <w:spacing w:line="360" w:lineRule="auto"/>
        <w:jc w:val="center"/>
        <w:rPr>
          <w:rFonts w:ascii="Times New Roman" w:hAnsi="Times New Roman"/>
          <w:b/>
          <w:sz w:val="24"/>
          <w:szCs w:val="24"/>
        </w:rPr>
      </w:pPr>
    </w:p>
    <w:p w14:paraId="628A788C">
      <w:pPr>
        <w:spacing w:line="360" w:lineRule="auto"/>
        <w:jc w:val="center"/>
        <w:rPr>
          <w:rFonts w:ascii="Times New Roman" w:hAnsi="Times New Roman"/>
          <w:b/>
          <w:sz w:val="24"/>
          <w:szCs w:val="24"/>
        </w:rPr>
      </w:pPr>
    </w:p>
    <w:p w14:paraId="34B28956">
      <w:pPr>
        <w:spacing w:line="360" w:lineRule="auto"/>
        <w:jc w:val="center"/>
        <w:rPr>
          <w:rFonts w:ascii="Times New Roman" w:hAnsi="Times New Roman"/>
          <w:b/>
          <w:sz w:val="24"/>
          <w:szCs w:val="24"/>
        </w:rPr>
      </w:pPr>
      <w:r>
        <w:rPr>
          <w:rFonts w:ascii="Times New Roman" w:hAnsi="Times New Roman"/>
          <w:b/>
          <w:sz w:val="24"/>
          <w:szCs w:val="24"/>
        </w:rPr>
        <w:t>CERTIFICATION</w:t>
      </w:r>
    </w:p>
    <w:p w14:paraId="406C6286">
      <w:pPr>
        <w:spacing w:after="240" w:line="240" w:lineRule="auto"/>
        <w:ind w:right="4"/>
        <w:jc w:val="center"/>
        <w:rPr>
          <w:rFonts w:ascii="Times New Roman" w:hAnsi="Times New Roman"/>
          <w:b/>
          <w:bCs/>
          <w:sz w:val="26"/>
          <w:szCs w:val="26"/>
        </w:rPr>
      </w:pPr>
      <w:r>
        <w:rPr>
          <w:rFonts w:ascii="Times New Roman" w:hAnsi="Times New Roman"/>
          <w:sz w:val="26"/>
          <w:szCs w:val="26"/>
        </w:rPr>
        <w:t xml:space="preserve">This is to certify that this project work was carried out by </w:t>
      </w:r>
      <w:r>
        <w:rPr>
          <w:rFonts w:hint="default" w:ascii="Times New Roman" w:hAnsi="Times New Roman"/>
          <w:b/>
          <w:sz w:val="26"/>
          <w:szCs w:val="26"/>
          <w:lang w:val="en-US"/>
        </w:rPr>
        <w:t xml:space="preserve">OSIFADE KABIRAT OLUWARANTIMI </w:t>
      </w:r>
      <w:r>
        <w:rPr>
          <w:rFonts w:ascii="Times New Roman" w:hAnsi="Times New Roman"/>
          <w:sz w:val="26"/>
          <w:szCs w:val="26"/>
        </w:rPr>
        <w:t xml:space="preserve">with Matriculation Numbers </w:t>
      </w:r>
      <w:r>
        <w:rPr>
          <w:rFonts w:ascii="Times New Roman" w:hAnsi="Times New Roman"/>
          <w:b/>
          <w:bCs/>
          <w:sz w:val="26"/>
          <w:szCs w:val="26"/>
        </w:rPr>
        <w:t>HND/23/SLT/FT/0</w:t>
      </w:r>
      <w:r>
        <w:rPr>
          <w:rFonts w:hint="default" w:ascii="Times New Roman" w:hAnsi="Times New Roman"/>
          <w:b/>
          <w:bCs/>
          <w:sz w:val="26"/>
          <w:szCs w:val="26"/>
          <w:lang w:val="en-US"/>
        </w:rPr>
        <w:t>648</w:t>
      </w:r>
      <w:bookmarkStart w:id="46" w:name="_GoBack"/>
      <w:bookmarkEnd w:id="46"/>
      <w:r>
        <w:rPr>
          <w:rFonts w:ascii="Times New Roman" w:hAnsi="Times New Roman"/>
          <w:sz w:val="26"/>
          <w:szCs w:val="26"/>
        </w:rPr>
        <w:t>, as part of the requirements for the Award of Higher National Diploma (HND) in Science Laboratory Technology (SLT).</w:t>
      </w:r>
    </w:p>
    <w:p w14:paraId="74A99EDE">
      <w:pPr>
        <w:spacing w:line="360" w:lineRule="auto"/>
        <w:jc w:val="both"/>
        <w:rPr>
          <w:rFonts w:ascii="Times New Roman" w:hAnsi="Times New Roman"/>
          <w:sz w:val="24"/>
          <w:szCs w:val="24"/>
        </w:rPr>
      </w:pPr>
    </w:p>
    <w:p w14:paraId="145F7CD7">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 xml:space="preserve">_______________________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p>
    <w:p w14:paraId="7BE02AD2">
      <w:pPr>
        <w:spacing w:line="360" w:lineRule="auto"/>
        <w:jc w:val="both"/>
        <w:rPr>
          <w:rFonts w:ascii="Times New Roman" w:hAnsi="Times New Roman"/>
          <w:b/>
          <w:sz w:val="24"/>
          <w:szCs w:val="24"/>
        </w:rPr>
      </w:pPr>
      <w:r>
        <w:rPr>
          <w:rFonts w:ascii="Times New Roman" w:hAnsi="Times New Roman"/>
          <w:b/>
        </w:rPr>
        <w:t>MRS. OTUYO 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3DA41ED6">
      <w:pPr>
        <w:spacing w:line="360" w:lineRule="auto"/>
        <w:jc w:val="both"/>
        <w:rPr>
          <w:rFonts w:ascii="Times New Roman" w:hAnsi="Times New Roman"/>
          <w:sz w:val="24"/>
          <w:szCs w:val="24"/>
        </w:rPr>
      </w:pPr>
      <w:r>
        <w:rPr>
          <w:rFonts w:ascii="Times New Roman" w:hAnsi="Times New Roman"/>
          <w:sz w:val="24"/>
          <w:szCs w:val="24"/>
        </w:rPr>
        <w:t>(PROJECT SUPERVISOR)</w:t>
      </w:r>
    </w:p>
    <w:p w14:paraId="4491760E">
      <w:pPr>
        <w:spacing w:line="360" w:lineRule="auto"/>
        <w:jc w:val="both"/>
        <w:rPr>
          <w:rFonts w:ascii="Times New Roman" w:hAnsi="Times New Roman"/>
          <w:sz w:val="24"/>
          <w:szCs w:val="24"/>
        </w:rPr>
      </w:pPr>
    </w:p>
    <w:p w14:paraId="2A11120E">
      <w:pPr>
        <w:spacing w:line="360" w:lineRule="auto"/>
        <w:jc w:val="both"/>
        <w:rPr>
          <w:rFonts w:ascii="Times New Roman" w:hAnsi="Times New Roman"/>
          <w:sz w:val="24"/>
          <w:szCs w:val="24"/>
        </w:rPr>
      </w:pPr>
    </w:p>
    <w:p w14:paraId="30E791F0">
      <w:pPr>
        <w:spacing w:line="360" w:lineRule="auto"/>
        <w:jc w:val="both"/>
        <w:rPr>
          <w:rFonts w:ascii="Times New Roman" w:hAnsi="Times New Roman"/>
          <w:sz w:val="24"/>
          <w:szCs w:val="24"/>
        </w:rPr>
      </w:pPr>
    </w:p>
    <w:p w14:paraId="7B2122AF">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___________________</w:t>
      </w:r>
    </w:p>
    <w:p w14:paraId="0A1861A2">
      <w:pPr>
        <w:spacing w:line="360" w:lineRule="auto"/>
        <w:jc w:val="both"/>
        <w:rPr>
          <w:rFonts w:ascii="Times New Roman" w:hAnsi="Times New Roman"/>
          <w:b/>
          <w:sz w:val="24"/>
          <w:szCs w:val="24"/>
        </w:rPr>
      </w:pPr>
      <w:r>
        <w:rPr>
          <w:rFonts w:ascii="Times New Roman" w:hAnsi="Times New Roman"/>
          <w:b/>
        </w:rPr>
        <w:t>DR. 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DATE</w:t>
      </w:r>
    </w:p>
    <w:p w14:paraId="4C02C2C9">
      <w:pPr>
        <w:spacing w:line="360" w:lineRule="auto"/>
        <w:jc w:val="both"/>
        <w:rPr>
          <w:rFonts w:ascii="Times New Roman" w:hAnsi="Times New Roman"/>
          <w:sz w:val="24"/>
          <w:szCs w:val="24"/>
        </w:rPr>
      </w:pPr>
      <w:r>
        <w:rPr>
          <w:rFonts w:ascii="Times New Roman" w:hAnsi="Times New Roman"/>
          <w:sz w:val="24"/>
          <w:szCs w:val="24"/>
        </w:rPr>
        <w:t>(HEAD OF DEPARTMENT)</w:t>
      </w:r>
    </w:p>
    <w:p w14:paraId="481CD928">
      <w:pPr>
        <w:spacing w:line="360" w:lineRule="auto"/>
        <w:jc w:val="both"/>
        <w:rPr>
          <w:rFonts w:ascii="Times New Roman" w:hAnsi="Times New Roman"/>
          <w:sz w:val="24"/>
          <w:szCs w:val="24"/>
        </w:rPr>
      </w:pPr>
    </w:p>
    <w:p w14:paraId="20E71CD3">
      <w:pPr>
        <w:spacing w:line="360" w:lineRule="auto"/>
        <w:jc w:val="both"/>
        <w:rPr>
          <w:rFonts w:ascii="Times New Roman" w:hAnsi="Times New Roman"/>
          <w:sz w:val="24"/>
          <w:szCs w:val="24"/>
        </w:rPr>
      </w:pPr>
    </w:p>
    <w:p w14:paraId="0EF6657B">
      <w:pPr>
        <w:spacing w:line="360" w:lineRule="auto"/>
        <w:jc w:val="both"/>
        <w:rPr>
          <w:rFonts w:ascii="Times New Roman" w:hAnsi="Times New Roman"/>
          <w:sz w:val="24"/>
          <w:szCs w:val="24"/>
        </w:rPr>
      </w:pPr>
      <w:r>
        <w:rPr>
          <w:rFonts w:ascii="Times New Roman" w:hAnsi="Times New Roman"/>
          <w:sz w:val="24"/>
          <w:szCs w:val="24"/>
        </w:rPr>
        <w:t>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t xml:space="preserve">___________________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_____________________</w:t>
      </w:r>
      <w:r>
        <w:rPr>
          <w:rFonts w:ascii="Times New Roman" w:hAnsi="Times New Roman"/>
          <w:b/>
          <w:sz w:val="24"/>
          <w:szCs w:val="24"/>
        </w:rPr>
        <w:tab/>
      </w:r>
      <w:r>
        <w:rPr>
          <w:rFonts w:ascii="Times New Roman" w:hAnsi="Times New Roman"/>
          <w:b/>
          <w:sz w:val="24"/>
          <w:szCs w:val="24"/>
        </w:rPr>
        <w:tab/>
      </w:r>
    </w:p>
    <w:p w14:paraId="3CB0E4D8">
      <w:pPr>
        <w:spacing w:line="360" w:lineRule="auto"/>
        <w:jc w:val="both"/>
        <w:rPr>
          <w:rFonts w:ascii="Times New Roman" w:hAnsi="Times New Roman"/>
          <w:b/>
        </w:rPr>
      </w:pPr>
      <w:r>
        <w:rPr>
          <w:rFonts w:ascii="Times New Roman" w:hAnsi="Times New Roman"/>
          <w:b/>
        </w:rPr>
        <w:t>MISS AHMED T.O</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DATE</w:t>
      </w:r>
    </w:p>
    <w:p w14:paraId="6789DF81">
      <w:pPr>
        <w:spacing w:line="360" w:lineRule="auto"/>
        <w:jc w:val="both"/>
        <w:rPr>
          <w:rFonts w:ascii="Times New Roman" w:hAnsi="Times New Roman"/>
          <w:b/>
          <w:sz w:val="24"/>
          <w:szCs w:val="24"/>
        </w:rPr>
      </w:pPr>
      <w:r>
        <w:rPr>
          <w:rFonts w:ascii="Times New Roman" w:hAnsi="Times New Roman"/>
        </w:rPr>
        <w:t>(HEAD OF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7B020817">
      <w:pPr>
        <w:spacing w:line="360" w:lineRule="auto"/>
        <w:jc w:val="both"/>
        <w:rPr>
          <w:rFonts w:ascii="Times New Roman" w:hAnsi="Times New Roman"/>
          <w:b/>
          <w:sz w:val="24"/>
          <w:szCs w:val="24"/>
        </w:rPr>
      </w:pPr>
    </w:p>
    <w:p w14:paraId="1E6DB3C9">
      <w:pPr>
        <w:spacing w:line="360" w:lineRule="auto"/>
        <w:jc w:val="both"/>
        <w:rPr>
          <w:rFonts w:ascii="Times New Roman" w:hAnsi="Times New Roman"/>
          <w:b/>
          <w:sz w:val="24"/>
          <w:szCs w:val="24"/>
        </w:rPr>
      </w:pPr>
    </w:p>
    <w:p w14:paraId="41D0B46B">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DEDICATION</w:t>
      </w:r>
    </w:p>
    <w:p w14:paraId="76B550C7">
      <w:pPr>
        <w:rPr>
          <w:rFonts w:hint="default" w:ascii="Times New Roman" w:hAnsi="Times New Roman" w:cs="Times New Roman"/>
          <w:sz w:val="26"/>
          <w:szCs w:val="26"/>
        </w:rPr>
      </w:pPr>
      <w:r>
        <w:rPr>
          <w:rFonts w:hint="default" w:ascii="Times New Roman" w:hAnsi="Times New Roman" w:cs="Times New Roman"/>
          <w:sz w:val="26"/>
          <w:szCs w:val="26"/>
        </w:rPr>
        <w:t>This project is dedicated to Almighty Allah, the most gracious, the most merciful, the giver of life, wisdom,knowledge and understanding who has protected us through the completion of this program.</w:t>
      </w:r>
    </w:p>
    <w:p w14:paraId="3AE959BF">
      <w:pPr>
        <w:rPr>
          <w:rFonts w:hint="default" w:ascii="Times New Roman" w:hAnsi="Times New Roman" w:cs="Times New Roman"/>
          <w:sz w:val="26"/>
          <w:szCs w:val="26"/>
        </w:rPr>
      </w:pPr>
      <w:r>
        <w:rPr>
          <w:rFonts w:hint="default" w:ascii="Times New Roman" w:hAnsi="Times New Roman" w:cs="Times New Roman"/>
          <w:sz w:val="26"/>
          <w:szCs w:val="26"/>
        </w:rPr>
        <w:t>Also to my family, for their support throughout this project,My Late mom OSHIFADE RASHIDAT FUMILAYO I pray Allah forgives all her shortcomings and grants her ALJANNA friduas Ameen,and also to the department of Science Laboratory Technology (SLT).</w:t>
      </w:r>
    </w:p>
    <w:p w14:paraId="44D9D8B1">
      <w:pPr>
        <w:snapToGrid w:val="0"/>
        <w:spacing w:after="0" w:line="360" w:lineRule="auto"/>
        <w:jc w:val="both"/>
        <w:textAlignment w:val="baseline"/>
        <w:rPr>
          <w:rFonts w:ascii="Times New Roman" w:hAnsi="Times New Roman"/>
          <w:b/>
          <w:sz w:val="26"/>
          <w:szCs w:val="26"/>
        </w:rPr>
      </w:pPr>
    </w:p>
    <w:p w14:paraId="75BDDB38">
      <w:pPr>
        <w:snapToGrid w:val="0"/>
        <w:spacing w:after="0" w:line="360" w:lineRule="auto"/>
        <w:jc w:val="center"/>
        <w:textAlignment w:val="baseline"/>
        <w:rPr>
          <w:rFonts w:ascii="Times New Roman" w:hAnsi="Times New Roman"/>
          <w:b/>
          <w:sz w:val="28"/>
          <w:szCs w:val="28"/>
        </w:rPr>
      </w:pPr>
    </w:p>
    <w:p w14:paraId="11F3EA2A">
      <w:pPr>
        <w:snapToGrid w:val="0"/>
        <w:spacing w:after="0" w:line="360" w:lineRule="auto"/>
        <w:jc w:val="center"/>
        <w:textAlignment w:val="baseline"/>
        <w:rPr>
          <w:rFonts w:ascii="Times New Roman" w:hAnsi="Times New Roman"/>
          <w:b/>
          <w:sz w:val="28"/>
          <w:szCs w:val="28"/>
        </w:rPr>
      </w:pPr>
    </w:p>
    <w:p w14:paraId="64A8B8E5">
      <w:pPr>
        <w:snapToGrid w:val="0"/>
        <w:spacing w:after="0" w:line="360" w:lineRule="auto"/>
        <w:jc w:val="center"/>
        <w:textAlignment w:val="baseline"/>
        <w:rPr>
          <w:rFonts w:ascii="Times New Roman" w:hAnsi="Times New Roman"/>
          <w:b/>
          <w:sz w:val="28"/>
          <w:szCs w:val="28"/>
        </w:rPr>
      </w:pPr>
    </w:p>
    <w:p w14:paraId="29412CE0">
      <w:pPr>
        <w:snapToGrid w:val="0"/>
        <w:spacing w:after="0" w:line="360" w:lineRule="auto"/>
        <w:jc w:val="center"/>
        <w:textAlignment w:val="baseline"/>
        <w:rPr>
          <w:rFonts w:ascii="Times New Roman" w:hAnsi="Times New Roman"/>
          <w:b/>
          <w:sz w:val="28"/>
          <w:szCs w:val="28"/>
        </w:rPr>
      </w:pPr>
    </w:p>
    <w:p w14:paraId="05E3F04B">
      <w:pPr>
        <w:snapToGrid w:val="0"/>
        <w:spacing w:after="0" w:line="360" w:lineRule="auto"/>
        <w:jc w:val="center"/>
        <w:textAlignment w:val="baseline"/>
        <w:rPr>
          <w:rFonts w:ascii="Times New Roman" w:hAnsi="Times New Roman"/>
          <w:b/>
          <w:sz w:val="28"/>
          <w:szCs w:val="28"/>
        </w:rPr>
      </w:pPr>
    </w:p>
    <w:p w14:paraId="7BF5AE7F">
      <w:pPr>
        <w:snapToGrid w:val="0"/>
        <w:spacing w:after="0" w:line="360" w:lineRule="auto"/>
        <w:jc w:val="center"/>
        <w:textAlignment w:val="baseline"/>
        <w:rPr>
          <w:rFonts w:ascii="Times New Roman" w:hAnsi="Times New Roman"/>
          <w:b/>
          <w:sz w:val="28"/>
          <w:szCs w:val="28"/>
        </w:rPr>
      </w:pPr>
    </w:p>
    <w:p w14:paraId="647B1721">
      <w:pPr>
        <w:snapToGrid w:val="0"/>
        <w:spacing w:after="0" w:line="360" w:lineRule="auto"/>
        <w:jc w:val="center"/>
        <w:textAlignment w:val="baseline"/>
        <w:rPr>
          <w:rFonts w:ascii="Times New Roman" w:hAnsi="Times New Roman"/>
          <w:b/>
          <w:sz w:val="28"/>
          <w:szCs w:val="28"/>
        </w:rPr>
      </w:pPr>
    </w:p>
    <w:p w14:paraId="681E136B">
      <w:pPr>
        <w:snapToGrid w:val="0"/>
        <w:spacing w:after="0" w:line="360" w:lineRule="auto"/>
        <w:jc w:val="center"/>
        <w:textAlignment w:val="baseline"/>
        <w:rPr>
          <w:rFonts w:ascii="Times New Roman" w:hAnsi="Times New Roman"/>
          <w:b/>
          <w:sz w:val="28"/>
          <w:szCs w:val="28"/>
        </w:rPr>
      </w:pPr>
    </w:p>
    <w:p w14:paraId="5BC8EAB5">
      <w:pPr>
        <w:snapToGrid w:val="0"/>
        <w:spacing w:after="0" w:line="360" w:lineRule="auto"/>
        <w:jc w:val="center"/>
        <w:textAlignment w:val="baseline"/>
        <w:rPr>
          <w:rFonts w:ascii="Times New Roman" w:hAnsi="Times New Roman"/>
          <w:b/>
          <w:sz w:val="28"/>
          <w:szCs w:val="28"/>
        </w:rPr>
      </w:pPr>
    </w:p>
    <w:p w14:paraId="3AA382D7">
      <w:pPr>
        <w:snapToGrid w:val="0"/>
        <w:spacing w:after="0" w:line="360" w:lineRule="auto"/>
        <w:jc w:val="center"/>
        <w:textAlignment w:val="baseline"/>
        <w:rPr>
          <w:rFonts w:ascii="Times New Roman" w:hAnsi="Times New Roman"/>
          <w:b/>
          <w:sz w:val="28"/>
          <w:szCs w:val="28"/>
        </w:rPr>
      </w:pPr>
    </w:p>
    <w:p w14:paraId="28852CBE">
      <w:pPr>
        <w:snapToGrid w:val="0"/>
        <w:spacing w:after="0" w:line="360" w:lineRule="auto"/>
        <w:jc w:val="center"/>
        <w:textAlignment w:val="baseline"/>
        <w:rPr>
          <w:rFonts w:ascii="Times New Roman" w:hAnsi="Times New Roman"/>
          <w:b/>
          <w:sz w:val="28"/>
          <w:szCs w:val="28"/>
        </w:rPr>
      </w:pPr>
    </w:p>
    <w:p w14:paraId="7B3D4A5D">
      <w:pPr>
        <w:snapToGrid w:val="0"/>
        <w:spacing w:after="0" w:line="360" w:lineRule="auto"/>
        <w:jc w:val="center"/>
        <w:textAlignment w:val="baseline"/>
        <w:rPr>
          <w:rFonts w:ascii="Times New Roman" w:hAnsi="Times New Roman"/>
          <w:b/>
          <w:sz w:val="28"/>
          <w:szCs w:val="28"/>
        </w:rPr>
      </w:pPr>
    </w:p>
    <w:p w14:paraId="39052126">
      <w:pPr>
        <w:snapToGrid w:val="0"/>
        <w:spacing w:after="0" w:line="360" w:lineRule="auto"/>
        <w:jc w:val="center"/>
        <w:textAlignment w:val="baseline"/>
        <w:rPr>
          <w:rFonts w:ascii="Times New Roman" w:hAnsi="Times New Roman"/>
          <w:b/>
          <w:sz w:val="28"/>
          <w:szCs w:val="28"/>
        </w:rPr>
      </w:pPr>
    </w:p>
    <w:p w14:paraId="6661FD89">
      <w:pPr>
        <w:snapToGrid w:val="0"/>
        <w:spacing w:after="0" w:line="360" w:lineRule="auto"/>
        <w:jc w:val="center"/>
        <w:textAlignment w:val="baseline"/>
        <w:rPr>
          <w:rFonts w:ascii="Times New Roman" w:hAnsi="Times New Roman"/>
          <w:b/>
          <w:sz w:val="28"/>
          <w:szCs w:val="28"/>
        </w:rPr>
      </w:pPr>
    </w:p>
    <w:p w14:paraId="6455979A">
      <w:pPr>
        <w:snapToGrid w:val="0"/>
        <w:spacing w:after="0" w:line="360" w:lineRule="auto"/>
        <w:jc w:val="center"/>
        <w:textAlignment w:val="baseline"/>
        <w:rPr>
          <w:rFonts w:ascii="Times New Roman" w:hAnsi="Times New Roman"/>
          <w:b/>
          <w:sz w:val="28"/>
          <w:szCs w:val="28"/>
        </w:rPr>
      </w:pPr>
    </w:p>
    <w:p w14:paraId="076040CA">
      <w:pPr>
        <w:snapToGrid w:val="0"/>
        <w:spacing w:after="0" w:line="360" w:lineRule="auto"/>
        <w:jc w:val="center"/>
        <w:textAlignment w:val="baseline"/>
        <w:rPr>
          <w:rFonts w:ascii="Times New Roman" w:hAnsi="Times New Roman"/>
          <w:b/>
          <w:sz w:val="28"/>
          <w:szCs w:val="28"/>
        </w:rPr>
      </w:pPr>
    </w:p>
    <w:p w14:paraId="416AB45E">
      <w:pPr>
        <w:snapToGrid w:val="0"/>
        <w:spacing w:after="0" w:line="360" w:lineRule="auto"/>
        <w:jc w:val="center"/>
        <w:textAlignment w:val="baseline"/>
        <w:rPr>
          <w:rFonts w:ascii="Times New Roman" w:hAnsi="Times New Roman"/>
          <w:b/>
          <w:sz w:val="28"/>
          <w:szCs w:val="28"/>
        </w:rPr>
      </w:pPr>
    </w:p>
    <w:p w14:paraId="724AA907">
      <w:pPr>
        <w:snapToGrid w:val="0"/>
        <w:spacing w:after="0" w:line="360" w:lineRule="auto"/>
        <w:jc w:val="center"/>
        <w:textAlignment w:val="baseline"/>
        <w:rPr>
          <w:rFonts w:ascii="Times New Roman" w:hAnsi="Times New Roman"/>
          <w:b/>
          <w:sz w:val="28"/>
          <w:szCs w:val="28"/>
        </w:rPr>
      </w:pPr>
    </w:p>
    <w:p w14:paraId="63D6D2CF">
      <w:pPr>
        <w:snapToGrid w:val="0"/>
        <w:spacing w:after="0" w:line="360" w:lineRule="auto"/>
        <w:jc w:val="center"/>
        <w:textAlignment w:val="baseline"/>
        <w:rPr>
          <w:rFonts w:ascii="Times New Roman" w:hAnsi="Times New Roman"/>
          <w:b/>
          <w:sz w:val="28"/>
          <w:szCs w:val="28"/>
        </w:rPr>
      </w:pPr>
    </w:p>
    <w:p w14:paraId="4F46E324">
      <w:pPr>
        <w:snapToGrid w:val="0"/>
        <w:spacing w:after="0" w:line="360" w:lineRule="auto"/>
        <w:jc w:val="center"/>
        <w:textAlignment w:val="baseline"/>
        <w:rPr>
          <w:rFonts w:ascii="Times New Roman" w:hAnsi="Times New Roman"/>
          <w:b/>
          <w:sz w:val="28"/>
          <w:szCs w:val="28"/>
        </w:rPr>
      </w:pPr>
    </w:p>
    <w:p w14:paraId="308CEDEF">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 xml:space="preserve">ACKNOWLEDGEMENT </w:t>
      </w:r>
    </w:p>
    <w:p w14:paraId="4A37D5B2">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Firstly, I am indebted to Almighty Allah for the giving me an opportunity to endure the reign of my studies and excel in my effort to complete this project on time.ALHAMDULILAHI </w:t>
      </w:r>
    </w:p>
    <w:p w14:paraId="2AAD9F2B">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I will also like to thank my Amiable project supervisor MRS.OTUYO Who is taking academic programmed and personal commitment in supervising the project and for her words of encouragement,advise and contribution, May Almighty Allah bless you and your families.Mash Allahu </w:t>
      </w:r>
    </w:p>
    <w:p w14:paraId="771A32D0">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I will like to thank the teaching and Non teaching staff of my department whose valuable guidance has been the one that helped me patch this project and make it a success. Their instructions and suggestion has served as the major contribution towards the completion of the project.</w:t>
      </w:r>
    </w:p>
    <w:p w14:paraId="54CAD366">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Then I would like to say a very big appreciation to my parents MR AND MRS OSIFADE but most especially my late mom MRS OSIFADE RASHIDAT who isn’t here today to witness my success even after all her struggles,the pains she endured all just because of me I pray Allah forgives all her shortcomings and grant her Aljana fridaus Amin.And my dad MR.OSIFADE ABDUL-GANIU thanks for all your support,guidance and also who you make me realize how life works,for never stopped believing in me and the words of encouragement you give I really appreciate all that,I pray Allah rahmon blesses you with long life and prosperity in good health and wealth with peace of mind so as to reap the fruits of your labour.Amin </w:t>
      </w:r>
    </w:p>
    <w:p w14:paraId="5DB61FAE">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To my entire families both from mother side and father side,for the love they’ve  all shown me the care and for always supporting and cheering me up all this won’t have been possible without their guidance and their valuable instruction and suggestion and also their prayer have been pushing me through all the difficulty till now.</w:t>
      </w:r>
    </w:p>
    <w:p w14:paraId="20C902BC">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Also my special thanks goes to my brothers like my father and my sisters if I start mentioning names here there would be a long passage but I would say a very big thank you to you all for the words of encouragement that has served as a major and your financial support and contribution towards the completion of this project.</w:t>
      </w:r>
    </w:p>
    <w:p w14:paraId="6E1E0837">
      <w:pPr>
        <w:spacing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Lastly, I would like to thank my course mates whom we’ve all been together from the beginning of this journey till the end,we’ve came,we’ve saw and above all we all conquered it all even when things weren’t how it was supposed to be we still fought and we conquered everything you guys really are my real MVP’s </w:t>
      </w:r>
    </w:p>
    <w:p w14:paraId="0518CA0F">
      <w:pPr>
        <w:spacing w:line="240" w:lineRule="auto"/>
        <w:rPr>
          <w:rFonts w:ascii="Times New Roman" w:hAnsi="Times New Roman"/>
          <w:b/>
          <w:sz w:val="28"/>
          <w:szCs w:val="28"/>
        </w:rPr>
      </w:pPr>
      <w:r>
        <w:rPr>
          <w:rFonts w:hint="default" w:ascii="Times New Roman" w:hAnsi="Times New Roman" w:cs="Times New Roman"/>
          <w:sz w:val="26"/>
          <w:szCs w:val="26"/>
        </w:rPr>
        <w:t>Big thanks to my colleagues that we did the seminar and project together for their cooperation and for making it a success.</w:t>
      </w:r>
    </w:p>
    <w:p w14:paraId="177744F9">
      <w:pPr>
        <w:snapToGrid w:val="0"/>
        <w:spacing w:after="0" w:line="360" w:lineRule="auto"/>
        <w:textAlignment w:val="baseline"/>
        <w:rPr>
          <w:rFonts w:ascii="Times New Roman" w:hAnsi="Times New Roman"/>
          <w:b/>
          <w:sz w:val="28"/>
          <w:szCs w:val="28"/>
        </w:rPr>
      </w:pPr>
    </w:p>
    <w:p w14:paraId="0588EA68">
      <w:pPr>
        <w:snapToGrid w:val="0"/>
        <w:spacing w:after="0" w:line="360" w:lineRule="auto"/>
        <w:jc w:val="center"/>
        <w:textAlignment w:val="baseline"/>
        <w:rPr>
          <w:rFonts w:ascii="Times New Roman" w:hAnsi="Times New Roman"/>
          <w:b/>
          <w:sz w:val="28"/>
          <w:szCs w:val="28"/>
        </w:rPr>
      </w:pPr>
      <w:r>
        <w:rPr>
          <w:rFonts w:ascii="Times New Roman" w:hAnsi="Times New Roman"/>
          <w:b/>
          <w:sz w:val="28"/>
          <w:szCs w:val="28"/>
        </w:rPr>
        <w:t>TABLE OF CONTENTS</w:t>
      </w:r>
    </w:p>
    <w:p w14:paraId="0976F5EE">
      <w:pPr>
        <w:snapToGrid w:val="0"/>
        <w:spacing w:after="0" w:line="480" w:lineRule="auto"/>
        <w:textAlignment w:val="baseline"/>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12F66884">
      <w:pPr>
        <w:snapToGrid w:val="0"/>
        <w:spacing w:after="0" w:line="480" w:lineRule="auto"/>
        <w:textAlignment w:val="baseline"/>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p>
    <w:p w14:paraId="3CB0A2F0">
      <w:pPr>
        <w:snapToGrid w:val="0"/>
        <w:spacing w:after="0" w:line="480" w:lineRule="auto"/>
        <w:textAlignment w:val="baseline"/>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4FAAB19E">
      <w:pPr>
        <w:snapToGrid w:val="0"/>
        <w:spacing w:after="0" w:line="480" w:lineRule="auto"/>
        <w:textAlignment w:val="baseline"/>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p>
    <w:p w14:paraId="173E1F16">
      <w:pPr>
        <w:snapToGrid w:val="0"/>
        <w:spacing w:after="0" w:line="480" w:lineRule="auto"/>
        <w:textAlignment w:val="baseline"/>
        <w:rPr>
          <w:rFonts w:ascii="Times New Roman" w:hAnsi="Times New Roman"/>
          <w:sz w:val="26"/>
          <w:szCs w:val="26"/>
        </w:rPr>
      </w:pPr>
      <w:r>
        <w:rPr>
          <w:rFonts w:ascii="Times New Roman" w:hAnsi="Times New Roman"/>
          <w:sz w:val="26"/>
          <w:szCs w:val="26"/>
        </w:rPr>
        <w:t>Table of Contents</w:t>
      </w:r>
    </w:p>
    <w:p w14:paraId="3670835D">
      <w:pPr>
        <w:snapToGrid w:val="0"/>
        <w:spacing w:after="0" w:line="480" w:lineRule="auto"/>
        <w:textAlignment w:val="baseline"/>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p>
    <w:p w14:paraId="2510AFF4">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1: Introduction</w:t>
      </w:r>
    </w:p>
    <w:p w14:paraId="2FFE2333">
      <w:pPr>
        <w:snapToGrid w:val="0"/>
        <w:spacing w:after="0" w:line="480" w:lineRule="auto"/>
        <w:textAlignment w:val="baseline"/>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Pr>
          <w:rFonts w:ascii="Times New Roman" w:hAnsi="Times New Roman"/>
          <w:sz w:val="26"/>
          <w:szCs w:val="26"/>
        </w:rPr>
        <w:t>Background of the Study</w:t>
      </w:r>
    </w:p>
    <w:p w14:paraId="4D514178">
      <w:pPr>
        <w:snapToGrid w:val="0"/>
        <w:spacing w:after="0" w:line="480" w:lineRule="auto"/>
        <w:textAlignment w:val="baseline"/>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Pr>
          <w:rFonts w:ascii="Times New Roman" w:hAnsi="Times New Roman"/>
          <w:sz w:val="26"/>
          <w:szCs w:val="26"/>
        </w:rPr>
        <w:t>Statement of the Problem</w:t>
      </w:r>
    </w:p>
    <w:p w14:paraId="32F33BF0">
      <w:pPr>
        <w:snapToGrid w:val="0"/>
        <w:spacing w:after="0" w:line="480" w:lineRule="auto"/>
        <w:textAlignment w:val="baseline"/>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Pr>
          <w:rFonts w:ascii="Times New Roman" w:hAnsi="Times New Roman"/>
          <w:sz w:val="26"/>
          <w:szCs w:val="26"/>
        </w:rPr>
        <w:t>Aim and objectives</w:t>
      </w:r>
    </w:p>
    <w:p w14:paraId="00AB4CD9">
      <w:pPr>
        <w:snapToGrid w:val="0"/>
        <w:spacing w:after="0" w:line="480" w:lineRule="auto"/>
        <w:textAlignment w:val="baseline"/>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Pr>
          <w:rFonts w:ascii="Times New Roman" w:hAnsi="Times New Roman"/>
          <w:sz w:val="26"/>
          <w:szCs w:val="26"/>
        </w:rPr>
        <w:t>Significance of the Study</w:t>
      </w:r>
    </w:p>
    <w:p w14:paraId="55785FE7">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2: Literature Review</w:t>
      </w:r>
    </w:p>
    <w:p w14:paraId="72BF56CA">
      <w:pPr>
        <w:snapToGrid w:val="0"/>
        <w:spacing w:after="0" w:line="480" w:lineRule="auto"/>
        <w:textAlignment w:val="baseline"/>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r>
      <w:r>
        <w:rPr>
          <w:rFonts w:ascii="Times New Roman" w:hAnsi="Times New Roman"/>
          <w:sz w:val="26"/>
          <w:szCs w:val="26"/>
        </w:rPr>
        <w:t>Overview of Foodborne Pathogens</w:t>
      </w:r>
    </w:p>
    <w:p w14:paraId="5684EB21">
      <w:pPr>
        <w:snapToGrid w:val="0"/>
        <w:spacing w:after="0" w:line="480" w:lineRule="auto"/>
        <w:textAlignment w:val="baseline"/>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Pr>
          <w:rFonts w:ascii="Times New Roman" w:hAnsi="Times New Roman"/>
          <w:sz w:val="26"/>
          <w:szCs w:val="26"/>
        </w:rPr>
        <w:t xml:space="preserve">Common Pathogens in </w:t>
      </w:r>
      <w:r>
        <w:rPr>
          <w:rFonts w:ascii="Times New Roman" w:hAnsi="Times New Roman"/>
          <w:color w:val="000000"/>
          <w:sz w:val="26"/>
          <w:szCs w:val="26"/>
        </w:rPr>
        <w:t xml:space="preserve">Chin-chin </w:t>
      </w:r>
      <w:r>
        <w:rPr>
          <w:rFonts w:ascii="Times New Roman" w:hAnsi="Times New Roman"/>
          <w:sz w:val="26"/>
          <w:szCs w:val="26"/>
        </w:rPr>
        <w:t>Snacks</w:t>
      </w:r>
    </w:p>
    <w:p w14:paraId="12BA3A85">
      <w:pPr>
        <w:snapToGrid w:val="0"/>
        <w:spacing w:after="0" w:line="480" w:lineRule="auto"/>
        <w:textAlignment w:val="baseline"/>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r>
      <w:r>
        <w:rPr>
          <w:rFonts w:ascii="Times New Roman" w:hAnsi="Times New Roman"/>
          <w:sz w:val="26"/>
          <w:szCs w:val="26"/>
        </w:rPr>
        <w:t>Health Impacts of Foodborne Pathogens</w:t>
      </w:r>
    </w:p>
    <w:p w14:paraId="53BCEE94">
      <w:pPr>
        <w:snapToGrid w:val="0"/>
        <w:spacing w:after="0" w:line="480" w:lineRule="auto"/>
        <w:textAlignment w:val="baseline"/>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hAnsi="Times New Roman"/>
          <w:sz w:val="26"/>
          <w:szCs w:val="26"/>
        </w:rPr>
        <w:t>Previous Studies on Foodborne Pathogens</w:t>
      </w:r>
    </w:p>
    <w:p w14:paraId="33E123E2">
      <w:pPr>
        <w:snapToGrid w:val="0"/>
        <w:spacing w:after="0" w:line="480" w:lineRule="auto"/>
        <w:textAlignment w:val="baseline"/>
        <w:rPr>
          <w:rFonts w:ascii="Times New Roman" w:hAnsi="Times New Roman"/>
          <w:sz w:val="26"/>
          <w:szCs w:val="26"/>
        </w:rPr>
      </w:pPr>
      <w:r>
        <w:rPr>
          <w:rFonts w:ascii="Times New Roman" w:hAnsi="Times New Roman"/>
          <w:sz w:val="26"/>
          <w:szCs w:val="26"/>
        </w:rPr>
        <w:t>2.5</w:t>
      </w:r>
      <w:r>
        <w:rPr>
          <w:rFonts w:ascii="Times New Roman" w:hAnsi="Times New Roman"/>
          <w:sz w:val="26"/>
          <w:szCs w:val="26"/>
        </w:rPr>
        <w:tab/>
      </w:r>
      <w:r>
        <w:rPr>
          <w:rFonts w:ascii="Times New Roman" w:hAnsi="Times New Roman"/>
          <w:sz w:val="26"/>
          <w:szCs w:val="26"/>
        </w:rPr>
        <w:t>Regulations and Standards for Street Food</w:t>
      </w:r>
    </w:p>
    <w:p w14:paraId="4132D6B8">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3: Materials and Methods</w:t>
      </w:r>
    </w:p>
    <w:p w14:paraId="4D1674D1">
      <w:pPr>
        <w:pStyle w:val="14"/>
        <w:snapToGrid w:val="0"/>
        <w:spacing w:after="200"/>
        <w:jc w:val="both"/>
        <w:textAlignment w:val="baseline"/>
        <w:rPr>
          <w:sz w:val="26"/>
          <w:szCs w:val="26"/>
        </w:rPr>
      </w:pPr>
      <w:r>
        <w:rPr>
          <w:bCs/>
          <w:sz w:val="26"/>
          <w:szCs w:val="26"/>
        </w:rPr>
        <w:t>3.1</w:t>
      </w:r>
      <w:r>
        <w:rPr>
          <w:bCs/>
          <w:sz w:val="26"/>
          <w:szCs w:val="26"/>
        </w:rPr>
        <w:tab/>
      </w:r>
      <w:r>
        <w:rPr>
          <w:bCs/>
          <w:sz w:val="26"/>
          <w:szCs w:val="26"/>
        </w:rPr>
        <w:t>Study Area</w:t>
      </w:r>
    </w:p>
    <w:p w14:paraId="11D77D3D">
      <w:pPr>
        <w:pStyle w:val="14"/>
        <w:snapToGrid w:val="0"/>
        <w:spacing w:after="200"/>
        <w:jc w:val="both"/>
        <w:textAlignment w:val="baseline"/>
        <w:rPr>
          <w:bCs/>
          <w:sz w:val="26"/>
          <w:szCs w:val="26"/>
        </w:rPr>
      </w:pPr>
      <w:r>
        <w:rPr>
          <w:bCs/>
          <w:sz w:val="26"/>
          <w:szCs w:val="26"/>
        </w:rPr>
        <w:t>3.2</w:t>
      </w:r>
      <w:r>
        <w:rPr>
          <w:bCs/>
          <w:sz w:val="26"/>
          <w:szCs w:val="26"/>
        </w:rPr>
        <w:tab/>
      </w:r>
      <w:r>
        <w:rPr>
          <w:bCs/>
          <w:sz w:val="26"/>
          <w:szCs w:val="26"/>
        </w:rPr>
        <w:t>Sample Collection</w:t>
      </w:r>
    </w:p>
    <w:p w14:paraId="1959FB02">
      <w:pPr>
        <w:pStyle w:val="14"/>
        <w:snapToGrid w:val="0"/>
        <w:spacing w:after="200"/>
        <w:jc w:val="both"/>
        <w:textAlignment w:val="baseline"/>
        <w:rPr>
          <w:sz w:val="26"/>
          <w:szCs w:val="26"/>
        </w:rPr>
      </w:pPr>
      <w:r>
        <w:rPr>
          <w:bCs/>
          <w:sz w:val="26"/>
          <w:szCs w:val="26"/>
        </w:rPr>
        <w:t>3.3</w:t>
      </w:r>
      <w:r>
        <w:rPr>
          <w:bCs/>
          <w:sz w:val="26"/>
          <w:szCs w:val="26"/>
        </w:rPr>
        <w:tab/>
      </w:r>
      <w:r>
        <w:rPr>
          <w:bCs/>
          <w:sz w:val="26"/>
          <w:szCs w:val="26"/>
        </w:rPr>
        <w:t>Preparation of Culture Media</w:t>
      </w:r>
    </w:p>
    <w:p w14:paraId="079F275D">
      <w:pPr>
        <w:pStyle w:val="14"/>
        <w:snapToGrid w:val="0"/>
        <w:spacing w:after="200"/>
        <w:jc w:val="both"/>
        <w:textAlignment w:val="baseline"/>
        <w:rPr>
          <w:bCs/>
          <w:sz w:val="26"/>
          <w:szCs w:val="26"/>
        </w:rPr>
      </w:pPr>
      <w:r>
        <w:rPr>
          <w:bCs/>
          <w:sz w:val="26"/>
          <w:szCs w:val="26"/>
        </w:rPr>
        <w:t>3.4</w:t>
      </w:r>
      <w:r>
        <w:rPr>
          <w:bCs/>
          <w:sz w:val="26"/>
          <w:szCs w:val="26"/>
        </w:rPr>
        <w:tab/>
      </w:r>
      <w:r>
        <w:rPr>
          <w:bCs/>
          <w:sz w:val="26"/>
          <w:szCs w:val="26"/>
        </w:rPr>
        <w:t>Materials</w:t>
      </w:r>
    </w:p>
    <w:p w14:paraId="67E3D277">
      <w:pPr>
        <w:pStyle w:val="14"/>
        <w:snapToGrid w:val="0"/>
        <w:spacing w:after="200"/>
        <w:jc w:val="both"/>
        <w:textAlignment w:val="baseline"/>
        <w:rPr>
          <w:bCs/>
          <w:sz w:val="26"/>
          <w:szCs w:val="26"/>
        </w:rPr>
      </w:pPr>
      <w:r>
        <w:rPr>
          <w:bCs/>
          <w:sz w:val="26"/>
          <w:szCs w:val="26"/>
        </w:rPr>
        <w:t>3.5</w:t>
      </w:r>
      <w:r>
        <w:rPr>
          <w:bCs/>
          <w:sz w:val="26"/>
          <w:szCs w:val="26"/>
        </w:rPr>
        <w:tab/>
      </w:r>
      <w:r>
        <w:rPr>
          <w:bCs/>
          <w:sz w:val="26"/>
          <w:szCs w:val="26"/>
        </w:rPr>
        <w:t>Bacteriological and Mycological Analysis</w:t>
      </w:r>
    </w:p>
    <w:p w14:paraId="2C1BD027">
      <w:pPr>
        <w:pStyle w:val="14"/>
        <w:snapToGrid w:val="0"/>
        <w:spacing w:after="200"/>
        <w:jc w:val="both"/>
        <w:textAlignment w:val="baseline"/>
        <w:rPr>
          <w:sz w:val="26"/>
          <w:szCs w:val="26"/>
        </w:rPr>
      </w:pPr>
      <w:r>
        <w:rPr>
          <w:sz w:val="26"/>
          <w:szCs w:val="26"/>
        </w:rPr>
        <w:t>3.6</w:t>
      </w:r>
      <w:r>
        <w:rPr>
          <w:sz w:val="26"/>
          <w:szCs w:val="26"/>
        </w:rPr>
        <w:tab/>
      </w:r>
      <w:r>
        <w:rPr>
          <w:sz w:val="26"/>
          <w:szCs w:val="26"/>
        </w:rPr>
        <w:t>Isolation of Microorganisms</w:t>
      </w:r>
    </w:p>
    <w:p w14:paraId="1269B649">
      <w:pPr>
        <w:pStyle w:val="14"/>
        <w:snapToGrid w:val="0"/>
        <w:spacing w:after="200"/>
        <w:jc w:val="both"/>
        <w:textAlignment w:val="baseline"/>
        <w:rPr>
          <w:sz w:val="26"/>
          <w:szCs w:val="26"/>
        </w:rPr>
      </w:pPr>
      <w:r>
        <w:rPr>
          <w:sz w:val="26"/>
          <w:szCs w:val="26"/>
        </w:rPr>
        <w:t>3.7</w:t>
      </w:r>
      <w:r>
        <w:rPr>
          <w:sz w:val="26"/>
          <w:szCs w:val="26"/>
        </w:rPr>
        <w:tab/>
      </w:r>
      <w:r>
        <w:rPr>
          <w:sz w:val="26"/>
          <w:szCs w:val="26"/>
        </w:rPr>
        <w:t>Characteristics of Microbial Isolates</w:t>
      </w:r>
    </w:p>
    <w:p w14:paraId="32BFF7D9">
      <w:pPr>
        <w:pStyle w:val="14"/>
        <w:snapToGrid w:val="0"/>
        <w:spacing w:after="200"/>
        <w:jc w:val="both"/>
        <w:textAlignment w:val="baseline"/>
        <w:rPr>
          <w:sz w:val="26"/>
          <w:szCs w:val="26"/>
        </w:rPr>
      </w:pPr>
      <w:r>
        <w:rPr>
          <w:sz w:val="26"/>
          <w:szCs w:val="26"/>
        </w:rPr>
        <w:t>3.8</w:t>
      </w:r>
      <w:r>
        <w:rPr>
          <w:sz w:val="26"/>
          <w:szCs w:val="26"/>
        </w:rPr>
        <w:tab/>
      </w:r>
      <w:r>
        <w:rPr>
          <w:sz w:val="26"/>
          <w:szCs w:val="26"/>
        </w:rPr>
        <w:t>Biochemical Test</w:t>
      </w:r>
    </w:p>
    <w:p w14:paraId="7C3D34AD">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Chapter 4: Results</w:t>
      </w:r>
    </w:p>
    <w:p w14:paraId="68351E3D">
      <w:pPr>
        <w:snapToGrid w:val="0"/>
        <w:spacing w:after="0" w:line="480" w:lineRule="auto"/>
        <w:textAlignment w:val="baseline"/>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Pr>
          <w:rFonts w:ascii="Times New Roman" w:hAnsi="Times New Roman"/>
          <w:bCs/>
          <w:sz w:val="26"/>
          <w:szCs w:val="26"/>
        </w:rPr>
        <w:t>Total Bacteria Counts and Total Coliform Counts (CFU/ml)</w:t>
      </w:r>
    </w:p>
    <w:p w14:paraId="5552DE01">
      <w:pPr>
        <w:snapToGrid w:val="0"/>
        <w:spacing w:after="0" w:line="480" w:lineRule="auto"/>
        <w:textAlignment w:val="baseline"/>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r>
      <w:r>
        <w:rPr>
          <w:rFonts w:ascii="Times New Roman" w:hAnsi="Times New Roman"/>
          <w:bCs/>
          <w:sz w:val="26"/>
          <w:szCs w:val="26"/>
        </w:rPr>
        <w:t>Total Fungal Counts (CFU/ml)</w:t>
      </w:r>
    </w:p>
    <w:p w14:paraId="520598E8">
      <w:pPr>
        <w:snapToGrid w:val="0"/>
        <w:spacing w:after="0" w:line="480" w:lineRule="auto"/>
        <w:textAlignment w:val="baseline"/>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bCs/>
          <w:sz w:val="26"/>
          <w:szCs w:val="26"/>
        </w:rPr>
        <w:t>Biochemical Test</w:t>
      </w:r>
    </w:p>
    <w:p w14:paraId="384B1B33">
      <w:pPr>
        <w:snapToGrid w:val="0"/>
        <w:spacing w:after="0" w:line="480" w:lineRule="auto"/>
        <w:textAlignment w:val="baseline"/>
        <w:rPr>
          <w:rFonts w:ascii="Times New Roman" w:hAnsi="Times New Roman"/>
          <w:bCs/>
          <w:sz w:val="26"/>
          <w:szCs w:val="26"/>
        </w:rPr>
      </w:pPr>
      <w:r>
        <w:rPr>
          <w:rFonts w:ascii="Times New Roman" w:hAnsi="Times New Roman"/>
          <w:sz w:val="26"/>
          <w:szCs w:val="26"/>
        </w:rPr>
        <w:t>4.4</w:t>
      </w:r>
      <w:r>
        <w:rPr>
          <w:rFonts w:ascii="Times New Roman" w:hAnsi="Times New Roman"/>
          <w:sz w:val="26"/>
          <w:szCs w:val="26"/>
        </w:rPr>
        <w:tab/>
      </w:r>
      <w:r>
        <w:rPr>
          <w:rFonts w:ascii="Times New Roman" w:hAnsi="Times New Roman"/>
          <w:bCs/>
          <w:sz w:val="26"/>
          <w:szCs w:val="26"/>
        </w:rPr>
        <w:t>Colonial Morphology Characterization</w:t>
      </w:r>
    </w:p>
    <w:p w14:paraId="4ED885BF">
      <w:pPr>
        <w:snapToGrid w:val="0"/>
        <w:spacing w:after="0" w:line="480" w:lineRule="auto"/>
        <w:textAlignment w:val="baseline"/>
        <w:rPr>
          <w:rFonts w:ascii="Times New Roman" w:hAnsi="Times New Roman"/>
          <w:sz w:val="26"/>
          <w:szCs w:val="26"/>
        </w:rPr>
      </w:pPr>
      <w:r>
        <w:rPr>
          <w:rFonts w:ascii="Times New Roman" w:hAnsi="Times New Roman"/>
          <w:b/>
          <w:sz w:val="26"/>
          <w:szCs w:val="26"/>
        </w:rPr>
        <w:t>Chapter 5:</w:t>
      </w:r>
      <w:r>
        <w:rPr>
          <w:rFonts w:ascii="Times New Roman" w:hAnsi="Times New Roman"/>
          <w:sz w:val="26"/>
          <w:szCs w:val="26"/>
        </w:rPr>
        <w:t xml:space="preserve"> Discussion, Conclusion and Recommendations</w:t>
      </w:r>
    </w:p>
    <w:p w14:paraId="2EF1728E">
      <w:pPr>
        <w:snapToGrid w:val="0"/>
        <w:spacing w:after="0" w:line="480" w:lineRule="auto"/>
        <w:textAlignment w:val="baseline"/>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r>
      <w:r>
        <w:rPr>
          <w:rFonts w:ascii="Times New Roman" w:hAnsi="Times New Roman"/>
          <w:sz w:val="26"/>
          <w:szCs w:val="26"/>
        </w:rPr>
        <w:t>Discussion</w:t>
      </w:r>
    </w:p>
    <w:p w14:paraId="50A94DA8">
      <w:pPr>
        <w:snapToGrid w:val="0"/>
        <w:spacing w:after="0" w:line="480" w:lineRule="auto"/>
        <w:textAlignment w:val="baseline"/>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Pr>
          <w:rFonts w:ascii="Times New Roman" w:hAnsi="Times New Roman"/>
          <w:sz w:val="26"/>
          <w:szCs w:val="26"/>
        </w:rPr>
        <w:t>Conclusion</w:t>
      </w:r>
    </w:p>
    <w:p w14:paraId="32376F08">
      <w:pPr>
        <w:snapToGrid w:val="0"/>
        <w:spacing w:after="0" w:line="480" w:lineRule="auto"/>
        <w:textAlignment w:val="baseline"/>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Pr>
          <w:rFonts w:ascii="Times New Roman" w:hAnsi="Times New Roman"/>
          <w:sz w:val="26"/>
          <w:szCs w:val="26"/>
        </w:rPr>
        <w:t>Recommendations</w:t>
      </w:r>
    </w:p>
    <w:p w14:paraId="57E1ABD1">
      <w:pPr>
        <w:snapToGrid w:val="0"/>
        <w:spacing w:after="0" w:line="480" w:lineRule="auto"/>
        <w:textAlignment w:val="baseline"/>
        <w:rPr>
          <w:rFonts w:ascii="Times New Roman" w:hAnsi="Times New Roman"/>
          <w:b/>
          <w:sz w:val="26"/>
          <w:szCs w:val="26"/>
        </w:rPr>
      </w:pPr>
      <w:r>
        <w:rPr>
          <w:rFonts w:ascii="Times New Roman" w:hAnsi="Times New Roman"/>
          <w:b/>
          <w:sz w:val="26"/>
          <w:szCs w:val="26"/>
        </w:rPr>
        <w:t>References</w:t>
      </w:r>
    </w:p>
    <w:p w14:paraId="71F90AB3">
      <w:pPr>
        <w:snapToGrid w:val="0"/>
        <w:spacing w:after="0" w:line="360" w:lineRule="auto"/>
        <w:textAlignment w:val="baseline"/>
        <w:rPr>
          <w:rFonts w:ascii="Times New Roman" w:hAnsi="Times New Roman"/>
          <w:sz w:val="26"/>
          <w:szCs w:val="26"/>
        </w:rPr>
      </w:pPr>
    </w:p>
    <w:p w14:paraId="30F3D432">
      <w:pPr>
        <w:snapToGrid w:val="0"/>
        <w:spacing w:line="360" w:lineRule="auto"/>
        <w:textAlignment w:val="baseline"/>
        <w:rPr>
          <w:rFonts w:ascii="Times New Roman" w:hAnsi="Times New Roman"/>
          <w:sz w:val="26"/>
          <w:szCs w:val="26"/>
        </w:rPr>
      </w:pPr>
    </w:p>
    <w:p w14:paraId="37ABBB43">
      <w:pPr>
        <w:snapToGrid w:val="0"/>
        <w:spacing w:line="360" w:lineRule="auto"/>
        <w:textAlignment w:val="baseline"/>
        <w:rPr>
          <w:rFonts w:ascii="Times New Roman" w:hAnsi="Times New Roman"/>
          <w:sz w:val="26"/>
          <w:szCs w:val="26"/>
        </w:rPr>
      </w:pPr>
    </w:p>
    <w:p w14:paraId="6E4E3A47">
      <w:pPr>
        <w:snapToGrid w:val="0"/>
        <w:spacing w:line="360" w:lineRule="auto"/>
        <w:textAlignment w:val="baseline"/>
        <w:rPr>
          <w:rFonts w:ascii="Times New Roman" w:hAnsi="Times New Roman"/>
          <w:b/>
          <w:sz w:val="28"/>
          <w:szCs w:val="28"/>
        </w:rPr>
      </w:pPr>
    </w:p>
    <w:p w14:paraId="5EEBF027">
      <w:pPr>
        <w:snapToGrid w:val="0"/>
        <w:spacing w:line="360" w:lineRule="auto"/>
        <w:textAlignment w:val="baseline"/>
        <w:rPr>
          <w:rFonts w:ascii="Times New Roman" w:hAnsi="Times New Roman"/>
          <w:b/>
          <w:sz w:val="28"/>
          <w:szCs w:val="28"/>
        </w:rPr>
      </w:pPr>
    </w:p>
    <w:p w14:paraId="2FB5D6A0">
      <w:pPr>
        <w:snapToGrid w:val="0"/>
        <w:spacing w:line="360" w:lineRule="auto"/>
        <w:textAlignment w:val="baseline"/>
        <w:rPr>
          <w:rFonts w:ascii="Times New Roman" w:hAnsi="Times New Roman"/>
          <w:b/>
          <w:sz w:val="28"/>
          <w:szCs w:val="28"/>
        </w:rPr>
      </w:pPr>
    </w:p>
    <w:p w14:paraId="5D6880FB">
      <w:pPr>
        <w:snapToGrid w:val="0"/>
        <w:spacing w:line="360" w:lineRule="auto"/>
        <w:textAlignment w:val="baseline"/>
        <w:rPr>
          <w:rFonts w:ascii="Times New Roman" w:hAnsi="Times New Roman"/>
          <w:b/>
          <w:sz w:val="28"/>
          <w:szCs w:val="28"/>
        </w:rPr>
      </w:pPr>
    </w:p>
    <w:p w14:paraId="097030B5">
      <w:pPr>
        <w:snapToGrid w:val="0"/>
        <w:spacing w:line="360" w:lineRule="auto"/>
        <w:jc w:val="center"/>
        <w:textAlignment w:val="baseline"/>
        <w:rPr>
          <w:rFonts w:ascii="Times New Roman" w:hAnsi="Times New Roman"/>
          <w:b/>
          <w:sz w:val="28"/>
          <w:szCs w:val="28"/>
        </w:rPr>
      </w:pPr>
      <w:r>
        <w:rPr>
          <w:rFonts w:ascii="Times New Roman" w:hAnsi="Times New Roman"/>
          <w:b/>
          <w:sz w:val="28"/>
          <w:szCs w:val="28"/>
        </w:rPr>
        <w:t>ABSTRACT</w:t>
      </w:r>
    </w:p>
    <w:p w14:paraId="27CB7453">
      <w:pPr>
        <w:snapToGrid w:val="0"/>
        <w:spacing w:line="360" w:lineRule="auto"/>
        <w:jc w:val="both"/>
        <w:textAlignment w:val="baseline"/>
        <w:rPr>
          <w:rFonts w:ascii="Times New Roman" w:hAnsi="Times New Roman"/>
          <w:i/>
          <w:sz w:val="26"/>
          <w:szCs w:val="26"/>
        </w:rPr>
      </w:pPr>
      <w:r>
        <w:rPr>
          <w:rFonts w:ascii="Times New Roman" w:hAnsi="Times New Roman"/>
          <w:i/>
          <w:sz w:val="26"/>
          <w:szCs w:val="26"/>
        </w:rPr>
        <w:t xml:space="preserve">This study was conducted to evaluate the microbial quality of herbal Chin-chin samples sold in Ilorin, Kwara State. Three different samples labeled M, I, and R were analyzed for bacterial and fungal contamination using standard microbiological procedures. Total bacterial and fungal counts were determined, and isolated organisms were characterized morphologically and biochemically. The results revealed significant microbial contamination across all samples, with total coliform counts ranging from 6.0 × 10^3 to 2.0 × 10^3 CFU/ml, total bacteria counts ranging from 1.0 × 10^4 to 0 × 10^4 CFU/ml, and fungal counts ranging from 4.8 × 10^2 CFU/ml to 1.0 × 10^2 CFU/ml. Bacterial isolates included Staphylococcus aureus, Escherichia coli, and Bacillus sp., while fungal isolates included Aspergillus flavus and Aspergillus niger. The presence of coliforms and potential pathogens indicates poor hygienic conditions during production and storage, posing potential health risks to consumers. This underscores the need for improved sanitary practices and microbial monitoring in the preparation and sale of </w:t>
      </w:r>
      <w:r>
        <w:rPr>
          <w:rFonts w:ascii="Times New Roman" w:hAnsi="Times New Roman"/>
          <w:i/>
          <w:color w:val="000000"/>
          <w:sz w:val="26"/>
          <w:szCs w:val="26"/>
        </w:rPr>
        <w:t>Chin-chin</w:t>
      </w:r>
      <w:r>
        <w:rPr>
          <w:rFonts w:ascii="Times New Roman" w:hAnsi="Times New Roman"/>
          <w:i/>
          <w:sz w:val="26"/>
          <w:szCs w:val="26"/>
        </w:rPr>
        <w:t>.</w:t>
      </w:r>
    </w:p>
    <w:p w14:paraId="4E335C58">
      <w:pPr>
        <w:snapToGrid w:val="0"/>
        <w:spacing w:line="360" w:lineRule="auto"/>
        <w:textAlignment w:val="baseline"/>
        <w:rPr>
          <w:rFonts w:ascii="Times New Roman" w:hAnsi="Times New Roman"/>
          <w:sz w:val="28"/>
          <w:szCs w:val="28"/>
        </w:rPr>
      </w:pPr>
    </w:p>
    <w:p w14:paraId="48BD8F43">
      <w:pPr>
        <w:snapToGrid w:val="0"/>
        <w:spacing w:line="360" w:lineRule="auto"/>
        <w:textAlignment w:val="baseline"/>
        <w:rPr>
          <w:rFonts w:ascii="Times New Roman" w:hAnsi="Times New Roman"/>
          <w:sz w:val="28"/>
          <w:szCs w:val="28"/>
        </w:rPr>
      </w:pPr>
    </w:p>
    <w:p w14:paraId="050E2F43">
      <w:pPr>
        <w:snapToGrid w:val="0"/>
        <w:spacing w:line="360" w:lineRule="auto"/>
        <w:textAlignment w:val="baseline"/>
        <w:rPr>
          <w:rFonts w:ascii="Times New Roman" w:hAnsi="Times New Roman"/>
          <w:sz w:val="28"/>
          <w:szCs w:val="28"/>
        </w:rPr>
      </w:pPr>
    </w:p>
    <w:p w14:paraId="60AC1B7D">
      <w:pPr>
        <w:snapToGrid w:val="0"/>
        <w:spacing w:line="360" w:lineRule="auto"/>
        <w:textAlignment w:val="baseline"/>
        <w:rPr>
          <w:rFonts w:ascii="Times New Roman" w:hAnsi="Times New Roman"/>
          <w:sz w:val="28"/>
          <w:szCs w:val="28"/>
        </w:rPr>
      </w:pPr>
    </w:p>
    <w:p w14:paraId="561E9503">
      <w:pPr>
        <w:snapToGrid w:val="0"/>
        <w:spacing w:line="480" w:lineRule="auto"/>
        <w:textAlignment w:val="baseline"/>
        <w:rPr>
          <w:rFonts w:ascii="Times New Roman" w:hAnsi="Times New Roman"/>
          <w:b/>
          <w:sz w:val="28"/>
          <w:szCs w:val="28"/>
        </w:rPr>
      </w:pPr>
    </w:p>
    <w:p w14:paraId="10036F04">
      <w:pPr>
        <w:snapToGrid w:val="0"/>
        <w:spacing w:line="480" w:lineRule="auto"/>
        <w:textAlignment w:val="baseline"/>
        <w:rPr>
          <w:rFonts w:ascii="Times New Roman" w:hAnsi="Times New Roman"/>
          <w:b/>
          <w:sz w:val="28"/>
          <w:szCs w:val="28"/>
        </w:rPr>
      </w:pPr>
    </w:p>
    <w:p w14:paraId="5A68F44A">
      <w:pPr>
        <w:snapToGrid w:val="0"/>
        <w:spacing w:line="480" w:lineRule="auto"/>
        <w:textAlignment w:val="baseline"/>
        <w:rPr>
          <w:rFonts w:ascii="Times New Roman" w:hAnsi="Times New Roman"/>
          <w:b/>
          <w:sz w:val="28"/>
          <w:szCs w:val="28"/>
        </w:rPr>
      </w:pPr>
    </w:p>
    <w:p w14:paraId="3737F78B">
      <w:pPr>
        <w:snapToGrid w:val="0"/>
        <w:spacing w:line="480" w:lineRule="auto"/>
        <w:jc w:val="center"/>
        <w:textAlignment w:val="baseline"/>
        <w:rPr>
          <w:rFonts w:ascii="Times New Roman" w:hAnsi="Times New Roman"/>
          <w:b/>
          <w:sz w:val="26"/>
          <w:szCs w:val="26"/>
        </w:rPr>
      </w:pPr>
    </w:p>
    <w:p w14:paraId="6148AF41">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CHAPTER ONE</w:t>
      </w:r>
    </w:p>
    <w:p w14:paraId="114931E9">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INTRODUCTION</w:t>
      </w:r>
    </w:p>
    <w:p w14:paraId="0868CCB5">
      <w:pPr>
        <w:snapToGrid w:val="0"/>
        <w:spacing w:line="480" w:lineRule="auto"/>
        <w:jc w:val="both"/>
        <w:textAlignment w:val="baseline"/>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Pr>
          <w:rFonts w:ascii="Times New Roman" w:hAnsi="Times New Roman"/>
          <w:b/>
          <w:sz w:val="26"/>
          <w:szCs w:val="26"/>
        </w:rPr>
        <w:t>Background of the Study</w:t>
      </w:r>
    </w:p>
    <w:p w14:paraId="3FC801BB">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Chin-chin snacks have become more and more accepted in the last few years, specifically in metropolitan areas (Opara and Anyiam, 2020). Chin-chin snacks are those foods that do not need further significant processing other than reheating or completion of a cooking process. The Chin-chin snacks products offer a source of readily available and wholesome meals for the consumer (Ansari, 2015).</w:t>
      </w:r>
    </w:p>
    <w:p w14:paraId="63733F75">
      <w:p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Foodborne disease outbreaks linked with Chin-chin snacks have been associated with different types of foodborne pathogens (Opara and Anyiam, 2020). Chin-chin snacks and restaurant food can contribute to food security for those involved in its production, particularly suppliers of raw produce, food processors, and consumers (Opeolu et al., 2010). The cross-contamination of such foods with pathogenic microorganisms could occur during the processing of ready fillings as well as during preparation (Opara and Anyiam, 2020). Although the microbial quality of many Chin-chin snacks has been the subject of numerous investigations in more developed countries, in Nigeria, there is a paucity of information on the microbial quality and safety of this type of food product.</w:t>
      </w:r>
    </w:p>
    <w:p w14:paraId="3BC59E88">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Food is any substance, usually from plant source and animal origin that humans, fauna, and flora eat, drink, or absorb for continuous existence. Lack or inadequate supply of it drastically impedes the normal metabolic processes of life. Majority of these foods are often polluted with naturally present virulent microorganisms which often cannot be examined organoleptically but can lead to varying degrees of diseases, including death. Foods are classified into six essential nutrients, namely carbohydrate, protein, vitamin, mineral, water, fat, and oil, respectively. Street foods consist of different categories ranging from meals, drinks, and snacks. Street foods, such as meat pie, fried potatoes, fried yam, beef sausage roll, jollof rice, akara, egg roll, moi-moi, peeled orange, beans, walnut, fish, meat, eba, fufu, apple, etc., may be fried, cooked, or raw and are described as </w:t>
      </w:r>
      <w:r>
        <w:rPr>
          <w:rFonts w:ascii="Times New Roman" w:hAnsi="Times New Roman"/>
          <w:color w:val="000000"/>
          <w:sz w:val="26"/>
          <w:szCs w:val="26"/>
        </w:rPr>
        <w:t xml:space="preserve">Chin-chin snacks </w:t>
      </w:r>
      <w:r>
        <w:rPr>
          <w:rFonts w:ascii="Times New Roman" w:hAnsi="Times New Roman"/>
          <w:sz w:val="26"/>
          <w:szCs w:val="26"/>
        </w:rPr>
        <w:t>obtained directly from mobile hawkers or stationary street vendors and consumed instantly or at a later time without additional heating and processing. Assessing the safety standard of food means a quantitative analysis of the amount of microbial pollutants contained therein. Greater levels of contamination are an indication of poor quality of the food in terms of storage and handling, hence greater chances of transmitting infections (Oranusi et al., 2013). One major factor in examining the quality and portability of water and food is bacterial enumeration, which also reveals the sanitary level adopted by sellers of such foods in the course of making, handling, and packaging them for exchange.</w:t>
      </w:r>
    </w:p>
    <w:p w14:paraId="4DCDEFD1">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Food and water act as vectors for the transmission of microbial infections, which are often caused by members of the </w:t>
      </w:r>
      <w:r>
        <w:rPr>
          <w:rFonts w:ascii="Times New Roman" w:hAnsi="Times New Roman"/>
          <w:i/>
          <w:sz w:val="26"/>
          <w:szCs w:val="26"/>
        </w:rPr>
        <w:t>Enterobacteriaceae</w:t>
      </w:r>
      <w:r>
        <w:rPr>
          <w:rFonts w:ascii="Times New Roman" w:hAnsi="Times New Roman"/>
          <w:sz w:val="26"/>
          <w:szCs w:val="26"/>
        </w:rPr>
        <w:t xml:space="preserve"> family (Nkere et al., 2011). Nigerians used to patronize developed supermarkets where safe foods were sold until the early 1980s when social and economic meltdown truncated the income of the average class significantly this resulted in people purchasing their desired goods from street vendors and traditional open-air markets (Nzeka, 2011). Many instances, such as long distances between job and residential places, absence from home due to traveling and studying, and the need for a complete change in terms of food type and location, make many people resort to purchasing </w:t>
      </w:r>
      <w:r>
        <w:rPr>
          <w:rFonts w:ascii="Times New Roman" w:hAnsi="Times New Roman"/>
          <w:color w:val="000000"/>
          <w:sz w:val="26"/>
          <w:szCs w:val="26"/>
        </w:rPr>
        <w:t>Chin-chin snacks</w:t>
      </w:r>
      <w:r>
        <w:rPr>
          <w:rFonts w:ascii="Times New Roman" w:hAnsi="Times New Roman"/>
          <w:sz w:val="26"/>
          <w:szCs w:val="26"/>
        </w:rPr>
        <w:t xml:space="preserve">, which are often poorly made and packaged. The proliferation in the consumption of street foods over time is due to their relative availability, convenience, moderate price, provision of variable food alternatives, employment, and the possibility of improving food security (Draper, 1996). People are often keen on satisfying their quest for food at the expense of the hygienic status of these </w:t>
      </w:r>
      <w:r>
        <w:rPr>
          <w:rFonts w:ascii="Times New Roman" w:hAnsi="Times New Roman"/>
          <w:color w:val="000000"/>
          <w:sz w:val="26"/>
          <w:szCs w:val="26"/>
        </w:rPr>
        <w:t>Chin-chin snacks</w:t>
      </w:r>
      <w:r>
        <w:rPr>
          <w:rFonts w:ascii="Times New Roman" w:hAnsi="Times New Roman"/>
          <w:sz w:val="26"/>
          <w:szCs w:val="26"/>
        </w:rPr>
        <w:t>, neglecting their safety. They are good transmission routes for foodborne microbes because additional treatment is not necessary before eating.</w:t>
      </w:r>
    </w:p>
    <w:p w14:paraId="019CF48B">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 xml:space="preserve">In the past, epidemic outbreaks of food infections traced to </w:t>
      </w:r>
      <w:r>
        <w:rPr>
          <w:rFonts w:ascii="Times New Roman" w:hAnsi="Times New Roman"/>
          <w:color w:val="000000"/>
          <w:sz w:val="26"/>
          <w:szCs w:val="26"/>
        </w:rPr>
        <w:t xml:space="preserve">Chin-chin snacks </w:t>
      </w:r>
      <w:r>
        <w:rPr>
          <w:rFonts w:ascii="Times New Roman" w:hAnsi="Times New Roman"/>
          <w:sz w:val="26"/>
          <w:szCs w:val="26"/>
        </w:rPr>
        <w:t xml:space="preserve">have been correlated to different foodborne microbes. Disorders that result from foodborne sickness are a key global health issue, causing reasonable abnormality and fatality rates yearly (Hanson et al., 2012). Bacteria such as </w:t>
      </w:r>
      <w:r>
        <w:rPr>
          <w:rFonts w:ascii="Times New Roman" w:hAnsi="Times New Roman"/>
          <w:i/>
          <w:sz w:val="26"/>
          <w:szCs w:val="26"/>
        </w:rPr>
        <w:t>Staphylococcus aureus, Salmonella spp., Vibrio cholerae,</w:t>
      </w:r>
      <w:r>
        <w:rPr>
          <w:rFonts w:ascii="Times New Roman" w:hAnsi="Times New Roman"/>
          <w:sz w:val="26"/>
          <w:szCs w:val="26"/>
        </w:rPr>
        <w:t xml:space="preserve"> and </w:t>
      </w:r>
      <w:r>
        <w:rPr>
          <w:rFonts w:ascii="Times New Roman" w:hAnsi="Times New Roman"/>
          <w:i/>
          <w:sz w:val="26"/>
          <w:szCs w:val="26"/>
        </w:rPr>
        <w:t>Escherichia coli</w:t>
      </w:r>
      <w:r>
        <w:rPr>
          <w:rFonts w:ascii="Times New Roman" w:hAnsi="Times New Roman"/>
          <w:sz w:val="26"/>
          <w:szCs w:val="26"/>
        </w:rPr>
        <w:t xml:space="preserve"> can lead to food poisoning, in addition to other food-borne infections such as cholera, tuberculosis, diarrhea, and typhoid fever (Foskett et al., 2003). Some clinical manifestations of foodborne illness include headache, stomach aches, nausea, diarrhea, and vomiting. Many researchers have shown that the common bacterial contaminants implicated in </w:t>
      </w:r>
      <w:r>
        <w:rPr>
          <w:rFonts w:ascii="Times New Roman" w:hAnsi="Times New Roman"/>
          <w:color w:val="000000"/>
          <w:sz w:val="26"/>
          <w:szCs w:val="26"/>
        </w:rPr>
        <w:t xml:space="preserve">Chin-chin snacks </w:t>
      </w:r>
      <w:r>
        <w:rPr>
          <w:rFonts w:ascii="Times New Roman" w:hAnsi="Times New Roman"/>
          <w:sz w:val="26"/>
          <w:szCs w:val="26"/>
        </w:rPr>
        <w:t xml:space="preserve">are </w:t>
      </w:r>
      <w:r>
        <w:rPr>
          <w:rFonts w:ascii="Times New Roman" w:hAnsi="Times New Roman"/>
          <w:i/>
          <w:sz w:val="26"/>
          <w:szCs w:val="26"/>
        </w:rPr>
        <w:t>Salmonella spp., Listeria monocytogenes, Campylobacter jejuni, Staphylococcus aureus, Bacillus cereus, Escherichia coli, Vibrio cholerae,</w:t>
      </w:r>
      <w:r>
        <w:rPr>
          <w:rFonts w:ascii="Times New Roman" w:hAnsi="Times New Roman"/>
          <w:sz w:val="26"/>
          <w:szCs w:val="26"/>
        </w:rPr>
        <w:t xml:space="preserve"> and </w:t>
      </w:r>
      <w:r>
        <w:rPr>
          <w:rFonts w:ascii="Times New Roman" w:hAnsi="Times New Roman"/>
          <w:i/>
          <w:sz w:val="26"/>
          <w:szCs w:val="26"/>
        </w:rPr>
        <w:t>Clostridium perfringens,</w:t>
      </w:r>
      <w:r>
        <w:rPr>
          <w:rFonts w:ascii="Times New Roman" w:hAnsi="Times New Roman"/>
          <w:sz w:val="26"/>
          <w:szCs w:val="26"/>
        </w:rPr>
        <w:t xml:space="preserve"> among others.</w:t>
      </w:r>
    </w:p>
    <w:p w14:paraId="1D4E4D21">
      <w:pPr>
        <w:snapToGrid w:val="0"/>
        <w:spacing w:before="240" w:line="480" w:lineRule="auto"/>
        <w:textAlignment w:val="baseline"/>
        <w:rPr>
          <w:rFonts w:ascii="Times New Roman" w:hAnsi="Times New Roman"/>
          <w:b/>
          <w:sz w:val="26"/>
          <w:szCs w:val="26"/>
        </w:rPr>
      </w:pPr>
      <w:r>
        <w:rPr>
          <w:rFonts w:ascii="Times New Roman" w:hAnsi="Times New Roman"/>
          <w:b/>
          <w:sz w:val="26"/>
          <w:szCs w:val="26"/>
        </w:rPr>
        <w:t>1.2</w:t>
      </w:r>
      <w:r>
        <w:rPr>
          <w:rFonts w:ascii="Times New Roman" w:hAnsi="Times New Roman"/>
          <w:b/>
          <w:sz w:val="26"/>
          <w:szCs w:val="26"/>
        </w:rPr>
        <w:tab/>
      </w:r>
      <w:r>
        <w:rPr>
          <w:rFonts w:ascii="Times New Roman" w:hAnsi="Times New Roman"/>
          <w:b/>
          <w:sz w:val="26"/>
          <w:szCs w:val="26"/>
        </w:rPr>
        <w:t>Statement of the Problem</w:t>
      </w:r>
    </w:p>
    <w:p w14:paraId="00EFEF89">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 xml:space="preserve">Chin-chin snacks </w:t>
      </w:r>
      <w:r>
        <w:rPr>
          <w:rFonts w:ascii="Times New Roman" w:hAnsi="Times New Roman"/>
          <w:sz w:val="26"/>
          <w:szCs w:val="26"/>
        </w:rPr>
        <w:t xml:space="preserve">sold by street vendors are a popular and affordable food choice for many people, especially in urban areas like Ilorin. However, the safety of these foods is often questionable due to poor hygiene practices, inadequate storage, and the potential contamination by foodborne pathogens. Despite their widespread consumption, there is limited regulation and monitoring of the hygienic standards maintained by street vendors. This creates a significant public health concern, as contaminated food can lead to outbreaks of foodborne illnesses, causing severe health complications and even death in extreme cases. In Ilorin, where street vending is a common livelihood, little is known about the prevalence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vendors. Without proper data, it becomes challenging to implement effective interventions to ensure food safety, Jaffee et al. (2018).</w:t>
      </w:r>
    </w:p>
    <w:p w14:paraId="63ECB1FB">
      <w:pPr>
        <w:snapToGrid w:val="0"/>
        <w:spacing w:line="480" w:lineRule="auto"/>
        <w:textAlignment w:val="baseline"/>
        <w:rPr>
          <w:rFonts w:ascii="Times New Roman" w:hAnsi="Times New Roman"/>
          <w:b/>
          <w:sz w:val="26"/>
          <w:szCs w:val="26"/>
        </w:rPr>
      </w:pPr>
    </w:p>
    <w:p w14:paraId="4F8BB3A7">
      <w:pPr>
        <w:snapToGrid w:val="0"/>
        <w:spacing w:line="480" w:lineRule="auto"/>
        <w:textAlignment w:val="baseline"/>
        <w:rPr>
          <w:rFonts w:ascii="Times New Roman" w:hAnsi="Times New Roman"/>
          <w:b/>
          <w:sz w:val="26"/>
          <w:szCs w:val="26"/>
        </w:rPr>
      </w:pPr>
    </w:p>
    <w:p w14:paraId="2464F976">
      <w:pPr>
        <w:snapToGrid w:val="0"/>
        <w:spacing w:line="480" w:lineRule="auto"/>
        <w:textAlignment w:val="baseline"/>
        <w:rPr>
          <w:rFonts w:ascii="Times New Roman" w:hAnsi="Times New Roman"/>
          <w:b/>
          <w:sz w:val="26"/>
          <w:szCs w:val="26"/>
        </w:rPr>
      </w:pPr>
    </w:p>
    <w:p w14:paraId="6DE1F444">
      <w:pPr>
        <w:snapToGrid w:val="0"/>
        <w:spacing w:line="480" w:lineRule="auto"/>
        <w:textAlignment w:val="baseline"/>
        <w:rPr>
          <w:rFonts w:ascii="Times New Roman" w:hAnsi="Times New Roman"/>
          <w:b/>
          <w:sz w:val="26"/>
          <w:szCs w:val="26"/>
        </w:rPr>
      </w:pPr>
    </w:p>
    <w:p w14:paraId="77C5991C">
      <w:pPr>
        <w:snapToGrid w:val="0"/>
        <w:spacing w:line="480" w:lineRule="auto"/>
        <w:textAlignment w:val="baseline"/>
        <w:rPr>
          <w:rFonts w:ascii="Times New Roman" w:hAnsi="Times New Roman"/>
          <w:b/>
          <w:sz w:val="26"/>
          <w:szCs w:val="26"/>
        </w:rPr>
      </w:pPr>
      <w:r>
        <w:rPr>
          <w:rFonts w:ascii="Times New Roman" w:hAnsi="Times New Roman"/>
          <w:b/>
          <w:sz w:val="26"/>
          <w:szCs w:val="26"/>
        </w:rPr>
        <w:t>1.3</w:t>
      </w:r>
      <w:r>
        <w:rPr>
          <w:rFonts w:ascii="Times New Roman" w:hAnsi="Times New Roman"/>
          <w:b/>
          <w:sz w:val="26"/>
          <w:szCs w:val="26"/>
        </w:rPr>
        <w:tab/>
      </w:r>
      <w:r>
        <w:rPr>
          <w:rFonts w:ascii="Times New Roman" w:hAnsi="Times New Roman"/>
          <w:b/>
          <w:sz w:val="26"/>
          <w:szCs w:val="26"/>
        </w:rPr>
        <w:t>Aim and Objectives</w:t>
      </w:r>
    </w:p>
    <w:p w14:paraId="117A5F88">
      <w:pPr>
        <w:snapToGrid w:val="0"/>
        <w:spacing w:line="480" w:lineRule="auto"/>
        <w:textAlignment w:val="baseline"/>
        <w:rPr>
          <w:rFonts w:ascii="Times New Roman" w:hAnsi="Times New Roman"/>
          <w:b/>
          <w:sz w:val="26"/>
          <w:szCs w:val="26"/>
        </w:rPr>
      </w:pPr>
      <w:r>
        <w:rPr>
          <w:rFonts w:ascii="Times New Roman" w:hAnsi="Times New Roman"/>
          <w:sz w:val="26"/>
          <w:szCs w:val="26"/>
        </w:rPr>
        <w:t xml:space="preserve">To analyze the prevalence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and assess their implications for public health.</w:t>
      </w:r>
      <w:r>
        <w:rPr>
          <w:rFonts w:ascii="Times New Roman" w:hAnsi="Times New Roman"/>
          <w:sz w:val="26"/>
          <w:szCs w:val="26"/>
        </w:rPr>
        <w:br w:type="textWrapping"/>
      </w:r>
      <w:r>
        <w:rPr>
          <w:rFonts w:ascii="Times New Roman" w:hAnsi="Times New Roman"/>
          <w:b/>
          <w:sz w:val="26"/>
          <w:szCs w:val="26"/>
        </w:rPr>
        <w:t>Objectives</w:t>
      </w:r>
    </w:p>
    <w:p w14:paraId="12868161">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identify the common foodborne pathogens present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w:t>
      </w:r>
    </w:p>
    <w:p w14:paraId="49415603">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evaluate the hygiene practices of street vendors involved in the preparation and sale of </w:t>
      </w:r>
      <w:r>
        <w:rPr>
          <w:rFonts w:ascii="Times New Roman" w:hAnsi="Times New Roman"/>
          <w:color w:val="000000"/>
          <w:sz w:val="26"/>
          <w:szCs w:val="26"/>
        </w:rPr>
        <w:t>Chin-chin snacks</w:t>
      </w:r>
      <w:r>
        <w:rPr>
          <w:rFonts w:ascii="Times New Roman" w:hAnsi="Times New Roman"/>
          <w:sz w:val="26"/>
          <w:szCs w:val="26"/>
        </w:rPr>
        <w:t>.</w:t>
      </w:r>
    </w:p>
    <w:p w14:paraId="4ADBBB09">
      <w:pPr>
        <w:numPr>
          <w:ilvl w:val="0"/>
          <w:numId w:val="1"/>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To assess the potential health risks associated with consuming these </w:t>
      </w:r>
      <w:r>
        <w:rPr>
          <w:rFonts w:ascii="Times New Roman" w:hAnsi="Times New Roman"/>
          <w:color w:val="000000"/>
          <w:sz w:val="26"/>
          <w:szCs w:val="26"/>
        </w:rPr>
        <w:t>Chin-chin snacks</w:t>
      </w:r>
      <w:r>
        <w:rPr>
          <w:rFonts w:ascii="Times New Roman" w:hAnsi="Times New Roman"/>
          <w:sz w:val="26"/>
          <w:szCs w:val="26"/>
        </w:rPr>
        <w:t>.</w:t>
      </w:r>
    </w:p>
    <w:p w14:paraId="68094721">
      <w:pPr>
        <w:snapToGrid w:val="0"/>
        <w:spacing w:line="480" w:lineRule="auto"/>
        <w:textAlignment w:val="baseline"/>
        <w:rPr>
          <w:rFonts w:ascii="Times New Roman" w:hAnsi="Times New Roman"/>
          <w:b/>
          <w:sz w:val="26"/>
          <w:szCs w:val="26"/>
        </w:rPr>
      </w:pPr>
      <w:r>
        <w:rPr>
          <w:rFonts w:ascii="Times New Roman" w:hAnsi="Times New Roman"/>
          <w:b/>
          <w:sz w:val="26"/>
          <w:szCs w:val="26"/>
        </w:rPr>
        <w:t>1.4</w:t>
      </w:r>
      <w:r>
        <w:rPr>
          <w:rFonts w:ascii="Times New Roman" w:hAnsi="Times New Roman"/>
          <w:b/>
          <w:sz w:val="26"/>
          <w:szCs w:val="26"/>
        </w:rPr>
        <w:tab/>
      </w:r>
      <w:r>
        <w:rPr>
          <w:rFonts w:ascii="Times New Roman" w:hAnsi="Times New Roman"/>
          <w:b/>
          <w:sz w:val="26"/>
          <w:szCs w:val="26"/>
        </w:rPr>
        <w:t>Significance of the Study</w:t>
      </w:r>
    </w:p>
    <w:p w14:paraId="75DB8B45">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The study on the analysis of foodborne pathogens in </w:t>
      </w:r>
      <w:r>
        <w:rPr>
          <w:rFonts w:ascii="Times New Roman" w:hAnsi="Times New Roman"/>
          <w:color w:val="000000"/>
          <w:sz w:val="26"/>
          <w:szCs w:val="26"/>
        </w:rPr>
        <w:t xml:space="preserve">Chin-chin snacks </w:t>
      </w:r>
      <w:r>
        <w:rPr>
          <w:rFonts w:ascii="Times New Roman" w:hAnsi="Times New Roman"/>
          <w:sz w:val="26"/>
          <w:szCs w:val="26"/>
        </w:rPr>
        <w:t>sold by street vendors in Ilorin is significant for several reasons:</w:t>
      </w:r>
    </w:p>
    <w:p w14:paraId="3E58721F">
      <w:pPr>
        <w:numPr>
          <w:ilvl w:val="0"/>
          <w:numId w:val="2"/>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Public Health Implications: The findings will provide valuable insights into the prevalence of foodborne pathogens in street-vended snacks, which are widely consumed by the population. This information is critical for understanding the public health risks associated with these foods (WHO, 2020).</w:t>
      </w:r>
    </w:p>
    <w:p w14:paraId="56E57857">
      <w:pPr>
        <w:numPr>
          <w:ilvl w:val="0"/>
          <w:numId w:val="2"/>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Improved Food Safety Practices: By evaluating the hygiene practices of street vendors, the study can identify specific areas where training and interventions are needed to improve food safety standards.</w:t>
      </w:r>
    </w:p>
    <w:p w14:paraId="34AA5FF3">
      <w:pPr>
        <w:numPr>
          <w:ilvl w:val="0"/>
          <w:numId w:val="2"/>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Policy Development: The study will contribute to evidence-based policymaking by providing data to guide regulatory authorities in implementing snacks safety regulations for street-vended snacks.</w:t>
      </w:r>
    </w:p>
    <w:p w14:paraId="33F1486B">
      <w:pPr>
        <w:numPr>
          <w:ilvl w:val="0"/>
          <w:numId w:val="2"/>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Consumer Awareness: Educating the public on the risks of consuming contaminated </w:t>
      </w:r>
      <w:r>
        <w:rPr>
          <w:rFonts w:ascii="Times New Roman" w:hAnsi="Times New Roman"/>
          <w:color w:val="000000"/>
          <w:sz w:val="26"/>
          <w:szCs w:val="26"/>
        </w:rPr>
        <w:t xml:space="preserve">Chin-chin snacks </w:t>
      </w:r>
      <w:r>
        <w:rPr>
          <w:rFonts w:ascii="Times New Roman" w:hAnsi="Times New Roman"/>
          <w:sz w:val="26"/>
          <w:szCs w:val="26"/>
        </w:rPr>
        <w:t>can encourage safer food choices and reduce the incidence of foodborne illnesses (CDC, 2020).</w:t>
      </w:r>
    </w:p>
    <w:p w14:paraId="474B0303">
      <w:pPr>
        <w:numPr>
          <w:ilvl w:val="0"/>
          <w:numId w:val="2"/>
        </w:numPr>
        <w:snapToGrid w:val="0"/>
        <w:spacing w:line="480" w:lineRule="auto"/>
        <w:jc w:val="both"/>
        <w:textAlignment w:val="baseline"/>
        <w:rPr>
          <w:rFonts w:ascii="Times New Roman" w:hAnsi="Times New Roman"/>
          <w:sz w:val="26"/>
          <w:szCs w:val="26"/>
        </w:rPr>
      </w:pPr>
      <w:r>
        <w:rPr>
          <w:rFonts w:ascii="Times New Roman" w:hAnsi="Times New Roman"/>
          <w:sz w:val="26"/>
          <w:szCs w:val="26"/>
        </w:rPr>
        <w:t>Economic Benefits: Ensuring food safety in the street food sector can enhance consumer confidence, increase vendor income, and promote the sustainability of this vital economic activity.</w:t>
      </w:r>
    </w:p>
    <w:p w14:paraId="3246ED1B">
      <w:pPr>
        <w:snapToGrid w:val="0"/>
        <w:spacing w:line="480" w:lineRule="auto"/>
        <w:textAlignment w:val="baseline"/>
        <w:rPr>
          <w:rFonts w:ascii="Times New Roman" w:hAnsi="Times New Roman"/>
          <w:sz w:val="26"/>
          <w:szCs w:val="26"/>
        </w:rPr>
      </w:pPr>
    </w:p>
    <w:p w14:paraId="217FCC9E">
      <w:pPr>
        <w:snapToGrid w:val="0"/>
        <w:spacing w:line="480" w:lineRule="auto"/>
        <w:textAlignment w:val="baseline"/>
        <w:rPr>
          <w:rFonts w:ascii="Times New Roman" w:hAnsi="Times New Roman"/>
          <w:sz w:val="26"/>
          <w:szCs w:val="26"/>
        </w:rPr>
      </w:pPr>
    </w:p>
    <w:p w14:paraId="2B93D9F0">
      <w:pPr>
        <w:snapToGrid w:val="0"/>
        <w:spacing w:line="480" w:lineRule="auto"/>
        <w:jc w:val="center"/>
        <w:textAlignment w:val="baseline"/>
        <w:rPr>
          <w:rFonts w:ascii="Times New Roman" w:hAnsi="Times New Roman"/>
          <w:b/>
          <w:sz w:val="26"/>
          <w:szCs w:val="26"/>
        </w:rPr>
      </w:pPr>
    </w:p>
    <w:p w14:paraId="224D01BD">
      <w:pPr>
        <w:snapToGrid w:val="0"/>
        <w:spacing w:line="480" w:lineRule="auto"/>
        <w:jc w:val="center"/>
        <w:textAlignment w:val="baseline"/>
        <w:rPr>
          <w:rFonts w:ascii="Times New Roman" w:hAnsi="Times New Roman"/>
          <w:b/>
          <w:sz w:val="26"/>
          <w:szCs w:val="26"/>
        </w:rPr>
      </w:pPr>
    </w:p>
    <w:p w14:paraId="78FAB4C9">
      <w:pPr>
        <w:snapToGrid w:val="0"/>
        <w:spacing w:line="480" w:lineRule="auto"/>
        <w:jc w:val="center"/>
        <w:textAlignment w:val="baseline"/>
        <w:rPr>
          <w:rFonts w:ascii="Times New Roman" w:hAnsi="Times New Roman"/>
          <w:b/>
          <w:sz w:val="26"/>
          <w:szCs w:val="26"/>
        </w:rPr>
      </w:pPr>
    </w:p>
    <w:p w14:paraId="2F99FB2D">
      <w:pPr>
        <w:snapToGrid w:val="0"/>
        <w:spacing w:line="480" w:lineRule="auto"/>
        <w:textAlignment w:val="baseline"/>
        <w:rPr>
          <w:rFonts w:ascii="Times New Roman" w:hAnsi="Times New Roman"/>
          <w:b/>
          <w:sz w:val="26"/>
          <w:szCs w:val="26"/>
        </w:rPr>
      </w:pPr>
    </w:p>
    <w:p w14:paraId="475FB1B7">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CHAPTER TWO</w:t>
      </w:r>
    </w:p>
    <w:p w14:paraId="562FD0A6">
      <w:pPr>
        <w:snapToGrid w:val="0"/>
        <w:spacing w:line="480" w:lineRule="auto"/>
        <w:jc w:val="center"/>
        <w:textAlignment w:val="baseline"/>
        <w:rPr>
          <w:rFonts w:ascii="Times New Roman" w:hAnsi="Times New Roman"/>
          <w:b/>
          <w:sz w:val="26"/>
          <w:szCs w:val="26"/>
        </w:rPr>
      </w:pPr>
      <w:r>
        <w:rPr>
          <w:rFonts w:ascii="Times New Roman" w:hAnsi="Times New Roman"/>
          <w:b/>
          <w:sz w:val="26"/>
          <w:szCs w:val="26"/>
        </w:rPr>
        <w:t>LITERATURE REVIEW</w:t>
      </w:r>
    </w:p>
    <w:p w14:paraId="4AE596F6">
      <w:pPr>
        <w:snapToGrid w:val="0"/>
        <w:spacing w:line="480" w:lineRule="auto"/>
        <w:textAlignment w:val="baseline"/>
        <w:rPr>
          <w:rFonts w:ascii="Times New Roman" w:hAnsi="Times New Roman"/>
          <w:b/>
          <w:sz w:val="26"/>
          <w:szCs w:val="26"/>
        </w:rPr>
      </w:pPr>
      <w:r>
        <w:rPr>
          <w:rFonts w:ascii="Times New Roman" w:hAnsi="Times New Roman"/>
          <w:b/>
          <w:sz w:val="26"/>
          <w:szCs w:val="26"/>
        </w:rPr>
        <w:t>2.1</w:t>
      </w:r>
      <w:r>
        <w:rPr>
          <w:rFonts w:ascii="Times New Roman" w:hAnsi="Times New Roman"/>
          <w:b/>
          <w:sz w:val="26"/>
          <w:szCs w:val="26"/>
        </w:rPr>
        <w:tab/>
      </w:r>
      <w:r>
        <w:rPr>
          <w:rFonts w:ascii="Times New Roman" w:hAnsi="Times New Roman"/>
          <w:b/>
          <w:sz w:val="26"/>
          <w:szCs w:val="26"/>
        </w:rPr>
        <w:t>Overview of Foodborne Pathogens</w:t>
      </w:r>
    </w:p>
    <w:p w14:paraId="047E41BC">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The World Health Organization (WHO) defines foodborne illnesses as diseases, usually either infectious or toxic in nature, caused by agents that enter the body through the ingestion of food. Though the global incidence of foodborne disease is difficult to estimate, it has been reported that in 2005 alone, 1.8 million people died from diarrheal diseases, and a great proportion of these cases can be attributed to contamination of food and drinking water (WHO, 2007). In industrialized countries, the percentage of the population suffering from foodborne diseases each year has been reported to be up to 30%. For example, the Centers for Disease Control and Prevention (CDC, 2005) estimated that around 76 million cases of foodborne diseases, resulting in 325,000 hospitalizations and 5,000 deaths, occur each year in the USA. Some foodborne diseases are well recognized but are considered emerging because they have recently become more common. Though there are various foodborne pathogens that have been identified for foodborne illness, </w:t>
      </w:r>
      <w:r>
        <w:rPr>
          <w:rFonts w:ascii="Times New Roman" w:hAnsi="Times New Roman"/>
          <w:i/>
          <w:sz w:val="26"/>
          <w:szCs w:val="26"/>
        </w:rPr>
        <w:t>Campylobacter, Salmonella, Listeria monocytogenes,</w:t>
      </w:r>
      <w:r>
        <w:rPr>
          <w:rFonts w:ascii="Times New Roman" w:hAnsi="Times New Roman"/>
          <w:sz w:val="26"/>
          <w:szCs w:val="26"/>
        </w:rPr>
        <w:t xml:space="preserve"> and </w:t>
      </w:r>
      <w:r>
        <w:rPr>
          <w:rFonts w:ascii="Times New Roman" w:hAnsi="Times New Roman"/>
          <w:i/>
          <w:sz w:val="26"/>
          <w:szCs w:val="26"/>
        </w:rPr>
        <w:t>Escherichia coli O157:H7</w:t>
      </w:r>
      <w:r>
        <w:rPr>
          <w:rFonts w:ascii="Times New Roman" w:hAnsi="Times New Roman"/>
          <w:sz w:val="26"/>
          <w:szCs w:val="26"/>
        </w:rPr>
        <w:t xml:space="preserve"> have been generally found to be responsible for the majority of food-borne outbreaks (Alocilja and Radke, 2003; Chemburu et al., 2005).</w:t>
      </w:r>
    </w:p>
    <w:p w14:paraId="74296ED3">
      <w:pPr>
        <w:snapToGrid w:val="0"/>
        <w:spacing w:line="480" w:lineRule="auto"/>
        <w:jc w:val="both"/>
        <w:textAlignment w:val="baseline"/>
        <w:rPr>
          <w:rStyle w:val="15"/>
          <w:rFonts w:ascii="Times New Roman" w:hAnsi="Times New Roman"/>
          <w:color w:val="auto"/>
          <w:sz w:val="26"/>
          <w:szCs w:val="26"/>
        </w:rPr>
      </w:pPr>
      <w:r>
        <w:rPr>
          <w:rFonts w:ascii="Times New Roman" w:hAnsi="Times New Roman"/>
          <w:sz w:val="26"/>
          <w:szCs w:val="26"/>
        </w:rPr>
        <w:t xml:space="preserve">For example, in Ireland, </w:t>
      </w:r>
      <w:r>
        <w:rPr>
          <w:rFonts w:ascii="Times New Roman" w:hAnsi="Times New Roman"/>
          <w:i/>
          <w:sz w:val="26"/>
          <w:szCs w:val="26"/>
        </w:rPr>
        <w:t>Campylobacter</w:t>
      </w:r>
      <w:r>
        <w:rPr>
          <w:rFonts w:ascii="Times New Roman" w:hAnsi="Times New Roman"/>
          <w:sz w:val="26"/>
          <w:szCs w:val="26"/>
        </w:rPr>
        <w:t xml:space="preserve"> is the most important cause of sporadic cases of foodborne illness, with 1,815 cases of </w:t>
      </w:r>
      <w:r>
        <w:rPr>
          <w:rFonts w:ascii="Times New Roman" w:hAnsi="Times New Roman"/>
          <w:i/>
          <w:sz w:val="26"/>
          <w:szCs w:val="26"/>
        </w:rPr>
        <w:t>Campylobacter</w:t>
      </w:r>
      <w:r>
        <w:rPr>
          <w:rFonts w:ascii="Times New Roman" w:hAnsi="Times New Roman"/>
          <w:sz w:val="26"/>
          <w:szCs w:val="26"/>
        </w:rPr>
        <w:t xml:space="preserve"> infection reported in 2006 (42.8/100, 000 population), which was over four times the number of </w:t>
      </w:r>
      <w:r>
        <w:rPr>
          <w:rFonts w:ascii="Times New Roman" w:hAnsi="Times New Roman"/>
          <w:i/>
          <w:sz w:val="26"/>
          <w:szCs w:val="26"/>
        </w:rPr>
        <w:t xml:space="preserve">Salmonellosis </w:t>
      </w:r>
      <w:r>
        <w:rPr>
          <w:rFonts w:ascii="Times New Roman" w:hAnsi="Times New Roman"/>
          <w:sz w:val="26"/>
          <w:szCs w:val="26"/>
        </w:rPr>
        <w:t xml:space="preserve">cases reported in the same year (FSAI, 2006). Also, most of the earlier and recent food product recalls are also due to these pathogens (Belson and Fahim, 2007). </w:t>
      </w:r>
      <w:r>
        <w:rPr>
          <w:rStyle w:val="15"/>
          <w:rFonts w:ascii="Times New Roman" w:hAnsi="Times New Roman"/>
          <w:sz w:val="26"/>
          <w:szCs w:val="26"/>
        </w:rPr>
        <w:t xml:space="preserve">Food vendor services are on the increase, and responsibility for good manufacturing practices of food, such as good sanitary measures and proper food handling, have been transferred to food vendors who rarely enforce such practices. It has been reported that most food vendors in developing nations grossly lack formal knowledge of food preparation and hygiene (Olagoke et al., 2018). </w:t>
      </w:r>
      <w:r>
        <w:rPr>
          <w:rFonts w:ascii="Times New Roman" w:hAnsi="Times New Roman"/>
          <w:color w:val="000000"/>
          <w:sz w:val="26"/>
          <w:szCs w:val="26"/>
        </w:rPr>
        <w:t xml:space="preserve">Chin-chin snacks </w:t>
      </w:r>
      <w:r>
        <w:rPr>
          <w:rStyle w:val="15"/>
          <w:rFonts w:ascii="Times New Roman" w:hAnsi="Times New Roman"/>
          <w:sz w:val="26"/>
          <w:szCs w:val="26"/>
        </w:rPr>
        <w:t xml:space="preserve">are the statuses of snacks being ready for immediate consumption at the point of sale. </w:t>
      </w:r>
      <w:r>
        <w:rPr>
          <w:rFonts w:ascii="Times New Roman" w:hAnsi="Times New Roman"/>
          <w:color w:val="000000"/>
          <w:sz w:val="26"/>
          <w:szCs w:val="26"/>
        </w:rPr>
        <w:t xml:space="preserve">Chin-chin snacks </w:t>
      </w:r>
      <w:r>
        <w:rPr>
          <w:rStyle w:val="15"/>
          <w:rFonts w:ascii="Times New Roman" w:hAnsi="Times New Roman"/>
          <w:sz w:val="26"/>
          <w:szCs w:val="26"/>
        </w:rPr>
        <w:t>could be raw or cooked, hot or chilled, and can be consumed without further heat treatment. They can be described with different terms such as snacks, convenient, ready, and instant and fast foods.</w:t>
      </w:r>
    </w:p>
    <w:p w14:paraId="565C10B7">
      <w:pPr>
        <w:snapToGrid w:val="0"/>
        <w:spacing w:line="480" w:lineRule="auto"/>
        <w:jc w:val="both"/>
        <w:textAlignment w:val="baseline"/>
        <w:rPr>
          <w:rStyle w:val="15"/>
          <w:rFonts w:ascii="Times New Roman" w:hAnsi="Times New Roman"/>
          <w:sz w:val="26"/>
          <w:szCs w:val="26"/>
        </w:rPr>
      </w:pPr>
      <w:r>
        <w:rPr>
          <w:rStyle w:val="15"/>
          <w:rFonts w:ascii="Times New Roman" w:hAnsi="Times New Roman"/>
          <w:sz w:val="26"/>
          <w:szCs w:val="26"/>
        </w:rPr>
        <w:t xml:space="preserve">In Nigeria today, much interest is being placed on the consumption of non-homemade foods like snacks, food from restaurants, or street foods. </w:t>
      </w:r>
      <w:r>
        <w:rPr>
          <w:rFonts w:ascii="Times New Roman" w:hAnsi="Times New Roman"/>
          <w:color w:val="000000"/>
          <w:sz w:val="26"/>
          <w:szCs w:val="26"/>
        </w:rPr>
        <w:t>Chin-chin snacks</w:t>
      </w:r>
      <w:r>
        <w:rPr>
          <w:rStyle w:val="15"/>
          <w:rFonts w:ascii="Times New Roman" w:hAnsi="Times New Roman"/>
          <w:sz w:val="26"/>
          <w:szCs w:val="26"/>
        </w:rPr>
        <w:t xml:space="preserve"> usually contain a number of ingredients which may or may not be cooked (Bello et al., 2023). </w:t>
      </w:r>
      <w:r>
        <w:rPr>
          <w:rFonts w:ascii="Times New Roman" w:hAnsi="Times New Roman"/>
          <w:color w:val="000000"/>
          <w:sz w:val="26"/>
          <w:szCs w:val="26"/>
        </w:rPr>
        <w:t>Chin-chin snacks,</w:t>
      </w:r>
      <w:r>
        <w:rPr>
          <w:rStyle w:val="15"/>
          <w:rFonts w:ascii="Times New Roman" w:hAnsi="Times New Roman"/>
          <w:sz w:val="26"/>
          <w:szCs w:val="26"/>
        </w:rPr>
        <w:t xml:space="preserve"> because of the fact that they are taken without further treatment, are expected to be balanced nutritionally, healthy, and easy to eat, provide quick energy, and be of great taste.</w:t>
      </w:r>
    </w:p>
    <w:p w14:paraId="2DE74AD3">
      <w:pPr>
        <w:snapToGrid w:val="0"/>
        <w:spacing w:line="480" w:lineRule="auto"/>
        <w:jc w:val="both"/>
        <w:textAlignment w:val="baseline"/>
        <w:rPr>
          <w:rFonts w:ascii="Times New Roman" w:hAnsi="Times New Roman"/>
          <w:color w:val="000000"/>
          <w:sz w:val="26"/>
          <w:szCs w:val="26"/>
        </w:rPr>
      </w:pPr>
      <w:r>
        <w:rPr>
          <w:rStyle w:val="15"/>
          <w:rFonts w:ascii="Times New Roman" w:hAnsi="Times New Roman"/>
          <w:sz w:val="26"/>
          <w:szCs w:val="26"/>
        </w:rPr>
        <w:t>The food industry is the main party concerned with the presence of pathogenic microorganisms, where failure to detect a pathogen may lead to a dreadful effect. Although the safety of food has dramatically improved overall, progress is uneven, and foodborne outbreaks from microbial contamination, chemicals, and toxins are common in many countries (WHO, 2007). International trade statistics (2007) by the World Trade Organization (WTO) reported that Europe has accounted for 46% of world exports of agricultural products, where food represents 80% of agricultural exports (WTO, 2007). Trading of contaminated food between countries increases the potential for outbreaks, and consequently, health risks posed by microbial pathogens in food are of major concern to all governments.</w:t>
      </w:r>
    </w:p>
    <w:p w14:paraId="6C204D9A">
      <w:pPr>
        <w:snapToGrid w:val="0"/>
        <w:spacing w:line="480" w:lineRule="auto"/>
        <w:textAlignment w:val="baseline"/>
        <w:rPr>
          <w:rFonts w:ascii="Times New Roman" w:hAnsi="Times New Roman"/>
          <w:b/>
          <w:sz w:val="26"/>
          <w:szCs w:val="26"/>
        </w:rPr>
      </w:pPr>
      <w:r>
        <w:rPr>
          <w:rFonts w:ascii="Times New Roman" w:hAnsi="Times New Roman"/>
          <w:b/>
          <w:sz w:val="26"/>
          <w:szCs w:val="26"/>
        </w:rPr>
        <w:t>2.2</w:t>
      </w:r>
      <w:r>
        <w:rPr>
          <w:rFonts w:ascii="Times New Roman" w:hAnsi="Times New Roman"/>
          <w:b/>
          <w:sz w:val="26"/>
          <w:szCs w:val="26"/>
        </w:rPr>
        <w:tab/>
      </w:r>
      <w:r>
        <w:rPr>
          <w:rFonts w:ascii="Times New Roman" w:hAnsi="Times New Roman"/>
          <w:b/>
          <w:sz w:val="26"/>
          <w:szCs w:val="26"/>
        </w:rPr>
        <w:t xml:space="preserve">Common Pathogens in </w:t>
      </w:r>
      <w:r>
        <w:rPr>
          <w:rFonts w:ascii="Times New Roman" w:hAnsi="Times New Roman"/>
          <w:b/>
          <w:color w:val="000000"/>
          <w:sz w:val="26"/>
          <w:szCs w:val="26"/>
        </w:rPr>
        <w:t>Chin-chin</w:t>
      </w:r>
      <w:r>
        <w:rPr>
          <w:rFonts w:ascii="Times New Roman" w:hAnsi="Times New Roman"/>
          <w:color w:val="000000"/>
          <w:sz w:val="26"/>
          <w:szCs w:val="26"/>
        </w:rPr>
        <w:t xml:space="preserve"> </w:t>
      </w:r>
      <w:r>
        <w:rPr>
          <w:rFonts w:ascii="Times New Roman" w:hAnsi="Times New Roman"/>
          <w:b/>
          <w:sz w:val="26"/>
          <w:szCs w:val="26"/>
        </w:rPr>
        <w:t>Snacks</w:t>
      </w:r>
    </w:p>
    <w:p w14:paraId="53D5348F">
      <w:pPr>
        <w:snapToGrid w:val="0"/>
        <w:spacing w:line="480" w:lineRule="auto"/>
        <w:jc w:val="both"/>
        <w:textAlignment w:val="baseline"/>
        <w:rPr>
          <w:rFonts w:ascii="Times New Roman" w:hAnsi="Times New Roman"/>
          <w:sz w:val="26"/>
          <w:szCs w:val="26"/>
        </w:rPr>
      </w:pPr>
      <w:r>
        <w:rPr>
          <w:rFonts w:ascii="Times New Roman" w:hAnsi="Times New Roman"/>
          <w:color w:val="000000"/>
          <w:sz w:val="26"/>
          <w:szCs w:val="26"/>
        </w:rPr>
        <w:t>Chin-chin</w:t>
      </w:r>
      <w:r>
        <w:rPr>
          <w:rFonts w:ascii="Times New Roman" w:hAnsi="Times New Roman"/>
          <w:sz w:val="26"/>
          <w:szCs w:val="26"/>
        </w:rPr>
        <w:t xml:space="preserve"> snacks are prone to contamination by various foodborne pathogens due to improper handling, storage, or preparation (WHO, 2007). The most common pathogens found in </w:t>
      </w:r>
      <w:r>
        <w:rPr>
          <w:rFonts w:ascii="Times New Roman" w:hAnsi="Times New Roman"/>
          <w:color w:val="000000"/>
          <w:sz w:val="26"/>
          <w:szCs w:val="26"/>
        </w:rPr>
        <w:t>Chin-chin snacks</w:t>
      </w:r>
      <w:r>
        <w:rPr>
          <w:rFonts w:ascii="Times New Roman" w:hAnsi="Times New Roman"/>
          <w:sz w:val="26"/>
          <w:szCs w:val="26"/>
        </w:rPr>
        <w:t xml:space="preserve"> include:</w:t>
      </w: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48"/>
        <w:gridCol w:w="1980"/>
        <w:gridCol w:w="6948"/>
      </w:tblGrid>
      <w:tr w14:paraId="2636D8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3" w:hRule="atLeast"/>
        </w:trPr>
        <w:tc>
          <w:tcPr>
            <w:tcW w:w="648" w:type="dxa"/>
          </w:tcPr>
          <w:p w14:paraId="76E91AE9">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S/N</w:t>
            </w:r>
          </w:p>
        </w:tc>
        <w:tc>
          <w:tcPr>
            <w:tcW w:w="1980" w:type="dxa"/>
          </w:tcPr>
          <w:p w14:paraId="5831D40E">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PATHOGENS</w:t>
            </w:r>
          </w:p>
        </w:tc>
        <w:tc>
          <w:tcPr>
            <w:tcW w:w="6948" w:type="dxa"/>
          </w:tcPr>
          <w:p w14:paraId="4E478B28">
            <w:pPr>
              <w:snapToGrid w:val="0"/>
              <w:spacing w:before="240" w:line="480" w:lineRule="auto"/>
              <w:jc w:val="center"/>
              <w:textAlignment w:val="baseline"/>
              <w:rPr>
                <w:rFonts w:ascii="Times New Roman" w:hAnsi="Times New Roman"/>
                <w:b/>
                <w:sz w:val="26"/>
                <w:szCs w:val="26"/>
              </w:rPr>
            </w:pPr>
            <w:r>
              <w:rPr>
                <w:rFonts w:ascii="Times New Roman" w:hAnsi="Times New Roman"/>
                <w:b/>
                <w:sz w:val="26"/>
                <w:szCs w:val="26"/>
              </w:rPr>
              <w:t>EXAMPLES</w:t>
            </w:r>
          </w:p>
        </w:tc>
      </w:tr>
      <w:tr w14:paraId="5BA7C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3" w:hRule="atLeast"/>
        </w:trPr>
        <w:tc>
          <w:tcPr>
            <w:tcW w:w="648" w:type="dxa"/>
          </w:tcPr>
          <w:p w14:paraId="64614BDD">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1.</w:t>
            </w:r>
          </w:p>
        </w:tc>
        <w:tc>
          <w:tcPr>
            <w:tcW w:w="1980" w:type="dxa"/>
          </w:tcPr>
          <w:p w14:paraId="5CB09F4D">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Bacteria</w:t>
            </w:r>
          </w:p>
        </w:tc>
        <w:tc>
          <w:tcPr>
            <w:tcW w:w="6948" w:type="dxa"/>
          </w:tcPr>
          <w:p w14:paraId="71D9B1E6">
            <w:pPr>
              <w:snapToGrid w:val="0"/>
              <w:spacing w:before="240" w:line="480" w:lineRule="auto"/>
              <w:jc w:val="both"/>
              <w:textAlignment w:val="baseline"/>
              <w:rPr>
                <w:rFonts w:ascii="Times New Roman" w:hAnsi="Times New Roman"/>
                <w:i/>
                <w:sz w:val="26"/>
                <w:szCs w:val="26"/>
              </w:rPr>
            </w:pPr>
            <w:r>
              <w:rPr>
                <w:rFonts w:ascii="Times New Roman" w:hAnsi="Times New Roman"/>
                <w:i/>
                <w:sz w:val="26"/>
                <w:szCs w:val="26"/>
              </w:rPr>
              <w:t>Salmonella spp., Escherichia coli (E. coli), especially E. coli O157:H7, Staphylococcus aureus, Listeria monocytogenes, Clostridium perfringens, Bacillus cereus</w:t>
            </w:r>
          </w:p>
        </w:tc>
      </w:tr>
      <w:tr w14:paraId="06163D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7" w:hRule="atLeast"/>
        </w:trPr>
        <w:tc>
          <w:tcPr>
            <w:tcW w:w="648" w:type="dxa"/>
          </w:tcPr>
          <w:p w14:paraId="2649FB53">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2.</w:t>
            </w:r>
          </w:p>
        </w:tc>
        <w:tc>
          <w:tcPr>
            <w:tcW w:w="1980" w:type="dxa"/>
          </w:tcPr>
          <w:p w14:paraId="1D28893C">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Viruses</w:t>
            </w:r>
          </w:p>
        </w:tc>
        <w:tc>
          <w:tcPr>
            <w:tcW w:w="6948" w:type="dxa"/>
          </w:tcPr>
          <w:p w14:paraId="49B67538">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Norovirus, Hepatitis A Virus (HAV)</w:t>
            </w:r>
          </w:p>
        </w:tc>
      </w:tr>
      <w:tr w14:paraId="0CDCF6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7" w:hRule="atLeast"/>
        </w:trPr>
        <w:tc>
          <w:tcPr>
            <w:tcW w:w="648" w:type="dxa"/>
          </w:tcPr>
          <w:p w14:paraId="668C6DE9">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3.</w:t>
            </w:r>
          </w:p>
        </w:tc>
        <w:tc>
          <w:tcPr>
            <w:tcW w:w="1980" w:type="dxa"/>
          </w:tcPr>
          <w:p w14:paraId="578D5DB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Parasites</w:t>
            </w:r>
          </w:p>
        </w:tc>
        <w:tc>
          <w:tcPr>
            <w:tcW w:w="6948" w:type="dxa"/>
          </w:tcPr>
          <w:p w14:paraId="32C5343E">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Giardia lamblia, Toxoplasma gondii, Cryptosporidium spp.</w:t>
            </w:r>
          </w:p>
        </w:tc>
      </w:tr>
      <w:tr w14:paraId="43110B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6" w:hRule="atLeast"/>
        </w:trPr>
        <w:tc>
          <w:tcPr>
            <w:tcW w:w="648" w:type="dxa"/>
          </w:tcPr>
          <w:p w14:paraId="0D16941A">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4.</w:t>
            </w:r>
          </w:p>
        </w:tc>
        <w:tc>
          <w:tcPr>
            <w:tcW w:w="1980" w:type="dxa"/>
          </w:tcPr>
          <w:p w14:paraId="0A6F7BA1">
            <w:pPr>
              <w:snapToGrid w:val="0"/>
              <w:spacing w:before="240" w:line="480" w:lineRule="auto"/>
              <w:jc w:val="both"/>
              <w:textAlignment w:val="baseline"/>
              <w:rPr>
                <w:rFonts w:ascii="Times New Roman" w:hAnsi="Times New Roman"/>
                <w:sz w:val="26"/>
                <w:szCs w:val="26"/>
              </w:rPr>
            </w:pPr>
            <w:r>
              <w:rPr>
                <w:rFonts w:ascii="Times New Roman" w:hAnsi="Times New Roman"/>
                <w:sz w:val="26"/>
                <w:szCs w:val="26"/>
              </w:rPr>
              <w:t>Fungi (Mycotoxins)</w:t>
            </w:r>
          </w:p>
        </w:tc>
        <w:tc>
          <w:tcPr>
            <w:tcW w:w="6948" w:type="dxa"/>
          </w:tcPr>
          <w:p w14:paraId="74A2D7B8">
            <w:pPr>
              <w:snapToGrid w:val="0"/>
              <w:spacing w:line="480" w:lineRule="auto"/>
              <w:jc w:val="both"/>
              <w:textAlignment w:val="baseline"/>
              <w:rPr>
                <w:rFonts w:ascii="Times New Roman" w:hAnsi="Times New Roman"/>
                <w:i/>
                <w:sz w:val="26"/>
                <w:szCs w:val="26"/>
              </w:rPr>
            </w:pPr>
            <w:r>
              <w:rPr>
                <w:rFonts w:ascii="Times New Roman" w:hAnsi="Times New Roman"/>
                <w:i/>
                <w:sz w:val="26"/>
                <w:szCs w:val="26"/>
              </w:rPr>
              <w:t>Aspergillus spp.</w:t>
            </w:r>
          </w:p>
        </w:tc>
      </w:tr>
    </w:tbl>
    <w:p w14:paraId="04BC052E">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2.3</w:t>
      </w:r>
      <w:r>
        <w:rPr>
          <w:rFonts w:ascii="Times New Roman" w:hAnsi="Times New Roman"/>
          <w:b/>
          <w:sz w:val="26"/>
          <w:szCs w:val="26"/>
        </w:rPr>
        <w:tab/>
      </w:r>
      <w:r>
        <w:rPr>
          <w:rFonts w:ascii="Times New Roman" w:hAnsi="Times New Roman"/>
          <w:b/>
          <w:sz w:val="26"/>
          <w:szCs w:val="26"/>
        </w:rPr>
        <w:t>Health Impacts of Foodborne Pathogens</w:t>
      </w:r>
    </w:p>
    <w:p w14:paraId="15776191">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 xml:space="preserve">The World Health Organization (WHO) declared that around 600 million people fall ill as a result of foodborne disease (FBD), with 420,000 people dying each year (Jaffee et al., 2018) mentioned that the economic costs of FBD were about USD 20 billion annually. In Africa, three key hazards are known to impact public health, including bacterial and viral hazards, parasitic hazards, and natural chemical hazards. Together, bacterial and viral hazards account for about 70% of the overall estimated foodborne disease burden. Salmonella is responsible for the most mortality rate in Africa, i.e., about one-third of all foodborne hazards-related deaths - 32,000 annually. On the other hand, parasitic hazards make up roughly 17% of the FBD burden, with </w:t>
      </w:r>
      <w:r>
        <w:rPr>
          <w:rFonts w:ascii="Times New Roman" w:hAnsi="Times New Roman"/>
          <w:i/>
          <w:color w:val="000000"/>
          <w:sz w:val="26"/>
          <w:szCs w:val="26"/>
        </w:rPr>
        <w:t>Taenia solium</w:t>
      </w:r>
      <w:r>
        <w:rPr>
          <w:rFonts w:ascii="Times New Roman" w:hAnsi="Times New Roman"/>
          <w:color w:val="000000"/>
          <w:sz w:val="26"/>
          <w:szCs w:val="26"/>
        </w:rPr>
        <w:t xml:space="preserve">, affecting millions of individuals and causing the death of about 15,000 people in Africa. </w:t>
      </w:r>
      <w:r>
        <w:rPr>
          <w:rFonts w:ascii="Times New Roman" w:hAnsi="Times New Roman"/>
          <w:i/>
          <w:color w:val="000000"/>
          <w:sz w:val="26"/>
          <w:szCs w:val="26"/>
        </w:rPr>
        <w:t>Ascaris spp.</w:t>
      </w:r>
      <w:r>
        <w:rPr>
          <w:rFonts w:ascii="Times New Roman" w:hAnsi="Times New Roman"/>
          <w:color w:val="000000"/>
          <w:sz w:val="26"/>
          <w:szCs w:val="26"/>
        </w:rPr>
        <w:t xml:space="preserve"> is another major foodborne parasite of concern in the region. Finally, aflatoxin stands as the most predominant pervasive chemical hazard in sub-Saharan Africa. The WHO report concluded that aflatoxin-related FBD accounted for more than 1% of the total disease burden evaluated (Havelaar et al., 2015). Various studies to determine the presence of heavy metals and their toxicity levels in street-vended foods have been carried out in Nigeria. While Lead (Pb) has been the focus of many studies on heavy metals in street-vended foods in Nigeria, it is not the only heavy metal found in these foods. Other heavy metals such as Cadmium, Copper, Mercury, Iron, Zinc, Chromium, manganese, and Aluminium have also been detected in commonly consumed street foods sold in Nigeria.</w:t>
      </w:r>
    </w:p>
    <w:p w14:paraId="02E25198">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t>However, the levels of these metals were found to be below the permissible limits set by the World Health Organization (WHO) for heavy metals, except for Lead. This is why Lead has received more attention in studies of heavy metals in street-vended foods in Nigeria, due to its high toxicity level and potential health risks. (Oyet &amp; Samuel, 2020).</w:t>
      </w:r>
    </w:p>
    <w:p w14:paraId="46414C8C">
      <w:pPr>
        <w:snapToGrid w:val="0"/>
        <w:spacing w:after="25" w:line="480" w:lineRule="auto"/>
        <w:jc w:val="both"/>
        <w:textAlignment w:val="baseline"/>
        <w:rPr>
          <w:rFonts w:ascii="Times New Roman" w:hAnsi="Times New Roman"/>
          <w:sz w:val="26"/>
          <w:szCs w:val="26"/>
        </w:rPr>
      </w:pPr>
      <w:r>
        <w:rPr>
          <w:rFonts w:ascii="Times New Roman" w:hAnsi="Times New Roman"/>
          <w:sz w:val="26"/>
          <w:szCs w:val="26"/>
        </w:rPr>
        <w:t>Generally, lead can be found in the environment from natural sources such as soil, water, and air pollution, as well as anthropogenic sources such as industrial activities, mining, and the use of lead-containing products such as gasoline, batteries, and paint. Street-vended foods can become contaminated with lead through several routes, such as the use of contaminated ingredients, contaminated water for washing and cooking, and the use of lead-containing utensils for cooking and serving. Additionally, lead may also leach into food from the environment during storage, handling, and transport. There are several negative impacts associated with the consumption of street-vended foods (SVFs) in Nigeria and other low- and middle-income countries. Some of these negative impacts include:</w:t>
      </w:r>
    </w:p>
    <w:p w14:paraId="5BCE40EB">
      <w:pPr>
        <w:numPr>
          <w:ilvl w:val="0"/>
          <w:numId w:val="3"/>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Foodborne illnesses: As mentioned earlier, certain SVFs are prepared under unsanitary conditions, which can lead to foodborne illnesses such as diarrhea, cholera, and typhoid fever. These illnesses can result in dehydration, malnutrition, and in severe cases, even death.</w:t>
      </w:r>
    </w:p>
    <w:p w14:paraId="5F8F52DA">
      <w:pPr>
        <w:numPr>
          <w:ilvl w:val="0"/>
          <w:numId w:val="3"/>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Nutritional deficiencies: SVFs are often sold as quick and cheap meals, which may not provide adequate nutrition. This can lead to nutritional deficiencies, particularly in vulnerable populations such as children and pregnant women.</w:t>
      </w:r>
    </w:p>
    <w:p w14:paraId="36397D52">
      <w:pPr>
        <w:numPr>
          <w:ilvl w:val="0"/>
          <w:numId w:val="3"/>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Increased risk of chronic diseases: SVFs are often high in fat, salt, and sugar, which can increase the risk of chronic diseases such as obesity, diabetes, and cardiovascular disease.</w:t>
      </w:r>
    </w:p>
    <w:p w14:paraId="7D5E216B">
      <w:pPr>
        <w:numPr>
          <w:ilvl w:val="0"/>
          <w:numId w:val="3"/>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Environmental pollution: The preparation and disposal of SVFs can contribute to environmental pollution, particularly in urban areas where they are popular. This can have negative impacts on the health of individuals living in these areas.</w:t>
      </w:r>
    </w:p>
    <w:p w14:paraId="2E46421F">
      <w:pPr>
        <w:numPr>
          <w:ilvl w:val="0"/>
          <w:numId w:val="3"/>
        </w:numPr>
        <w:snapToGrid w:val="0"/>
        <w:spacing w:before="24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Economic impact: While SVFs provide a source of income for many street vendors, the negative health impacts associated with their consumption can lead to increased healthcare costs and lost productivity, which can have a negative economic impact on individuals and the country as a whole.</w:t>
      </w:r>
    </w:p>
    <w:p w14:paraId="3728E901">
      <w:pPr>
        <w:snapToGrid w:val="0"/>
        <w:spacing w:before="240" w:line="480" w:lineRule="auto"/>
        <w:jc w:val="both"/>
        <w:textAlignment w:val="baseline"/>
        <w:rPr>
          <w:rFonts w:ascii="Times New Roman" w:hAnsi="Times New Roman"/>
          <w:b/>
          <w:sz w:val="26"/>
          <w:szCs w:val="26"/>
        </w:rPr>
      </w:pPr>
      <w:r>
        <w:rPr>
          <w:rFonts w:ascii="Times New Roman" w:hAnsi="Times New Roman"/>
          <w:b/>
          <w:sz w:val="26"/>
          <w:szCs w:val="26"/>
        </w:rPr>
        <w:t>2.4</w:t>
      </w:r>
      <w:r>
        <w:rPr>
          <w:rFonts w:ascii="Times New Roman" w:hAnsi="Times New Roman"/>
          <w:b/>
          <w:sz w:val="26"/>
          <w:szCs w:val="26"/>
        </w:rPr>
        <w:tab/>
      </w:r>
      <w:r>
        <w:rPr>
          <w:rFonts w:ascii="Times New Roman" w:hAnsi="Times New Roman"/>
          <w:b/>
          <w:sz w:val="26"/>
          <w:szCs w:val="26"/>
        </w:rPr>
        <w:t>Previous Studies on Foodborne Pathogens</w:t>
      </w:r>
    </w:p>
    <w:p w14:paraId="7BD1F46F">
      <w:pPr>
        <w:snapToGrid w:val="0"/>
        <w:spacing w:line="480" w:lineRule="auto"/>
        <w:jc w:val="both"/>
        <w:textAlignment w:val="baseline"/>
        <w:rPr>
          <w:rFonts w:ascii="Times New Roman" w:hAnsi="Times New Roman"/>
          <w:sz w:val="26"/>
          <w:szCs w:val="26"/>
        </w:rPr>
      </w:pPr>
      <w:r>
        <w:rPr>
          <w:rFonts w:ascii="Times New Roman" w:hAnsi="Times New Roman"/>
          <w:sz w:val="26"/>
          <w:szCs w:val="26"/>
        </w:rPr>
        <w:t xml:space="preserve">Research on the bacteriological safety of some </w:t>
      </w:r>
      <w:r>
        <w:rPr>
          <w:rFonts w:ascii="Times New Roman" w:hAnsi="Times New Roman"/>
          <w:color w:val="000000"/>
          <w:sz w:val="26"/>
          <w:szCs w:val="26"/>
        </w:rPr>
        <w:t xml:space="preserve">Chin-chin snacks </w:t>
      </w:r>
      <w:r>
        <w:rPr>
          <w:rFonts w:ascii="Times New Roman" w:hAnsi="Times New Roman"/>
          <w:sz w:val="26"/>
          <w:szCs w:val="26"/>
        </w:rPr>
        <w:t xml:space="preserve">vended on Onitsha-Owerri highways in southeast Nigeria showed the bacterial pollutants to be </w:t>
      </w:r>
      <w:r>
        <w:rPr>
          <w:rFonts w:ascii="Times New Roman" w:hAnsi="Times New Roman"/>
          <w:i/>
          <w:sz w:val="26"/>
          <w:szCs w:val="26"/>
        </w:rPr>
        <w:t xml:space="preserve">Bacillus Cereus, Staphylococcus aureus, Aspergillus Niger, Escherichia coli, Shigella spp., Salmonella spp., Enterococci, </w:t>
      </w:r>
      <w:r>
        <w:rPr>
          <w:rFonts w:ascii="Times New Roman" w:hAnsi="Times New Roman"/>
          <w:sz w:val="26"/>
          <w:szCs w:val="26"/>
        </w:rPr>
        <w:t xml:space="preserve">and </w:t>
      </w:r>
      <w:r>
        <w:rPr>
          <w:rFonts w:ascii="Times New Roman" w:hAnsi="Times New Roman"/>
          <w:i/>
          <w:sz w:val="26"/>
          <w:szCs w:val="26"/>
        </w:rPr>
        <w:t>Pseudomonas</w:t>
      </w:r>
      <w:r>
        <w:rPr>
          <w:rFonts w:ascii="Times New Roman" w:hAnsi="Times New Roman"/>
          <w:sz w:val="26"/>
          <w:szCs w:val="26"/>
        </w:rPr>
        <w:t xml:space="preserve"> (Oranusi and Braide, 2012). A survey conducted among street food vendors in Benin City, Edo State revealed that 71.3% of the vendors were not familiar with the term “foodborne disease”, which was in contrast to a study conducted in Abeokuta, Nigeria where most vendors had heard of the term (Okojie &amp; Isah, 2019). Furthermore, 73.9% of the vendors had never received any food safety training, which was associated with poor knowledge of food safety and hygiene as 78.3% of the vendors had poor knowledge of food safety (Okojie &amp; Isah, 2019).</w:t>
      </w:r>
    </w:p>
    <w:p w14:paraId="2951EC4A">
      <w:pPr>
        <w:snapToGrid w:val="0"/>
        <w:spacing w:line="480" w:lineRule="auto"/>
        <w:jc w:val="both"/>
        <w:textAlignment w:val="baseline"/>
        <w:rPr>
          <w:rFonts w:ascii="Times New Roman" w:hAnsi="Times New Roman"/>
          <w:sz w:val="26"/>
          <w:szCs w:val="26"/>
        </w:rPr>
      </w:pPr>
      <w:r>
        <w:rPr>
          <w:rFonts w:ascii="Times New Roman" w:hAnsi="Times New Roman"/>
          <w:sz w:val="26"/>
          <w:szCs w:val="26"/>
        </w:rPr>
        <w:t>In another study, it was found that street food vendors in some parts of Lagos State, including Apapa, had high microbial loads in their foods, which could be attributed to poor food handling practices, inadequate sanitation at vending sites, improper waste disposal, and poor hygiene conditions of the vendors (Israel &amp; Samuel, 2020). According to a study on food safety practices conducted in Asaba, Delta state, 51.7% of street food vendors (SFVs) did not wash food before cooking, and 41.7% did not practice personal hygiene during food handling. However, 91.7% of them obtained hygienic water, and most of the vendors used clean water and reusable towels to clean their utensils during food preparation (Gbigbi &amp; Okonkwo, 2021). Similarly, a recent study on personal hygiene practices between SFVs and canteen food services in Northwestern Nigeria found that both groups had high measures of personal hygiene, with canteen food handlers scoring higher (74.0%) than street food vendors (70.2%) (Ibrahim et al., 2021).</w:t>
      </w:r>
    </w:p>
    <w:p w14:paraId="301AC396">
      <w:pPr>
        <w:snapToGrid w:val="0"/>
        <w:spacing w:line="480" w:lineRule="auto"/>
        <w:textAlignment w:val="baseline"/>
        <w:rPr>
          <w:rFonts w:ascii="Times New Roman" w:hAnsi="Times New Roman"/>
          <w:b/>
          <w:sz w:val="26"/>
          <w:szCs w:val="26"/>
        </w:rPr>
      </w:pPr>
      <w:r>
        <w:rPr>
          <w:rFonts w:ascii="Times New Roman" w:hAnsi="Times New Roman"/>
          <w:b/>
          <w:sz w:val="26"/>
          <w:szCs w:val="26"/>
        </w:rPr>
        <w:t>2.5</w:t>
      </w:r>
      <w:r>
        <w:rPr>
          <w:rFonts w:ascii="Times New Roman" w:hAnsi="Times New Roman"/>
          <w:b/>
          <w:sz w:val="26"/>
          <w:szCs w:val="26"/>
        </w:rPr>
        <w:tab/>
      </w:r>
      <w:r>
        <w:rPr>
          <w:rFonts w:ascii="Times New Roman" w:hAnsi="Times New Roman"/>
          <w:b/>
          <w:sz w:val="26"/>
          <w:szCs w:val="26"/>
        </w:rPr>
        <w:t>Regulations and Standards for Street Food</w:t>
      </w:r>
    </w:p>
    <w:p w14:paraId="6074ACBC">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Historically, past and present governments have made efforts to ensure the food safety and quality of countries' food supply chains. The first known law that addressed food safety in Nigeria was the Public Health Ordinance Cap 165 of 1958, which has its source in the Public Health Laws. Over the years, various legislation establishing different food control agencies in the country were enacted. Currently, there are more than 30 functional Food Safety Enabling Acts administered by different agencies across the federal, state, and local government council areas (Okoruwa &amp; Onuigbo-Chatta, 2021). The National Council on Health of Nigeria produced a National Policy on Food Safety (NPFS) in 1999 after a series of meetings. The NPFS, which is part of the Nigerian National Health Policy, established a public-private partnership approach to addressing the country's food safety matters by establishing a National Committee on Food Safety, which included representatives across the food chain continuum. The NPFS serves as a national institutional framework for consolidating all of the country's existing food safety and control systems, thus guaranteeing food safety.</w:t>
      </w:r>
    </w:p>
    <w:p w14:paraId="50DD31E3">
      <w:p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relevant actors in food safety control in Nigeria include:</w:t>
      </w:r>
    </w:p>
    <w:p w14:paraId="5F0EA0FA">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Health (FMoH)</w:t>
      </w:r>
    </w:p>
    <w:p w14:paraId="2318F4CC">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National Agency for Food and Drug Administration and Control (NAFDAC)</w:t>
      </w:r>
    </w:p>
    <w:p w14:paraId="2B1A567A">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Standards Organization of Nigeria (SON)</w:t>
      </w:r>
    </w:p>
    <w:p w14:paraId="3E865FF5">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Trade and Investment (FMITI)</w:t>
      </w:r>
    </w:p>
    <w:p w14:paraId="63F86391">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Environment (FMOE)</w:t>
      </w:r>
    </w:p>
    <w:p w14:paraId="294347E5">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Ministry of Agriculture and Rural Development (FMA&amp;RD)</w:t>
      </w:r>
    </w:p>
    <w:p w14:paraId="55BE7242">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Federal Department of Fisheries</w:t>
      </w:r>
    </w:p>
    <w:p w14:paraId="37756204">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Nigeria Plant Quarantine Service (NPQS)</w:t>
      </w:r>
    </w:p>
    <w:p w14:paraId="00265A69">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Consumer Protection Council (CPC)</w:t>
      </w:r>
    </w:p>
    <w:p w14:paraId="76E0A577">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Federal Ministry of Education</w:t>
      </w:r>
    </w:p>
    <w:p w14:paraId="3DD96093">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Local Government Areas (LGAs)</w:t>
      </w:r>
    </w:p>
    <w:p w14:paraId="1D07907E">
      <w:pPr>
        <w:numPr>
          <w:ilvl w:val="0"/>
          <w:numId w:val="4"/>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Universities</w:t>
      </w:r>
    </w:p>
    <w:p w14:paraId="0C949D03">
      <w:pPr>
        <w:numPr>
          <w:ilvl w:val="0"/>
          <w:numId w:val="5"/>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Research Institutes</w:t>
      </w:r>
    </w:p>
    <w:p w14:paraId="0167AB5C">
      <w:pPr>
        <w:numPr>
          <w:ilvl w:val="0"/>
          <w:numId w:val="5"/>
        </w:numPr>
        <w:snapToGrid w:val="0"/>
        <w:spacing w:line="480" w:lineRule="auto"/>
        <w:textAlignment w:val="baseline"/>
        <w:rPr>
          <w:rFonts w:ascii="Times New Roman" w:hAnsi="Times New Roman"/>
          <w:color w:val="000000"/>
          <w:sz w:val="26"/>
          <w:szCs w:val="26"/>
        </w:rPr>
      </w:pPr>
      <w:r>
        <w:rPr>
          <w:rFonts w:ascii="Times New Roman" w:hAnsi="Times New Roman"/>
          <w:color w:val="000000"/>
          <w:sz w:val="26"/>
          <w:szCs w:val="26"/>
        </w:rPr>
        <w:t>The private sector (Omojokun, 2013)</w:t>
      </w:r>
    </w:p>
    <w:p w14:paraId="10E6DF76">
      <w:pPr>
        <w:snapToGrid w:val="0"/>
        <w:spacing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In 2014, the FMoH developed a National Policy on Food Safety and Implementation Strategy (NPFSIS) as part of the government’s initiatives to advance food safety by revising and modernizing important parts of the national food safety control system. According to the NPFSIS, Nigeria runs a multi-agency food safety control system that is further divided among different sectors with the aim of building and operating a contemporary and effective National Food Safety System. Currently, the advancement of food safety in the country made some gains with the proposed Draft Food Safety and Quality Bill (FSQB) developed in 2016. Although the bill addresses highlighted shortfalls identified in various laws on food safety, the passage of the bill into law has experienced major setbacks through the required legislative proceedings (Okoruwa &amp; Onuigbo-Chatta, 2021). In as much as a national policy on food safety exists, the impact of this policy on street food regulation in Nigeria is grossly underfelt. It is worth knowing that as comprehensive as the NPFSIS is, it only covers food safety issues in the formal sector of the economy (Okoruwa &amp; Onuigbo-Chatta, 2021), leaving out food safety concerns posed by the huge and growing often informal, unregulated street vending sector. In Nigeria, street food vending activities, bukaterias (roadside restaurants), catering establishments, local abattoirs, and traditional markets are under the preview of the Local Government Area Councils.</w:t>
      </w:r>
    </w:p>
    <w:p w14:paraId="4D03C12F">
      <w:pPr>
        <w:snapToGrid w:val="0"/>
        <w:spacing w:line="480" w:lineRule="auto"/>
        <w:jc w:val="center"/>
        <w:textAlignment w:val="baseline"/>
        <w:rPr>
          <w:rFonts w:ascii="Times New Roman" w:hAnsi="Times New Roman"/>
          <w:b/>
          <w:sz w:val="26"/>
          <w:szCs w:val="26"/>
        </w:rPr>
      </w:pPr>
    </w:p>
    <w:p w14:paraId="384F82BD">
      <w:pPr>
        <w:snapToGrid w:val="0"/>
        <w:spacing w:line="360" w:lineRule="auto"/>
        <w:textAlignment w:val="baseline"/>
        <w:rPr>
          <w:rFonts w:ascii="Times New Roman" w:hAnsi="Times New Roman"/>
          <w:sz w:val="26"/>
          <w:szCs w:val="26"/>
        </w:rPr>
      </w:pPr>
    </w:p>
    <w:p w14:paraId="11411549">
      <w:pPr>
        <w:pStyle w:val="2"/>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THREE</w:t>
      </w:r>
    </w:p>
    <w:p w14:paraId="3930F13C">
      <w:pPr>
        <w:pStyle w:val="2"/>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MATERIALS AND METHODS</w:t>
      </w:r>
      <w:bookmarkStart w:id="0" w:name="_Toc169941707"/>
      <w:bookmarkEnd w:id="0"/>
    </w:p>
    <w:p w14:paraId="0130699B">
      <w:pPr>
        <w:pStyle w:val="3"/>
        <w:snapToGrid w:val="0"/>
        <w:spacing w:before="0" w:after="0" w:line="480" w:lineRule="auto"/>
        <w:jc w:val="both"/>
        <w:textAlignment w:val="baseline"/>
        <w:rPr>
          <w:rFonts w:ascii="Times New Roman" w:hAnsi="Times New Roman" w:cs="Times New Roman"/>
          <w:b/>
          <w:bCs/>
          <w:color w:val="000000"/>
          <w:sz w:val="26"/>
          <w:szCs w:val="26"/>
        </w:rPr>
      </w:pPr>
      <w:bookmarkStart w:id="1" w:name="_Toc169941708"/>
      <w:r>
        <w:rPr>
          <w:rFonts w:ascii="Times New Roman" w:hAnsi="Times New Roman" w:cs="Times New Roman"/>
          <w:b/>
          <w:bCs/>
          <w:color w:val="000000"/>
          <w:sz w:val="26"/>
          <w:szCs w:val="26"/>
        </w:rPr>
        <w:t>3.1</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Study Area</w:t>
      </w:r>
      <w:bookmarkEnd w:id="1"/>
    </w:p>
    <w:p w14:paraId="0FEF519D">
      <w:pPr>
        <w:pStyle w:val="8"/>
        <w:snapToGrid w:val="0"/>
        <w:spacing w:line="480" w:lineRule="auto"/>
        <w:ind w:right="-46" w:firstLine="720"/>
        <w:jc w:val="both"/>
        <w:textAlignment w:val="baseline"/>
        <w:rPr>
          <w:sz w:val="26"/>
          <w:szCs w:val="26"/>
        </w:rPr>
      </w:pPr>
      <w:r>
        <w:rPr>
          <w:sz w:val="26"/>
          <w:szCs w:val="26"/>
        </w:rPr>
        <w:t>This study was conducted in Ilorin, Kwara State.</w:t>
      </w:r>
      <w:bookmarkStart w:id="2" w:name="_Toc169941709"/>
    </w:p>
    <w:p w14:paraId="723FECF9">
      <w:pPr>
        <w:pStyle w:val="8"/>
        <w:snapToGrid w:val="0"/>
        <w:spacing w:line="480" w:lineRule="auto"/>
        <w:ind w:right="-46"/>
        <w:jc w:val="both"/>
        <w:textAlignment w:val="baseline"/>
        <w:rPr>
          <w:b/>
          <w:bCs/>
          <w:sz w:val="26"/>
          <w:szCs w:val="26"/>
        </w:rPr>
      </w:pPr>
      <w:r>
        <w:rPr>
          <w:b/>
          <w:bCs/>
          <w:sz w:val="26"/>
          <w:szCs w:val="26"/>
        </w:rPr>
        <w:t>3.2</w:t>
      </w:r>
      <w:r>
        <w:rPr>
          <w:b/>
          <w:bCs/>
          <w:sz w:val="26"/>
          <w:szCs w:val="26"/>
        </w:rPr>
        <w:tab/>
      </w:r>
      <w:r>
        <w:rPr>
          <w:b/>
          <w:bCs/>
          <w:sz w:val="26"/>
          <w:szCs w:val="26"/>
        </w:rPr>
        <w:t>Sample Collection</w:t>
      </w:r>
      <w:bookmarkEnd w:id="2"/>
    </w:p>
    <w:p w14:paraId="4A20043A">
      <w:pPr>
        <w:pStyle w:val="3"/>
        <w:snapToGrid w:val="0"/>
        <w:spacing w:after="0" w:line="480" w:lineRule="auto"/>
        <w:jc w:val="both"/>
        <w:textAlignment w:val="baseline"/>
        <w:rPr>
          <w:rFonts w:ascii="Times New Roman" w:hAnsi="Times New Roman" w:eastAsia="SimSun" w:cs="Times New Roman"/>
          <w:color w:val="auto"/>
          <w:sz w:val="26"/>
          <w:szCs w:val="26"/>
          <w:lang w:eastAsia="zh-CN"/>
        </w:rPr>
      </w:pPr>
      <w:bookmarkStart w:id="3" w:name="_Toc169941710"/>
      <w:r>
        <w:rPr>
          <w:rFonts w:ascii="Times New Roman" w:hAnsi="Times New Roman" w:eastAsia="SimSun" w:cs="Times New Roman"/>
          <w:color w:val="auto"/>
          <w:sz w:val="26"/>
          <w:szCs w:val="26"/>
          <w:lang w:eastAsia="zh-CN"/>
        </w:rPr>
        <w:t>Three (3) packed chin-chin samples were randomly collected from three different provision vendors in Ilorin, Kwara State. The chin-chin products include:</w:t>
      </w:r>
    </w:p>
    <w:p w14:paraId="0B4A3AA0">
      <w:pPr>
        <w:numPr>
          <w:ilvl w:val="0"/>
          <w:numId w:val="6"/>
        </w:numPr>
        <w:jc w:val="both"/>
        <w:rPr>
          <w:rFonts w:ascii="Times New Roman" w:hAnsi="Times New Roman"/>
          <w:sz w:val="26"/>
          <w:szCs w:val="26"/>
        </w:rPr>
      </w:pPr>
      <w:r>
        <w:rPr>
          <w:rFonts w:ascii="Times New Roman" w:hAnsi="Times New Roman"/>
          <w:sz w:val="26"/>
          <w:szCs w:val="26"/>
        </w:rPr>
        <w:t>M</w:t>
      </w:r>
    </w:p>
    <w:p w14:paraId="7832D6B8">
      <w:pPr>
        <w:numPr>
          <w:ilvl w:val="0"/>
          <w:numId w:val="6"/>
        </w:numPr>
        <w:jc w:val="both"/>
        <w:rPr>
          <w:rFonts w:ascii="Times New Roman" w:hAnsi="Times New Roman"/>
          <w:sz w:val="26"/>
          <w:szCs w:val="26"/>
        </w:rPr>
      </w:pPr>
      <w:r>
        <w:rPr>
          <w:rFonts w:ascii="Times New Roman" w:hAnsi="Times New Roman"/>
          <w:sz w:val="26"/>
          <w:szCs w:val="26"/>
        </w:rPr>
        <w:t>I</w:t>
      </w:r>
    </w:p>
    <w:p w14:paraId="0F4DC5AF">
      <w:pPr>
        <w:numPr>
          <w:ilvl w:val="0"/>
          <w:numId w:val="6"/>
        </w:numPr>
        <w:jc w:val="both"/>
        <w:rPr>
          <w:rFonts w:ascii="Times New Roman" w:hAnsi="Times New Roman"/>
          <w:sz w:val="26"/>
          <w:szCs w:val="26"/>
        </w:rPr>
      </w:pPr>
      <w:r>
        <w:rPr>
          <w:rFonts w:ascii="Times New Roman" w:hAnsi="Times New Roman"/>
          <w:sz w:val="26"/>
          <w:szCs w:val="26"/>
        </w:rPr>
        <w:t>R</w:t>
      </w:r>
    </w:p>
    <w:p w14:paraId="5D0A06E5">
      <w:pPr>
        <w:pStyle w:val="3"/>
        <w:snapToGrid w:val="0"/>
        <w:spacing w:before="0" w:after="0" w:line="480" w:lineRule="auto"/>
        <w:jc w:val="both"/>
        <w:textAlignment w:val="baseline"/>
        <w:rPr>
          <w:rFonts w:ascii="Times New Roman" w:hAnsi="Times New Roman" w:eastAsia="SimSun" w:cs="Times New Roman"/>
          <w:color w:val="auto"/>
          <w:sz w:val="26"/>
          <w:szCs w:val="26"/>
          <w:lang w:eastAsia="zh-CN"/>
        </w:rPr>
      </w:pPr>
      <w:r>
        <w:rPr>
          <w:rFonts w:ascii="Times New Roman" w:hAnsi="Times New Roman" w:eastAsia="SimSun" w:cs="Times New Roman"/>
          <w:color w:val="auto"/>
          <w:sz w:val="26"/>
          <w:szCs w:val="26"/>
          <w:lang w:eastAsia="zh-CN"/>
        </w:rPr>
        <w:t>The samples were carefully and aseptically transported to the laboratory in their packages for analysis.</w:t>
      </w:r>
    </w:p>
    <w:p w14:paraId="039985A5">
      <w:pPr>
        <w:pStyle w:val="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3.3</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Preparation of Culture Media</w:t>
      </w:r>
      <w:bookmarkEnd w:id="3"/>
    </w:p>
    <w:p w14:paraId="796DEC62">
      <w:pPr>
        <w:pStyle w:val="3"/>
        <w:snapToGrid w:val="0"/>
        <w:spacing w:after="0" w:line="480" w:lineRule="auto"/>
        <w:jc w:val="both"/>
        <w:textAlignment w:val="baseline"/>
        <w:rPr>
          <w:rFonts w:ascii="Times New Roman" w:hAnsi="Times New Roman" w:eastAsia="Georgia" w:cs="Times New Roman"/>
          <w:color w:val="auto"/>
          <w:sz w:val="26"/>
          <w:szCs w:val="26"/>
        </w:rPr>
      </w:pPr>
      <w:bookmarkStart w:id="4" w:name="_Toc169941711"/>
      <w:r>
        <w:rPr>
          <w:rFonts w:ascii="Times New Roman" w:hAnsi="Times New Roman" w:eastAsia="Georgia" w:cs="Times New Roman"/>
          <w:color w:val="auto"/>
          <w:sz w:val="26"/>
          <w:szCs w:val="26"/>
        </w:rPr>
        <w:t>All media used were prepared according to the manufacturer’s instructions. The media were weighed and dissolved in the appropriate volume of water and sterilized in the autoclave at 121°C at 15 psi for 15 minutes.</w:t>
      </w:r>
    </w:p>
    <w:p w14:paraId="0EFB0485">
      <w:pPr>
        <w:jc w:val="both"/>
        <w:rPr>
          <w:rFonts w:ascii="Times New Roman" w:hAnsi="Times New Roman"/>
          <w:sz w:val="26"/>
          <w:szCs w:val="26"/>
        </w:rPr>
      </w:pPr>
      <w:r>
        <w:rPr>
          <w:rFonts w:ascii="Times New Roman" w:hAnsi="Times New Roman"/>
          <w:sz w:val="26"/>
          <w:szCs w:val="26"/>
        </w:rPr>
        <w:t>Media used include: Nutrient Agar, MacConkey Agar and Potato Dextrose Agar</w:t>
      </w:r>
    </w:p>
    <w:p w14:paraId="467459DF">
      <w:pPr>
        <w:jc w:val="both"/>
        <w:rPr>
          <w:rFonts w:ascii="Times New Roman" w:hAnsi="Times New Roman"/>
          <w:b/>
          <w:bCs/>
          <w:color w:val="000000"/>
          <w:sz w:val="26"/>
          <w:szCs w:val="26"/>
        </w:rPr>
      </w:pPr>
    </w:p>
    <w:p w14:paraId="01239435">
      <w:pPr>
        <w:jc w:val="both"/>
        <w:rPr>
          <w:rFonts w:ascii="Times New Roman" w:hAnsi="Times New Roman"/>
          <w:b/>
          <w:bCs/>
          <w:color w:val="000000"/>
          <w:sz w:val="26"/>
          <w:szCs w:val="26"/>
        </w:rPr>
      </w:pPr>
    </w:p>
    <w:p w14:paraId="4D83877D">
      <w:pPr>
        <w:jc w:val="both"/>
        <w:rPr>
          <w:rFonts w:ascii="Times New Roman" w:hAnsi="Times New Roman"/>
          <w:b/>
          <w:bCs/>
          <w:color w:val="000000"/>
          <w:sz w:val="26"/>
          <w:szCs w:val="26"/>
        </w:rPr>
      </w:pPr>
    </w:p>
    <w:p w14:paraId="3C8FEA22">
      <w:pPr>
        <w:jc w:val="both"/>
        <w:rPr>
          <w:rFonts w:ascii="Times New Roman" w:hAnsi="Times New Roman"/>
          <w:b/>
          <w:bCs/>
          <w:color w:val="000000"/>
          <w:sz w:val="26"/>
          <w:szCs w:val="26"/>
        </w:rPr>
      </w:pPr>
    </w:p>
    <w:p w14:paraId="301F5244">
      <w:pPr>
        <w:jc w:val="both"/>
        <w:rPr>
          <w:rFonts w:ascii="Times New Roman" w:hAnsi="Times New Roman"/>
          <w:b/>
          <w:bCs/>
          <w:color w:val="000000"/>
          <w:sz w:val="26"/>
          <w:szCs w:val="26"/>
        </w:rPr>
      </w:pPr>
    </w:p>
    <w:p w14:paraId="33281D22">
      <w:pPr>
        <w:jc w:val="both"/>
        <w:rPr>
          <w:rFonts w:ascii="Times New Roman" w:hAnsi="Times New Roman"/>
          <w:b/>
          <w:bCs/>
          <w:color w:val="000000"/>
          <w:sz w:val="26"/>
          <w:szCs w:val="26"/>
        </w:rPr>
      </w:pPr>
      <w:r>
        <w:rPr>
          <w:rFonts w:ascii="Times New Roman" w:hAnsi="Times New Roman"/>
          <w:b/>
          <w:bCs/>
          <w:color w:val="000000"/>
          <w:sz w:val="26"/>
          <w:szCs w:val="26"/>
        </w:rPr>
        <w:t>3.4</w:t>
      </w:r>
      <w:r>
        <w:rPr>
          <w:rFonts w:ascii="Times New Roman" w:hAnsi="Times New Roman"/>
          <w:b/>
          <w:bCs/>
          <w:color w:val="000000"/>
          <w:sz w:val="26"/>
          <w:szCs w:val="26"/>
        </w:rPr>
        <w:tab/>
      </w:r>
      <w:r>
        <w:rPr>
          <w:rFonts w:ascii="Times New Roman" w:hAnsi="Times New Roman"/>
          <w:b/>
          <w:bCs/>
          <w:color w:val="000000"/>
          <w:sz w:val="26"/>
          <w:szCs w:val="26"/>
        </w:rPr>
        <w:t>Materials</w:t>
      </w:r>
      <w:bookmarkEnd w:id="4"/>
    </w:p>
    <w:p w14:paraId="0A94D08E">
      <w:pPr>
        <w:pStyle w:val="3"/>
        <w:snapToGrid w:val="0"/>
        <w:spacing w:before="0" w:after="0" w:line="480" w:lineRule="auto"/>
        <w:jc w:val="both"/>
        <w:textAlignment w:val="baseline"/>
        <w:rPr>
          <w:rFonts w:ascii="Times New Roman" w:hAnsi="Times New Roman" w:eastAsia="SimSun" w:cs="Times New Roman"/>
          <w:color w:val="auto"/>
          <w:sz w:val="26"/>
          <w:szCs w:val="26"/>
          <w:lang w:eastAsia="zh-CN"/>
        </w:rPr>
      </w:pPr>
      <w:bookmarkStart w:id="5" w:name="_Toc169941712"/>
      <w:bookmarkStart w:id="6" w:name="_Toc84222888"/>
      <w:r>
        <w:rPr>
          <w:rFonts w:ascii="Times New Roman" w:hAnsi="Times New Roman" w:eastAsia="SimSun" w:cs="Times New Roman"/>
          <w:color w:val="auto"/>
          <w:sz w:val="26"/>
          <w:szCs w:val="26"/>
          <w:lang w:eastAsia="zh-CN"/>
        </w:rPr>
        <w:t>Glasswares used for this study include; petridish, measuring cylinder, microscope glass slides, glass rod, beakers, Micropipettes and test tubes. Equipment used for this study include; autoclave, refrigerator, microscope, incubator, oven, electronic beam balance, Bunsen burner and water bath, distilled water, Lugol's iodine, crystal violet, alcohol and decolorizer, nutrient agar, Potato Dextrose agar, foil paper, needle and syringes, aluminum foil paper, paper tape, detergent, wire loops, cotton wool.</w:t>
      </w:r>
    </w:p>
    <w:p w14:paraId="25B5A787">
      <w:pPr>
        <w:spacing w:line="480" w:lineRule="auto"/>
        <w:rPr>
          <w:rFonts w:ascii="Times New Roman" w:hAnsi="Times New Roman"/>
          <w:b/>
          <w:sz w:val="26"/>
          <w:szCs w:val="26"/>
        </w:rPr>
      </w:pPr>
      <w:r>
        <w:rPr>
          <w:rFonts w:ascii="Times New Roman" w:hAnsi="Times New Roman"/>
          <w:b/>
          <w:sz w:val="26"/>
          <w:szCs w:val="26"/>
        </w:rPr>
        <w:t>3.5</w:t>
      </w:r>
      <w:r>
        <w:rPr>
          <w:rFonts w:ascii="Times New Roman" w:hAnsi="Times New Roman"/>
          <w:b/>
          <w:sz w:val="26"/>
          <w:szCs w:val="26"/>
        </w:rPr>
        <w:tab/>
      </w:r>
      <w:r>
        <w:rPr>
          <w:rFonts w:ascii="Times New Roman" w:hAnsi="Times New Roman"/>
          <w:b/>
          <w:sz w:val="26"/>
          <w:szCs w:val="26"/>
        </w:rPr>
        <w:t>Bacteriological and Mycological Analysis</w:t>
      </w:r>
      <w:bookmarkEnd w:id="5"/>
      <w:bookmarkEnd w:id="6"/>
    </w:p>
    <w:p w14:paraId="68E56FFF">
      <w:pPr>
        <w:spacing w:line="480" w:lineRule="auto"/>
        <w:rPr>
          <w:rFonts w:ascii="Times New Roman" w:hAnsi="Times New Roman"/>
          <w:b/>
          <w:sz w:val="26"/>
          <w:szCs w:val="26"/>
        </w:rPr>
      </w:pPr>
      <w:bookmarkStart w:id="7" w:name="_Toc169941713"/>
      <w:r>
        <w:rPr>
          <w:rFonts w:ascii="Times New Roman" w:hAnsi="Times New Roman"/>
          <w:b/>
          <w:sz w:val="26"/>
          <w:szCs w:val="26"/>
        </w:rPr>
        <w:t>3.5.1</w:t>
      </w:r>
      <w:r>
        <w:rPr>
          <w:rFonts w:ascii="Times New Roman" w:hAnsi="Times New Roman"/>
          <w:b/>
          <w:sz w:val="26"/>
          <w:szCs w:val="26"/>
        </w:rPr>
        <w:tab/>
      </w:r>
      <w:r>
        <w:rPr>
          <w:rFonts w:ascii="Times New Roman" w:hAnsi="Times New Roman" w:eastAsia="Times New Roman"/>
          <w:b/>
          <w:sz w:val="26"/>
          <w:szCs w:val="26"/>
        </w:rPr>
        <w:t>Total Bacterial and Fungal Count</w:t>
      </w:r>
      <w:bookmarkEnd w:id="7"/>
    </w:p>
    <w:p w14:paraId="6C046CB6">
      <w:pPr>
        <w:spacing w:line="480" w:lineRule="auto"/>
        <w:jc w:val="both"/>
        <w:rPr>
          <w:rFonts w:ascii="Times New Roman" w:hAnsi="Times New Roman"/>
          <w:sz w:val="26"/>
          <w:szCs w:val="26"/>
        </w:rPr>
      </w:pPr>
      <w:bookmarkStart w:id="8" w:name="_Toc169941714"/>
      <w:r>
        <w:rPr>
          <w:rFonts w:ascii="Times New Roman" w:hAnsi="Times New Roman"/>
          <w:sz w:val="26"/>
          <w:szCs w:val="26"/>
        </w:rPr>
        <w:t>Fourfold serial dilutions were carried out in (four) 4 test tubes. Nine milliliters (9ml) of distilled water were pipette into the tubes and plugged with stopper and sterilized by autoclaving at 121°C at 15 psi for 15 minutes and allowed to cool after it has been brought out from the autoclave. One milliliter (1ml) of the sample was diluted serially using a sterile pipette. Test tubes 10^2 were plated on the Potato Dextrose Agar (PDA) agar, test tube 10^3 were plated on the MacConkey Agar (MAC) agar and test tube 10^4 were plated on the Nutrient Agar (NA) agar, all the volume of culture plated were 1ml.</w:t>
      </w:r>
    </w:p>
    <w:p w14:paraId="097A4872">
      <w:pPr>
        <w:spacing w:line="480" w:lineRule="auto"/>
        <w:jc w:val="both"/>
        <w:rPr>
          <w:rFonts w:ascii="Times New Roman" w:hAnsi="Times New Roman"/>
          <w:sz w:val="26"/>
          <w:szCs w:val="26"/>
        </w:rPr>
      </w:pPr>
      <w:r>
        <w:rPr>
          <w:rFonts w:ascii="Times New Roman" w:hAnsi="Times New Roman"/>
          <w:sz w:val="26"/>
          <w:szCs w:val="26"/>
        </w:rPr>
        <w:t>The plates were then incubated at 37°C for 24 hours for bacteria and fungi incubated at 27°C for 3-5 days respectively. At the end of 24 hours of incubation for bacteria and 3-5 days for fungi, standard bacterial count and fungal count were recorded. The count was expressed as colony forming units (CFU) as described by Okafo et al. (2019) and Anie (2018).</w:t>
      </w:r>
    </w:p>
    <w:p w14:paraId="6D785629">
      <w:pPr>
        <w:pStyle w:val="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3.6</w:t>
      </w:r>
      <w:r>
        <w:rPr>
          <w:rFonts w:ascii="Times New Roman" w:hAnsi="Times New Roman" w:eastAsia="Times New Roman" w:cs="Times New Roman"/>
          <w:b/>
          <w:bCs/>
          <w:color w:val="000000"/>
          <w:sz w:val="26"/>
          <w:szCs w:val="26"/>
        </w:rPr>
        <w:tab/>
      </w:r>
      <w:r>
        <w:rPr>
          <w:rFonts w:ascii="Times New Roman" w:hAnsi="Times New Roman" w:eastAsia="Times New Roman" w:cs="Times New Roman"/>
          <w:b/>
          <w:bCs/>
          <w:color w:val="000000"/>
          <w:sz w:val="26"/>
          <w:szCs w:val="26"/>
        </w:rPr>
        <w:t>Isolation of Microorganisms</w:t>
      </w:r>
      <w:bookmarkEnd w:id="8"/>
    </w:p>
    <w:p w14:paraId="53918AE7">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After the 24 hours of incubation, the plates were removed from the incubator, the colonies were observed on the plates and counted using a colony counter, and the pure cultures were obtained by transferring the distinct colonies into sterile solid nutrient agar plates using a sterile inoculating loop and then streaked (Madigan et al., 2022). The plates were then incubated at 37°C for 24-48 hours and sub-cultured until satisfactorily pure cultures were obtained. The agar slants were then prepared by dispensing molten nutrient agar into sterilized McCartney bottles and set into slant position. The distinct pure isolates obtained were then aseptically inoculated further onto nutrient agar slants in McCartney bottles and incubated at 37°C and stored in the refrigerator at 4°C. The stock cultures were to serve as a source of reference whenever tests would be carried out on the isolates.</w:t>
      </w:r>
    </w:p>
    <w:p w14:paraId="5832942E">
      <w:pPr>
        <w:pStyle w:val="3"/>
        <w:snapToGrid w:val="0"/>
        <w:spacing w:before="0" w:after="0" w:line="480" w:lineRule="auto"/>
        <w:jc w:val="both"/>
        <w:textAlignment w:val="baseline"/>
        <w:rPr>
          <w:rFonts w:ascii="Times New Roman" w:hAnsi="Times New Roman" w:cs="Times New Roman"/>
          <w:b/>
          <w:bCs/>
          <w:color w:val="000000"/>
          <w:sz w:val="26"/>
          <w:szCs w:val="26"/>
        </w:rPr>
      </w:pPr>
      <w:bookmarkStart w:id="9" w:name="_Toc169941715"/>
      <w:r>
        <w:rPr>
          <w:rFonts w:ascii="Times New Roman" w:hAnsi="Times New Roman" w:cs="Times New Roman"/>
          <w:b/>
          <w:bCs/>
          <w:color w:val="000000"/>
          <w:sz w:val="26"/>
          <w:szCs w:val="26"/>
        </w:rPr>
        <w:t>3.7</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Characteristics of Microbial Isolates</w:t>
      </w:r>
      <w:bookmarkEnd w:id="9"/>
    </w:p>
    <w:p w14:paraId="05BC233F">
      <w:pPr>
        <w:pStyle w:val="4"/>
        <w:snapToGrid w:val="0"/>
        <w:spacing w:before="0" w:after="0" w:line="480" w:lineRule="auto"/>
        <w:jc w:val="both"/>
        <w:textAlignment w:val="baseline"/>
        <w:rPr>
          <w:rFonts w:ascii="Times New Roman" w:hAnsi="Times New Roman" w:cs="Times New Roman"/>
          <w:b/>
          <w:bCs/>
          <w:color w:val="000000"/>
          <w:sz w:val="26"/>
          <w:szCs w:val="26"/>
        </w:rPr>
      </w:pPr>
      <w:bookmarkStart w:id="10" w:name="_Toc169941716"/>
      <w:r>
        <w:rPr>
          <w:rFonts w:ascii="Times New Roman" w:hAnsi="Times New Roman" w:cs="Times New Roman"/>
          <w:b/>
          <w:bCs/>
          <w:color w:val="000000"/>
          <w:sz w:val="26"/>
          <w:szCs w:val="26"/>
        </w:rPr>
        <w:t>3.7.1</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Bacterial Characterization of Isolates</w:t>
      </w:r>
      <w:bookmarkEnd w:id="10"/>
    </w:p>
    <w:p w14:paraId="06B6E817">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characteristics through the biochemical reactions of isolates to some reagents and media.</w:t>
      </w:r>
    </w:p>
    <w:p w14:paraId="5A8D734C">
      <w:pPr>
        <w:pStyle w:val="4"/>
        <w:snapToGrid w:val="0"/>
        <w:spacing w:before="0" w:after="0" w:line="480" w:lineRule="auto"/>
        <w:jc w:val="both"/>
        <w:textAlignment w:val="baseline"/>
        <w:rPr>
          <w:rFonts w:ascii="Times New Roman" w:hAnsi="Times New Roman" w:cs="Times New Roman"/>
          <w:b/>
          <w:bCs/>
          <w:color w:val="000000"/>
          <w:sz w:val="26"/>
          <w:szCs w:val="26"/>
        </w:rPr>
      </w:pPr>
      <w:bookmarkStart w:id="11" w:name="_Toc169941717"/>
      <w:r>
        <w:rPr>
          <w:rFonts w:ascii="Times New Roman" w:hAnsi="Times New Roman" w:cs="Times New Roman"/>
          <w:b/>
          <w:bCs/>
          <w:color w:val="000000"/>
          <w:sz w:val="26"/>
          <w:szCs w:val="26"/>
        </w:rPr>
        <w:t>3.7.2</w:t>
      </w:r>
      <w:bookmarkStart w:id="12" w:name="_Toc84222896"/>
      <w:r>
        <w:rPr>
          <w:rFonts w:ascii="Times New Roman" w:hAnsi="Times New Roman" w:cs="Times New Roman"/>
          <w:b/>
          <w:bCs/>
          <w:color w:val="000000"/>
          <w:sz w:val="26"/>
          <w:szCs w:val="26"/>
        </w:rPr>
        <w:tab/>
      </w:r>
      <w:r>
        <w:rPr>
          <w:rFonts w:ascii="Times New Roman" w:hAnsi="Times New Roman" w:cs="Times New Roman"/>
          <w:b/>
          <w:bCs/>
          <w:color w:val="000000"/>
          <w:sz w:val="26"/>
          <w:szCs w:val="26"/>
        </w:rPr>
        <w:t>Gram Staining</w:t>
      </w:r>
      <w:bookmarkEnd w:id="11"/>
      <w:bookmarkEnd w:id="12"/>
    </w:p>
    <w:p w14:paraId="67C07E84">
      <w:pPr>
        <w:pStyle w:val="3"/>
        <w:snapToGrid w:val="0"/>
        <w:spacing w:after="0" w:line="480" w:lineRule="auto"/>
        <w:jc w:val="both"/>
        <w:textAlignment w:val="baseline"/>
        <w:rPr>
          <w:rFonts w:ascii="Times New Roman" w:hAnsi="Times New Roman" w:eastAsia="SimSun" w:cs="Times New Roman"/>
          <w:color w:val="auto"/>
          <w:sz w:val="26"/>
          <w:szCs w:val="26"/>
          <w:lang w:eastAsia="zh-CN"/>
        </w:rPr>
      </w:pPr>
      <w:bookmarkStart w:id="13" w:name="_Toc84222897"/>
      <w:bookmarkStart w:id="14" w:name="_Toc169941718"/>
      <w:r>
        <w:rPr>
          <w:rFonts w:ascii="Times New Roman" w:hAnsi="Times New Roman" w:eastAsia="SimSun" w:cs="Times New Roman"/>
          <w:color w:val="auto"/>
          <w:sz w:val="26"/>
          <w:szCs w:val="26"/>
          <w:lang w:eastAsia="zh-CN"/>
        </w:rPr>
        <w:t>Gram stain is one of the differential stains that are used to characterize bacteria into: either Gram-positive bacteria or Gram-negative bacteria. A thin smear of each of the pure 24 hours old culture was prepared on clean grease-free slide, fixed by passing over gentle flame. The smear was flooded by crystal violet solution for 1 minute and rinsed with water. The smear was again flooded with Lugol’s iodine for 30-60 seconds and rinsed with water, decolorized with 70% alcohol for 15 seconds and was rinsed with water. The slide was counterstained with safranin for 60 seconds and rinsed with water. The smear was mounted on a microscope and observed under oil immersion objective lens. Gram-negative cells appeared pink or red while Gram-positive organisms appeared purple.</w:t>
      </w:r>
    </w:p>
    <w:p w14:paraId="65555F8A">
      <w:pPr>
        <w:pStyle w:val="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3.8</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Biochemical Test</w:t>
      </w:r>
      <w:bookmarkEnd w:id="13"/>
      <w:bookmarkEnd w:id="14"/>
    </w:p>
    <w:p w14:paraId="46E09547">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Different bacterial isolates were carried out on the basis of the result off our tests; Indole, Methylred, Voges Proskauer, Catalse, Oxidase, Citrate utilization, with their standard methods.</w:t>
      </w:r>
    </w:p>
    <w:p w14:paraId="4FD246C1">
      <w:pPr>
        <w:rPr>
          <w:rFonts w:ascii="Times New Roman" w:hAnsi="Times New Roman"/>
          <w:b/>
          <w:sz w:val="26"/>
          <w:szCs w:val="26"/>
        </w:rPr>
      </w:pPr>
      <w:bookmarkStart w:id="15" w:name="_Toc169941719"/>
      <w:bookmarkStart w:id="16" w:name="_Toc84222898"/>
      <w:r>
        <w:rPr>
          <w:rFonts w:ascii="Times New Roman" w:hAnsi="Times New Roman"/>
          <w:b/>
          <w:sz w:val="26"/>
          <w:szCs w:val="26"/>
        </w:rPr>
        <w:t>3.8.1</w:t>
      </w:r>
      <w:r>
        <w:rPr>
          <w:rFonts w:ascii="Times New Roman" w:hAnsi="Times New Roman"/>
          <w:b/>
          <w:sz w:val="26"/>
          <w:szCs w:val="26"/>
        </w:rPr>
        <w:tab/>
      </w:r>
      <w:r>
        <w:rPr>
          <w:rFonts w:ascii="Times New Roman" w:hAnsi="Times New Roman"/>
          <w:b/>
          <w:sz w:val="26"/>
          <w:szCs w:val="26"/>
        </w:rPr>
        <w:t>Indole Test</w:t>
      </w:r>
      <w:bookmarkEnd w:id="15"/>
      <w:bookmarkEnd w:id="16"/>
      <w:bookmarkStart w:id="17" w:name="_Toc169941720"/>
      <w:bookmarkStart w:id="18" w:name="_Toc84222899"/>
    </w:p>
    <w:p w14:paraId="7C95AE1F">
      <w:pPr>
        <w:spacing w:line="480" w:lineRule="auto"/>
        <w:jc w:val="both"/>
        <w:rPr>
          <w:rFonts w:ascii="Times New Roman" w:hAnsi="Times New Roman"/>
          <w:b/>
          <w:sz w:val="26"/>
          <w:szCs w:val="26"/>
        </w:rPr>
      </w:pPr>
      <w:r>
        <w:rPr>
          <w:rFonts w:ascii="Times New Roman" w:hAnsi="Times New Roman" w:eastAsia="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 of red colouration at the top layer indicated positive while yellow colouration indicated negative results, respectively.</w:t>
      </w:r>
    </w:p>
    <w:p w14:paraId="2EBBDBB4">
      <w:pPr>
        <w:numPr>
          <w:ilvl w:val="2"/>
          <w:numId w:val="7"/>
        </w:numPr>
        <w:rPr>
          <w:rFonts w:ascii="Times New Roman" w:hAnsi="Times New Roman" w:eastAsia="Times New Roman"/>
          <w:b/>
          <w:sz w:val="26"/>
          <w:szCs w:val="26"/>
        </w:rPr>
      </w:pPr>
      <w:r>
        <w:rPr>
          <w:rFonts w:ascii="Times New Roman" w:hAnsi="Times New Roman"/>
          <w:b/>
          <w:sz w:val="26"/>
          <w:szCs w:val="26"/>
        </w:rPr>
        <w:t>Methylred Test</w:t>
      </w:r>
      <w:bookmarkEnd w:id="17"/>
      <w:bookmarkEnd w:id="18"/>
      <w:bookmarkStart w:id="19" w:name="_Toc169941721"/>
      <w:bookmarkStart w:id="20" w:name="_Toc82388610"/>
      <w:bookmarkStart w:id="21" w:name="_Toc84222900"/>
    </w:p>
    <w:p w14:paraId="6CF0B08F">
      <w:pPr>
        <w:spacing w:line="480" w:lineRule="auto"/>
        <w:jc w:val="both"/>
        <w:rPr>
          <w:rFonts w:ascii="Times New Roman" w:hAnsi="Times New Roman" w:eastAsia="Times New Roman"/>
          <w:b/>
          <w:sz w:val="26"/>
          <w:szCs w:val="26"/>
        </w:rPr>
      </w:pPr>
      <w:r>
        <w:rPr>
          <w:rFonts w:ascii="Times New Roman" w:hAnsi="Times New Roman" w:eastAsia="Times New Roman"/>
          <w:color w:val="000000"/>
          <w:sz w:val="26"/>
          <w:szCs w:val="26"/>
        </w:rPr>
        <w:t>This test is used to check acid production in the medium, usually for coliform organisms which ferment dextrose rapidly, causing a fall in the pH. MR-VP broth was prepared and 10ml of the broth was dispensed into test tubes and sterilized. Inoculation was subsequently done and incubated at 37°C for 2 days. After incubating for 48 hours, the broth was aseptically divided into 2 portions. To the first portion, 2-3 drops of methyl red indicator were added and observed for color change. A red color change indicates a positive reaction (acid production), while a yellow color change indicates a negative reaction.</w:t>
      </w:r>
    </w:p>
    <w:p w14:paraId="497D118F">
      <w:pPr>
        <w:pStyle w:val="4"/>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3.8.3</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Catalase Test</w:t>
      </w:r>
      <w:bookmarkEnd w:id="19"/>
      <w:bookmarkEnd w:id="20"/>
      <w:bookmarkEnd w:id="21"/>
    </w:p>
    <w:p w14:paraId="6A388C62">
      <w:pPr>
        <w:pStyle w:val="4"/>
        <w:snapToGrid w:val="0"/>
        <w:spacing w:after="0" w:line="480" w:lineRule="auto"/>
        <w:jc w:val="both"/>
        <w:textAlignment w:val="baseline"/>
        <w:rPr>
          <w:rFonts w:ascii="Times New Roman" w:hAnsi="Times New Roman" w:eastAsia="Times New Roman" w:cs="Times New Roman"/>
          <w:color w:val="000000"/>
          <w:sz w:val="26"/>
          <w:szCs w:val="26"/>
          <w:lang w:eastAsia="zh-CN"/>
        </w:rPr>
      </w:pPr>
      <w:bookmarkStart w:id="22" w:name="_Toc169941722"/>
      <w:bookmarkStart w:id="23" w:name="_Toc82388613"/>
      <w:bookmarkStart w:id="24" w:name="_Toc84222902"/>
      <w:bookmarkStart w:id="25" w:name="_Toc49215409"/>
      <w:r>
        <w:rPr>
          <w:rFonts w:ascii="Times New Roman" w:hAnsi="Times New Roman" w:eastAsia="Times New Roman" w:cs="Times New Roman"/>
          <w:color w:val="000000"/>
          <w:sz w:val="26"/>
          <w:szCs w:val="26"/>
          <w:lang w:eastAsia="zh-CN"/>
        </w:rPr>
        <w:t xml:space="preserve">Catalase test was done according to the procedure described by Ahmed et al. (2017) to determine aerobic and anaerobic bacteria and it was important in differentiating morphologically similar </w:t>
      </w:r>
      <w:r>
        <w:rPr>
          <w:rFonts w:ascii="Times New Roman" w:hAnsi="Times New Roman" w:eastAsia="Times New Roman" w:cs="Times New Roman"/>
          <w:i/>
          <w:color w:val="000000"/>
          <w:sz w:val="26"/>
          <w:szCs w:val="26"/>
          <w:lang w:eastAsia="zh-CN"/>
        </w:rPr>
        <w:t>Enterococcus</w:t>
      </w:r>
      <w:r>
        <w:rPr>
          <w:rFonts w:ascii="Times New Roman" w:hAnsi="Times New Roman" w:eastAsia="Times New Roman" w:cs="Times New Roman"/>
          <w:color w:val="000000"/>
          <w:sz w:val="26"/>
          <w:szCs w:val="26"/>
          <w:lang w:eastAsia="zh-CN"/>
        </w:rPr>
        <w:t xml:space="preserve"> and </w:t>
      </w:r>
      <w:r>
        <w:rPr>
          <w:rFonts w:ascii="Times New Roman" w:hAnsi="Times New Roman" w:eastAsia="Times New Roman" w:cs="Times New Roman"/>
          <w:i/>
          <w:color w:val="000000"/>
          <w:sz w:val="26"/>
          <w:szCs w:val="26"/>
          <w:lang w:eastAsia="zh-CN"/>
        </w:rPr>
        <w:t>Staphylococcus</w:t>
      </w:r>
      <w:r>
        <w:rPr>
          <w:rFonts w:ascii="Times New Roman" w:hAnsi="Times New Roman" w:eastAsia="Times New Roman" w:cs="Times New Roman"/>
          <w:color w:val="000000"/>
          <w:sz w:val="26"/>
          <w:szCs w:val="26"/>
          <w:lang w:eastAsia="zh-CN"/>
        </w:rPr>
        <w:t xml:space="preserve"> (catalase-positive) and </w:t>
      </w:r>
      <w:r>
        <w:rPr>
          <w:rFonts w:ascii="Times New Roman" w:hAnsi="Times New Roman" w:eastAsia="Times New Roman" w:cs="Times New Roman"/>
          <w:i/>
          <w:color w:val="000000"/>
          <w:sz w:val="26"/>
          <w:szCs w:val="26"/>
          <w:lang w:eastAsia="zh-CN"/>
        </w:rPr>
        <w:t>Streptococcus spp</w:t>
      </w:r>
      <w:r>
        <w:rPr>
          <w:rFonts w:ascii="Times New Roman" w:hAnsi="Times New Roman" w:eastAsia="Times New Roman" w:cs="Times New Roman"/>
          <w:color w:val="000000"/>
          <w:sz w:val="26"/>
          <w:szCs w:val="26"/>
          <w:lang w:eastAsia="zh-CN"/>
        </w:rPr>
        <w:t xml:space="preserve"> (catalase-negative). Three ml of catalase reagent (3% H2O2) was put on a glass slide. A single colony from the pure culture of bacteria from each sampled site was scooped with a glass rod and submerged in the reagent and observed for bubble formation, which indicated a positive test, while absence of bubbles formation indicated negative results.</w:t>
      </w:r>
    </w:p>
    <w:p w14:paraId="3B35C322">
      <w:pPr>
        <w:pStyle w:val="4"/>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eastAsia="Calibri" w:cs="Times New Roman"/>
          <w:b/>
          <w:bCs/>
          <w:color w:val="000000"/>
          <w:sz w:val="26"/>
          <w:szCs w:val="26"/>
        </w:rPr>
        <w:t>3.8.4</w:t>
      </w:r>
      <w:r>
        <w:rPr>
          <w:rFonts w:ascii="Times New Roman" w:hAnsi="Times New Roman" w:eastAsia="Calibri" w:cs="Times New Roman"/>
          <w:b/>
          <w:bCs/>
          <w:color w:val="000000"/>
          <w:sz w:val="26"/>
          <w:szCs w:val="26"/>
        </w:rPr>
        <w:tab/>
      </w:r>
      <w:r>
        <w:rPr>
          <w:rFonts w:ascii="Times New Roman" w:hAnsi="Times New Roman" w:cs="Times New Roman"/>
          <w:b/>
          <w:bCs/>
          <w:color w:val="000000"/>
          <w:sz w:val="26"/>
          <w:szCs w:val="26"/>
        </w:rPr>
        <w:t>Citrate Test</w:t>
      </w:r>
      <w:bookmarkEnd w:id="22"/>
      <w:bookmarkEnd w:id="23"/>
      <w:bookmarkEnd w:id="24"/>
      <w:bookmarkEnd w:id="25"/>
      <w:bookmarkStart w:id="26" w:name="_Toc84222903"/>
      <w:bookmarkEnd w:id="26"/>
      <w:bookmarkStart w:id="27" w:name="_Toc169941723"/>
      <w:bookmarkEnd w:id="27"/>
    </w:p>
    <w:p w14:paraId="27709900">
      <w:pPr>
        <w:snapToGrid w:val="0"/>
        <w:spacing w:line="480" w:lineRule="auto"/>
        <w:jc w:val="both"/>
        <w:textAlignment w:val="baseline"/>
        <w:rPr>
          <w:rFonts w:ascii="Times New Roman" w:hAnsi="Times New Roman" w:eastAsia="Times New Roman"/>
          <w:color w:val="000000"/>
          <w:sz w:val="26"/>
          <w:szCs w:val="26"/>
        </w:rPr>
      </w:pPr>
      <w:bookmarkStart w:id="28" w:name="_Toc169941725"/>
      <w:r>
        <w:rPr>
          <w:rFonts w:ascii="Times New Roman" w:hAnsi="Times New Roman" w:eastAsia="Times New Roman"/>
          <w:color w:val="000000"/>
          <w:sz w:val="26"/>
          <w:szCs w:val="26"/>
        </w:rPr>
        <w:t>This test was performed according to procedure described by Aligwekwe (2018) by inoculating the bacteria into Simmon's citrate medium obtained from pure colonies. This was employed in determining the ability of bacteria to utilize sodium citrate as its only carbon and energy source. The inoculated medium was incubated for 48 to 72 hours to allow complete utilization of Simmon's citrate medium by microorganisms. The color of the medium indicated the result. If the color of media changed from green to blue, then the bacteria was citrate positive, while if the media retained the green color after incubation period, it indicated citrate negative bacteria.</w:t>
      </w:r>
    </w:p>
    <w:p w14:paraId="7865182C">
      <w:pPr>
        <w:snapToGrid w:val="0"/>
        <w:spacing w:line="480" w:lineRule="auto"/>
        <w:textAlignment w:val="baseline"/>
        <w:rPr>
          <w:rFonts w:ascii="Times New Roman" w:hAnsi="Times New Roman"/>
          <w:b/>
          <w:bCs/>
          <w:color w:val="000000"/>
          <w:sz w:val="26"/>
          <w:szCs w:val="26"/>
        </w:rPr>
      </w:pPr>
    </w:p>
    <w:p w14:paraId="6CCF5F19">
      <w:pPr>
        <w:snapToGrid w:val="0"/>
        <w:spacing w:line="480" w:lineRule="auto"/>
        <w:jc w:val="center"/>
        <w:textAlignment w:val="baseline"/>
        <w:rPr>
          <w:rFonts w:ascii="Times New Roman" w:hAnsi="Times New Roman"/>
          <w:b/>
          <w:bCs/>
          <w:color w:val="000000"/>
          <w:sz w:val="26"/>
          <w:szCs w:val="26"/>
        </w:rPr>
      </w:pPr>
    </w:p>
    <w:p w14:paraId="393DFED1">
      <w:pPr>
        <w:snapToGrid w:val="0"/>
        <w:spacing w:line="480" w:lineRule="auto"/>
        <w:jc w:val="center"/>
        <w:textAlignment w:val="baseline"/>
        <w:rPr>
          <w:rFonts w:ascii="Times New Roman" w:hAnsi="Times New Roman" w:eastAsia="Times New Roman"/>
          <w:color w:val="000000"/>
          <w:sz w:val="26"/>
          <w:szCs w:val="26"/>
        </w:rPr>
      </w:pPr>
      <w:r>
        <w:rPr>
          <w:rFonts w:ascii="Times New Roman" w:hAnsi="Times New Roman"/>
          <w:b/>
          <w:bCs/>
          <w:color w:val="000000"/>
          <w:sz w:val="26"/>
          <w:szCs w:val="26"/>
        </w:rPr>
        <w:t>CHAPTER FOUR</w:t>
      </w:r>
      <w:bookmarkEnd w:id="28"/>
    </w:p>
    <w:p w14:paraId="49AECCEA">
      <w:pPr>
        <w:pStyle w:val="2"/>
        <w:snapToGrid w:val="0"/>
        <w:spacing w:before="0" w:after="0" w:line="480" w:lineRule="auto"/>
        <w:jc w:val="center"/>
        <w:textAlignment w:val="baseline"/>
        <w:rPr>
          <w:rFonts w:ascii="Times New Roman" w:hAnsi="Times New Roman" w:cs="Times New Roman"/>
          <w:b/>
          <w:bCs/>
          <w:color w:val="000000"/>
          <w:sz w:val="26"/>
          <w:szCs w:val="26"/>
        </w:rPr>
      </w:pPr>
      <w:bookmarkStart w:id="29" w:name="_Toc169941726"/>
      <w:r>
        <w:rPr>
          <w:rFonts w:ascii="Times New Roman" w:hAnsi="Times New Roman" w:cs="Times New Roman"/>
          <w:b/>
          <w:bCs/>
          <w:color w:val="000000"/>
          <w:sz w:val="26"/>
          <w:szCs w:val="26"/>
        </w:rPr>
        <w:t>RESULTS</w:t>
      </w:r>
      <w:bookmarkEnd w:id="29"/>
    </w:p>
    <w:p w14:paraId="1C63F59C">
      <w:pPr>
        <w:pStyle w:val="3"/>
        <w:snapToGrid w:val="0"/>
        <w:spacing w:before="0" w:after="0" w:line="480" w:lineRule="auto"/>
        <w:jc w:val="both"/>
        <w:textAlignment w:val="baseline"/>
        <w:rPr>
          <w:rFonts w:ascii="Times New Roman" w:hAnsi="Times New Roman" w:cs="Times New Roman"/>
          <w:b/>
          <w:bCs/>
          <w:color w:val="000000"/>
          <w:sz w:val="26"/>
          <w:szCs w:val="26"/>
        </w:rPr>
      </w:pPr>
      <w:bookmarkStart w:id="30" w:name="_Toc109025368"/>
      <w:bookmarkStart w:id="31" w:name="_Toc169941727"/>
      <w:r>
        <w:rPr>
          <w:rFonts w:ascii="Times New Roman" w:hAnsi="Times New Roman" w:cs="Times New Roman"/>
          <w:b/>
          <w:bCs/>
          <w:color w:val="000000"/>
          <w:sz w:val="26"/>
          <w:szCs w:val="26"/>
        </w:rPr>
        <w:t>4.1</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Total Bacteria Counts and Total Coliform Counts (CFU/ml)</w:t>
      </w:r>
      <w:bookmarkEnd w:id="30"/>
      <w:bookmarkEnd w:id="31"/>
    </w:p>
    <w:p w14:paraId="30623AC4">
      <w:pPr>
        <w:pStyle w:val="3"/>
        <w:snapToGrid w:val="0"/>
        <w:spacing w:after="0" w:line="480" w:lineRule="auto"/>
        <w:jc w:val="both"/>
        <w:textAlignment w:val="baseline"/>
        <w:rPr>
          <w:rFonts w:ascii="Times New Roman" w:hAnsi="Times New Roman" w:eastAsia="SimSun" w:cs="Times New Roman"/>
          <w:color w:val="0D0D0D"/>
          <w:sz w:val="26"/>
          <w:szCs w:val="26"/>
          <w:lang w:eastAsia="zh-CN"/>
        </w:rPr>
      </w:pPr>
      <w:bookmarkStart w:id="32" w:name="_Toc169941728"/>
      <w:r>
        <w:rPr>
          <w:rFonts w:ascii="Times New Roman" w:hAnsi="Times New Roman" w:eastAsia="SimSun" w:cs="Times New Roman"/>
          <w:color w:val="0D0D0D"/>
          <w:sz w:val="26"/>
          <w:szCs w:val="26"/>
          <w:lang w:eastAsia="zh-CN"/>
        </w:rPr>
        <w:t>The results obtained from the total coliform count of chin-chin samples were reported in Table 4.1, which showed a range from 6.0 x 10^3 cfu/ml to 2.0 x 10^3 cfu/ml. Samples R and M, and I had the lowest value of 2.0 x 10^3 cfu/ml, while sample R had the highest value of 6.0 x 10^3 cfu/ml. The total bacterial count showed growth only in sample I, with a value of 1.0 x 10^4 cfu/ml.</w:t>
      </w:r>
    </w:p>
    <w:p w14:paraId="25AA8BE1">
      <w:pPr>
        <w:pStyle w:val="3"/>
        <w:snapToGrid w:val="0"/>
        <w:spacing w:before="0" w:after="0" w:line="480" w:lineRule="auto"/>
        <w:jc w:val="both"/>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4.2</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Total Fungal Counts (CFU/ml)</w:t>
      </w:r>
      <w:bookmarkEnd w:id="32"/>
    </w:p>
    <w:p w14:paraId="6B3C61B3">
      <w:pPr>
        <w:pStyle w:val="3"/>
        <w:tabs>
          <w:tab w:val="left" w:pos="720"/>
          <w:tab w:val="left" w:pos="1440"/>
          <w:tab w:val="left" w:pos="2160"/>
          <w:tab w:val="left" w:pos="7610"/>
        </w:tabs>
        <w:snapToGrid w:val="0"/>
        <w:spacing w:after="0" w:line="480" w:lineRule="auto"/>
        <w:jc w:val="both"/>
        <w:textAlignment w:val="baseline"/>
        <w:rPr>
          <w:rFonts w:ascii="Times New Roman" w:hAnsi="Times New Roman" w:eastAsia="SimSun" w:cs="Times New Roman"/>
          <w:color w:val="0D0D0D"/>
          <w:sz w:val="26"/>
          <w:szCs w:val="26"/>
          <w:lang w:eastAsia="zh-CN"/>
        </w:rPr>
      </w:pPr>
      <w:bookmarkStart w:id="33" w:name="_Toc169941729"/>
      <w:bookmarkStart w:id="34" w:name="_Toc109025370"/>
      <w:r>
        <w:rPr>
          <w:rFonts w:ascii="Times New Roman" w:hAnsi="Times New Roman" w:eastAsia="SimSun" w:cs="Times New Roman"/>
          <w:color w:val="0D0D0D"/>
          <w:sz w:val="26"/>
          <w:szCs w:val="26"/>
          <w:lang w:eastAsia="zh-CN"/>
        </w:rPr>
        <w:t>The results obtained from the total fungal count of chin-chin samples were reported in Table 4.2, which showed a range from 4.8 x 10^2 cfu/ml to 1.0 x 10^2 cfu/ml.</w:t>
      </w:r>
    </w:p>
    <w:p w14:paraId="4A73A613">
      <w:pPr>
        <w:pStyle w:val="3"/>
        <w:tabs>
          <w:tab w:val="left" w:pos="720"/>
          <w:tab w:val="left" w:pos="1440"/>
          <w:tab w:val="left" w:pos="2160"/>
          <w:tab w:val="left" w:pos="7610"/>
        </w:tabs>
        <w:snapToGrid w:val="0"/>
        <w:spacing w:before="0" w:after="0" w:line="480" w:lineRule="auto"/>
        <w:jc w:val="both"/>
        <w:textAlignment w:val="baseline"/>
        <w:rPr>
          <w:rFonts w:ascii="Times New Roman" w:hAnsi="Times New Roman" w:eastAsia="SimSun" w:cs="Times New Roman"/>
          <w:color w:val="0D0D0D"/>
          <w:sz w:val="26"/>
          <w:szCs w:val="26"/>
          <w:lang w:eastAsia="zh-CN"/>
        </w:rPr>
      </w:pPr>
      <w:r>
        <w:rPr>
          <w:rFonts w:ascii="Times New Roman" w:hAnsi="Times New Roman" w:eastAsia="SimSun" w:cs="Times New Roman"/>
          <w:color w:val="0D0D0D"/>
          <w:sz w:val="26"/>
          <w:szCs w:val="26"/>
          <w:lang w:eastAsia="zh-CN"/>
        </w:rPr>
        <w:t>Sample I had the highest value of 4.8 x 10^2 cfu/ml, while sample M had the lowest value of 1.0 x 10^2 cfu/ml.</w:t>
      </w:r>
    </w:p>
    <w:p w14:paraId="2CEE37BB">
      <w:pPr>
        <w:pStyle w:val="3"/>
        <w:tabs>
          <w:tab w:val="left" w:pos="720"/>
          <w:tab w:val="left" w:pos="1440"/>
          <w:tab w:val="left" w:pos="2160"/>
          <w:tab w:val="left" w:pos="7610"/>
        </w:tabs>
        <w:snapToGrid w:val="0"/>
        <w:spacing w:before="0" w:after="0" w:line="480" w:lineRule="auto"/>
        <w:jc w:val="both"/>
        <w:textAlignment w:val="baseline"/>
        <w:rPr>
          <w:rFonts w:ascii="Times New Roman" w:hAnsi="Times New Roman" w:eastAsia="Times New Roman" w:cs="Times New Roman"/>
          <w:b/>
          <w:bCs/>
          <w:color w:val="000000"/>
          <w:sz w:val="26"/>
          <w:szCs w:val="26"/>
        </w:rPr>
      </w:pPr>
      <w:r>
        <w:rPr>
          <w:rFonts w:ascii="Times New Roman" w:hAnsi="Times New Roman" w:cs="Times New Roman"/>
          <w:b/>
          <w:bCs/>
          <w:color w:val="000000"/>
          <w:sz w:val="26"/>
          <w:szCs w:val="26"/>
        </w:rPr>
        <w:t>4.3</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Biochemical Test</w:t>
      </w:r>
      <w:bookmarkEnd w:id="33"/>
      <w:bookmarkEnd w:id="34"/>
      <w:r>
        <w:rPr>
          <w:rFonts w:ascii="Times New Roman" w:hAnsi="Times New Roman" w:cs="Times New Roman"/>
          <w:b/>
          <w:bCs/>
          <w:color w:val="000000"/>
          <w:sz w:val="26"/>
          <w:szCs w:val="26"/>
        </w:rPr>
        <w:tab/>
      </w:r>
    </w:p>
    <w:p w14:paraId="41FDAAAB">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Table 4.3 shows the various biochemical test carried out on different isolates ranging from indole to citrate and others as shown in the table.</w:t>
      </w:r>
    </w:p>
    <w:p w14:paraId="5D4BF6D9">
      <w:pPr>
        <w:pStyle w:val="3"/>
        <w:snapToGrid w:val="0"/>
        <w:spacing w:before="0" w:after="0" w:line="480" w:lineRule="auto"/>
        <w:jc w:val="both"/>
        <w:textAlignment w:val="baseline"/>
        <w:rPr>
          <w:rFonts w:ascii="Times New Roman" w:hAnsi="Times New Roman" w:cs="Times New Roman"/>
          <w:b/>
          <w:bCs/>
          <w:color w:val="000000"/>
          <w:sz w:val="26"/>
          <w:szCs w:val="26"/>
        </w:rPr>
      </w:pPr>
      <w:bookmarkStart w:id="35" w:name="_Toc169941730"/>
      <w:r>
        <w:rPr>
          <w:rFonts w:ascii="Times New Roman" w:hAnsi="Times New Roman" w:cs="Times New Roman"/>
          <w:b/>
          <w:bCs/>
          <w:color w:val="000000"/>
          <w:sz w:val="26"/>
          <w:szCs w:val="26"/>
        </w:rPr>
        <w:t>4.4</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Colonial Morphology Characterization</w:t>
      </w:r>
      <w:bookmarkEnd w:id="35"/>
    </w:p>
    <w:p w14:paraId="36C64DE8">
      <w:pPr>
        <w:snapToGrid w:val="0"/>
        <w:spacing w:after="0" w:line="480" w:lineRule="auto"/>
        <w:jc w:val="both"/>
        <w:textAlignment w:val="baseline"/>
        <w:rPr>
          <w:rFonts w:ascii="Times New Roman" w:hAnsi="Times New Roman"/>
          <w:sz w:val="26"/>
          <w:szCs w:val="26"/>
        </w:rPr>
      </w:pPr>
      <w:r>
        <w:rPr>
          <w:rFonts w:ascii="Times New Roman" w:hAnsi="Times New Roman"/>
          <w:sz w:val="26"/>
          <w:szCs w:val="26"/>
        </w:rPr>
        <w:t>Table 4.4 a presented the colonial morphology of the bacteria isolates gotten from the herbal samples. Table 4.4b show the colonial morphology of the fungi isolates respectively.</w:t>
      </w:r>
    </w:p>
    <w:p w14:paraId="6E28596F">
      <w:pPr>
        <w:pStyle w:val="9"/>
        <w:snapToGrid w:val="0"/>
        <w:spacing w:line="480" w:lineRule="auto"/>
        <w:jc w:val="both"/>
        <w:textAlignment w:val="baseline"/>
        <w:rPr>
          <w:rFonts w:ascii="Times New Roman" w:hAnsi="Times New Roman" w:cs="Times New Roman"/>
          <w:color w:val="000000"/>
          <w:sz w:val="26"/>
          <w:szCs w:val="26"/>
        </w:rPr>
      </w:pPr>
    </w:p>
    <w:p w14:paraId="12E54EDF">
      <w:pPr>
        <w:pStyle w:val="9"/>
        <w:snapToGrid w:val="0"/>
        <w:spacing w:line="480" w:lineRule="auto"/>
        <w:jc w:val="both"/>
        <w:textAlignment w:val="baseline"/>
        <w:rPr>
          <w:rFonts w:ascii="Times New Roman" w:hAnsi="Times New Roman" w:cs="Times New Roman"/>
          <w:color w:val="000000"/>
          <w:sz w:val="26"/>
          <w:szCs w:val="26"/>
        </w:rPr>
      </w:pPr>
    </w:p>
    <w:p w14:paraId="0D82BF0C">
      <w:pPr>
        <w:pStyle w:val="9"/>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w:t>
      </w:r>
      <w:bookmarkStart w:id="36" w:name="_Toc169941627"/>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color w:val="000000"/>
          <w:sz w:val="26"/>
          <w:szCs w:val="26"/>
        </w:rPr>
        <w:instrText xml:space="preserve">:TotalBacterialCountsandTotalColiformCounts(CFU/ml)</w:instrText>
      </w:r>
      <w:r>
        <w:rPr>
          <w:rFonts w:ascii="Times New Roman" w:hAnsi="Times New Roman" w:cs="Times New Roman"/>
          <w:sz w:val="26"/>
          <w:szCs w:val="26"/>
        </w:rPr>
        <w:fldChar w:fldCharType="separate"/>
      </w:r>
      <w:r>
        <w:rPr>
          <w:rFonts w:ascii="Times New Roman" w:hAnsi="Times New Roman" w:cs="Times New Roman"/>
          <w:color w:val="000000"/>
          <w:sz w:val="26"/>
          <w:szCs w:val="26"/>
        </w:rPr>
        <w:t>1</w:t>
      </w:r>
      <w:r>
        <w:rPr>
          <w:rFonts w:ascii="Times New Roman" w:hAnsi="Times New Roman" w:cs="Times New Roman"/>
          <w:sz w:val="26"/>
          <w:szCs w:val="26"/>
        </w:rPr>
        <w:fldChar w:fldCharType="end"/>
      </w:r>
      <w:bookmarkEnd w:id="36"/>
    </w:p>
    <w:tbl>
      <w:tblPr>
        <w:tblStyle w:val="1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0"/>
        <w:gridCol w:w="1710"/>
        <w:gridCol w:w="1710"/>
      </w:tblGrid>
      <w:tr w14:paraId="54D6F8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0" w:type="dxa"/>
            <w:tcBorders>
              <w:top w:val="single" w:color="auto" w:sz="4" w:space="0"/>
              <w:bottom w:val="single" w:color="auto" w:sz="4" w:space="0"/>
            </w:tcBorders>
          </w:tcPr>
          <w:p w14:paraId="49CC415F">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1710" w:type="dxa"/>
            <w:tcBorders>
              <w:top w:val="single" w:color="auto" w:sz="4" w:space="0"/>
              <w:bottom w:val="single" w:color="auto" w:sz="4" w:space="0"/>
            </w:tcBorders>
          </w:tcPr>
          <w:p w14:paraId="32A3AF6A">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TCC(x10</w:t>
            </w:r>
            <w:r>
              <w:rPr>
                <w:rFonts w:ascii="Times New Roman" w:hAnsi="Times New Roman"/>
                <w:b/>
                <w:bCs/>
                <w:sz w:val="26"/>
                <w:szCs w:val="26"/>
                <w:vertAlign w:val="superscript"/>
              </w:rPr>
              <w:t>3</w:t>
            </w:r>
            <w:r>
              <w:rPr>
                <w:rFonts w:ascii="Times New Roman" w:hAnsi="Times New Roman"/>
                <w:b/>
                <w:bCs/>
                <w:sz w:val="26"/>
                <w:szCs w:val="26"/>
              </w:rPr>
              <w:t>)</w:t>
            </w:r>
          </w:p>
        </w:tc>
        <w:tc>
          <w:tcPr>
            <w:tcW w:w="1710" w:type="dxa"/>
            <w:tcBorders>
              <w:top w:val="single" w:color="auto" w:sz="4" w:space="0"/>
              <w:bottom w:val="single" w:color="auto" w:sz="4" w:space="0"/>
            </w:tcBorders>
          </w:tcPr>
          <w:p w14:paraId="11333471">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TBC(x10</w:t>
            </w:r>
            <w:r>
              <w:rPr>
                <w:rFonts w:ascii="Times New Roman" w:hAnsi="Times New Roman"/>
                <w:b/>
                <w:bCs/>
                <w:sz w:val="26"/>
                <w:szCs w:val="26"/>
                <w:vertAlign w:val="superscript"/>
              </w:rPr>
              <w:t>4</w:t>
            </w:r>
            <w:r>
              <w:rPr>
                <w:rFonts w:ascii="Times New Roman" w:hAnsi="Times New Roman"/>
                <w:b/>
                <w:bCs/>
                <w:sz w:val="26"/>
                <w:szCs w:val="26"/>
              </w:rPr>
              <w:t>)</w:t>
            </w:r>
          </w:p>
        </w:tc>
      </w:tr>
      <w:tr w14:paraId="4FBA79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0" w:type="dxa"/>
            <w:tcBorders>
              <w:top w:val="single" w:color="auto" w:sz="4" w:space="0"/>
            </w:tcBorders>
          </w:tcPr>
          <w:p w14:paraId="7DF02763">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1710" w:type="dxa"/>
            <w:tcBorders>
              <w:top w:val="single" w:color="auto" w:sz="4" w:space="0"/>
            </w:tcBorders>
          </w:tcPr>
          <w:p w14:paraId="61DC0BA3">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Borders>
              <w:top w:val="single" w:color="auto" w:sz="4" w:space="0"/>
            </w:tcBorders>
          </w:tcPr>
          <w:p w14:paraId="2E81F20A">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r w14:paraId="16B22B3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0" w:type="dxa"/>
          </w:tcPr>
          <w:p w14:paraId="64204F64">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1710" w:type="dxa"/>
          </w:tcPr>
          <w:p w14:paraId="74E6893C">
            <w:pPr>
              <w:snapToGrid w:val="0"/>
              <w:spacing w:line="480" w:lineRule="auto"/>
              <w:textAlignment w:val="baseline"/>
              <w:rPr>
                <w:rFonts w:ascii="Times New Roman" w:hAnsi="Times New Roman"/>
                <w:sz w:val="26"/>
                <w:szCs w:val="26"/>
              </w:rPr>
            </w:pPr>
            <w:r>
              <w:rPr>
                <w:rFonts w:ascii="Times New Roman" w:hAnsi="Times New Roman"/>
                <w:sz w:val="26"/>
                <w:szCs w:val="26"/>
              </w:rPr>
              <w:t>2</w:t>
            </w:r>
          </w:p>
        </w:tc>
        <w:tc>
          <w:tcPr>
            <w:tcW w:w="1710" w:type="dxa"/>
          </w:tcPr>
          <w:p w14:paraId="2B99F815">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14:paraId="0CC97E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10" w:type="dxa"/>
          </w:tcPr>
          <w:p w14:paraId="01F2BAC4">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1710" w:type="dxa"/>
          </w:tcPr>
          <w:p w14:paraId="24D33D6B">
            <w:pPr>
              <w:snapToGrid w:val="0"/>
              <w:spacing w:line="480" w:lineRule="auto"/>
              <w:textAlignment w:val="baseline"/>
              <w:rPr>
                <w:rFonts w:ascii="Times New Roman" w:hAnsi="Times New Roman"/>
                <w:sz w:val="26"/>
                <w:szCs w:val="26"/>
              </w:rPr>
            </w:pPr>
            <w:r>
              <w:rPr>
                <w:rFonts w:ascii="Times New Roman" w:hAnsi="Times New Roman"/>
                <w:sz w:val="26"/>
                <w:szCs w:val="26"/>
              </w:rPr>
              <w:t>6</w:t>
            </w:r>
          </w:p>
        </w:tc>
        <w:tc>
          <w:tcPr>
            <w:tcW w:w="1710" w:type="dxa"/>
          </w:tcPr>
          <w:p w14:paraId="433AF9D2">
            <w:pPr>
              <w:snapToGrid w:val="0"/>
              <w:spacing w:line="480" w:lineRule="auto"/>
              <w:textAlignment w:val="baseline"/>
              <w:rPr>
                <w:rFonts w:ascii="Times New Roman" w:hAnsi="Times New Roman"/>
                <w:sz w:val="26"/>
                <w:szCs w:val="26"/>
              </w:rPr>
            </w:pPr>
            <w:r>
              <w:rPr>
                <w:rFonts w:ascii="Times New Roman" w:hAnsi="Times New Roman"/>
                <w:sz w:val="26"/>
                <w:szCs w:val="26"/>
              </w:rPr>
              <w:t>0</w:t>
            </w:r>
          </w:p>
        </w:tc>
      </w:tr>
    </w:tbl>
    <w:p w14:paraId="5C54ED8F">
      <w:pPr>
        <w:snapToGrid w:val="0"/>
        <w:textAlignment w:val="baseline"/>
        <w:rPr>
          <w:rFonts w:ascii="Times New Roman" w:hAnsi="Times New Roman"/>
          <w:b/>
          <w:bCs/>
          <w:sz w:val="26"/>
          <w:szCs w:val="26"/>
        </w:rPr>
      </w:pPr>
      <w:r>
        <w:rPr>
          <w:rFonts w:ascii="Times New Roman" w:hAnsi="Times New Roman"/>
          <w:b/>
          <w:bCs/>
          <w:sz w:val="26"/>
          <w:szCs w:val="26"/>
        </w:rPr>
        <w:t xml:space="preserve">KEYS: </w:t>
      </w:r>
      <w:r>
        <w:rPr>
          <w:rFonts w:ascii="Times New Roman" w:hAnsi="Times New Roman"/>
          <w:sz w:val="26"/>
          <w:szCs w:val="26"/>
        </w:rPr>
        <w:t>TCC-Total Coliform Counts, TBC-Total Bacteri aCounts</w:t>
      </w:r>
    </w:p>
    <w:p w14:paraId="1E7656D0">
      <w:pPr>
        <w:snapToGrid w:val="0"/>
        <w:spacing w:line="480" w:lineRule="auto"/>
        <w:textAlignment w:val="baseline"/>
        <w:rPr>
          <w:rFonts w:ascii="Times New Roman" w:hAnsi="Times New Roman"/>
          <w:b/>
          <w:sz w:val="26"/>
          <w:szCs w:val="26"/>
        </w:rPr>
      </w:pPr>
      <w:r>
        <w:rPr>
          <w:rFonts w:ascii="Times New Roman" w:hAnsi="Times New Roman"/>
          <w:b/>
          <w:bCs/>
          <w:sz w:val="26"/>
          <w:szCs w:val="26"/>
        </w:rPr>
        <w:t>Table 4.</w:t>
      </w:r>
      <w:bookmarkStart w:id="37" w:name="_Toc169941628"/>
      <w:r>
        <w:rPr>
          <w:rFonts w:ascii="Times New Roman" w:hAnsi="Times New Roman"/>
          <w:sz w:val="26"/>
          <w:szCs w:val="26"/>
        </w:rPr>
        <w:fldChar w:fldCharType="begin"/>
      </w:r>
      <w:r>
        <w:rPr>
          <w:rFonts w:ascii="Times New Roman" w:hAnsi="Times New Roman"/>
          <w:sz w:val="26"/>
          <w:szCs w:val="26"/>
        </w:rPr>
        <w:instrText xml:space="preserve"> SEQ Table \* ARABIC </w:instrText>
      </w:r>
      <w:r>
        <w:rPr>
          <w:rFonts w:ascii="Times New Roman" w:hAnsi="Times New Roman"/>
          <w:sz w:val="26"/>
          <w:szCs w:val="26"/>
        </w:rPr>
        <w:fldChar w:fldCharType="separate"/>
      </w:r>
      <w:r>
        <w:rPr>
          <w:rFonts w:ascii="Times New Roman" w:hAnsi="Times New Roman"/>
          <w:b/>
          <w:bCs/>
          <w:sz w:val="26"/>
          <w:szCs w:val="26"/>
        </w:rPr>
        <w:t>2</w:t>
      </w:r>
      <w:r>
        <w:rPr>
          <w:rFonts w:ascii="Times New Roman" w:hAnsi="Times New Roman"/>
          <w:sz w:val="26"/>
          <w:szCs w:val="26"/>
        </w:rPr>
        <w:fldChar w:fldCharType="end"/>
      </w:r>
      <w:r>
        <w:rPr>
          <w:rFonts w:ascii="Times New Roman" w:hAnsi="Times New Roman"/>
          <w:b/>
          <w:bCs/>
          <w:sz w:val="26"/>
          <w:szCs w:val="26"/>
        </w:rPr>
        <w:t>: Total Fungal Counts(CFU/ml)</w:t>
      </w:r>
      <w:bookmarkEnd w:id="37"/>
    </w:p>
    <w:tbl>
      <w:tblPr>
        <w:tblStyle w:val="1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16"/>
        <w:gridCol w:w="4627"/>
      </w:tblGrid>
      <w:tr w14:paraId="4C8C71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bottom w:val="single" w:color="auto" w:sz="4" w:space="0"/>
            </w:tcBorders>
          </w:tcPr>
          <w:p w14:paraId="271069A2">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Samples</w:t>
            </w:r>
          </w:p>
        </w:tc>
        <w:tc>
          <w:tcPr>
            <w:tcW w:w="4788" w:type="dxa"/>
            <w:tcBorders>
              <w:top w:val="single" w:color="auto" w:sz="4" w:space="0"/>
              <w:bottom w:val="single" w:color="auto" w:sz="4" w:space="0"/>
            </w:tcBorders>
          </w:tcPr>
          <w:p w14:paraId="2682565B">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TFC(x10</w:t>
            </w:r>
            <w:r>
              <w:rPr>
                <w:rFonts w:ascii="Times New Roman" w:hAnsi="Times New Roman"/>
                <w:b/>
                <w:bCs/>
                <w:sz w:val="26"/>
                <w:szCs w:val="26"/>
                <w:vertAlign w:val="superscript"/>
              </w:rPr>
              <w:t>2</w:t>
            </w:r>
            <w:r>
              <w:rPr>
                <w:rFonts w:ascii="Times New Roman" w:hAnsi="Times New Roman"/>
                <w:b/>
                <w:bCs/>
                <w:sz w:val="26"/>
                <w:szCs w:val="26"/>
              </w:rPr>
              <w:t>)</w:t>
            </w:r>
          </w:p>
        </w:tc>
      </w:tr>
      <w:tr w14:paraId="1A6FEB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Borders>
              <w:top w:val="single" w:color="auto" w:sz="4" w:space="0"/>
            </w:tcBorders>
          </w:tcPr>
          <w:p w14:paraId="160527E1">
            <w:pPr>
              <w:snapToGrid w:val="0"/>
              <w:spacing w:line="480" w:lineRule="auto"/>
              <w:textAlignment w:val="baseline"/>
              <w:rPr>
                <w:rFonts w:ascii="Times New Roman" w:hAnsi="Times New Roman"/>
                <w:sz w:val="26"/>
                <w:szCs w:val="26"/>
              </w:rPr>
            </w:pPr>
            <w:r>
              <w:rPr>
                <w:rFonts w:ascii="Times New Roman" w:hAnsi="Times New Roman"/>
                <w:sz w:val="26"/>
                <w:szCs w:val="26"/>
              </w:rPr>
              <w:t>M</w:t>
            </w:r>
          </w:p>
        </w:tc>
        <w:tc>
          <w:tcPr>
            <w:tcW w:w="4788" w:type="dxa"/>
            <w:tcBorders>
              <w:top w:val="single" w:color="auto" w:sz="4" w:space="0"/>
            </w:tcBorders>
          </w:tcPr>
          <w:p w14:paraId="5A2C0E3E">
            <w:pPr>
              <w:snapToGrid w:val="0"/>
              <w:spacing w:line="480" w:lineRule="auto"/>
              <w:textAlignment w:val="baseline"/>
              <w:rPr>
                <w:rFonts w:ascii="Times New Roman" w:hAnsi="Times New Roman"/>
                <w:sz w:val="26"/>
                <w:szCs w:val="26"/>
              </w:rPr>
            </w:pPr>
            <w:r>
              <w:rPr>
                <w:rFonts w:ascii="Times New Roman" w:hAnsi="Times New Roman"/>
                <w:sz w:val="26"/>
                <w:szCs w:val="26"/>
              </w:rPr>
              <w:t>1</w:t>
            </w:r>
          </w:p>
        </w:tc>
      </w:tr>
      <w:tr w14:paraId="74F04B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62FFDBAB">
            <w:pPr>
              <w:snapToGrid w:val="0"/>
              <w:spacing w:line="480" w:lineRule="auto"/>
              <w:textAlignment w:val="baseline"/>
              <w:rPr>
                <w:rFonts w:ascii="Times New Roman" w:hAnsi="Times New Roman"/>
                <w:sz w:val="26"/>
                <w:szCs w:val="26"/>
              </w:rPr>
            </w:pPr>
            <w:r>
              <w:rPr>
                <w:rFonts w:ascii="Times New Roman" w:hAnsi="Times New Roman"/>
                <w:sz w:val="26"/>
                <w:szCs w:val="26"/>
              </w:rPr>
              <w:t>R</w:t>
            </w:r>
          </w:p>
        </w:tc>
        <w:tc>
          <w:tcPr>
            <w:tcW w:w="4788" w:type="dxa"/>
          </w:tcPr>
          <w:p w14:paraId="7FE2DB58">
            <w:pPr>
              <w:snapToGrid w:val="0"/>
              <w:spacing w:line="480" w:lineRule="auto"/>
              <w:textAlignment w:val="baseline"/>
              <w:rPr>
                <w:rFonts w:ascii="Times New Roman" w:hAnsi="Times New Roman"/>
                <w:sz w:val="26"/>
                <w:szCs w:val="26"/>
              </w:rPr>
            </w:pPr>
            <w:r>
              <w:rPr>
                <w:rFonts w:ascii="Times New Roman" w:hAnsi="Times New Roman"/>
                <w:sz w:val="26"/>
                <w:szCs w:val="26"/>
              </w:rPr>
              <w:t>26</w:t>
            </w:r>
          </w:p>
        </w:tc>
      </w:tr>
      <w:tr w14:paraId="1ACC8B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8" w:type="dxa"/>
          </w:tcPr>
          <w:p w14:paraId="0190735D">
            <w:pPr>
              <w:snapToGrid w:val="0"/>
              <w:spacing w:line="480" w:lineRule="auto"/>
              <w:textAlignment w:val="baseline"/>
              <w:rPr>
                <w:rFonts w:ascii="Times New Roman" w:hAnsi="Times New Roman"/>
                <w:sz w:val="26"/>
                <w:szCs w:val="26"/>
              </w:rPr>
            </w:pPr>
            <w:r>
              <w:rPr>
                <w:rFonts w:ascii="Times New Roman" w:hAnsi="Times New Roman"/>
                <w:sz w:val="26"/>
                <w:szCs w:val="26"/>
              </w:rPr>
              <w:t>I</w:t>
            </w:r>
          </w:p>
        </w:tc>
        <w:tc>
          <w:tcPr>
            <w:tcW w:w="4788" w:type="dxa"/>
          </w:tcPr>
          <w:p w14:paraId="560A2177">
            <w:pPr>
              <w:snapToGrid w:val="0"/>
              <w:spacing w:line="480" w:lineRule="auto"/>
              <w:textAlignment w:val="baseline"/>
              <w:rPr>
                <w:rFonts w:ascii="Times New Roman" w:hAnsi="Times New Roman"/>
                <w:sz w:val="26"/>
                <w:szCs w:val="26"/>
              </w:rPr>
            </w:pPr>
            <w:r>
              <w:rPr>
                <w:rFonts w:ascii="Times New Roman" w:hAnsi="Times New Roman"/>
                <w:sz w:val="26"/>
                <w:szCs w:val="26"/>
              </w:rPr>
              <w:t>48</w:t>
            </w:r>
          </w:p>
        </w:tc>
      </w:tr>
    </w:tbl>
    <w:p w14:paraId="56D51AAB">
      <w:pPr>
        <w:pStyle w:val="9"/>
        <w:snapToGrid w:val="0"/>
        <w:spacing w:line="480" w:lineRule="auto"/>
        <w:jc w:val="both"/>
        <w:textAlignment w:val="baseline"/>
        <w:rPr>
          <w:rFonts w:ascii="Times New Roman" w:hAnsi="Times New Roman" w:cs="Times New Roman"/>
          <w:color w:val="000000"/>
          <w:sz w:val="26"/>
          <w:szCs w:val="26"/>
        </w:rPr>
      </w:pPr>
      <w:bookmarkStart w:id="38" w:name="_Toc169941629"/>
    </w:p>
    <w:p w14:paraId="21B790E7">
      <w:pPr>
        <w:pStyle w:val="9"/>
        <w:snapToGrid w:val="0"/>
        <w:spacing w:line="480" w:lineRule="auto"/>
        <w:jc w:val="both"/>
        <w:textAlignment w:val="baseline"/>
        <w:rPr>
          <w:rFonts w:ascii="Times New Roman" w:hAnsi="Times New Roman" w:cs="Times New Roman"/>
          <w:color w:val="000000"/>
          <w:sz w:val="26"/>
          <w:szCs w:val="26"/>
        </w:rPr>
      </w:pPr>
    </w:p>
    <w:p w14:paraId="324A86B6">
      <w:pPr>
        <w:pStyle w:val="9"/>
        <w:snapToGrid w:val="0"/>
        <w:spacing w:line="480" w:lineRule="auto"/>
        <w:jc w:val="both"/>
        <w:textAlignment w:val="baseline"/>
        <w:rPr>
          <w:rFonts w:ascii="Times New Roman" w:hAnsi="Times New Roman" w:cs="Times New Roman"/>
          <w:color w:val="000000"/>
          <w:sz w:val="26"/>
          <w:szCs w:val="26"/>
        </w:rPr>
      </w:pPr>
    </w:p>
    <w:p w14:paraId="01B6ED71">
      <w:pPr>
        <w:pStyle w:val="9"/>
        <w:snapToGrid w:val="0"/>
        <w:spacing w:line="480" w:lineRule="auto"/>
        <w:jc w:val="both"/>
        <w:textAlignment w:val="baseline"/>
        <w:rPr>
          <w:rFonts w:ascii="Times New Roman" w:hAnsi="Times New Roman" w:cs="Times New Roman"/>
          <w:color w:val="000000"/>
          <w:sz w:val="26"/>
          <w:szCs w:val="26"/>
        </w:rPr>
      </w:pPr>
    </w:p>
    <w:p w14:paraId="45F8DC27">
      <w:pPr>
        <w:pStyle w:val="9"/>
        <w:snapToGrid w:val="0"/>
        <w:spacing w:line="480" w:lineRule="auto"/>
        <w:jc w:val="both"/>
        <w:textAlignment w:val="baseline"/>
        <w:rPr>
          <w:rFonts w:ascii="Times New Roman" w:hAnsi="Times New Roman" w:cs="Times New Roman"/>
          <w:color w:val="000000"/>
          <w:sz w:val="26"/>
          <w:szCs w:val="26"/>
        </w:rPr>
      </w:pPr>
    </w:p>
    <w:p w14:paraId="5E3EAAA5">
      <w:pPr>
        <w:pStyle w:val="9"/>
        <w:snapToGrid w:val="0"/>
        <w:spacing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color w:val="000000"/>
          <w:sz w:val="26"/>
          <w:szCs w:val="26"/>
        </w:rPr>
        <w:instrText xml:space="preserve">:BiochemicalandMicroscopicCharacterizationofBacteriaIsolatedfromtheChinChinSample</w:instrText>
      </w:r>
      <w:r>
        <w:rPr>
          <w:rFonts w:ascii="Times New Roman" w:hAnsi="Times New Roman" w:cs="Times New Roman"/>
          <w:sz w:val="26"/>
          <w:szCs w:val="26"/>
        </w:rPr>
        <w:fldChar w:fldCharType="separate"/>
      </w:r>
      <w:r>
        <w:rPr>
          <w:rFonts w:ascii="Times New Roman" w:hAnsi="Times New Roman" w:cs="Times New Roman"/>
          <w:color w:val="000000"/>
          <w:sz w:val="26"/>
          <w:szCs w:val="26"/>
        </w:rPr>
        <w:t>3</w:t>
      </w:r>
      <w:r>
        <w:rPr>
          <w:rFonts w:ascii="Times New Roman" w:hAnsi="Times New Roman" w:cs="Times New Roman"/>
          <w:sz w:val="26"/>
          <w:szCs w:val="26"/>
        </w:rPr>
        <w:fldChar w:fldCharType="end"/>
      </w:r>
      <w:bookmarkEnd w:id="38"/>
    </w:p>
    <w:tbl>
      <w:tblPr>
        <w:tblStyle w:val="13"/>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900"/>
        <w:gridCol w:w="990"/>
        <w:gridCol w:w="630"/>
        <w:gridCol w:w="990"/>
        <w:gridCol w:w="810"/>
        <w:gridCol w:w="1080"/>
        <w:gridCol w:w="990"/>
        <w:gridCol w:w="2790"/>
      </w:tblGrid>
      <w:tr w14:paraId="05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18" w:type="dxa"/>
          </w:tcPr>
          <w:p w14:paraId="7C48134D">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Isolates</w:t>
            </w:r>
          </w:p>
        </w:tc>
        <w:tc>
          <w:tcPr>
            <w:tcW w:w="900" w:type="dxa"/>
          </w:tcPr>
          <w:p w14:paraId="3231FF15">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Ind</w:t>
            </w:r>
          </w:p>
        </w:tc>
        <w:tc>
          <w:tcPr>
            <w:tcW w:w="990" w:type="dxa"/>
          </w:tcPr>
          <w:p w14:paraId="2344C654">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MR</w:t>
            </w:r>
          </w:p>
        </w:tc>
        <w:tc>
          <w:tcPr>
            <w:tcW w:w="630" w:type="dxa"/>
          </w:tcPr>
          <w:p w14:paraId="28DCEA71">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VP</w:t>
            </w:r>
          </w:p>
        </w:tc>
        <w:tc>
          <w:tcPr>
            <w:tcW w:w="990" w:type="dxa"/>
          </w:tcPr>
          <w:p w14:paraId="1E9B4C38">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Cit</w:t>
            </w:r>
          </w:p>
        </w:tc>
        <w:tc>
          <w:tcPr>
            <w:tcW w:w="810" w:type="dxa"/>
          </w:tcPr>
          <w:p w14:paraId="2D07EA45">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Cat</w:t>
            </w:r>
          </w:p>
        </w:tc>
        <w:tc>
          <w:tcPr>
            <w:tcW w:w="1080" w:type="dxa"/>
          </w:tcPr>
          <w:p w14:paraId="7EF9DAD0">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Gramreaction</w:t>
            </w:r>
          </w:p>
        </w:tc>
        <w:tc>
          <w:tcPr>
            <w:tcW w:w="990" w:type="dxa"/>
          </w:tcPr>
          <w:p w14:paraId="7E35BB91">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Shape</w:t>
            </w:r>
          </w:p>
        </w:tc>
        <w:tc>
          <w:tcPr>
            <w:tcW w:w="2790" w:type="dxa"/>
          </w:tcPr>
          <w:p w14:paraId="3BC2A775">
            <w:pPr>
              <w:snapToGrid w:val="0"/>
              <w:spacing w:line="480" w:lineRule="auto"/>
              <w:jc w:val="both"/>
              <w:textAlignment w:val="baseline"/>
              <w:rPr>
                <w:rFonts w:ascii="Times New Roman" w:hAnsi="Times New Roman"/>
                <w:b/>
                <w:bCs/>
                <w:sz w:val="26"/>
                <w:szCs w:val="26"/>
              </w:rPr>
            </w:pPr>
            <w:r>
              <w:rPr>
                <w:rFonts w:ascii="Times New Roman" w:hAnsi="Times New Roman"/>
                <w:b/>
                <w:bCs/>
                <w:sz w:val="26"/>
                <w:szCs w:val="26"/>
              </w:rPr>
              <w:t>ProbableOrganism</w:t>
            </w:r>
          </w:p>
        </w:tc>
      </w:tr>
      <w:tr w14:paraId="4D25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tcPr>
          <w:p w14:paraId="612AF80B">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1</w:t>
            </w:r>
          </w:p>
        </w:tc>
        <w:tc>
          <w:tcPr>
            <w:tcW w:w="900" w:type="dxa"/>
          </w:tcPr>
          <w:p w14:paraId="2EF019C1">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73AC5B39">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46EECF5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22593491">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56F56A78">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31F1F5A3">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6AFF6B91">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Cocci</w:t>
            </w:r>
          </w:p>
        </w:tc>
        <w:tc>
          <w:tcPr>
            <w:tcW w:w="2790" w:type="dxa"/>
          </w:tcPr>
          <w:p w14:paraId="26BC36B7">
            <w:pPr>
              <w:snapToGrid w:val="0"/>
              <w:spacing w:line="480" w:lineRule="auto"/>
              <w:jc w:val="center"/>
              <w:textAlignment w:val="baseline"/>
              <w:rPr>
                <w:rFonts w:ascii="Times New Roman" w:hAnsi="Times New Roman"/>
                <w:sz w:val="26"/>
                <w:szCs w:val="26"/>
              </w:rPr>
            </w:pPr>
            <w:r>
              <w:rPr>
                <w:rFonts w:ascii="Times New Roman" w:hAnsi="Times New Roman"/>
                <w:i/>
                <w:iCs/>
                <w:sz w:val="26"/>
                <w:szCs w:val="26"/>
              </w:rPr>
              <w:t>Bacillussp.</w:t>
            </w:r>
          </w:p>
        </w:tc>
      </w:tr>
      <w:tr w14:paraId="4D56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8" w:type="dxa"/>
          </w:tcPr>
          <w:p w14:paraId="644D8AF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2</w:t>
            </w:r>
          </w:p>
        </w:tc>
        <w:tc>
          <w:tcPr>
            <w:tcW w:w="900" w:type="dxa"/>
          </w:tcPr>
          <w:p w14:paraId="59E3697C">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7641784E">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7B2C4FCB">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5B75AD71">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1F4FAA56">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22C6DBE6">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497DC020">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0750C22F">
            <w:pPr>
              <w:snapToGrid w:val="0"/>
              <w:spacing w:line="480" w:lineRule="auto"/>
              <w:jc w:val="center"/>
              <w:textAlignment w:val="baseline"/>
              <w:rPr>
                <w:rFonts w:ascii="Times New Roman" w:hAnsi="Times New Roman"/>
                <w:sz w:val="26"/>
                <w:szCs w:val="26"/>
              </w:rPr>
            </w:pPr>
            <w:r>
              <w:rPr>
                <w:rFonts w:ascii="Times New Roman" w:hAnsi="Times New Roman"/>
                <w:i/>
                <w:iCs/>
                <w:sz w:val="26"/>
                <w:szCs w:val="26"/>
              </w:rPr>
              <w:t>Staphylococcussp.</w:t>
            </w:r>
          </w:p>
        </w:tc>
      </w:tr>
      <w:tr w14:paraId="147E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18" w:type="dxa"/>
          </w:tcPr>
          <w:p w14:paraId="4E8B9E9C">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3</w:t>
            </w:r>
          </w:p>
        </w:tc>
        <w:tc>
          <w:tcPr>
            <w:tcW w:w="900" w:type="dxa"/>
          </w:tcPr>
          <w:p w14:paraId="29801A51">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2EFA9190">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630" w:type="dxa"/>
          </w:tcPr>
          <w:p w14:paraId="3ADA53D7">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0091B9E3">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810" w:type="dxa"/>
          </w:tcPr>
          <w:p w14:paraId="2A27B718">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1080" w:type="dxa"/>
          </w:tcPr>
          <w:p w14:paraId="3B3DD78A">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w:t>
            </w:r>
          </w:p>
        </w:tc>
        <w:tc>
          <w:tcPr>
            <w:tcW w:w="990" w:type="dxa"/>
          </w:tcPr>
          <w:p w14:paraId="47E97CF3">
            <w:pPr>
              <w:snapToGrid w:val="0"/>
              <w:spacing w:line="480" w:lineRule="auto"/>
              <w:jc w:val="center"/>
              <w:textAlignment w:val="baseline"/>
              <w:rPr>
                <w:rFonts w:ascii="Times New Roman" w:hAnsi="Times New Roman"/>
                <w:sz w:val="26"/>
                <w:szCs w:val="26"/>
              </w:rPr>
            </w:pPr>
            <w:r>
              <w:rPr>
                <w:rFonts w:ascii="Times New Roman" w:hAnsi="Times New Roman"/>
                <w:sz w:val="26"/>
                <w:szCs w:val="26"/>
              </w:rPr>
              <w:t>Rod</w:t>
            </w:r>
          </w:p>
        </w:tc>
        <w:tc>
          <w:tcPr>
            <w:tcW w:w="2790" w:type="dxa"/>
          </w:tcPr>
          <w:p w14:paraId="0C47796A">
            <w:pPr>
              <w:snapToGrid w:val="0"/>
              <w:spacing w:line="480" w:lineRule="auto"/>
              <w:jc w:val="center"/>
              <w:textAlignment w:val="baseline"/>
              <w:rPr>
                <w:rFonts w:ascii="Times New Roman" w:hAnsi="Times New Roman"/>
                <w:i/>
                <w:iCs/>
                <w:sz w:val="26"/>
                <w:szCs w:val="26"/>
              </w:rPr>
            </w:pPr>
            <w:r>
              <w:rPr>
                <w:rFonts w:ascii="Times New Roman" w:hAnsi="Times New Roman"/>
                <w:i/>
                <w:iCs/>
                <w:sz w:val="26"/>
                <w:szCs w:val="26"/>
              </w:rPr>
              <w:t>E.coli</w:t>
            </w:r>
          </w:p>
        </w:tc>
      </w:tr>
    </w:tbl>
    <w:p w14:paraId="1C65B8E7">
      <w:pPr>
        <w:snapToGrid w:val="0"/>
        <w:spacing w:line="480" w:lineRule="auto"/>
        <w:textAlignment w:val="baseline"/>
        <w:rPr>
          <w:rFonts w:ascii="Times New Roman" w:hAnsi="Times New Roman"/>
          <w:b/>
          <w:bCs/>
          <w:sz w:val="26"/>
          <w:szCs w:val="26"/>
        </w:rPr>
      </w:pPr>
      <w:r>
        <w:rPr>
          <w:rFonts w:ascii="Times New Roman" w:hAnsi="Times New Roman"/>
          <w:b/>
          <w:bCs/>
          <w:sz w:val="26"/>
          <w:szCs w:val="26"/>
        </w:rPr>
        <w:t>Keys:-=negative+=positive</w:t>
      </w:r>
    </w:p>
    <w:p w14:paraId="19147239">
      <w:pPr>
        <w:pStyle w:val="9"/>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w:t>
      </w:r>
      <w:bookmarkStart w:id="39" w:name="_Toc169941630"/>
      <w:r>
        <w:rPr>
          <w:rFonts w:ascii="Times New Roman" w:hAnsi="Times New Roman" w:cs="Times New Roman"/>
          <w:color w:val="000000"/>
          <w:sz w:val="26"/>
          <w:szCs w:val="26"/>
        </w:rPr>
        <w:t xml:space="preserve"> 4.</w:t>
      </w:r>
      <w:r>
        <w:rPr>
          <w:rFonts w:ascii="Times New Roman" w:hAnsi="Times New Roman" w:cs="Times New Roman"/>
          <w:sz w:val="26"/>
          <w:szCs w:val="26"/>
        </w:rPr>
        <w:fldChar w:fldCharType="begin"/>
      </w:r>
      <w:r>
        <w:rPr>
          <w:rFonts w:ascii="Times New Roman" w:hAnsi="Times New Roman" w:cs="Times New Roman"/>
          <w:sz w:val="26"/>
          <w:szCs w:val="26"/>
        </w:rPr>
        <w:instrText xml:space="preserve"> SEQ Table \* ARABIC </w:instrText>
      </w:r>
      <w:r>
        <w:rPr>
          <w:rFonts w:ascii="Times New Roman" w:hAnsi="Times New Roman" w:cs="Times New Roman"/>
          <w:sz w:val="26"/>
          <w:szCs w:val="26"/>
        </w:rPr>
        <w:fldChar w:fldCharType="separate"/>
      </w:r>
      <w:r>
        <w:rPr>
          <w:rFonts w:ascii="Times New Roman" w:hAnsi="Times New Roman" w:cs="Times New Roman"/>
          <w:color w:val="000000"/>
          <w:sz w:val="26"/>
          <w:szCs w:val="26"/>
        </w:rPr>
        <w:t>4</w:t>
      </w:r>
      <w:r>
        <w:rPr>
          <w:rFonts w:ascii="Times New Roman" w:hAnsi="Times New Roman" w:cs="Times New Roman"/>
          <w:sz w:val="26"/>
          <w:szCs w:val="26"/>
        </w:rPr>
        <w:fldChar w:fldCharType="end"/>
      </w:r>
      <w:r>
        <w:rPr>
          <w:rFonts w:ascii="Times New Roman" w:hAnsi="Times New Roman" w:cs="Times New Roman"/>
          <w:color w:val="000000"/>
          <w:sz w:val="26"/>
          <w:szCs w:val="26"/>
        </w:rPr>
        <w:t>a: Colonial Morphology Characterization of Bacterial Isolates</w:t>
      </w:r>
      <w:bookmarkEnd w:id="39"/>
    </w:p>
    <w:tbl>
      <w:tblPr>
        <w:tblStyle w:val="6"/>
        <w:tblW w:w="10188" w:type="dxa"/>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284"/>
        <w:gridCol w:w="1590"/>
        <w:gridCol w:w="1737"/>
        <w:gridCol w:w="1350"/>
        <w:gridCol w:w="1427"/>
        <w:gridCol w:w="2800"/>
      </w:tblGrid>
      <w:tr w14:paraId="77AF4544">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284" w:type="dxa"/>
            <w:tcBorders>
              <w:top w:val="single" w:color="000000" w:sz="8" w:space="0"/>
              <w:left w:val="nil"/>
              <w:bottom w:val="single" w:color="000000" w:sz="8" w:space="0"/>
              <w:right w:val="nil"/>
            </w:tcBorders>
            <w:shd w:val="clear" w:color="auto" w:fill="FFFFFF"/>
          </w:tcPr>
          <w:p w14:paraId="3879EDED">
            <w:pPr>
              <w:pStyle w:val="2"/>
              <w:snapToGrid w:val="0"/>
              <w:spacing w:before="0" w:line="480" w:lineRule="auto"/>
              <w:jc w:val="both"/>
              <w:textAlignment w:val="baseline"/>
              <w:rPr>
                <w:rFonts w:ascii="Times New Roman" w:hAnsi="Times New Roman" w:cs="Times New Roman"/>
                <w:color w:val="000000"/>
                <w:sz w:val="26"/>
                <w:szCs w:val="26"/>
              </w:rPr>
            </w:pPr>
            <w:bookmarkStart w:id="40" w:name="_Toc169941732"/>
            <w:r>
              <w:rPr>
                <w:rFonts w:ascii="Times New Roman" w:hAnsi="Times New Roman" w:cs="Times New Roman"/>
                <w:color w:val="000000"/>
                <w:sz w:val="26"/>
                <w:szCs w:val="26"/>
              </w:rPr>
              <w:t>Isolate</w:t>
            </w:r>
            <w:bookmarkEnd w:id="40"/>
          </w:p>
        </w:tc>
        <w:tc>
          <w:tcPr>
            <w:tcW w:w="1590" w:type="dxa"/>
            <w:tcBorders>
              <w:top w:val="single" w:color="000000" w:sz="8" w:space="0"/>
              <w:left w:val="nil"/>
              <w:bottom w:val="single" w:color="000000" w:sz="8" w:space="0"/>
              <w:right w:val="nil"/>
            </w:tcBorders>
            <w:shd w:val="clear" w:color="auto" w:fill="FFFFFF"/>
          </w:tcPr>
          <w:p w14:paraId="780C3DC7">
            <w:pPr>
              <w:pStyle w:val="2"/>
              <w:snapToGrid w:val="0"/>
              <w:spacing w:before="0" w:line="480" w:lineRule="auto"/>
              <w:jc w:val="both"/>
              <w:textAlignment w:val="baseline"/>
              <w:rPr>
                <w:rFonts w:ascii="Times New Roman" w:hAnsi="Times New Roman" w:cs="Times New Roman"/>
                <w:color w:val="000000"/>
                <w:sz w:val="26"/>
                <w:szCs w:val="26"/>
              </w:rPr>
            </w:pPr>
            <w:bookmarkStart w:id="41" w:name="_Toc169941733"/>
            <w:r>
              <w:rPr>
                <w:rFonts w:ascii="Times New Roman" w:hAnsi="Times New Roman" w:cs="Times New Roman"/>
                <w:color w:val="000000"/>
                <w:sz w:val="26"/>
                <w:szCs w:val="26"/>
              </w:rPr>
              <w:t>Colour</w:t>
            </w:r>
            <w:bookmarkEnd w:id="41"/>
          </w:p>
        </w:tc>
        <w:tc>
          <w:tcPr>
            <w:tcW w:w="1737" w:type="dxa"/>
            <w:tcBorders>
              <w:top w:val="single" w:color="000000" w:sz="8" w:space="0"/>
              <w:left w:val="nil"/>
              <w:bottom w:val="single" w:color="000000" w:sz="8" w:space="0"/>
              <w:right w:val="nil"/>
            </w:tcBorders>
            <w:shd w:val="clear" w:color="auto" w:fill="FFFFFF"/>
          </w:tcPr>
          <w:p w14:paraId="7C85214C">
            <w:pPr>
              <w:pStyle w:val="2"/>
              <w:snapToGrid w:val="0"/>
              <w:spacing w:before="0" w:line="480" w:lineRule="auto"/>
              <w:jc w:val="both"/>
              <w:textAlignment w:val="baseline"/>
              <w:rPr>
                <w:rFonts w:ascii="Times New Roman" w:hAnsi="Times New Roman" w:cs="Times New Roman"/>
                <w:color w:val="000000"/>
                <w:sz w:val="26"/>
                <w:szCs w:val="26"/>
              </w:rPr>
            </w:pPr>
            <w:bookmarkStart w:id="42" w:name="_Toc169941734"/>
            <w:r>
              <w:rPr>
                <w:rFonts w:ascii="Times New Roman" w:hAnsi="Times New Roman" w:cs="Times New Roman"/>
                <w:color w:val="000000"/>
                <w:sz w:val="26"/>
                <w:szCs w:val="26"/>
              </w:rPr>
              <w:t>Elevation</w:t>
            </w:r>
            <w:bookmarkEnd w:id="42"/>
          </w:p>
        </w:tc>
        <w:tc>
          <w:tcPr>
            <w:tcW w:w="1350" w:type="dxa"/>
            <w:tcBorders>
              <w:top w:val="single" w:color="000000" w:sz="8" w:space="0"/>
              <w:left w:val="nil"/>
              <w:bottom w:val="single" w:color="000000" w:sz="8" w:space="0"/>
              <w:right w:val="nil"/>
            </w:tcBorders>
            <w:shd w:val="clear" w:color="auto" w:fill="FFFFFF"/>
          </w:tcPr>
          <w:p w14:paraId="7AF3576E">
            <w:pPr>
              <w:pStyle w:val="2"/>
              <w:snapToGrid w:val="0"/>
              <w:spacing w:before="0" w:line="480" w:lineRule="auto"/>
              <w:jc w:val="both"/>
              <w:textAlignment w:val="baseline"/>
              <w:rPr>
                <w:rFonts w:ascii="Times New Roman" w:hAnsi="Times New Roman" w:cs="Times New Roman"/>
                <w:color w:val="000000"/>
                <w:sz w:val="26"/>
                <w:szCs w:val="26"/>
              </w:rPr>
            </w:pPr>
            <w:bookmarkStart w:id="43" w:name="_Toc169941735"/>
            <w:r>
              <w:rPr>
                <w:rFonts w:ascii="Times New Roman" w:hAnsi="Times New Roman" w:cs="Times New Roman"/>
                <w:color w:val="000000"/>
                <w:sz w:val="26"/>
                <w:szCs w:val="26"/>
              </w:rPr>
              <w:t>Margin</w:t>
            </w:r>
            <w:bookmarkEnd w:id="43"/>
          </w:p>
        </w:tc>
        <w:tc>
          <w:tcPr>
            <w:tcW w:w="1427" w:type="dxa"/>
            <w:tcBorders>
              <w:top w:val="single" w:color="000000" w:sz="8" w:space="0"/>
              <w:left w:val="nil"/>
              <w:bottom w:val="single" w:color="000000" w:sz="8" w:space="0"/>
              <w:right w:val="nil"/>
            </w:tcBorders>
            <w:shd w:val="clear" w:color="auto" w:fill="FFFFFF"/>
          </w:tcPr>
          <w:p w14:paraId="4857A5A1">
            <w:pPr>
              <w:pStyle w:val="2"/>
              <w:snapToGrid w:val="0"/>
              <w:spacing w:before="0" w:line="480" w:lineRule="auto"/>
              <w:jc w:val="both"/>
              <w:textAlignment w:val="baseline"/>
              <w:rPr>
                <w:rFonts w:ascii="Times New Roman" w:hAnsi="Times New Roman" w:cs="Times New Roman"/>
                <w:color w:val="000000"/>
                <w:sz w:val="26"/>
                <w:szCs w:val="26"/>
              </w:rPr>
            </w:pPr>
            <w:bookmarkStart w:id="44" w:name="_Toc169941736"/>
            <w:r>
              <w:rPr>
                <w:rFonts w:ascii="Times New Roman" w:hAnsi="Times New Roman" w:cs="Times New Roman"/>
                <w:color w:val="000000"/>
                <w:sz w:val="26"/>
                <w:szCs w:val="26"/>
              </w:rPr>
              <w:t>Texture</w:t>
            </w:r>
            <w:bookmarkEnd w:id="44"/>
          </w:p>
        </w:tc>
        <w:tc>
          <w:tcPr>
            <w:tcW w:w="2800" w:type="dxa"/>
            <w:tcBorders>
              <w:top w:val="single" w:color="000000" w:sz="8" w:space="0"/>
              <w:left w:val="nil"/>
              <w:bottom w:val="single" w:color="000000" w:sz="8" w:space="0"/>
              <w:right w:val="nil"/>
            </w:tcBorders>
            <w:shd w:val="clear" w:color="auto" w:fill="FFFFFF"/>
          </w:tcPr>
          <w:p w14:paraId="1C88306C">
            <w:pPr>
              <w:pStyle w:val="2"/>
              <w:snapToGrid w:val="0"/>
              <w:spacing w:before="0" w:line="480" w:lineRule="auto"/>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Size</w:t>
            </w:r>
          </w:p>
        </w:tc>
      </w:tr>
      <w:tr w14:paraId="4A63E41C">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84" w:type="dxa"/>
            <w:shd w:val="clear" w:color="auto" w:fill="FFFFFF"/>
          </w:tcPr>
          <w:p w14:paraId="27AA263F">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1</w:t>
            </w:r>
          </w:p>
        </w:tc>
        <w:tc>
          <w:tcPr>
            <w:tcW w:w="1590" w:type="dxa"/>
            <w:shd w:val="clear" w:color="auto" w:fill="FFFFFF"/>
          </w:tcPr>
          <w:p w14:paraId="3E17DD03">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Creamy</w:t>
            </w:r>
          </w:p>
        </w:tc>
        <w:tc>
          <w:tcPr>
            <w:tcW w:w="1737" w:type="dxa"/>
            <w:shd w:val="clear" w:color="auto" w:fill="FFFFFF"/>
          </w:tcPr>
          <w:p w14:paraId="1A7EC2C7">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30AE8ED3">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3205AEF2">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Dried</w:t>
            </w:r>
          </w:p>
        </w:tc>
        <w:tc>
          <w:tcPr>
            <w:tcW w:w="2800" w:type="dxa"/>
            <w:shd w:val="clear" w:color="auto" w:fill="FFFFFF"/>
          </w:tcPr>
          <w:p w14:paraId="4DB97763">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14:paraId="3BFEA715">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84" w:type="dxa"/>
            <w:shd w:val="clear" w:color="auto" w:fill="FFFFFF"/>
          </w:tcPr>
          <w:p w14:paraId="4816188D">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2</w:t>
            </w:r>
          </w:p>
        </w:tc>
        <w:tc>
          <w:tcPr>
            <w:tcW w:w="1590" w:type="dxa"/>
            <w:shd w:val="clear" w:color="auto" w:fill="FFFFFF"/>
          </w:tcPr>
          <w:p w14:paraId="27FBD054">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Yellowish</w:t>
            </w:r>
          </w:p>
        </w:tc>
        <w:tc>
          <w:tcPr>
            <w:tcW w:w="1737" w:type="dxa"/>
            <w:shd w:val="clear" w:color="auto" w:fill="FFFFFF"/>
          </w:tcPr>
          <w:p w14:paraId="1E96DEFA">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2196A4B1">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4C349DB9">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742CE4E9">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r w14:paraId="5611A9AA">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284" w:type="dxa"/>
            <w:shd w:val="clear" w:color="auto" w:fill="FFFFFF"/>
          </w:tcPr>
          <w:p w14:paraId="6E0F755B">
            <w:pPr>
              <w:snapToGrid w:val="0"/>
              <w:spacing w:after="0" w:line="480" w:lineRule="auto"/>
              <w:jc w:val="both"/>
              <w:textAlignment w:val="baseline"/>
              <w:rPr>
                <w:rFonts w:ascii="Times New Roman" w:hAnsi="Times New Roman"/>
                <w:b/>
                <w:bCs/>
                <w:color w:val="000000"/>
                <w:sz w:val="26"/>
                <w:szCs w:val="26"/>
              </w:rPr>
            </w:pPr>
            <w:r>
              <w:rPr>
                <w:rFonts w:ascii="Times New Roman" w:hAnsi="Times New Roman"/>
                <w:b/>
                <w:bCs/>
                <w:color w:val="000000"/>
                <w:sz w:val="26"/>
                <w:szCs w:val="26"/>
              </w:rPr>
              <w:t>3</w:t>
            </w:r>
          </w:p>
        </w:tc>
        <w:tc>
          <w:tcPr>
            <w:tcW w:w="1590" w:type="dxa"/>
            <w:shd w:val="clear" w:color="auto" w:fill="FFFFFF"/>
          </w:tcPr>
          <w:p w14:paraId="3C1F7E25">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Pink</w:t>
            </w:r>
          </w:p>
        </w:tc>
        <w:tc>
          <w:tcPr>
            <w:tcW w:w="1737" w:type="dxa"/>
            <w:shd w:val="clear" w:color="auto" w:fill="FFFFFF"/>
          </w:tcPr>
          <w:p w14:paraId="34F48145">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Convex</w:t>
            </w:r>
          </w:p>
        </w:tc>
        <w:tc>
          <w:tcPr>
            <w:tcW w:w="1350" w:type="dxa"/>
            <w:shd w:val="clear" w:color="auto" w:fill="FFFFFF"/>
          </w:tcPr>
          <w:p w14:paraId="70A04E8B">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Entire</w:t>
            </w:r>
          </w:p>
        </w:tc>
        <w:tc>
          <w:tcPr>
            <w:tcW w:w="1427" w:type="dxa"/>
            <w:shd w:val="clear" w:color="auto" w:fill="FFFFFF"/>
          </w:tcPr>
          <w:p w14:paraId="0EF743D8">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Smooth</w:t>
            </w:r>
          </w:p>
        </w:tc>
        <w:tc>
          <w:tcPr>
            <w:tcW w:w="2800" w:type="dxa"/>
            <w:shd w:val="clear" w:color="auto" w:fill="FFFFFF"/>
          </w:tcPr>
          <w:p w14:paraId="342CC826">
            <w:pPr>
              <w:snapToGrid w:val="0"/>
              <w:spacing w:after="0" w:line="480" w:lineRule="auto"/>
              <w:jc w:val="both"/>
              <w:textAlignment w:val="baseline"/>
              <w:rPr>
                <w:rFonts w:ascii="Times New Roman" w:hAnsi="Times New Roman"/>
                <w:color w:val="000000"/>
                <w:sz w:val="26"/>
                <w:szCs w:val="26"/>
              </w:rPr>
            </w:pPr>
            <w:r>
              <w:rPr>
                <w:rFonts w:ascii="Times New Roman" w:hAnsi="Times New Roman"/>
                <w:color w:val="000000"/>
                <w:sz w:val="26"/>
                <w:szCs w:val="26"/>
              </w:rPr>
              <w:t>Small</w:t>
            </w:r>
          </w:p>
        </w:tc>
      </w:tr>
    </w:tbl>
    <w:p w14:paraId="5A425824">
      <w:pPr>
        <w:snapToGrid w:val="0"/>
        <w:spacing w:line="480" w:lineRule="auto"/>
        <w:textAlignment w:val="baseline"/>
        <w:rPr>
          <w:rFonts w:ascii="Times New Roman" w:hAnsi="Times New Roman"/>
          <w:sz w:val="26"/>
          <w:szCs w:val="26"/>
        </w:rPr>
      </w:pPr>
    </w:p>
    <w:p w14:paraId="3A86D97B">
      <w:pPr>
        <w:pStyle w:val="9"/>
        <w:snapToGrid w:val="0"/>
        <w:spacing w:line="480" w:lineRule="auto"/>
        <w:textAlignment w:val="baseline"/>
        <w:rPr>
          <w:rFonts w:ascii="Times New Roman" w:hAnsi="Times New Roman" w:cs="Times New Roman"/>
          <w:color w:val="000000"/>
          <w:sz w:val="26"/>
          <w:szCs w:val="26"/>
        </w:rPr>
      </w:pPr>
    </w:p>
    <w:p w14:paraId="4E9C8EB5">
      <w:pPr>
        <w:pStyle w:val="9"/>
        <w:snapToGrid w:val="0"/>
        <w:spacing w:line="480" w:lineRule="auto"/>
        <w:textAlignment w:val="baseline"/>
        <w:rPr>
          <w:rFonts w:ascii="Times New Roman" w:hAnsi="Times New Roman" w:cs="Times New Roman"/>
          <w:color w:val="000000"/>
          <w:sz w:val="26"/>
          <w:szCs w:val="26"/>
        </w:rPr>
      </w:pPr>
    </w:p>
    <w:p w14:paraId="771FC16D">
      <w:pPr>
        <w:pStyle w:val="9"/>
        <w:snapToGrid w:val="0"/>
        <w:spacing w:line="480" w:lineRule="auto"/>
        <w:textAlignment w:val="baseline"/>
        <w:rPr>
          <w:rFonts w:ascii="Times New Roman" w:hAnsi="Times New Roman" w:cs="Times New Roman"/>
          <w:color w:val="000000"/>
          <w:sz w:val="26"/>
          <w:szCs w:val="26"/>
        </w:rPr>
      </w:pPr>
    </w:p>
    <w:p w14:paraId="18235B2A">
      <w:pPr>
        <w:pStyle w:val="9"/>
        <w:snapToGrid w:val="0"/>
        <w:spacing w:line="480" w:lineRule="auto"/>
        <w:textAlignment w:val="baseline"/>
        <w:rPr>
          <w:rFonts w:ascii="Times New Roman" w:hAnsi="Times New Roman" w:cs="Times New Roman"/>
          <w:color w:val="000000"/>
          <w:sz w:val="26"/>
          <w:szCs w:val="26"/>
        </w:rPr>
      </w:pPr>
    </w:p>
    <w:p w14:paraId="59E7811B">
      <w:pPr>
        <w:pStyle w:val="9"/>
        <w:snapToGrid w:val="0"/>
        <w:spacing w:line="480" w:lineRule="auto"/>
        <w:textAlignment w:val="baseline"/>
        <w:rPr>
          <w:rFonts w:ascii="Times New Roman" w:hAnsi="Times New Roman" w:cs="Times New Roman"/>
          <w:color w:val="000000"/>
          <w:sz w:val="26"/>
          <w:szCs w:val="26"/>
        </w:rPr>
      </w:pPr>
      <w:r>
        <w:rPr>
          <w:rFonts w:ascii="Times New Roman" w:hAnsi="Times New Roman" w:cs="Times New Roman"/>
          <w:color w:val="000000"/>
          <w:sz w:val="26"/>
          <w:szCs w:val="26"/>
        </w:rPr>
        <w:t>Table 4.4b: Colonial Morphology Characterization of Fungal Isolates</w:t>
      </w:r>
    </w:p>
    <w:tbl>
      <w:tblPr>
        <w:tblStyle w:val="6"/>
        <w:tblW w:w="9576" w:type="dxa"/>
        <w:tblInd w:w="0" w:type="dxa"/>
        <w:tblLayout w:type="autofit"/>
        <w:tblCellMar>
          <w:top w:w="0" w:type="dxa"/>
          <w:left w:w="108" w:type="dxa"/>
          <w:bottom w:w="0" w:type="dxa"/>
          <w:right w:w="108" w:type="dxa"/>
        </w:tblCellMar>
      </w:tblPr>
      <w:tblGrid>
        <w:gridCol w:w="2376"/>
        <w:gridCol w:w="4111"/>
        <w:gridCol w:w="3089"/>
      </w:tblGrid>
      <w:tr w14:paraId="3A07C3B0">
        <w:tblPrEx>
          <w:tblCellMar>
            <w:top w:w="0" w:type="dxa"/>
            <w:left w:w="108" w:type="dxa"/>
            <w:bottom w:w="0" w:type="dxa"/>
            <w:right w:w="108" w:type="dxa"/>
          </w:tblCellMar>
        </w:tblPrEx>
        <w:trPr>
          <w:trHeight w:val="517" w:hRule="atLeast"/>
        </w:trPr>
        <w:tc>
          <w:tcPr>
            <w:tcW w:w="2376" w:type="dxa"/>
            <w:tcBorders>
              <w:top w:val="single" w:color="auto" w:sz="4" w:space="0"/>
              <w:bottom w:val="single" w:color="auto" w:sz="4" w:space="0"/>
            </w:tcBorders>
            <w:vAlign w:val="center"/>
          </w:tcPr>
          <w:p w14:paraId="1FF54E22">
            <w:pPr>
              <w:snapToGrid w:val="0"/>
              <w:spacing w:after="0" w:line="480" w:lineRule="auto"/>
              <w:jc w:val="center"/>
              <w:textAlignment w:val="baseline"/>
              <w:rPr>
                <w:rFonts w:ascii="Times New Roman" w:hAnsi="Times New Roman" w:eastAsia="Calibri"/>
                <w:b/>
                <w:bCs/>
                <w:sz w:val="26"/>
                <w:szCs w:val="26"/>
              </w:rPr>
            </w:pPr>
            <w:bookmarkStart w:id="45" w:name="_Toc169941738"/>
            <w:r>
              <w:rPr>
                <w:rFonts w:ascii="Times New Roman" w:hAnsi="Times New Roman"/>
                <w:b/>
                <w:bCs/>
                <w:sz w:val="26"/>
                <w:szCs w:val="26"/>
              </w:rPr>
              <w:t>ISOLATES</w:t>
            </w:r>
          </w:p>
        </w:tc>
        <w:tc>
          <w:tcPr>
            <w:tcW w:w="4111" w:type="dxa"/>
            <w:tcBorders>
              <w:top w:val="single" w:color="auto" w:sz="4" w:space="0"/>
              <w:bottom w:val="single" w:color="auto" w:sz="4" w:space="0"/>
            </w:tcBorders>
            <w:vAlign w:val="center"/>
          </w:tcPr>
          <w:p w14:paraId="6FEF3997">
            <w:pPr>
              <w:snapToGrid w:val="0"/>
              <w:spacing w:after="0" w:line="480" w:lineRule="auto"/>
              <w:jc w:val="center"/>
              <w:textAlignment w:val="baseline"/>
              <w:rPr>
                <w:rFonts w:ascii="Times New Roman" w:hAnsi="Times New Roman" w:eastAsia="Calibri"/>
                <w:b/>
                <w:bCs/>
                <w:sz w:val="26"/>
                <w:szCs w:val="26"/>
              </w:rPr>
            </w:pPr>
            <w:r>
              <w:rPr>
                <w:rFonts w:ascii="Times New Roman" w:hAnsi="Times New Roman"/>
                <w:b/>
                <w:bCs/>
                <w:sz w:val="26"/>
                <w:szCs w:val="26"/>
              </w:rPr>
              <w:t>COLONIALDESCRIPTION</w:t>
            </w:r>
          </w:p>
        </w:tc>
        <w:tc>
          <w:tcPr>
            <w:tcW w:w="3089" w:type="dxa"/>
            <w:tcBorders>
              <w:top w:val="single" w:color="auto" w:sz="4" w:space="0"/>
              <w:bottom w:val="single" w:color="auto" w:sz="4" w:space="0"/>
            </w:tcBorders>
          </w:tcPr>
          <w:p w14:paraId="0946FB84">
            <w:pPr>
              <w:snapToGrid w:val="0"/>
              <w:spacing w:after="0" w:line="480" w:lineRule="auto"/>
              <w:jc w:val="center"/>
              <w:textAlignment w:val="baseline"/>
              <w:rPr>
                <w:rFonts w:ascii="Times New Roman" w:hAnsi="Times New Roman"/>
                <w:b/>
                <w:bCs/>
                <w:sz w:val="26"/>
                <w:szCs w:val="26"/>
              </w:rPr>
            </w:pPr>
            <w:r>
              <w:rPr>
                <w:rFonts w:ascii="Times New Roman" w:hAnsi="Times New Roman"/>
                <w:b/>
                <w:bCs/>
                <w:sz w:val="26"/>
                <w:szCs w:val="26"/>
              </w:rPr>
              <w:t>LIKELYORGANISMS</w:t>
            </w:r>
          </w:p>
        </w:tc>
      </w:tr>
      <w:tr w14:paraId="482ACC95">
        <w:tblPrEx>
          <w:tblCellMar>
            <w:top w:w="0" w:type="dxa"/>
            <w:left w:w="108" w:type="dxa"/>
            <w:bottom w:w="0" w:type="dxa"/>
            <w:right w:w="108" w:type="dxa"/>
          </w:tblCellMar>
        </w:tblPrEx>
        <w:trPr>
          <w:trHeight w:val="782" w:hRule="atLeast"/>
        </w:trPr>
        <w:tc>
          <w:tcPr>
            <w:tcW w:w="2376" w:type="dxa"/>
          </w:tcPr>
          <w:p w14:paraId="1A696D9F">
            <w:pPr>
              <w:snapToGrid w:val="0"/>
              <w:spacing w:line="480" w:lineRule="auto"/>
              <w:jc w:val="center"/>
              <w:textAlignment w:val="baseline"/>
              <w:rPr>
                <w:rFonts w:ascii="Times New Roman" w:hAnsi="Times New Roman" w:eastAsia="Calibri"/>
                <w:bCs/>
                <w:sz w:val="26"/>
                <w:szCs w:val="26"/>
              </w:rPr>
            </w:pPr>
            <w:r>
              <w:rPr>
                <w:rFonts w:ascii="Times New Roman" w:hAnsi="Times New Roman" w:eastAsia="Calibri"/>
                <w:bCs/>
                <w:sz w:val="26"/>
                <w:szCs w:val="26"/>
              </w:rPr>
              <w:t>1</w:t>
            </w:r>
          </w:p>
        </w:tc>
        <w:tc>
          <w:tcPr>
            <w:tcW w:w="4111" w:type="dxa"/>
          </w:tcPr>
          <w:p w14:paraId="54F12E28">
            <w:pPr>
              <w:pStyle w:val="14"/>
              <w:snapToGrid w:val="0"/>
              <w:spacing w:after="200" w:line="480" w:lineRule="auto"/>
              <w:textAlignment w:val="baseline"/>
              <w:rPr>
                <w:sz w:val="26"/>
                <w:szCs w:val="26"/>
              </w:rPr>
            </w:pPr>
            <w:r>
              <w:rPr>
                <w:sz w:val="26"/>
                <w:szCs w:val="26"/>
              </w:rPr>
              <w:t>Yellow-brown and powdery with whitish mycelium at the edges</w:t>
            </w:r>
          </w:p>
        </w:tc>
        <w:tc>
          <w:tcPr>
            <w:tcW w:w="3089" w:type="dxa"/>
          </w:tcPr>
          <w:p w14:paraId="20FBE53C">
            <w:pPr>
              <w:snapToGrid w:val="0"/>
              <w:spacing w:line="480" w:lineRule="auto"/>
              <w:textAlignment w:val="baseline"/>
              <w:rPr>
                <w:rFonts w:ascii="Times New Roman" w:hAnsi="Times New Roman"/>
                <w:bCs/>
                <w:i/>
                <w:sz w:val="26"/>
                <w:szCs w:val="26"/>
              </w:rPr>
            </w:pPr>
            <w:r>
              <w:rPr>
                <w:rFonts w:ascii="Times New Roman" w:hAnsi="Times New Roman"/>
                <w:bCs/>
                <w:i/>
                <w:sz w:val="26"/>
                <w:szCs w:val="26"/>
              </w:rPr>
              <w:t>Aspergillus flavus</w:t>
            </w:r>
          </w:p>
        </w:tc>
      </w:tr>
      <w:tr w14:paraId="1EDCF19F">
        <w:tblPrEx>
          <w:tblCellMar>
            <w:top w:w="0" w:type="dxa"/>
            <w:left w:w="108" w:type="dxa"/>
            <w:bottom w:w="0" w:type="dxa"/>
            <w:right w:w="108" w:type="dxa"/>
          </w:tblCellMar>
        </w:tblPrEx>
        <w:trPr>
          <w:trHeight w:val="782" w:hRule="atLeast"/>
        </w:trPr>
        <w:tc>
          <w:tcPr>
            <w:tcW w:w="2376" w:type="dxa"/>
            <w:tcBorders>
              <w:bottom w:val="single" w:color="auto" w:sz="4" w:space="0"/>
            </w:tcBorders>
          </w:tcPr>
          <w:p w14:paraId="0795B32B">
            <w:pPr>
              <w:snapToGrid w:val="0"/>
              <w:spacing w:line="480" w:lineRule="auto"/>
              <w:jc w:val="center"/>
              <w:textAlignment w:val="baseline"/>
              <w:rPr>
                <w:rFonts w:ascii="Times New Roman" w:hAnsi="Times New Roman" w:eastAsia="Calibri"/>
                <w:bCs/>
                <w:sz w:val="26"/>
                <w:szCs w:val="26"/>
              </w:rPr>
            </w:pPr>
            <w:r>
              <w:rPr>
                <w:rFonts w:ascii="Times New Roman" w:hAnsi="Times New Roman" w:eastAsia="Calibri"/>
                <w:bCs/>
                <w:sz w:val="26"/>
                <w:szCs w:val="26"/>
              </w:rPr>
              <w:t>2</w:t>
            </w:r>
          </w:p>
        </w:tc>
        <w:tc>
          <w:tcPr>
            <w:tcW w:w="4111" w:type="dxa"/>
            <w:tcBorders>
              <w:bottom w:val="single" w:color="auto" w:sz="4" w:space="0"/>
            </w:tcBorders>
          </w:tcPr>
          <w:p w14:paraId="07A07AD2">
            <w:pPr>
              <w:pStyle w:val="14"/>
              <w:snapToGrid w:val="0"/>
              <w:spacing w:after="200" w:line="480" w:lineRule="auto"/>
              <w:jc w:val="both"/>
              <w:textAlignment w:val="baseline"/>
              <w:rPr>
                <w:sz w:val="26"/>
                <w:szCs w:val="26"/>
              </w:rPr>
            </w:pPr>
            <w:r>
              <w:rPr>
                <w:sz w:val="26"/>
                <w:szCs w:val="26"/>
              </w:rPr>
              <w:t>Colony exhibited white mycelium growth initially with black centre which spread or increases with time. The margins of the fungi were whitish. The colony had There verse face of the plate was yellowish.</w:t>
            </w:r>
          </w:p>
        </w:tc>
        <w:tc>
          <w:tcPr>
            <w:tcW w:w="3089" w:type="dxa"/>
            <w:tcBorders>
              <w:bottom w:val="single" w:color="auto" w:sz="4" w:space="0"/>
            </w:tcBorders>
          </w:tcPr>
          <w:p w14:paraId="4DB8BD1D">
            <w:pPr>
              <w:snapToGrid w:val="0"/>
              <w:spacing w:after="0" w:line="480" w:lineRule="auto"/>
              <w:textAlignment w:val="baseline"/>
              <w:rPr>
                <w:rFonts w:ascii="Times New Roman" w:hAnsi="Times New Roman"/>
                <w:bCs/>
                <w:sz w:val="26"/>
                <w:szCs w:val="26"/>
              </w:rPr>
            </w:pPr>
            <w:r>
              <w:rPr>
                <w:rFonts w:ascii="Times New Roman" w:hAnsi="Times New Roman"/>
                <w:bCs/>
                <w:i/>
                <w:iCs/>
                <w:sz w:val="26"/>
                <w:szCs w:val="26"/>
              </w:rPr>
              <w:t>Aspergillus niger</w:t>
            </w:r>
          </w:p>
        </w:tc>
      </w:tr>
    </w:tbl>
    <w:p w14:paraId="3B5AC443">
      <w:pPr>
        <w:pStyle w:val="2"/>
        <w:snapToGrid w:val="0"/>
        <w:spacing w:before="0" w:after="0" w:line="480" w:lineRule="auto"/>
        <w:jc w:val="center"/>
        <w:textAlignment w:val="baseline"/>
        <w:rPr>
          <w:rFonts w:ascii="Times New Roman" w:hAnsi="Times New Roman" w:cs="Times New Roman"/>
          <w:b/>
          <w:bCs/>
          <w:color w:val="000000"/>
          <w:sz w:val="26"/>
          <w:szCs w:val="26"/>
        </w:rPr>
      </w:pPr>
    </w:p>
    <w:p w14:paraId="3C2D5756">
      <w:pPr>
        <w:snapToGrid w:val="0"/>
        <w:textAlignment w:val="baseline"/>
        <w:rPr>
          <w:rFonts w:ascii="Times New Roman" w:hAnsi="Times New Roman"/>
          <w:b/>
          <w:i/>
          <w:caps/>
          <w:sz w:val="26"/>
          <w:szCs w:val="26"/>
        </w:rPr>
      </w:pPr>
    </w:p>
    <w:p w14:paraId="539EB67E">
      <w:pPr>
        <w:snapToGrid w:val="0"/>
        <w:textAlignment w:val="baseline"/>
        <w:rPr>
          <w:rFonts w:ascii="Times New Roman" w:hAnsi="Times New Roman"/>
          <w:b/>
          <w:i/>
          <w:caps/>
          <w:sz w:val="26"/>
          <w:szCs w:val="26"/>
        </w:rPr>
      </w:pPr>
    </w:p>
    <w:p w14:paraId="4DB0A6C2">
      <w:pPr>
        <w:snapToGrid w:val="0"/>
        <w:textAlignment w:val="baseline"/>
        <w:rPr>
          <w:rFonts w:ascii="Times New Roman" w:hAnsi="Times New Roman"/>
          <w:b/>
          <w:i/>
          <w:caps/>
          <w:sz w:val="26"/>
          <w:szCs w:val="26"/>
        </w:rPr>
      </w:pPr>
    </w:p>
    <w:p w14:paraId="4C45EA13">
      <w:pPr>
        <w:snapToGrid w:val="0"/>
        <w:textAlignment w:val="baseline"/>
        <w:rPr>
          <w:rFonts w:ascii="Times New Roman" w:hAnsi="Times New Roman"/>
          <w:b/>
          <w:i/>
          <w:caps/>
          <w:sz w:val="26"/>
          <w:szCs w:val="26"/>
        </w:rPr>
      </w:pPr>
    </w:p>
    <w:p w14:paraId="7393C260">
      <w:pPr>
        <w:snapToGrid w:val="0"/>
        <w:textAlignment w:val="baseline"/>
        <w:rPr>
          <w:rFonts w:ascii="Times New Roman" w:hAnsi="Times New Roman"/>
          <w:b/>
          <w:i/>
          <w:caps/>
          <w:sz w:val="26"/>
          <w:szCs w:val="26"/>
        </w:rPr>
      </w:pPr>
    </w:p>
    <w:p w14:paraId="528DD801">
      <w:pPr>
        <w:snapToGrid w:val="0"/>
        <w:textAlignment w:val="baseline"/>
        <w:rPr>
          <w:rFonts w:ascii="Times New Roman" w:hAnsi="Times New Roman"/>
          <w:sz w:val="26"/>
          <w:szCs w:val="26"/>
        </w:rPr>
      </w:pPr>
    </w:p>
    <w:p w14:paraId="694A2053">
      <w:pPr>
        <w:pStyle w:val="2"/>
        <w:snapToGrid w:val="0"/>
        <w:spacing w:before="0" w:after="0" w:line="480" w:lineRule="auto"/>
        <w:jc w:val="center"/>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CHAPTER FIVE</w:t>
      </w:r>
      <w:bookmarkEnd w:id="45"/>
    </w:p>
    <w:p w14:paraId="761348B1">
      <w:pPr>
        <w:pStyle w:val="3"/>
        <w:snapToGrid w:val="0"/>
        <w:spacing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5.1</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Discussion</w:t>
      </w:r>
    </w:p>
    <w:p w14:paraId="0AE75A26">
      <w:pPr>
        <w:pStyle w:val="3"/>
        <w:snapToGrid w:val="0"/>
        <w:spacing w:after="0" w:line="480" w:lineRule="auto"/>
        <w:jc w:val="both"/>
        <w:textAlignment w:val="baseline"/>
        <w:rPr>
          <w:rFonts w:ascii="Times New Roman" w:hAnsi="Times New Roman" w:eastAsia="SimSun" w:cs="Times New Roman"/>
          <w:color w:val="auto"/>
          <w:sz w:val="26"/>
          <w:szCs w:val="26"/>
          <w:lang w:eastAsia="zh-CN"/>
        </w:rPr>
      </w:pPr>
      <w:r>
        <w:rPr>
          <w:rFonts w:ascii="Times New Roman" w:hAnsi="Times New Roman" w:eastAsia="SimSun" w:cs="Times New Roman"/>
          <w:color w:val="auto"/>
          <w:sz w:val="26"/>
          <w:szCs w:val="26"/>
          <w:lang w:eastAsia="zh-CN"/>
        </w:rPr>
        <w:t xml:space="preserve">The findings of this study revealed that the herbal chin-chin samples obtained from Ilorin were contaminated with a significant microbial load. The total bacterial counts ranged from 1.0 × 10^4 to 0 CFU/ml, with sample I showing the highest load. The presence of </w:t>
      </w:r>
      <w:r>
        <w:rPr>
          <w:rFonts w:ascii="Times New Roman" w:hAnsi="Times New Roman" w:eastAsia="SimSun" w:cs="Times New Roman"/>
          <w:i/>
          <w:color w:val="auto"/>
          <w:sz w:val="26"/>
          <w:szCs w:val="26"/>
          <w:lang w:eastAsia="zh-CN"/>
        </w:rPr>
        <w:t>Staphylococcus aureus</w:t>
      </w:r>
      <w:r>
        <w:rPr>
          <w:rFonts w:ascii="Times New Roman" w:hAnsi="Times New Roman" w:eastAsia="SimSun" w:cs="Times New Roman"/>
          <w:color w:val="auto"/>
          <w:sz w:val="26"/>
          <w:szCs w:val="26"/>
          <w:lang w:eastAsia="zh-CN"/>
        </w:rPr>
        <w:t xml:space="preserve"> in one of the samples is of concern, as it indicates potential contamination from human handling, poor hygiene, or post-processing contamination (Adebiyi </w:t>
      </w:r>
      <w:r>
        <w:rPr>
          <w:rFonts w:ascii="Times New Roman" w:hAnsi="Times New Roman" w:eastAsia="SimSun" w:cs="Times New Roman"/>
          <w:i/>
          <w:color w:val="auto"/>
          <w:sz w:val="26"/>
          <w:szCs w:val="26"/>
          <w:lang w:eastAsia="zh-CN"/>
        </w:rPr>
        <w:t>et al.,</w:t>
      </w:r>
      <w:r>
        <w:rPr>
          <w:rFonts w:ascii="Times New Roman" w:hAnsi="Times New Roman" w:eastAsia="SimSun" w:cs="Times New Roman"/>
          <w:color w:val="auto"/>
          <w:sz w:val="26"/>
          <w:szCs w:val="26"/>
          <w:lang w:eastAsia="zh-CN"/>
        </w:rPr>
        <w:t xml:space="preserve"> 2023). This supports previous studies that suggest unhygienic preparation practices are common. </w:t>
      </w:r>
      <w:r>
        <w:rPr>
          <w:rFonts w:ascii="Times New Roman" w:hAnsi="Times New Roman" w:eastAsia="SimSun" w:cs="Times New Roman"/>
          <w:i/>
          <w:color w:val="auto"/>
          <w:sz w:val="26"/>
          <w:szCs w:val="26"/>
          <w:lang w:eastAsia="zh-CN"/>
        </w:rPr>
        <w:t>Escherichia coli</w:t>
      </w:r>
      <w:r>
        <w:rPr>
          <w:rFonts w:ascii="Times New Roman" w:hAnsi="Times New Roman" w:eastAsia="SimSun" w:cs="Times New Roman"/>
          <w:color w:val="auto"/>
          <w:sz w:val="26"/>
          <w:szCs w:val="26"/>
          <w:lang w:eastAsia="zh-CN"/>
        </w:rPr>
        <w:t xml:space="preserve"> was also isolated, implying possible fecal contamination likely due to the use of contaminated water or inadequate hand hygiene (Makinde </w:t>
      </w:r>
      <w:r>
        <w:rPr>
          <w:rFonts w:ascii="Times New Roman" w:hAnsi="Times New Roman" w:eastAsia="SimSun" w:cs="Times New Roman"/>
          <w:i/>
          <w:color w:val="auto"/>
          <w:sz w:val="26"/>
          <w:szCs w:val="26"/>
          <w:lang w:eastAsia="zh-CN"/>
        </w:rPr>
        <w:t>et al.,</w:t>
      </w:r>
      <w:r>
        <w:rPr>
          <w:rFonts w:ascii="Times New Roman" w:hAnsi="Times New Roman" w:eastAsia="SimSun" w:cs="Times New Roman"/>
          <w:color w:val="auto"/>
          <w:sz w:val="26"/>
          <w:szCs w:val="26"/>
          <w:lang w:eastAsia="zh-CN"/>
        </w:rPr>
        <w:t xml:space="preserve"> 2020). Fungal isolates such as </w:t>
      </w:r>
      <w:r>
        <w:rPr>
          <w:rFonts w:ascii="Times New Roman" w:hAnsi="Times New Roman" w:eastAsia="SimSun" w:cs="Times New Roman"/>
          <w:i/>
          <w:color w:val="auto"/>
          <w:sz w:val="26"/>
          <w:szCs w:val="26"/>
          <w:lang w:eastAsia="zh-CN"/>
        </w:rPr>
        <w:t xml:space="preserve">Aspergillus flavus </w:t>
      </w:r>
      <w:r>
        <w:rPr>
          <w:rFonts w:ascii="Times New Roman" w:hAnsi="Times New Roman" w:eastAsia="SimSun" w:cs="Times New Roman"/>
          <w:color w:val="auto"/>
          <w:sz w:val="26"/>
          <w:szCs w:val="26"/>
          <w:lang w:eastAsia="zh-CN"/>
        </w:rPr>
        <w:t xml:space="preserve">and </w:t>
      </w:r>
      <w:r>
        <w:rPr>
          <w:rFonts w:ascii="Times New Roman" w:hAnsi="Times New Roman" w:eastAsia="SimSun" w:cs="Times New Roman"/>
          <w:i/>
          <w:color w:val="auto"/>
          <w:sz w:val="26"/>
          <w:szCs w:val="26"/>
          <w:lang w:eastAsia="zh-CN"/>
        </w:rPr>
        <w:t>Aspergillus niger,</w:t>
      </w:r>
      <w:r>
        <w:rPr>
          <w:rFonts w:ascii="Times New Roman" w:hAnsi="Times New Roman" w:eastAsia="SimSun" w:cs="Times New Roman"/>
          <w:color w:val="auto"/>
          <w:sz w:val="26"/>
          <w:szCs w:val="26"/>
          <w:lang w:eastAsia="zh-CN"/>
        </w:rPr>
        <w:t xml:space="preserve"> known for producing harmful mycotoxins, were also identified. The observed microbial contamination highlights that the chin-chin samples in this study are not microbiologically safe for consumption without improvements in processing hygiene, quality control, and regulation enforcement.</w:t>
      </w:r>
    </w:p>
    <w:p w14:paraId="38C669A7">
      <w:pPr>
        <w:rPr>
          <w:rFonts w:ascii="Times New Roman" w:hAnsi="Times New Roman"/>
          <w:sz w:val="26"/>
          <w:szCs w:val="26"/>
        </w:rPr>
      </w:pPr>
    </w:p>
    <w:p w14:paraId="27190202">
      <w:pPr>
        <w:pStyle w:val="3"/>
        <w:snapToGrid w:val="0"/>
        <w:spacing w:before="0" w:after="0" w:line="480" w:lineRule="auto"/>
        <w:textAlignment w:val="baseline"/>
        <w:rPr>
          <w:rFonts w:ascii="Times New Roman" w:hAnsi="Times New Roman" w:cs="Times New Roman"/>
          <w:b/>
          <w:bCs/>
          <w:color w:val="000000"/>
          <w:sz w:val="26"/>
          <w:szCs w:val="26"/>
        </w:rPr>
      </w:pPr>
    </w:p>
    <w:p w14:paraId="6E134DA1">
      <w:pPr>
        <w:pStyle w:val="3"/>
        <w:snapToGrid w:val="0"/>
        <w:spacing w:before="0" w:after="0" w:line="480" w:lineRule="auto"/>
        <w:textAlignment w:val="baseline"/>
        <w:rPr>
          <w:rFonts w:ascii="Times New Roman" w:hAnsi="Times New Roman" w:cs="Times New Roman"/>
          <w:b/>
          <w:bCs/>
          <w:color w:val="000000"/>
          <w:sz w:val="26"/>
          <w:szCs w:val="26"/>
        </w:rPr>
      </w:pPr>
    </w:p>
    <w:p w14:paraId="028E70CD">
      <w:pPr>
        <w:rPr>
          <w:lang w:eastAsia="en-US"/>
        </w:rPr>
      </w:pPr>
    </w:p>
    <w:p w14:paraId="65935BE9">
      <w:pPr>
        <w:rPr>
          <w:lang w:eastAsia="en-US"/>
        </w:rPr>
      </w:pPr>
    </w:p>
    <w:p w14:paraId="0E22E91F">
      <w:pPr>
        <w:pStyle w:val="3"/>
        <w:snapToGrid w:val="0"/>
        <w:spacing w:before="0" w:after="0" w:line="480" w:lineRule="auto"/>
        <w:textAlignment w:val="baseline"/>
        <w:rPr>
          <w:rFonts w:ascii="Times New Roman" w:hAnsi="Times New Roman" w:cs="Times New Roman"/>
          <w:b/>
          <w:bCs/>
          <w:color w:val="000000"/>
          <w:sz w:val="26"/>
          <w:szCs w:val="26"/>
        </w:rPr>
      </w:pPr>
      <w:r>
        <w:rPr>
          <w:rFonts w:ascii="Times New Roman" w:hAnsi="Times New Roman" w:cs="Times New Roman"/>
          <w:b/>
          <w:bCs/>
          <w:color w:val="000000"/>
          <w:sz w:val="26"/>
          <w:szCs w:val="26"/>
        </w:rPr>
        <w:t>5.2</w:t>
      </w:r>
      <w:r>
        <w:rPr>
          <w:rFonts w:ascii="Times New Roman" w:hAnsi="Times New Roman" w:cs="Times New Roman"/>
          <w:b/>
          <w:bCs/>
          <w:color w:val="000000"/>
          <w:sz w:val="26"/>
          <w:szCs w:val="26"/>
        </w:rPr>
        <w:tab/>
      </w:r>
      <w:r>
        <w:rPr>
          <w:rFonts w:ascii="Times New Roman" w:hAnsi="Times New Roman" w:cs="Times New Roman"/>
          <w:b/>
          <w:bCs/>
          <w:color w:val="000000"/>
          <w:sz w:val="26"/>
          <w:szCs w:val="26"/>
        </w:rPr>
        <w:t>Conclusion</w:t>
      </w:r>
    </w:p>
    <w:p w14:paraId="6E7F771D">
      <w:pPr>
        <w:snapToGrid w:val="0"/>
        <w:spacing w:line="480" w:lineRule="auto"/>
        <w:jc w:val="both"/>
        <w:textAlignment w:val="baseline"/>
        <w:rPr>
          <w:rFonts w:ascii="Times New Roman" w:hAnsi="Times New Roman"/>
          <w:sz w:val="26"/>
          <w:szCs w:val="26"/>
        </w:rPr>
      </w:pPr>
      <w:r>
        <w:rPr>
          <w:rFonts w:ascii="Times New Roman" w:hAnsi="Times New Roman"/>
          <w:sz w:val="26"/>
          <w:szCs w:val="26"/>
        </w:rPr>
        <w:t>The study has demonstrated that chin-chin samples sold in Ilorin are contaminated with pathogenic and spoilage microorganisms such as S</w:t>
      </w:r>
      <w:r>
        <w:rPr>
          <w:rFonts w:ascii="Times New Roman" w:hAnsi="Times New Roman"/>
          <w:i/>
          <w:sz w:val="26"/>
          <w:szCs w:val="26"/>
        </w:rPr>
        <w:t xml:space="preserve">taphylococcus aureus, Escherichia coli, </w:t>
      </w:r>
      <w:r>
        <w:rPr>
          <w:rFonts w:ascii="Times New Roman" w:hAnsi="Times New Roman"/>
          <w:sz w:val="26"/>
          <w:szCs w:val="26"/>
        </w:rPr>
        <w:t xml:space="preserve">and </w:t>
      </w:r>
      <w:r>
        <w:rPr>
          <w:rFonts w:ascii="Times New Roman" w:hAnsi="Times New Roman"/>
          <w:i/>
          <w:sz w:val="26"/>
          <w:szCs w:val="26"/>
        </w:rPr>
        <w:t>Aspergillus species.</w:t>
      </w:r>
      <w:r>
        <w:rPr>
          <w:rFonts w:ascii="Times New Roman" w:hAnsi="Times New Roman"/>
          <w:sz w:val="26"/>
          <w:szCs w:val="26"/>
        </w:rPr>
        <w:t xml:space="preserve"> The high microbial loads observed in these samples exceed acceptable safety limits, making them potential health hazards. The contamination likely results from poor hygienic practices during production, handling, and storage. There is a pressing need to implement better sanitary conditions, enforce food safety regulations, and create awareness among producers and consumers to minimize the risk of foodborne infections.</w:t>
      </w:r>
    </w:p>
    <w:p w14:paraId="000299B7">
      <w:pPr>
        <w:snapToGrid w:val="0"/>
        <w:spacing w:line="360" w:lineRule="auto"/>
        <w:textAlignment w:val="baseline"/>
        <w:rPr>
          <w:rFonts w:ascii="Times New Roman" w:hAnsi="Times New Roman"/>
          <w:color w:val="365F91"/>
          <w:sz w:val="26"/>
          <w:szCs w:val="26"/>
          <w:lang w:eastAsia="en-US"/>
        </w:rPr>
      </w:pPr>
    </w:p>
    <w:p w14:paraId="7FFF794C">
      <w:pPr>
        <w:pStyle w:val="14"/>
        <w:snapToGrid w:val="0"/>
        <w:spacing w:after="200" w:line="480" w:lineRule="auto"/>
        <w:ind w:left="567" w:hanging="567"/>
        <w:jc w:val="center"/>
        <w:textAlignment w:val="baseline"/>
        <w:rPr>
          <w:b/>
          <w:sz w:val="26"/>
          <w:szCs w:val="26"/>
        </w:rPr>
      </w:pPr>
    </w:p>
    <w:p w14:paraId="659EBE2F">
      <w:pPr>
        <w:pStyle w:val="14"/>
        <w:snapToGrid w:val="0"/>
        <w:spacing w:after="200" w:line="480" w:lineRule="auto"/>
        <w:ind w:left="567" w:hanging="567"/>
        <w:jc w:val="center"/>
        <w:textAlignment w:val="baseline"/>
        <w:rPr>
          <w:b/>
          <w:sz w:val="26"/>
          <w:szCs w:val="26"/>
        </w:rPr>
      </w:pPr>
    </w:p>
    <w:p w14:paraId="004149E8">
      <w:pPr>
        <w:pStyle w:val="14"/>
        <w:snapToGrid w:val="0"/>
        <w:spacing w:after="200" w:line="480" w:lineRule="auto"/>
        <w:ind w:left="567" w:hanging="567"/>
        <w:jc w:val="center"/>
        <w:textAlignment w:val="baseline"/>
        <w:rPr>
          <w:b/>
          <w:sz w:val="26"/>
          <w:szCs w:val="26"/>
        </w:rPr>
      </w:pPr>
    </w:p>
    <w:p w14:paraId="78A1D759">
      <w:pPr>
        <w:pStyle w:val="14"/>
        <w:snapToGrid w:val="0"/>
        <w:spacing w:after="200" w:line="480" w:lineRule="auto"/>
        <w:ind w:left="567" w:hanging="567"/>
        <w:jc w:val="center"/>
        <w:textAlignment w:val="baseline"/>
        <w:rPr>
          <w:b/>
          <w:sz w:val="28"/>
          <w:szCs w:val="28"/>
        </w:rPr>
      </w:pPr>
    </w:p>
    <w:p w14:paraId="595797F8">
      <w:pPr>
        <w:pStyle w:val="14"/>
        <w:snapToGrid w:val="0"/>
        <w:spacing w:after="200" w:line="480" w:lineRule="auto"/>
        <w:ind w:left="567" w:hanging="567"/>
        <w:jc w:val="center"/>
        <w:textAlignment w:val="baseline"/>
        <w:rPr>
          <w:b/>
          <w:sz w:val="28"/>
          <w:szCs w:val="28"/>
        </w:rPr>
      </w:pPr>
    </w:p>
    <w:p w14:paraId="38EB22C4">
      <w:pPr>
        <w:pStyle w:val="14"/>
        <w:snapToGrid w:val="0"/>
        <w:spacing w:after="200" w:line="480" w:lineRule="auto"/>
        <w:ind w:left="567" w:hanging="567"/>
        <w:jc w:val="center"/>
        <w:textAlignment w:val="baseline"/>
        <w:rPr>
          <w:b/>
          <w:sz w:val="28"/>
          <w:szCs w:val="28"/>
        </w:rPr>
      </w:pPr>
    </w:p>
    <w:p w14:paraId="5C8383A1">
      <w:pPr>
        <w:pStyle w:val="14"/>
        <w:snapToGrid w:val="0"/>
        <w:spacing w:after="200" w:line="480" w:lineRule="auto"/>
        <w:ind w:left="567" w:hanging="567"/>
        <w:jc w:val="center"/>
        <w:textAlignment w:val="baseline"/>
        <w:rPr>
          <w:b/>
          <w:sz w:val="28"/>
          <w:szCs w:val="28"/>
        </w:rPr>
      </w:pPr>
    </w:p>
    <w:p w14:paraId="2AD1D3F8">
      <w:pPr>
        <w:pStyle w:val="14"/>
        <w:snapToGrid w:val="0"/>
        <w:spacing w:after="200" w:line="480" w:lineRule="auto"/>
        <w:ind w:left="567" w:hanging="567"/>
        <w:jc w:val="center"/>
        <w:textAlignment w:val="baseline"/>
        <w:rPr>
          <w:b/>
          <w:sz w:val="28"/>
          <w:szCs w:val="28"/>
        </w:rPr>
      </w:pPr>
    </w:p>
    <w:p w14:paraId="1D654BA6">
      <w:pPr>
        <w:pStyle w:val="14"/>
        <w:snapToGrid w:val="0"/>
        <w:spacing w:after="200" w:line="480" w:lineRule="auto"/>
        <w:ind w:left="567" w:hanging="567"/>
        <w:jc w:val="center"/>
        <w:textAlignment w:val="baseline"/>
        <w:rPr>
          <w:sz w:val="26"/>
          <w:szCs w:val="26"/>
        </w:rPr>
      </w:pPr>
      <w:r>
        <w:rPr>
          <w:b/>
          <w:sz w:val="28"/>
          <w:szCs w:val="28"/>
        </w:rPr>
        <w:t>REFERENCES</w:t>
      </w:r>
    </w:p>
    <w:p w14:paraId="3CDAE15F">
      <w:pPr>
        <w:pStyle w:val="14"/>
        <w:snapToGrid w:val="0"/>
        <w:spacing w:line="480" w:lineRule="auto"/>
        <w:ind w:left="567" w:hanging="567"/>
        <w:jc w:val="both"/>
        <w:textAlignment w:val="baseline"/>
        <w:rPr>
          <w:sz w:val="26"/>
          <w:szCs w:val="26"/>
        </w:rPr>
      </w:pPr>
      <w:r>
        <w:rPr>
          <w:sz w:val="26"/>
          <w:szCs w:val="26"/>
        </w:rPr>
        <w:t>Adebiyi, T. G., Babayemi, B. A., &amp; Babayemi, J. O. (2023). Microbiological Quality and Potential Exposure to Aflatoxins from Consumption of Street-Vended Snacks in Lagos. American Journal of Food Technology, 18, 45-52. DOI: 10.3923/ajft.2023.45.52</w:t>
      </w:r>
    </w:p>
    <w:p w14:paraId="482D143A">
      <w:pPr>
        <w:pStyle w:val="14"/>
        <w:snapToGrid w:val="0"/>
        <w:spacing w:line="480" w:lineRule="auto"/>
        <w:ind w:left="567" w:hanging="567"/>
        <w:jc w:val="both"/>
        <w:textAlignment w:val="baseline"/>
        <w:rPr>
          <w:sz w:val="26"/>
          <w:szCs w:val="26"/>
        </w:rPr>
      </w:pPr>
      <w:r>
        <w:rPr>
          <w:sz w:val="26"/>
          <w:szCs w:val="26"/>
        </w:rPr>
        <w:t>Ansari, A. A. (2015). Food safety and public health: A global concern. Journal of Food Processing &amp; Technology, 6(3), 1–5. https://doi.org/10.4172/2157-7110.1000424</w:t>
      </w:r>
    </w:p>
    <w:p w14:paraId="23F370D0">
      <w:pPr>
        <w:pStyle w:val="14"/>
        <w:snapToGrid w:val="0"/>
        <w:spacing w:line="480" w:lineRule="auto"/>
        <w:ind w:left="567" w:hanging="567"/>
        <w:jc w:val="both"/>
        <w:textAlignment w:val="baseline"/>
        <w:rPr>
          <w:sz w:val="26"/>
          <w:szCs w:val="26"/>
        </w:rPr>
      </w:pPr>
      <w:r>
        <w:rPr>
          <w:sz w:val="26"/>
          <w:szCs w:val="26"/>
        </w:rPr>
        <w:t>Asefa, A., Bimerew, M., Tadesse, G., Gizaw, Z., &amp; Adane, T. (2016). Bacteriological quality assessment of selected street foods and their public health importance in Gondar town, North West Ethiopia. Global Veterinaria, 17(3), 255-264.</w:t>
      </w:r>
    </w:p>
    <w:p w14:paraId="2A8F47BB">
      <w:pPr>
        <w:pStyle w:val="14"/>
        <w:snapToGrid w:val="0"/>
        <w:spacing w:line="480" w:lineRule="auto"/>
        <w:ind w:left="567" w:hanging="567"/>
        <w:jc w:val="both"/>
        <w:textAlignment w:val="baseline"/>
        <w:rPr>
          <w:sz w:val="26"/>
          <w:szCs w:val="26"/>
        </w:rPr>
      </w:pPr>
      <w:r>
        <w:rPr>
          <w:sz w:val="26"/>
          <w:szCs w:val="26"/>
        </w:rPr>
        <w:t>Bello, E. G., Fashina, C. D., &amp; Omololu-Aso, J. (2023). New Insights into Escherichia Coli Associated Contaminants Implicated in Locally Fried Plantain (Dodo ikire) Sold at Ile Ife and Environs, Osun State, Nigeria. Journal of Clinical Epidemiology and Public Health, 1(4), 1-7.</w:t>
      </w:r>
    </w:p>
    <w:p w14:paraId="7D0AA9B7">
      <w:pPr>
        <w:pStyle w:val="14"/>
        <w:snapToGrid w:val="0"/>
        <w:spacing w:line="480" w:lineRule="auto"/>
        <w:ind w:left="567" w:hanging="567"/>
        <w:jc w:val="both"/>
        <w:textAlignment w:val="baseline"/>
        <w:rPr>
          <w:sz w:val="26"/>
          <w:szCs w:val="26"/>
        </w:rPr>
      </w:pPr>
      <w:r>
        <w:rPr>
          <w:sz w:val="26"/>
          <w:szCs w:val="26"/>
        </w:rPr>
        <w:t>Centers for Disease Control and Prevention (CDC). (2020). Foodborne germs and illnesses. Retrieved from https://www.cdc.gov/foodsafety/foodborne-germs.html</w:t>
      </w:r>
    </w:p>
    <w:p w14:paraId="27BD62DC">
      <w:pPr>
        <w:pStyle w:val="14"/>
        <w:snapToGrid w:val="0"/>
        <w:spacing w:line="480" w:lineRule="auto"/>
        <w:ind w:left="567" w:hanging="567"/>
        <w:jc w:val="both"/>
        <w:textAlignment w:val="baseline"/>
        <w:rPr>
          <w:sz w:val="26"/>
          <w:szCs w:val="26"/>
        </w:rPr>
      </w:pPr>
      <w:r>
        <w:rPr>
          <w:sz w:val="26"/>
          <w:szCs w:val="26"/>
        </w:rPr>
        <w:t>Cowan, S. T. (1985). Cowan and Steel's manual for the identification of medical bacteria (2nd ed.). Cambridge University Press.</w:t>
      </w:r>
    </w:p>
    <w:p w14:paraId="08271D30">
      <w:pPr>
        <w:pStyle w:val="14"/>
        <w:snapToGrid w:val="0"/>
        <w:spacing w:line="480" w:lineRule="auto"/>
        <w:ind w:left="567" w:hanging="567"/>
        <w:jc w:val="both"/>
        <w:textAlignment w:val="baseline"/>
        <w:rPr>
          <w:sz w:val="26"/>
          <w:szCs w:val="26"/>
        </w:rPr>
      </w:pPr>
      <w:r>
        <w:rPr>
          <w:sz w:val="26"/>
          <w:szCs w:val="26"/>
        </w:rPr>
        <w:t>Draper, A. (1996). Street foods in developing countries: The potential for micronutrient fortification. London: London School of Hygiene and Tropical Medicine 17(1), 1-14.</w:t>
      </w:r>
    </w:p>
    <w:p w14:paraId="485F50D2">
      <w:pPr>
        <w:pStyle w:val="14"/>
        <w:snapToGrid w:val="0"/>
        <w:spacing w:line="480" w:lineRule="auto"/>
        <w:ind w:left="567" w:hanging="567"/>
        <w:jc w:val="both"/>
        <w:textAlignment w:val="baseline"/>
        <w:rPr>
          <w:sz w:val="26"/>
          <w:szCs w:val="26"/>
        </w:rPr>
      </w:pPr>
      <w:r>
        <w:rPr>
          <w:sz w:val="26"/>
          <w:szCs w:val="26"/>
        </w:rPr>
        <w:t>Foskett, D., Ceserani, V., &amp; Campbell, J. (2003). The theory of catering (10th ed.). London: Hodder Arnold.</w:t>
      </w:r>
    </w:p>
    <w:p w14:paraId="2EFD176A">
      <w:pPr>
        <w:pStyle w:val="14"/>
        <w:snapToGrid w:val="0"/>
        <w:spacing w:line="480" w:lineRule="auto"/>
        <w:ind w:left="567" w:hanging="567"/>
        <w:jc w:val="both"/>
        <w:textAlignment w:val="baseline"/>
        <w:rPr>
          <w:sz w:val="26"/>
          <w:szCs w:val="26"/>
        </w:rPr>
      </w:pPr>
      <w:r>
        <w:rPr>
          <w:sz w:val="26"/>
          <w:szCs w:val="26"/>
        </w:rPr>
        <w:t>Food Safety Authority of Ireland. (2007). Epidemiology of campylobacteriosis in Ireland 2006 [Annual report]. HPSC, Retrieved from FSAI website</w:t>
      </w:r>
    </w:p>
    <w:p w14:paraId="7A7C4168">
      <w:pPr>
        <w:pStyle w:val="14"/>
        <w:snapToGrid w:val="0"/>
        <w:spacing w:line="480" w:lineRule="auto"/>
        <w:ind w:left="567" w:hanging="567"/>
        <w:jc w:val="both"/>
        <w:textAlignment w:val="baseline"/>
        <w:rPr>
          <w:sz w:val="26"/>
          <w:szCs w:val="26"/>
        </w:rPr>
      </w:pPr>
      <w:r>
        <w:rPr>
          <w:sz w:val="26"/>
          <w:szCs w:val="26"/>
        </w:rPr>
        <w:t>Gbigbi, T. M., &amp; Okonkwo, G. E. (2021). Determinants of food safety practices awareness and utilization: A case study of street food hawkers in Asaba metropolis, Nigeria. Journal of Agricultural Research Advances, 3(2), 1-8.</w:t>
      </w:r>
    </w:p>
    <w:p w14:paraId="42F4AD85">
      <w:pPr>
        <w:pStyle w:val="14"/>
        <w:snapToGrid w:val="0"/>
        <w:spacing w:line="480" w:lineRule="auto"/>
        <w:ind w:left="567" w:hanging="567"/>
        <w:jc w:val="both"/>
        <w:textAlignment w:val="baseline"/>
        <w:rPr>
          <w:sz w:val="26"/>
          <w:szCs w:val="26"/>
        </w:rPr>
      </w:pPr>
      <w:r>
        <w:rPr>
          <w:sz w:val="26"/>
          <w:szCs w:val="26"/>
        </w:rPr>
        <w:t>Hanson, L. A., Zahn, E. A., Wild, S. R., Döpfer, D., Scott, J., &amp; Stein, A. D. (2012). Estimating global mortality from potentially foodborne diseases: An analysis using vital registration data. Population Health Metrics, 10(5). https://doi.org/10.1186/1478-7954-10-5</w:t>
      </w:r>
    </w:p>
    <w:p w14:paraId="26C02F4D">
      <w:pPr>
        <w:pStyle w:val="14"/>
        <w:snapToGrid w:val="0"/>
        <w:spacing w:line="480" w:lineRule="auto"/>
        <w:ind w:left="567" w:hanging="567"/>
        <w:jc w:val="both"/>
        <w:textAlignment w:val="baseline"/>
        <w:rPr>
          <w:sz w:val="26"/>
          <w:szCs w:val="26"/>
        </w:rPr>
      </w:pPr>
      <w:r>
        <w:rPr>
          <w:sz w:val="26"/>
          <w:szCs w:val="26"/>
        </w:rPr>
        <w:t>Havelaar, A. H., Kirk, M. D., Torgerson, P. R., Gibb, H. J., Hald, T., Lake, R. J., ... &amp; World Health Organization Foodborne Disease Burden Epidemiology Reference Group. (2015). World Health Organization global estimates and regional comparisons of the burden of foodborne disease in 2010. PLoS Medicine, 12(12), e1001923.</w:t>
      </w:r>
    </w:p>
    <w:p w14:paraId="7A76F51E">
      <w:pPr>
        <w:pStyle w:val="14"/>
        <w:snapToGrid w:val="0"/>
        <w:spacing w:line="480" w:lineRule="auto"/>
        <w:ind w:left="567" w:hanging="567"/>
        <w:jc w:val="both"/>
        <w:textAlignment w:val="baseline"/>
        <w:rPr>
          <w:sz w:val="26"/>
          <w:szCs w:val="26"/>
        </w:rPr>
      </w:pPr>
      <w:r>
        <w:rPr>
          <w:sz w:val="26"/>
          <w:szCs w:val="26"/>
        </w:rPr>
        <w:t>Holt, J. G., Krieg, N. R., Sneath, P. H. A., Staley, J. T., &amp; Williams, S. T. (1994). Bergey's manual of determinative bacteriology (9th ed.). Lippincott Williams and Wilkins.</w:t>
      </w:r>
    </w:p>
    <w:p w14:paraId="31F9325E">
      <w:pPr>
        <w:pStyle w:val="14"/>
        <w:snapToGrid w:val="0"/>
        <w:spacing w:line="480" w:lineRule="auto"/>
        <w:ind w:left="567" w:hanging="567"/>
        <w:jc w:val="both"/>
        <w:textAlignment w:val="baseline"/>
        <w:rPr>
          <w:sz w:val="26"/>
          <w:szCs w:val="26"/>
        </w:rPr>
      </w:pPr>
      <w:r>
        <w:rPr>
          <w:sz w:val="26"/>
          <w:szCs w:val="26"/>
        </w:rPr>
        <w:t>Israel, O. G., &amp; Samuel, C. B. (2020). Nutrient composition and Microbiological Evaluation of vended street foods in parts of Lagos state, Nigeria. Asian Food Science Journal, 17(1), 1-14.</w:t>
      </w:r>
    </w:p>
    <w:p w14:paraId="0F05C307">
      <w:pPr>
        <w:pStyle w:val="14"/>
        <w:snapToGrid w:val="0"/>
        <w:spacing w:line="480" w:lineRule="auto"/>
        <w:ind w:left="567" w:hanging="567"/>
        <w:jc w:val="both"/>
        <w:textAlignment w:val="baseline"/>
        <w:rPr>
          <w:sz w:val="26"/>
          <w:szCs w:val="26"/>
        </w:rPr>
      </w:pPr>
      <w:r>
        <w:rPr>
          <w:sz w:val="26"/>
          <w:szCs w:val="26"/>
        </w:rPr>
        <w:t>Ibrahim, U. M., Jibo, A. M., Gadanya, M. A., Musa, A., Ahmed, F. I. T., Jalo, R. I., &amp; Umar, M. L. (2021). Determinants of personal hygiene practices: Comparison of street food vendors and canteen food handlers in commercial city of Northwestern Nigeria. Nigerian Journal of Basic and Clinical Sciences, 18(2), 100.</w:t>
      </w:r>
    </w:p>
    <w:p w14:paraId="4F54B041">
      <w:pPr>
        <w:pStyle w:val="14"/>
        <w:snapToGrid w:val="0"/>
        <w:spacing w:line="480" w:lineRule="auto"/>
        <w:ind w:left="567" w:hanging="567"/>
        <w:jc w:val="both"/>
        <w:textAlignment w:val="baseline"/>
        <w:rPr>
          <w:sz w:val="26"/>
          <w:szCs w:val="26"/>
        </w:rPr>
      </w:pPr>
      <w:r>
        <w:rPr>
          <w:sz w:val="26"/>
          <w:szCs w:val="26"/>
        </w:rPr>
        <w:t>Jaffee, S., Henson, S., Unnevehr, L., Grace, D., &amp; Cassou, E. (2018). The safe food imperative: Accelerating progress in low- and middle-income countries. World Bank Publications.</w:t>
      </w:r>
    </w:p>
    <w:p w14:paraId="2F9AF30A">
      <w:pPr>
        <w:pStyle w:val="14"/>
        <w:snapToGrid w:val="0"/>
        <w:spacing w:line="480" w:lineRule="auto"/>
        <w:ind w:left="567" w:hanging="567"/>
        <w:jc w:val="both"/>
        <w:textAlignment w:val="baseline"/>
        <w:rPr>
          <w:sz w:val="26"/>
          <w:szCs w:val="26"/>
        </w:rPr>
      </w:pPr>
      <w:r>
        <w:rPr>
          <w:sz w:val="26"/>
          <w:szCs w:val="26"/>
        </w:rPr>
        <w:t>Madigan, M. T., Bender, K. S., Buckley, D. H., Sattley, W. M., &amp; Stahl, D. A. (2022). Brock biology of microorganisms (16th ed.). Pearson.</w:t>
      </w:r>
    </w:p>
    <w:p w14:paraId="1E4836CC">
      <w:pPr>
        <w:pStyle w:val="14"/>
        <w:snapToGrid w:val="0"/>
        <w:spacing w:line="480" w:lineRule="auto"/>
        <w:ind w:left="567" w:hanging="567"/>
        <w:jc w:val="both"/>
        <w:textAlignment w:val="baseline"/>
        <w:rPr>
          <w:sz w:val="26"/>
          <w:szCs w:val="26"/>
        </w:rPr>
      </w:pPr>
      <w:r>
        <w:rPr>
          <w:sz w:val="26"/>
          <w:szCs w:val="26"/>
        </w:rPr>
        <w:t>Makinde, O.M., Ayeni, K.I., Sulyok, M., Krska, R., Adeleke, R.A., &amp; Ezekiel, C.N. (2020). Microbiological safety of ready-to-eat foods in low-and middle-income countries: A comprehensive 10-year (2009 to 2018) review. Compr. Rev. Food Sci. Food Saf. 19, 703-732.</w:t>
      </w:r>
    </w:p>
    <w:p w14:paraId="3CCF0826">
      <w:pPr>
        <w:pStyle w:val="14"/>
        <w:snapToGrid w:val="0"/>
        <w:spacing w:line="480" w:lineRule="auto"/>
        <w:ind w:left="567" w:hanging="567"/>
        <w:jc w:val="both"/>
        <w:textAlignment w:val="baseline"/>
        <w:rPr>
          <w:sz w:val="26"/>
          <w:szCs w:val="26"/>
        </w:rPr>
      </w:pPr>
      <w:r>
        <w:rPr>
          <w:sz w:val="26"/>
          <w:szCs w:val="26"/>
        </w:rPr>
        <w:t xml:space="preserve">Nkere, C. K., Ibe, N. I., &amp; Iroegbu, C. U. (2011). Bacteriological quality of foods and water sold by vendors and in restaurants in Nsukka, Enugu State, Nigeria: A comparative study of three microbiological methods. Journal of Health, Population and Nutrition, 29(6), 560–566. </w:t>
      </w:r>
    </w:p>
    <w:p w14:paraId="55A5AE44">
      <w:pPr>
        <w:pStyle w:val="14"/>
        <w:snapToGrid w:val="0"/>
        <w:spacing w:line="480" w:lineRule="auto"/>
        <w:ind w:left="567" w:hanging="567"/>
        <w:jc w:val="both"/>
        <w:textAlignment w:val="baseline"/>
        <w:rPr>
          <w:sz w:val="26"/>
          <w:szCs w:val="26"/>
        </w:rPr>
      </w:pPr>
      <w:r>
        <w:rPr>
          <w:sz w:val="26"/>
          <w:szCs w:val="26"/>
        </w:rPr>
        <w:t>Nzeka, U. (2011). Nigeria food and agricultural import regulations and standards: Narrative report. USDA Foreign Agricultural Service. GAIN Report Number: NI1102. Retrieved from https://apps.fas.usda.gov/gainfiles/201107/321752.</w:t>
      </w:r>
    </w:p>
    <w:p w14:paraId="45A907F5">
      <w:pPr>
        <w:pStyle w:val="14"/>
        <w:snapToGrid w:val="0"/>
        <w:spacing w:line="480" w:lineRule="auto"/>
        <w:ind w:left="567" w:hanging="567"/>
        <w:jc w:val="both"/>
        <w:textAlignment w:val="baseline"/>
        <w:rPr>
          <w:sz w:val="26"/>
          <w:szCs w:val="26"/>
        </w:rPr>
      </w:pPr>
      <w:r>
        <w:rPr>
          <w:sz w:val="26"/>
          <w:szCs w:val="26"/>
        </w:rPr>
        <w:t>Singleton, P., &amp; Sainsbury, D. (2020). Dictionary of microbiology and molecular biology (4th ed.). Wiley-Blackwell.</w:t>
      </w:r>
    </w:p>
    <w:p w14:paraId="3E520D2E">
      <w:pPr>
        <w:pStyle w:val="14"/>
        <w:snapToGrid w:val="0"/>
        <w:spacing w:line="480" w:lineRule="auto"/>
        <w:ind w:left="567" w:hanging="567"/>
        <w:jc w:val="both"/>
        <w:textAlignment w:val="baseline"/>
        <w:rPr>
          <w:sz w:val="26"/>
          <w:szCs w:val="26"/>
        </w:rPr>
      </w:pPr>
      <w:r>
        <w:rPr>
          <w:sz w:val="26"/>
          <w:szCs w:val="26"/>
        </w:rPr>
        <w:t>Olagoke, O. V., Oyewale, O. O., Olakanmi, E. O., &amp; Jimoh, J. O. (2018). Enumeration and identification of bacteria commonly associated with overripe plantain. Annals of Microbiology and Infectious Diseases, 1, 1-3.</w:t>
      </w:r>
    </w:p>
    <w:p w14:paraId="333C3939">
      <w:pPr>
        <w:pStyle w:val="14"/>
        <w:snapToGrid w:val="0"/>
        <w:spacing w:line="480" w:lineRule="auto"/>
        <w:ind w:left="567" w:hanging="567"/>
        <w:jc w:val="both"/>
        <w:textAlignment w:val="baseline"/>
        <w:rPr>
          <w:sz w:val="26"/>
          <w:szCs w:val="26"/>
        </w:rPr>
      </w:pPr>
      <w:r>
        <w:rPr>
          <w:sz w:val="26"/>
          <w:szCs w:val="26"/>
        </w:rPr>
        <w:t>Okojie, P. W., &amp; Isah, E. C. (2019). Food hygiene knowledge and practices of street food vendors in Benin city, Nigeria. International Journal of Consumer Studies, 43(6), 528-535.</w:t>
      </w:r>
    </w:p>
    <w:p w14:paraId="27B0C26B">
      <w:pPr>
        <w:pStyle w:val="14"/>
        <w:snapToGrid w:val="0"/>
        <w:spacing w:line="480" w:lineRule="auto"/>
        <w:ind w:left="567" w:hanging="567"/>
        <w:jc w:val="both"/>
        <w:textAlignment w:val="baseline"/>
        <w:rPr>
          <w:sz w:val="26"/>
          <w:szCs w:val="26"/>
        </w:rPr>
      </w:pPr>
      <w:r>
        <w:rPr>
          <w:sz w:val="26"/>
          <w:szCs w:val="26"/>
        </w:rPr>
        <w:t>Opara, C. N., &amp; Anyiam, I. V. (2020). Assessment of Microbiological Quality and Safety of Ready-To-Eat Beans in Elele, Rivers State. Nigerian Journal of Agriculture, Food and Environment, 16(4), 60-66.</w:t>
      </w:r>
    </w:p>
    <w:p w14:paraId="30FF7A46">
      <w:pPr>
        <w:pStyle w:val="14"/>
        <w:snapToGrid w:val="0"/>
        <w:spacing w:line="480" w:lineRule="auto"/>
        <w:ind w:left="567" w:hanging="567"/>
        <w:jc w:val="both"/>
        <w:textAlignment w:val="baseline"/>
        <w:rPr>
          <w:sz w:val="26"/>
          <w:szCs w:val="26"/>
        </w:rPr>
      </w:pPr>
      <w:r>
        <w:rPr>
          <w:sz w:val="26"/>
          <w:szCs w:val="26"/>
        </w:rPr>
        <w:t>Opeolu, B. O., Adegbola, A. A., Okoh, A. I., &amp; Fatoki, O. S. (2010). Comparative assessment of the efficiency of disinfectants used in the sanitation of food contact surfaces in fast food restaurants in Alice, Eastern Cape Province, South Africa. Scientific Research and Essays, 5(12), 1414–1421.</w:t>
      </w:r>
    </w:p>
    <w:p w14:paraId="28B1236A">
      <w:pPr>
        <w:pStyle w:val="14"/>
        <w:snapToGrid w:val="0"/>
        <w:spacing w:line="480" w:lineRule="auto"/>
        <w:ind w:left="567" w:hanging="567"/>
        <w:jc w:val="both"/>
        <w:textAlignment w:val="baseline"/>
        <w:rPr>
          <w:sz w:val="26"/>
          <w:szCs w:val="26"/>
        </w:rPr>
      </w:pPr>
      <w:r>
        <w:rPr>
          <w:sz w:val="26"/>
          <w:szCs w:val="26"/>
        </w:rPr>
        <w:t>Oranusi, S., Galadima, M., Umoh, V. J., &amp; Nwanze, P. I. (2013). Food safety evaluation in boarding schools in Zaria, Nigeria, using the HACCP system. Scientific Research and Essays, 2(10), 426–433.</w:t>
      </w:r>
    </w:p>
    <w:p w14:paraId="2C465ADF">
      <w:pPr>
        <w:pStyle w:val="14"/>
        <w:snapToGrid w:val="0"/>
        <w:spacing w:after="200" w:line="480" w:lineRule="auto"/>
        <w:ind w:left="567" w:hanging="567"/>
        <w:jc w:val="both"/>
        <w:textAlignment w:val="baseline"/>
        <w:rPr>
          <w:sz w:val="26"/>
          <w:szCs w:val="26"/>
        </w:rPr>
      </w:pPr>
      <w:r>
        <w:rPr>
          <w:sz w:val="26"/>
          <w:szCs w:val="26"/>
        </w:rPr>
        <w:t>Siegal, A. F. (1998). Statistical and Data Analysis: An introduction. John Wiley and Sons.</w:t>
      </w:r>
    </w:p>
    <w:p w14:paraId="732F2F0C">
      <w:pPr>
        <w:pStyle w:val="14"/>
        <w:snapToGrid w:val="0"/>
        <w:spacing w:after="200" w:line="480" w:lineRule="auto"/>
        <w:ind w:left="567" w:hanging="567"/>
        <w:jc w:val="both"/>
        <w:textAlignment w:val="baseline"/>
        <w:rPr>
          <w:sz w:val="26"/>
          <w:szCs w:val="26"/>
        </w:rPr>
      </w:pPr>
      <w:r>
        <w:rPr>
          <w:sz w:val="26"/>
          <w:szCs w:val="26"/>
        </w:rPr>
        <w:t>World Health Organization. (2007). Diarrhoeal disease fact sheet (No. 330).</w:t>
      </w:r>
    </w:p>
    <w:p w14:paraId="4B3BD826">
      <w:pPr>
        <w:pStyle w:val="14"/>
        <w:snapToGrid w:val="0"/>
        <w:spacing w:after="200" w:line="480" w:lineRule="auto"/>
        <w:ind w:left="567" w:hanging="567"/>
        <w:jc w:val="both"/>
        <w:textAlignment w:val="baseline"/>
        <w:rPr>
          <w:sz w:val="26"/>
          <w:szCs w:val="26"/>
        </w:rPr>
      </w:pPr>
      <w:r>
        <w:rPr>
          <w:sz w:val="26"/>
          <w:szCs w:val="26"/>
        </w:rPr>
        <w:t>World Health Organization (WHO). (2020). Food safety. Retrieved from https://www.who.int/news-room/fact-sheets/detail/food-safety</w:t>
      </w:r>
    </w:p>
    <w:sectPr>
      <w:footerReference r:id="rId6" w:type="first"/>
      <w:footerReference r:id="rId5" w:type="default"/>
      <w:pgSz w:w="11907" w:h="16839"/>
      <w:pgMar w:top="1111" w:right="1440" w:bottom="2835" w:left="1440" w:header="720" w:footer="1008"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ppleSystemUIFont">
    <w:altName w:val="Cambria"/>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253666"/>
      <w:docPartObj>
        <w:docPartGallery w:val="autotext"/>
      </w:docPartObj>
    </w:sdtPr>
    <w:sdtContent>
      <w:p w14:paraId="6BCEB7DF">
        <w:pPr>
          <w:pStyle w:val="10"/>
          <w:jc w:val="center"/>
        </w:pPr>
        <w:r>
          <w:fldChar w:fldCharType="begin"/>
        </w:r>
        <w:r>
          <w:instrText xml:space="preserve"> PAGE   \* MERGEFORMAT </w:instrText>
        </w:r>
        <w:r>
          <w:fldChar w:fldCharType="separate"/>
        </w:r>
        <w:r>
          <w:t>38</w:t>
        </w:r>
        <w:r>
          <w:fldChar w:fldCharType="end"/>
        </w:r>
      </w:p>
    </w:sdtContent>
  </w:sdt>
  <w:p w14:paraId="188FA9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583728"/>
      <w:docPartObj>
        <w:docPartGallery w:val="autotext"/>
      </w:docPartObj>
    </w:sdtPr>
    <w:sdtContent>
      <w:p w14:paraId="45207BA0">
        <w:pPr>
          <w:pStyle w:val="10"/>
          <w:jc w:val="center"/>
        </w:pPr>
        <w:r>
          <w:fldChar w:fldCharType="begin"/>
        </w:r>
        <w:r>
          <w:instrText xml:space="preserve"> PAGE   \* MERGEFORMAT </w:instrText>
        </w:r>
        <w:r>
          <w:fldChar w:fldCharType="separate"/>
        </w:r>
        <w:r>
          <w:t>1</w:t>
        </w:r>
        <w:r>
          <w:fldChar w:fldCharType="end"/>
        </w:r>
      </w:p>
    </w:sdtContent>
  </w:sdt>
  <w:p w14:paraId="6CE96B5A">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347A6"/>
    <w:multiLevelType w:val="multilevel"/>
    <w:tmpl w:val="0C7347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2F5142"/>
    <w:multiLevelType w:val="multilevel"/>
    <w:tmpl w:val="3A2F5142"/>
    <w:lvl w:ilvl="0" w:tentative="0">
      <w:start w:val="1"/>
      <w:numFmt w:val="decimal"/>
      <w:lvlText w:val="%1."/>
      <w:lvlJc w:val="left"/>
      <w:pPr>
        <w:ind w:left="720" w:hanging="360"/>
      </w:pPr>
      <w:rPr>
        <w:rFonts w:hint="default"/>
      </w:rPr>
    </w:lvl>
    <w:lvl w:ilvl="1" w:tentative="0">
      <w:start w:val="8"/>
      <w:numFmt w:val="decimal"/>
      <w:isLgl/>
      <w:lvlText w:val="%1.%2"/>
      <w:lvlJc w:val="left"/>
      <w:pPr>
        <w:ind w:left="1080" w:hanging="720"/>
      </w:pPr>
      <w:rPr>
        <w:rFonts w:hint="default"/>
      </w:rPr>
    </w:lvl>
    <w:lvl w:ilvl="2" w:tentative="0">
      <w:start w:val="2"/>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48900B34"/>
    <w:multiLevelType w:val="multilevel"/>
    <w:tmpl w:val="48900B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8946258"/>
    <w:multiLevelType w:val="multilevel"/>
    <w:tmpl w:val="58946258"/>
    <w:lvl w:ilvl="0" w:tentative="0">
      <w:start w:val="1"/>
      <w:numFmt w:val="bullet"/>
      <w:lvlText w:val=""/>
      <w:lvlJc w:val="left"/>
      <w:pPr>
        <w:ind w:left="720" w:hanging="360"/>
      </w:pPr>
      <w:rPr>
        <w:rFonts w:hint="default" w:ascii="Symbol" w:hAnsi="Symbol"/>
      </w:rPr>
    </w:lvl>
    <w:lvl w:ilvl="1" w:tentative="0">
      <w:start w:val="5"/>
      <w:numFmt w:val="bullet"/>
      <w:lvlText w:val="-"/>
      <w:lvlJc w:val="left"/>
      <w:pPr>
        <w:ind w:left="1440" w:hanging="360"/>
      </w:pPr>
      <w:rPr>
        <w:rFonts w:hint="default" w:ascii="Times New Roman" w:hAnsi="Times New Roman" w:eastAsia="SimSu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32F595F"/>
    <w:multiLevelType w:val="multilevel"/>
    <w:tmpl w:val="632F595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A6E5AB5"/>
    <w:multiLevelType w:val="multilevel"/>
    <w:tmpl w:val="6A6E5AB5"/>
    <w:lvl w:ilvl="0" w:tentative="0">
      <w:start w:val="3"/>
      <w:numFmt w:val="decimal"/>
      <w:lvlText w:val="%1"/>
      <w:lvlJc w:val="left"/>
      <w:pPr>
        <w:ind w:left="525" w:hanging="525"/>
      </w:pPr>
      <w:rPr>
        <w:rFonts w:hint="default"/>
      </w:rPr>
    </w:lvl>
    <w:lvl w:ilvl="1" w:tentative="0">
      <w:start w:val="8"/>
      <w:numFmt w:val="decimal"/>
      <w:lvlText w:val="%1.%2"/>
      <w:lvlJc w:val="left"/>
      <w:pPr>
        <w:ind w:left="525" w:hanging="52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6">
    <w:nsid w:val="709318FB"/>
    <w:multiLevelType w:val="multilevel"/>
    <w:tmpl w:val="709318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NotTrackMoves/>
  <w:documentProtection w:enforcement="0"/>
  <w:defaultTabStop w:val="720"/>
  <w:drawingGridHorizontalSpacing w:val="110"/>
  <w:displayHorizontalDrawingGridEvery w:val="2"/>
  <w:doNotShadeFormData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4D6"/>
    <w:rsid w:val="00022C45"/>
    <w:rsid w:val="00024D1F"/>
    <w:rsid w:val="00051E45"/>
    <w:rsid w:val="00073A82"/>
    <w:rsid w:val="00090526"/>
    <w:rsid w:val="000A0EC3"/>
    <w:rsid w:val="000A6E48"/>
    <w:rsid w:val="000F0E8D"/>
    <w:rsid w:val="000F1527"/>
    <w:rsid w:val="00103E58"/>
    <w:rsid w:val="00110AC6"/>
    <w:rsid w:val="00112B2A"/>
    <w:rsid w:val="001170BC"/>
    <w:rsid w:val="001228A4"/>
    <w:rsid w:val="00126B97"/>
    <w:rsid w:val="001536BF"/>
    <w:rsid w:val="00166190"/>
    <w:rsid w:val="001B7471"/>
    <w:rsid w:val="001C050A"/>
    <w:rsid w:val="001D7299"/>
    <w:rsid w:val="002330BE"/>
    <w:rsid w:val="00252CA7"/>
    <w:rsid w:val="00254B50"/>
    <w:rsid w:val="0026157B"/>
    <w:rsid w:val="00261CC4"/>
    <w:rsid w:val="00270F34"/>
    <w:rsid w:val="00287DF7"/>
    <w:rsid w:val="002E1297"/>
    <w:rsid w:val="002E4555"/>
    <w:rsid w:val="00306158"/>
    <w:rsid w:val="0033575E"/>
    <w:rsid w:val="00341899"/>
    <w:rsid w:val="0034221B"/>
    <w:rsid w:val="00342368"/>
    <w:rsid w:val="00360183"/>
    <w:rsid w:val="00360606"/>
    <w:rsid w:val="003656B5"/>
    <w:rsid w:val="003C63A5"/>
    <w:rsid w:val="003C7618"/>
    <w:rsid w:val="003D1BBE"/>
    <w:rsid w:val="003D2031"/>
    <w:rsid w:val="003D3FD8"/>
    <w:rsid w:val="003E1253"/>
    <w:rsid w:val="00404276"/>
    <w:rsid w:val="0041312C"/>
    <w:rsid w:val="00417284"/>
    <w:rsid w:val="004215E7"/>
    <w:rsid w:val="00421A79"/>
    <w:rsid w:val="00422985"/>
    <w:rsid w:val="004254D6"/>
    <w:rsid w:val="00427963"/>
    <w:rsid w:val="00443C88"/>
    <w:rsid w:val="00451318"/>
    <w:rsid w:val="00452A92"/>
    <w:rsid w:val="0047270F"/>
    <w:rsid w:val="00483F63"/>
    <w:rsid w:val="00494E3B"/>
    <w:rsid w:val="004C52AC"/>
    <w:rsid w:val="004C581D"/>
    <w:rsid w:val="004D4799"/>
    <w:rsid w:val="004D61A5"/>
    <w:rsid w:val="00504D8D"/>
    <w:rsid w:val="00535368"/>
    <w:rsid w:val="0054670E"/>
    <w:rsid w:val="00547F58"/>
    <w:rsid w:val="00561F46"/>
    <w:rsid w:val="00585A29"/>
    <w:rsid w:val="00585E94"/>
    <w:rsid w:val="00593D37"/>
    <w:rsid w:val="005B2966"/>
    <w:rsid w:val="005B54F0"/>
    <w:rsid w:val="005C3943"/>
    <w:rsid w:val="005C4999"/>
    <w:rsid w:val="005D631D"/>
    <w:rsid w:val="00600DFC"/>
    <w:rsid w:val="0061005B"/>
    <w:rsid w:val="006211F5"/>
    <w:rsid w:val="00623D24"/>
    <w:rsid w:val="00670032"/>
    <w:rsid w:val="0067046D"/>
    <w:rsid w:val="00675BF6"/>
    <w:rsid w:val="00680A90"/>
    <w:rsid w:val="00693EC5"/>
    <w:rsid w:val="006A6648"/>
    <w:rsid w:val="006B729A"/>
    <w:rsid w:val="006C2F0B"/>
    <w:rsid w:val="006E59B1"/>
    <w:rsid w:val="006F3738"/>
    <w:rsid w:val="007029C9"/>
    <w:rsid w:val="007205FD"/>
    <w:rsid w:val="00727C71"/>
    <w:rsid w:val="007414B5"/>
    <w:rsid w:val="007810B5"/>
    <w:rsid w:val="00783495"/>
    <w:rsid w:val="007845BD"/>
    <w:rsid w:val="00791C0A"/>
    <w:rsid w:val="00796E16"/>
    <w:rsid w:val="007A4F48"/>
    <w:rsid w:val="007D1D9C"/>
    <w:rsid w:val="00803267"/>
    <w:rsid w:val="008070E4"/>
    <w:rsid w:val="00816528"/>
    <w:rsid w:val="00825472"/>
    <w:rsid w:val="00837AF6"/>
    <w:rsid w:val="008570A5"/>
    <w:rsid w:val="008602CB"/>
    <w:rsid w:val="00866610"/>
    <w:rsid w:val="00886EB6"/>
    <w:rsid w:val="008937F6"/>
    <w:rsid w:val="0089581E"/>
    <w:rsid w:val="008F2A65"/>
    <w:rsid w:val="0090059A"/>
    <w:rsid w:val="009028F4"/>
    <w:rsid w:val="009415F4"/>
    <w:rsid w:val="009532EE"/>
    <w:rsid w:val="00954869"/>
    <w:rsid w:val="00960573"/>
    <w:rsid w:val="009C628C"/>
    <w:rsid w:val="00A175ED"/>
    <w:rsid w:val="00A22072"/>
    <w:rsid w:val="00A30491"/>
    <w:rsid w:val="00A3606D"/>
    <w:rsid w:val="00A92DC2"/>
    <w:rsid w:val="00AA35BB"/>
    <w:rsid w:val="00AA5451"/>
    <w:rsid w:val="00AB4B69"/>
    <w:rsid w:val="00AB6840"/>
    <w:rsid w:val="00AC1A4F"/>
    <w:rsid w:val="00B1746C"/>
    <w:rsid w:val="00B21B97"/>
    <w:rsid w:val="00B33619"/>
    <w:rsid w:val="00B3581A"/>
    <w:rsid w:val="00B35EF7"/>
    <w:rsid w:val="00B56416"/>
    <w:rsid w:val="00B80079"/>
    <w:rsid w:val="00B81862"/>
    <w:rsid w:val="00B92BC0"/>
    <w:rsid w:val="00BD328E"/>
    <w:rsid w:val="00BF7571"/>
    <w:rsid w:val="00C47491"/>
    <w:rsid w:val="00C508A6"/>
    <w:rsid w:val="00C64F52"/>
    <w:rsid w:val="00C72FBF"/>
    <w:rsid w:val="00C977AE"/>
    <w:rsid w:val="00CB3FFD"/>
    <w:rsid w:val="00CC3487"/>
    <w:rsid w:val="00CD752B"/>
    <w:rsid w:val="00CE5ECB"/>
    <w:rsid w:val="00D056FC"/>
    <w:rsid w:val="00D06501"/>
    <w:rsid w:val="00D16ACC"/>
    <w:rsid w:val="00D2553E"/>
    <w:rsid w:val="00D4272C"/>
    <w:rsid w:val="00D57734"/>
    <w:rsid w:val="00D6381B"/>
    <w:rsid w:val="00D8396F"/>
    <w:rsid w:val="00DB16A4"/>
    <w:rsid w:val="00DD2298"/>
    <w:rsid w:val="00DF4176"/>
    <w:rsid w:val="00E306E3"/>
    <w:rsid w:val="00E50F7C"/>
    <w:rsid w:val="00E758B2"/>
    <w:rsid w:val="00E93978"/>
    <w:rsid w:val="00EA067D"/>
    <w:rsid w:val="00EC3BB2"/>
    <w:rsid w:val="00ED18A9"/>
    <w:rsid w:val="00EE2170"/>
    <w:rsid w:val="00EF79C6"/>
    <w:rsid w:val="00F55A83"/>
    <w:rsid w:val="00F57119"/>
    <w:rsid w:val="00F73F4F"/>
    <w:rsid w:val="00F94F98"/>
    <w:rsid w:val="00FC4EFA"/>
    <w:rsid w:val="00FC5B81"/>
    <w:rsid w:val="00FD785F"/>
    <w:rsid w:val="00FF513F"/>
    <w:rsid w:val="311E3414"/>
    <w:rsid w:val="75BB33D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link w:val="23"/>
    <w:qFormat/>
    <w:uiPriority w:val="9"/>
    <w:pPr>
      <w:keepNext/>
      <w:keepLines/>
      <w:spacing w:before="360" w:after="80"/>
      <w:outlineLvl w:val="0"/>
    </w:pPr>
    <w:rPr>
      <w:rFonts w:asciiTheme="majorHAnsi" w:hAnsiTheme="majorHAnsi" w:eastAsiaTheme="majorEastAsia" w:cstheme="majorBidi"/>
      <w:color w:val="376092" w:themeColor="accent1" w:themeShade="BF"/>
      <w:sz w:val="40"/>
      <w:szCs w:val="40"/>
      <w:lang w:eastAsia="en-US"/>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32"/>
      <w:szCs w:val="32"/>
      <w:lang w:eastAsia="en-US"/>
    </w:rPr>
  </w:style>
  <w:style w:type="paragraph" w:styleId="4">
    <w:name w:val="heading 3"/>
    <w:basedOn w:val="1"/>
    <w:next w:val="1"/>
    <w:link w:val="25"/>
    <w:unhideWhenUsed/>
    <w:qFormat/>
    <w:uiPriority w:val="9"/>
    <w:pPr>
      <w:keepNext/>
      <w:keepLines/>
      <w:spacing w:before="160" w:after="80"/>
      <w:outlineLvl w:val="2"/>
    </w:pPr>
    <w:rPr>
      <w:rFonts w:asciiTheme="minorHAnsi" w:hAnsiTheme="minorHAnsi" w:eastAsiaTheme="majorEastAsia" w:cstheme="majorBidi"/>
      <w:color w:val="376092" w:themeColor="accent1" w:themeShade="BF"/>
      <w:sz w:val="28"/>
      <w:szCs w:val="28"/>
      <w:lang w:eastAsia="en-US"/>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2"/>
    <w:semiHidden/>
    <w:unhideWhenUsed/>
    <w:qFormat/>
    <w:uiPriority w:val="99"/>
    <w:pPr>
      <w:spacing w:after="0" w:line="240" w:lineRule="auto"/>
    </w:pPr>
    <w:rPr>
      <w:rFonts w:ascii="Tahoma" w:hAnsi="Tahoma" w:cs="Tahoma"/>
      <w:sz w:val="16"/>
      <w:szCs w:val="16"/>
    </w:rPr>
  </w:style>
  <w:style w:type="paragraph" w:styleId="8">
    <w:name w:val="Body Text"/>
    <w:basedOn w:val="1"/>
    <w:link w:val="26"/>
    <w:unhideWhenUsed/>
    <w:qFormat/>
    <w:uiPriority w:val="1"/>
    <w:pPr>
      <w:widowControl w:val="0"/>
      <w:autoSpaceDE w:val="0"/>
      <w:autoSpaceDN w:val="0"/>
      <w:spacing w:after="0" w:line="240" w:lineRule="auto"/>
    </w:pPr>
    <w:rPr>
      <w:rFonts w:ascii="Times New Roman" w:hAnsi="Times New Roman" w:eastAsia="Times New Roman"/>
      <w:sz w:val="24"/>
      <w:szCs w:val="24"/>
      <w:lang w:eastAsia="en-US"/>
    </w:rPr>
  </w:style>
  <w:style w:type="paragraph" w:styleId="9">
    <w:name w:val="caption"/>
    <w:basedOn w:val="1"/>
    <w:next w:val="1"/>
    <w:semiHidden/>
    <w:unhideWhenUsed/>
    <w:qFormat/>
    <w:uiPriority w:val="35"/>
    <w:pPr>
      <w:spacing w:line="240" w:lineRule="auto"/>
    </w:pPr>
    <w:rPr>
      <w:rFonts w:asciiTheme="minorHAnsi" w:hAnsiTheme="minorHAnsi" w:eastAsiaTheme="minorHAnsi" w:cstheme="minorBidi"/>
      <w:b/>
      <w:bCs/>
      <w:color w:val="4F81BD" w:themeColor="accent1"/>
      <w:sz w:val="18"/>
      <w:szCs w:val="18"/>
      <w:lang w:eastAsia="en-US"/>
      <w14:textFill>
        <w14:solidFill>
          <w14:schemeClr w14:val="accent1"/>
        </w14:solidFill>
      </w14:textFill>
    </w:rPr>
  </w:style>
  <w:style w:type="paragraph" w:styleId="10">
    <w:name w:val="footer"/>
    <w:basedOn w:val="1"/>
    <w:link w:val="21"/>
    <w:unhideWhenUsed/>
    <w:qFormat/>
    <w:uiPriority w:val="99"/>
    <w:pPr>
      <w:tabs>
        <w:tab w:val="center" w:pos="4680"/>
        <w:tab w:val="right" w:pos="9360"/>
      </w:tabs>
      <w:spacing w:after="0" w:line="240" w:lineRule="auto"/>
    </w:pPr>
  </w:style>
  <w:style w:type="paragraph" w:styleId="11">
    <w:name w:val="header"/>
    <w:basedOn w:val="1"/>
    <w:link w:val="20"/>
    <w:unhideWhenUsed/>
    <w:qFormat/>
    <w:uiPriority w:val="99"/>
    <w:pPr>
      <w:tabs>
        <w:tab w:val="center" w:pos="4680"/>
        <w:tab w:val="right" w:pos="9360"/>
      </w:tabs>
      <w:spacing w:after="0" w:line="240" w:lineRule="auto"/>
    </w:pPr>
  </w:style>
  <w:style w:type="character" w:styleId="12">
    <w:name w:val="Hyperlink"/>
    <w:basedOn w:val="5"/>
    <w:unhideWhenUsed/>
    <w:qFormat/>
    <w:uiPriority w:val="99"/>
    <w:rPr>
      <w:color w:val="0000FF" w:themeColor="hyperlink"/>
      <w:u w:val="single"/>
      <w14:textFill>
        <w14:solidFill>
          <w14:schemeClr w14:val="hlink"/>
        </w14:solidFill>
      </w14:textFill>
    </w:rPr>
  </w:style>
  <w:style w:type="table" w:styleId="13">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Default"/>
    <w:qFormat/>
    <w:uiPriority w:val="0"/>
    <w:pPr>
      <w:autoSpaceDE w:val="0"/>
      <w:autoSpaceDN w:val="0"/>
      <w:adjustRightInd w:val="0"/>
    </w:pPr>
    <w:rPr>
      <w:rFonts w:ascii="Times New Roman" w:hAnsi="Times New Roman" w:eastAsia="SimSun" w:cs="Times New Roman"/>
      <w:color w:val="000000"/>
      <w:sz w:val="24"/>
      <w:szCs w:val="24"/>
      <w:lang w:val="en-US" w:eastAsia="zh-CN" w:bidi="ar-SA"/>
    </w:rPr>
  </w:style>
  <w:style w:type="character" w:customStyle="1" w:styleId="15">
    <w:name w:val="A7"/>
    <w:qFormat/>
    <w:uiPriority w:val="99"/>
    <w:rPr>
      <w:color w:val="000000"/>
      <w:sz w:val="20"/>
      <w:szCs w:val="20"/>
    </w:rPr>
  </w:style>
  <w:style w:type="paragraph" w:customStyle="1" w:styleId="16">
    <w:name w:val="Pa3"/>
    <w:basedOn w:val="14"/>
    <w:next w:val="14"/>
    <w:qFormat/>
    <w:uiPriority w:val="99"/>
    <w:pPr>
      <w:spacing w:line="241" w:lineRule="atLeast"/>
    </w:pPr>
    <w:rPr>
      <w:color w:val="auto"/>
    </w:rPr>
  </w:style>
  <w:style w:type="character" w:customStyle="1" w:styleId="17">
    <w:name w:val="A3"/>
    <w:qFormat/>
    <w:uiPriority w:val="99"/>
    <w:rPr>
      <w:b/>
      <w:bCs/>
      <w:color w:val="000000"/>
      <w:sz w:val="32"/>
      <w:szCs w:val="32"/>
    </w:rPr>
  </w:style>
  <w:style w:type="character" w:customStyle="1" w:styleId="18">
    <w:name w:val="A0"/>
    <w:qFormat/>
    <w:uiPriority w:val="99"/>
    <w:rPr>
      <w:b/>
      <w:bCs/>
      <w:color w:val="000000"/>
      <w:sz w:val="22"/>
      <w:szCs w:val="22"/>
    </w:rPr>
  </w:style>
  <w:style w:type="character" w:customStyle="1" w:styleId="19">
    <w:name w:val="A1"/>
    <w:qFormat/>
    <w:uiPriority w:val="99"/>
    <w:rPr>
      <w:i/>
      <w:iCs/>
      <w:color w:val="000000"/>
      <w:sz w:val="18"/>
      <w:szCs w:val="18"/>
    </w:rPr>
  </w:style>
  <w:style w:type="character" w:customStyle="1" w:styleId="20">
    <w:name w:val="Header Char"/>
    <w:basedOn w:val="5"/>
    <w:link w:val="11"/>
    <w:qFormat/>
    <w:uiPriority w:val="99"/>
    <w:rPr>
      <w:sz w:val="22"/>
      <w:szCs w:val="22"/>
    </w:rPr>
  </w:style>
  <w:style w:type="character" w:customStyle="1" w:styleId="21">
    <w:name w:val="Footer Char"/>
    <w:basedOn w:val="5"/>
    <w:link w:val="10"/>
    <w:qFormat/>
    <w:uiPriority w:val="99"/>
    <w:rPr>
      <w:sz w:val="22"/>
      <w:szCs w:val="22"/>
    </w:rPr>
  </w:style>
  <w:style w:type="character" w:customStyle="1" w:styleId="22">
    <w:name w:val="Balloon Text Char"/>
    <w:basedOn w:val="5"/>
    <w:link w:val="7"/>
    <w:semiHidden/>
    <w:qFormat/>
    <w:uiPriority w:val="99"/>
    <w:rPr>
      <w:rFonts w:ascii="Tahoma" w:hAnsi="Tahoma" w:cs="Tahoma"/>
      <w:sz w:val="16"/>
      <w:szCs w:val="16"/>
    </w:rPr>
  </w:style>
  <w:style w:type="character" w:customStyle="1" w:styleId="23">
    <w:name w:val="Heading 1 Char"/>
    <w:basedOn w:val="5"/>
    <w:link w:val="2"/>
    <w:qFormat/>
    <w:uiPriority w:val="9"/>
    <w:rPr>
      <w:rFonts w:asciiTheme="majorHAnsi" w:hAnsiTheme="majorHAnsi" w:eastAsiaTheme="majorEastAsia" w:cstheme="majorBidi"/>
      <w:color w:val="376092" w:themeColor="accent1" w:themeShade="BF"/>
      <w:sz w:val="40"/>
      <w:szCs w:val="40"/>
      <w:lang w:eastAsia="en-US"/>
    </w:rPr>
  </w:style>
  <w:style w:type="character" w:customStyle="1" w:styleId="24">
    <w:name w:val="Heading 2 Char"/>
    <w:basedOn w:val="5"/>
    <w:link w:val="3"/>
    <w:qFormat/>
    <w:uiPriority w:val="9"/>
    <w:rPr>
      <w:rFonts w:asciiTheme="majorHAnsi" w:hAnsiTheme="majorHAnsi" w:eastAsiaTheme="majorEastAsia" w:cstheme="majorBidi"/>
      <w:color w:val="376092" w:themeColor="accent1" w:themeShade="BF"/>
      <w:sz w:val="32"/>
      <w:szCs w:val="32"/>
      <w:lang w:eastAsia="en-US"/>
    </w:rPr>
  </w:style>
  <w:style w:type="character" w:customStyle="1" w:styleId="25">
    <w:name w:val="Heading 3 Char"/>
    <w:basedOn w:val="5"/>
    <w:link w:val="4"/>
    <w:qFormat/>
    <w:uiPriority w:val="9"/>
    <w:rPr>
      <w:rFonts w:asciiTheme="minorHAnsi" w:hAnsiTheme="minorHAnsi" w:eastAsiaTheme="majorEastAsia" w:cstheme="majorBidi"/>
      <w:color w:val="376092" w:themeColor="accent1" w:themeShade="BF"/>
      <w:sz w:val="28"/>
      <w:szCs w:val="28"/>
      <w:lang w:eastAsia="en-US"/>
    </w:rPr>
  </w:style>
  <w:style w:type="character" w:customStyle="1" w:styleId="26">
    <w:name w:val="Body Text Char"/>
    <w:basedOn w:val="5"/>
    <w:link w:val="8"/>
    <w:qFormat/>
    <w:uiPriority w:val="1"/>
    <w:rPr>
      <w:rFonts w:ascii="Times New Roman" w:hAnsi="Times New Roman" w:eastAsia="Times New Roman"/>
      <w:sz w:val="24"/>
      <w:szCs w:val="24"/>
      <w:lang w:eastAsia="en-US"/>
    </w:rPr>
  </w:style>
  <w:style w:type="paragraph" w:customStyle="1" w:styleId="27">
    <w:name w:val="p1"/>
    <w:basedOn w:val="1"/>
    <w:qFormat/>
    <w:uiPriority w:val="0"/>
    <w:pPr>
      <w:spacing w:after="60" w:line="240" w:lineRule="auto"/>
    </w:pPr>
    <w:rPr>
      <w:rFonts w:ascii=".AppleSystemUIFont" w:hAnsi=".AppleSystemUIFont" w:eastAsia="Times New Roman"/>
      <w:sz w:val="38"/>
      <w:szCs w:val="38"/>
      <w:lang w:eastAsia="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4E23-D4EE-4A0F-865E-6E91BBAB968C}">
  <ds:schemaRefs/>
</ds:datastoreItem>
</file>

<file path=docProps/app.xml><?xml version="1.0" encoding="utf-8"?>
<Properties xmlns="http://schemas.openxmlformats.org/officeDocument/2006/extended-properties" xmlns:vt="http://schemas.openxmlformats.org/officeDocument/2006/docPropsVTypes">
  <Template>Normal</Template>
  <Pages>40</Pages>
  <Words>6388</Words>
  <Characters>36415</Characters>
  <Lines>303</Lines>
  <Paragraphs>85</Paragraphs>
  <TotalTime>2</TotalTime>
  <ScaleCrop>false</ScaleCrop>
  <LinksUpToDate>false</LinksUpToDate>
  <CharactersWithSpaces>42718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2024-12-14T12:36:00Z</dcterms:created>
  <dc:creator>23106RN0DA</dc:creator>
  <cp:lastModifiedBy>PC</cp:lastModifiedBy>
  <dcterms:modified xsi:type="dcterms:W3CDTF">2025-07-05T15:40:42Z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541EFC445E9D4BED8F9CEABED4F74BE5_13</vt:lpwstr>
  </property>
  <property fmtid="{D5CDD505-2E9C-101B-9397-08002B2CF9AE}" pid="3" name="KSOProductBuildVer">
    <vt:lpwstr>1033-12.2.0.20326</vt:lpwstr>
  </property>
</Properties>
</file>