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ASHAOLU KHADIJAH OLAYIMIKA</w:t>
      </w:r>
      <w:r>
        <w:rPr>
          <w:rFonts w:ascii="Times New Roman" w:cs="Times New Roman" w:hAnsi="Times New Roman"/>
          <w:b/>
          <w:bCs/>
          <w:sz w:val="28"/>
          <w:szCs w:val="28"/>
        </w:rPr>
        <w:t xml:space="preserve">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HND/23/SLT/FT/0382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p>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rPr>
        <w:t>ASHAOLU KHADIJAH OLAYIMIKA</w:t>
      </w:r>
      <w:r>
        <w:rPr>
          <w:rFonts w:ascii="Times New Roman" w:cs="Times New Roman" w:hAnsi="Times New Roman"/>
          <w:szCs w:val="28"/>
        </w:rPr>
        <w:t xml:space="preserve"> </w:t>
      </w:r>
      <w:r>
        <w:rPr>
          <w:rFonts w:ascii="Times New Roman" w:cs="Times New Roman" w:hAnsi="Times New Roman"/>
          <w:szCs w:val="28"/>
        </w:rPr>
        <w:t xml:space="preserve">with </w:t>
      </w:r>
      <w:r>
        <w:rPr>
          <w:rFonts w:ascii="Times New Roman" w:cs="Times New Roman" w:hAnsi="Times New Roman"/>
          <w:szCs w:val="28"/>
        </w:rPr>
        <w:t>matric</w:t>
      </w:r>
      <w:r>
        <w:rPr>
          <w:rFonts w:ascii="Times New Roman" w:cs="Times New Roman" w:hAnsi="Times New Roman"/>
          <w:szCs w:val="28"/>
        </w:rPr>
        <w:t xml:space="preserve"> number </w:t>
      </w:r>
      <w:r>
        <w:rPr>
          <w:rFonts w:ascii="Times New Roman" w:cs="Times New Roman" w:hAnsi="Times New Roman"/>
          <w:szCs w:val="28"/>
        </w:rPr>
        <w:t>HND/23/SLT/FT/0382</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8"/>
          <w:szCs w:val="28"/>
        </w:rPr>
        <w:pict>
          <v:shape id="1028" type="#_x0000_t32" filled="f" style="position:absolute;margin-left:6.75pt;margin-top:14.4pt;width:162.0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w:pict>
          <v:shape id="1029" type="#_x0000_t32" filled="f" style="position:absolute;margin-left:300.0pt;margin-top:14.65pt;width:162.0pt;height:0.75pt;z-index:9;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6"/>
          <w:szCs w:val="26"/>
        </w:rPr>
        <w:pict>
          <v:shape id="1030" type="#_x0000_t32" filled="f" style="position:absolute;margin-left:2.25pt;margin-top:11.4pt;width:162.0pt;height:0.75pt;z-index:11;mso-position-horizontal-relative:text;mso-position-vertical-relative:text;mso-width-relative:page;mso-height-relative:page;mso-wrap-distance-left:0.0pt;mso-wrap-distance-right:0.0pt;visibility:visible;flip:y;">
            <v:fill/>
            <v:path o:connecttype="none" fillok="f" arrowok="t"/>
          </v:shape>
        </w:pic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w:pict>
          <v:shape id="1031" type="#_x0000_t32" filled="f" style="position:absolute;margin-left:303.75pt;margin-top:23.55pt;width:162.0pt;height:0.75pt;z-index:13;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6"/>
          <w:szCs w:val="26"/>
        </w:rPr>
        <w:pict>
          <v:shape id="1032" type="#_x0000_t32" filled="f" style="position:absolute;margin-left:6.75pt;margin-top:23.55pt;width:162.0pt;height:0.75pt;z-index:12;mso-position-horizontal-relative:text;mso-position-vertical-relative:text;mso-width-relative:page;mso-height-relative:page;mso-wrap-distance-left:0.0pt;mso-wrap-distance-right:0.0pt;visibility:visible;flip:y;">
            <v:fill/>
            <v:path o:connecttype="none" fillok="f" arrowok="t"/>
          </v:shape>
        </w:pic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360"/>
        <w:ind w:right="27" w:firstLine="0"/>
        <w:rPr>
          <w:rFonts w:ascii="Times New Roman" w:cs="Times New Roman" w:hAnsi="Times New Roman"/>
          <w:sz w:val="28"/>
          <w:szCs w:val="28"/>
        </w:rPr>
      </w:pPr>
      <w:r>
        <w:rPr>
          <w:rFonts w:ascii="Arial" w:cs="Arial" w:hAnsi="Arial"/>
          <w:color w:val="222222"/>
          <w:shd w:val="clear" w:color="auto" w:fill="ffffff"/>
        </w:rPr>
        <w:t xml:space="preserve">This project is dedicated to Almighty Allah, the father of all nations for giving me the opportunity to complete my Higher National Diploma </w:t>
      </w:r>
      <w:r>
        <w:rPr>
          <w:rFonts w:ascii="Arial" w:cs="Arial" w:hAnsi="Arial"/>
          <w:color w:val="222222"/>
          <w:shd w:val="clear" w:color="auto" w:fill="ffffff"/>
        </w:rPr>
        <w:t>( HND</w:t>
      </w:r>
      <w:r>
        <w:rPr>
          <w:rFonts w:ascii="Arial" w:cs="Arial" w:hAnsi="Arial"/>
          <w:color w:val="222222"/>
          <w:shd w:val="clear" w:color="auto" w:fill="ffffff"/>
        </w:rPr>
        <w:t>) in science laboratory technology ( SLT )in microbiology unit.</w:t>
      </w:r>
      <w:r>
        <w:rPr>
          <w:rFonts w:ascii="Arial" w:cs="Arial" w:hAnsi="Arial"/>
          <w:color w:val="222222"/>
        </w:rPr>
        <w:br/>
      </w:r>
      <w:r>
        <w:rPr>
          <w:rFonts w:ascii="Arial" w:cs="Arial" w:hAnsi="Arial"/>
          <w:color w:val="222222"/>
          <w:shd w:val="clear" w:color="auto" w:fill="ffffff"/>
        </w:rPr>
        <w:t>And I also dedicate this project to my wonderful family as a whole</w:t>
      </w: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pPr>
      <w:r>
        <w:t>ACKNOWLEDGEMENT</w:t>
      </w:r>
      <w:bookmarkEnd w:id="2"/>
    </w:p>
    <w:p>
      <w:pPr>
        <w:pStyle w:val="style0"/>
        <w:shd w:val="clear" w:color="auto" w:fill="ffffff"/>
        <w:rPr>
          <w:rFonts w:ascii="Times New Roman" w:cs="Times New Roman" w:eastAsia="Times New Roman" w:hAnsi="Times New Roman"/>
          <w:color w:val="222222"/>
          <w:szCs w:val="24"/>
        </w:rPr>
      </w:pPr>
      <w:r>
        <w:rPr>
          <w:rFonts w:ascii="Times New Roman" w:cs="Times New Roman" w:hAnsi="Times New Roman"/>
          <w:szCs w:val="28"/>
        </w:rPr>
        <w:t xml:space="preserve">        </w:t>
      </w:r>
      <w:r>
        <w:rPr>
          <w:rFonts w:ascii="Times New Roman" w:cs="Times New Roman" w:eastAsia="Times New Roman" w:hAnsi="Times New Roman"/>
          <w:color w:val="222222"/>
          <w:szCs w:val="24"/>
        </w:rPr>
        <w:t xml:space="preserve">All </w:t>
      </w:r>
      <w:r>
        <w:rPr>
          <w:rFonts w:ascii="Times New Roman" w:cs="Times New Roman" w:eastAsia="Times New Roman" w:hAnsi="Times New Roman"/>
          <w:color w:val="222222"/>
          <w:szCs w:val="24"/>
        </w:rPr>
        <w:t>praise ,</w:t>
      </w:r>
      <w:r>
        <w:rPr>
          <w:rFonts w:ascii="Times New Roman" w:cs="Times New Roman" w:eastAsia="Times New Roman" w:hAnsi="Times New Roman"/>
          <w:color w:val="222222"/>
          <w:szCs w:val="24"/>
        </w:rPr>
        <w:t>honour</w:t>
      </w:r>
      <w:r>
        <w:rPr>
          <w:rFonts w:ascii="Times New Roman" w:cs="Times New Roman" w:eastAsia="Times New Roman" w:hAnsi="Times New Roman"/>
          <w:color w:val="222222"/>
          <w:szCs w:val="24"/>
        </w:rPr>
        <w:t>, glory and adoration go to ALMIGHTY ALLAH for granting me privilege faith and also giving me the opportunity to complete my Higher National Diploma (HND) despite all huddles encounter during this programme.</w:t>
      </w:r>
      <w:r>
        <w:rPr>
          <w:rFonts w:ascii="Times New Roman" w:cs="Times New Roman" w:eastAsia="Times New Roman" w:hAnsi="Times New Roman"/>
          <w:color w:val="222222"/>
          <w:szCs w:val="24"/>
        </w:rPr>
        <w:br/>
      </w:r>
      <w:r>
        <w:rPr>
          <w:rFonts w:ascii="Times New Roman" w:cs="Times New Roman" w:eastAsia="Times New Roman" w:hAnsi="Times New Roman"/>
          <w:color w:val="222222"/>
          <w:szCs w:val="24"/>
        </w:rPr>
        <w:t xml:space="preserve">My profound gratitude goes to my parent MR.&amp; MRS ASHAOLU who has relentlessly give me an immense encouragement and support to make it possible for me to complete my HND programme </w:t>
      </w:r>
      <w:r>
        <w:rPr>
          <w:rFonts w:ascii="Times New Roman" w:cs="Times New Roman" w:eastAsia="Times New Roman" w:hAnsi="Times New Roman"/>
          <w:color w:val="222222"/>
          <w:szCs w:val="24"/>
        </w:rPr>
        <w:t>jazakumullahu</w:t>
      </w:r>
      <w:r>
        <w:rPr>
          <w:rFonts w:ascii="Times New Roman" w:cs="Times New Roman" w:eastAsia="Times New Roman" w:hAnsi="Times New Roman"/>
          <w:color w:val="222222"/>
          <w:szCs w:val="24"/>
        </w:rPr>
        <w:t xml:space="preserve"> </w:t>
      </w:r>
      <w:r>
        <w:rPr>
          <w:rFonts w:ascii="Times New Roman" w:cs="Times New Roman" w:eastAsia="Times New Roman" w:hAnsi="Times New Roman"/>
          <w:color w:val="222222"/>
          <w:szCs w:val="24"/>
        </w:rPr>
        <w:t>khaira</w:t>
      </w:r>
      <w:r>
        <w:rPr>
          <w:rFonts w:ascii="Times New Roman" w:cs="Times New Roman" w:eastAsia="Times New Roman" w:hAnsi="Times New Roman"/>
          <w:color w:val="222222"/>
          <w:szCs w:val="24"/>
        </w:rPr>
        <w:t>.</w:t>
      </w:r>
      <w:r>
        <w:rPr>
          <w:rFonts w:ascii="Times New Roman" w:cs="Times New Roman" w:eastAsia="Times New Roman" w:hAnsi="Times New Roman"/>
          <w:color w:val="222222"/>
          <w:szCs w:val="24"/>
        </w:rPr>
        <w:br/>
      </w:r>
      <w:r>
        <w:rPr>
          <w:rFonts w:ascii="Times New Roman" w:cs="Times New Roman" w:eastAsia="Times New Roman" w:hAnsi="Times New Roman"/>
          <w:color w:val="222222"/>
          <w:szCs w:val="24"/>
        </w:rPr>
        <w:t xml:space="preserve">Also my Appreciation goes to my project supervisor </w:t>
      </w:r>
      <w:r>
        <w:rPr>
          <w:rFonts w:ascii="Times New Roman" w:cs="Times New Roman" w:eastAsia="Times New Roman" w:hAnsi="Times New Roman"/>
          <w:color w:val="222222"/>
          <w:szCs w:val="24"/>
        </w:rPr>
        <w:t>Mrs</w:t>
      </w:r>
      <w:r>
        <w:rPr>
          <w:rFonts w:ascii="Times New Roman" w:cs="Times New Roman" w:eastAsia="Times New Roman" w:hAnsi="Times New Roman"/>
          <w:color w:val="222222"/>
          <w:szCs w:val="24"/>
        </w:rPr>
        <w:t xml:space="preserve"> DAGBA IDAYAT BOLAJOKO. </w:t>
      </w:r>
      <w:r>
        <w:rPr>
          <w:rFonts w:ascii="Times New Roman" w:cs="Times New Roman" w:eastAsia="Times New Roman" w:hAnsi="Times New Roman"/>
          <w:color w:val="222222"/>
          <w:szCs w:val="24"/>
        </w:rPr>
        <w:t>for</w:t>
      </w:r>
      <w:r>
        <w:rPr>
          <w:rFonts w:ascii="Times New Roman" w:cs="Times New Roman" w:eastAsia="Times New Roman" w:hAnsi="Times New Roman"/>
          <w:color w:val="222222"/>
          <w:szCs w:val="24"/>
        </w:rPr>
        <w:t xml:space="preserve"> her support and effort in encouragement advice. I pray that may lord continue to bless you and your family.</w:t>
      </w:r>
      <w:r>
        <w:rPr>
          <w:rFonts w:ascii="Times New Roman" w:cs="Times New Roman" w:eastAsia="Times New Roman" w:hAnsi="Times New Roman"/>
          <w:color w:val="222222"/>
          <w:szCs w:val="24"/>
        </w:rPr>
        <w:br/>
      </w:r>
      <w:r>
        <w:rPr>
          <w:rFonts w:ascii="Times New Roman" w:cs="Times New Roman" w:eastAsia="Times New Roman" w:hAnsi="Times New Roman"/>
          <w:color w:val="222222"/>
          <w:szCs w:val="24"/>
        </w:rPr>
        <w:t xml:space="preserve">And to my husband </w:t>
      </w:r>
      <w:r>
        <w:rPr>
          <w:rFonts w:ascii="Times New Roman" w:cs="Times New Roman" w:eastAsia="Times New Roman" w:hAnsi="Times New Roman"/>
          <w:color w:val="222222"/>
          <w:szCs w:val="24"/>
        </w:rPr>
        <w:t>Abdulazeez</w:t>
      </w:r>
      <w:r>
        <w:rPr>
          <w:rFonts w:ascii="Times New Roman" w:cs="Times New Roman" w:eastAsia="Times New Roman" w:hAnsi="Times New Roman"/>
          <w:color w:val="222222"/>
          <w:szCs w:val="24"/>
        </w:rPr>
        <w:t xml:space="preserve"> </w:t>
      </w:r>
      <w:r>
        <w:rPr>
          <w:rFonts w:ascii="Times New Roman" w:cs="Times New Roman" w:eastAsia="Times New Roman" w:hAnsi="Times New Roman"/>
          <w:color w:val="222222"/>
          <w:szCs w:val="24"/>
        </w:rPr>
        <w:t>Abdulhammed</w:t>
      </w:r>
      <w:r>
        <w:rPr>
          <w:rFonts w:ascii="Times New Roman" w:cs="Times New Roman" w:eastAsia="Times New Roman" w:hAnsi="Times New Roman"/>
          <w:color w:val="222222"/>
          <w:szCs w:val="24"/>
        </w:rPr>
        <w:t xml:space="preserve"> I really appreciate all your care, advice and support you give me throughout this program may Allah keep blessing you for me (Amen)</w:t>
      </w:r>
      <w:r>
        <w:rPr>
          <w:rFonts w:ascii="Times New Roman" w:cs="Times New Roman" w:eastAsia="Times New Roman" w:hAnsi="Times New Roman"/>
          <w:color w:val="222222"/>
          <w:szCs w:val="24"/>
        </w:rPr>
        <w:br/>
      </w:r>
      <w:r>
        <w:rPr>
          <w:rFonts w:ascii="Times New Roman" w:cs="Times New Roman" w:eastAsia="Times New Roman" w:hAnsi="Times New Roman"/>
          <w:color w:val="222222"/>
          <w:szCs w:val="24"/>
        </w:rPr>
        <w:t xml:space="preserve">My special thanks also goes to my lovely brother( </w:t>
      </w:r>
      <w:r>
        <w:rPr>
          <w:rFonts w:ascii="Times New Roman" w:cs="Times New Roman" w:eastAsia="Times New Roman" w:hAnsi="Times New Roman"/>
          <w:color w:val="222222"/>
          <w:szCs w:val="24"/>
        </w:rPr>
        <w:t>Abdulqodir</w:t>
      </w:r>
      <w:r>
        <w:rPr>
          <w:rFonts w:ascii="Times New Roman" w:cs="Times New Roman" w:eastAsia="Times New Roman" w:hAnsi="Times New Roman"/>
          <w:color w:val="222222"/>
          <w:szCs w:val="24"/>
        </w:rPr>
        <w:t xml:space="preserve"> ) for the encouragement and support, also to my younger ones I love you guys.</w:t>
      </w:r>
      <w:r>
        <w:rPr>
          <w:rFonts w:ascii="Times New Roman" w:cs="Times New Roman" w:eastAsia="Times New Roman" w:hAnsi="Times New Roman"/>
          <w:color w:val="222222"/>
          <w:szCs w:val="24"/>
        </w:rPr>
        <w:br/>
      </w:r>
      <w:r>
        <w:rPr>
          <w:rFonts w:ascii="Times New Roman" w:cs="Times New Roman" w:eastAsia="Times New Roman" w:hAnsi="Times New Roman"/>
          <w:color w:val="222222"/>
          <w:szCs w:val="24"/>
        </w:rPr>
        <w:t xml:space="preserve">My sincere gratitude also goes to all entire lecturers in department of Science Laboratory </w:t>
      </w:r>
      <w:r>
        <w:rPr>
          <w:rFonts w:ascii="Times New Roman" w:cs="Times New Roman" w:eastAsia="Times New Roman" w:hAnsi="Times New Roman"/>
          <w:color w:val="222222"/>
          <w:szCs w:val="24"/>
        </w:rPr>
        <w:t>Technology.concern</w:t>
      </w:r>
      <w:r>
        <w:rPr>
          <w:rFonts w:ascii="Times New Roman" w:cs="Times New Roman" w:eastAsia="Times New Roman" w:hAnsi="Times New Roman"/>
          <w:color w:val="222222"/>
          <w:szCs w:val="24"/>
        </w:rPr>
        <w:t xml:space="preserve"> the HOD, the examiner and other lecturers in the </w:t>
      </w:r>
      <w:r>
        <w:rPr>
          <w:rFonts w:ascii="Times New Roman" w:cs="Times New Roman" w:eastAsia="Times New Roman" w:hAnsi="Times New Roman"/>
          <w:color w:val="222222"/>
          <w:szCs w:val="24"/>
        </w:rPr>
        <w:t>Department.My</w:t>
      </w:r>
      <w:r>
        <w:rPr>
          <w:rFonts w:ascii="Times New Roman" w:cs="Times New Roman" w:eastAsia="Times New Roman" w:hAnsi="Times New Roman"/>
          <w:color w:val="222222"/>
          <w:szCs w:val="24"/>
        </w:rPr>
        <w:t xml:space="preserve"> prayer for them is that may GOD continue to bless them all (Amen</w:t>
      </w:r>
      <w:r>
        <w:rPr>
          <w:rFonts w:ascii="Times New Roman" w:cs="Times New Roman" w:eastAsia="Times New Roman" w:hAnsi="Times New Roman"/>
          <w:color w:val="222222"/>
          <w:szCs w:val="24"/>
        </w:rPr>
        <w:t>)</w:t>
      </w:r>
      <w:r>
        <w:rPr>
          <w:rFonts w:ascii="Times New Roman" w:cs="Times New Roman" w:eastAsia="Times New Roman" w:hAnsi="Times New Roman"/>
          <w:color w:val="222222"/>
          <w:szCs w:val="24"/>
        </w:rPr>
        <w:br/>
      </w:r>
      <w:r>
        <w:rPr>
          <w:rFonts w:ascii="Times New Roman" w:cs="Times New Roman" w:eastAsia="Times New Roman" w:hAnsi="Times New Roman"/>
          <w:color w:val="222222"/>
          <w:szCs w:val="24"/>
        </w:rPr>
        <w:t xml:space="preserve">I must not forget to appreciate all my </w:t>
      </w:r>
      <w:r>
        <w:rPr>
          <w:rFonts w:ascii="Times New Roman" w:cs="Times New Roman" w:eastAsia="Times New Roman" w:hAnsi="Times New Roman"/>
          <w:color w:val="222222"/>
          <w:szCs w:val="24"/>
        </w:rPr>
        <w:t>favourable</w:t>
      </w:r>
      <w:r>
        <w:rPr>
          <w:rFonts w:ascii="Times New Roman" w:cs="Times New Roman" w:eastAsia="Times New Roman" w:hAnsi="Times New Roman"/>
          <w:color w:val="222222"/>
          <w:szCs w:val="24"/>
        </w:rPr>
        <w:t xml:space="preserve"> and wonderful friends they all make school life more fun and memorable. I love you </w:t>
      </w:r>
      <w:r>
        <w:rPr>
          <w:rFonts w:ascii="Times New Roman" w:cs="Times New Roman" w:eastAsia="Times New Roman" w:hAnsi="Times New Roman"/>
          <w:color w:val="222222"/>
          <w:szCs w:val="24"/>
        </w:rPr>
        <w:t>guys.I</w:t>
      </w:r>
      <w:r>
        <w:rPr>
          <w:rFonts w:ascii="Times New Roman" w:cs="Times New Roman" w:eastAsia="Times New Roman" w:hAnsi="Times New Roman"/>
          <w:color w:val="222222"/>
          <w:szCs w:val="24"/>
        </w:rPr>
        <w:t xml:space="preserve"> pray that we shall see at the top </w:t>
      </w:r>
      <w:r>
        <w:rPr>
          <w:rFonts w:ascii="Times New Roman" w:cs="Times New Roman" w:eastAsia="Times New Roman" w:hAnsi="Times New Roman"/>
          <w:color w:val="222222"/>
          <w:szCs w:val="24"/>
        </w:rPr>
        <w:t>( Amen</w:t>
      </w:r>
      <w:r>
        <w:rPr>
          <w:rFonts w:ascii="Times New Roman" w:cs="Times New Roman" w:eastAsia="Times New Roman" w:hAnsi="Times New Roman"/>
          <w:color w:val="222222"/>
          <w:szCs w:val="24"/>
        </w:rPr>
        <w:t>)</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w:t>
      </w:r>
      <w:r>
        <w:rPr>
          <w:i/>
        </w:rPr>
        <w:t>ranged</w:t>
      </w:r>
      <w:r>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t>
      </w:r>
      <w:r>
        <w:rPr>
          <w:i/>
        </w:rPr>
        <w:t>was</w:t>
      </w:r>
      <w:r>
        <w:rPr>
          <w:i/>
        </w:rPr>
        <w:t xml:space="preserve">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2"/>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w:t>
      </w:r>
      <w:r>
        <w:rPr>
          <w:rFonts w:ascii="Times New Roman" w:cs="Times New Roman" w:eastAsia="Times New Roman" w:hAnsi="Times New Roman"/>
          <w:i/>
          <w:iCs/>
          <w:color w:val="auto"/>
          <w:szCs w:val="24"/>
        </w:rPr>
        <w:t xml:space="preserve">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w:t>
      </w:r>
      <w:r>
        <w:rPr>
          <w:rFonts w:ascii="Times New Roman" w:cs="Times New Roman" w:eastAsia="Times New Roman" w:hAnsi="Times New Roman"/>
          <w:color w:val="auto"/>
          <w:szCs w:val="24"/>
        </w:rPr>
        <w:t xml:space="preserve">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w:t>
      </w:r>
      <w:r>
        <w:rPr>
          <w:rFonts w:ascii="Times New Roman" w:cs="Times New Roman" w:eastAsia="Times New Roman" w:hAnsi="Times New Roman"/>
          <w:color w:val="auto"/>
          <w:szCs w:val="24"/>
        </w:rPr>
        <w:t xml:space="preserve">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w:t>
      </w:r>
      <w:r>
        <w:rPr>
          <w:rFonts w:ascii="Times New Roman" w:cs="Times New Roman" w:hAnsi="Times New Roman"/>
          <w:szCs w:val="24"/>
        </w:rPr>
        <w:t>has</w:t>
      </w:r>
      <w:r>
        <w:rPr>
          <w:rFonts w:ascii="Times New Roman" w:cs="Times New Roman" w:hAnsi="Times New Roman"/>
          <w:szCs w:val="24"/>
        </w:rPr>
        <w:t xml:space="preserve"> different defined chemical, physical and biological standards necessary to fulfil the respective purpose. For example, there are stringent standards for water to be used for </w:t>
      </w:r>
      <w:r>
        <w:rPr>
          <w:rFonts w:ascii="Times New Roman" w:cs="Times New Roman" w:hAnsi="Times New Roman"/>
          <w:szCs w:val="24"/>
        </w:rPr>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r>
        <w:rPr>
          <w:rFonts w:eastAsia="Arial"/>
          <w:color w:val="000000"/>
        </w:rPr>
        <w:t xml:space="preserve">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w:t>
      </w:r>
      <w:r>
        <w:t>has been paramount to protecting public health.</w:t>
      </w:r>
      <w:r>
        <w:t xml:space="preserve">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w:t>
      </w:r>
      <w:r>
        <w:rPr>
          <w:i/>
          <w:iCs/>
        </w:rPr>
        <w:t>Hafnia</w:t>
      </w:r>
      <w:r>
        <w:rPr>
          <w:i/>
          <w:iCs/>
        </w:rPr>
        <w:t xml:space="preserve">, </w:t>
      </w:r>
      <w:r>
        <w:rPr>
          <w:i/>
          <w:iCs/>
        </w:rPr>
        <w:t>Klebsiella</w:t>
      </w:r>
      <w:r>
        <w:rPr>
          <w:i/>
          <w:iCs/>
        </w:rPr>
        <w:t xml:space="preserve">, </w:t>
      </w:r>
      <w:r>
        <w:rPr>
          <w:i/>
          <w:iCs/>
        </w:rPr>
        <w:t>Serratia</w:t>
      </w:r>
      <w:r>
        <w:t>and</w:t>
      </w:r>
      <w:r>
        <w:t xml:space="preserve"> </w:t>
      </w:r>
      <w:r>
        <w:rPr>
          <w:i/>
          <w:iCs/>
        </w:rPr>
        <w:t>Yersinia</w:t>
      </w:r>
      <w:r>
        <w:rPr>
          <w:i/>
          <w:iCs/>
        </w:rPr>
        <w:t xml:space="preserve">.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w:t>
      </w:r>
      <w:r>
        <w:rPr>
          <w:b/>
          <w:bCs/>
        </w:rPr>
        <w:t>coliform</w:t>
      </w:r>
      <w:r>
        <w:rPr>
          <w:b/>
          <w:bCs/>
        </w:rPr>
        <w:t xml:space="preserve"> (FC) or </w:t>
      </w:r>
      <w:r>
        <w:rPr>
          <w:b/>
          <w:bCs/>
        </w:rPr>
        <w:t>Thermotolerant</w:t>
      </w:r>
      <w:r>
        <w:rPr>
          <w:b/>
          <w:bCs/>
        </w:rPr>
        <w:t xml:space="preserve"> </w:t>
      </w:r>
      <w:r>
        <w:rPr>
          <w:b/>
          <w:bCs/>
        </w:rPr>
        <w:t>coliform</w:t>
      </w:r>
      <w:r>
        <w:rPr>
          <w:b/>
          <w:bCs/>
        </w:rPr>
        <w:t xml:space="preserve">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w:t>
      </w:r>
      <w:r>
        <w:rPr>
          <w:rFonts w:eastAsia="Arial"/>
          <w:color w:val="000000"/>
        </w:rPr>
        <w:t>coliform</w:t>
      </w:r>
      <w:r>
        <w:rPr>
          <w:rFonts w:eastAsia="Arial"/>
          <w:color w:val="000000"/>
        </w:rPr>
        <w:t xml:space="preserve"> is a subset of the total coliform group. </w:t>
      </w:r>
      <w:r>
        <w:rPr>
          <w:rFonts w:eastAsia="Arial"/>
          <w:color w:val="000000"/>
        </w:rPr>
        <w:t>Faecal</w:t>
      </w:r>
      <w:r>
        <w:rPr>
          <w:rFonts w:eastAsia="Arial"/>
          <w:color w:val="000000"/>
        </w:rPr>
        <w:t xml:space="preserve"> </w:t>
      </w:r>
      <w:r>
        <w:rPr>
          <w:rFonts w:eastAsia="Arial"/>
          <w:color w:val="000000"/>
        </w:rPr>
        <w:t>coliform</w:t>
      </w:r>
      <w:r>
        <w:rPr>
          <w:rFonts w:eastAsia="Arial"/>
          <w:color w:val="000000"/>
        </w:rPr>
        <w:t xml:space="preserve"> bacteria possess the characteristics of coliform bacteria but are able to carry out lactose </w:t>
      </w:r>
      <w:r>
        <w:t xml:space="preserve">fermentation at 44 </w:t>
      </w:r>
      <w:r>
        <w:t>oC.</w:t>
      </w:r>
      <w:r>
        <w:t xml:space="preserve"> Although still in use in some jurisdictions, the lack of specificity of the </w:t>
      </w:r>
      <w:r>
        <w:t>coliform</w:t>
      </w:r>
      <w:r>
        <w:t xml:space="preserve">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w:t>
      </w:r>
      <w:r>
        <w:t xml:space="preserve">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w:t>
      </w:r>
      <w:r>
        <w:rPr>
          <w:b/>
          <w:bCs/>
        </w:rPr>
        <w:t>Enterococci</w:t>
      </w:r>
      <w:r>
        <w:rPr>
          <w:b/>
          <w:bCs/>
        </w:rPr>
        <w:t xml:space="preserve"> </w:t>
      </w:r>
    </w:p>
    <w:p>
      <w:pPr>
        <w:pStyle w:val="style94"/>
        <w:spacing w:before="0" w:beforeAutospacing="false" w:after="0" w:afterAutospacing="false" w:lineRule="auto" w:line="480"/>
        <w:jc w:val="both"/>
        <w:rPr/>
      </w:pPr>
      <w:r>
        <w:t>Faecal</w:t>
      </w:r>
      <w:r>
        <w:t xml:space="preserve"> </w:t>
      </w:r>
      <w:r>
        <w:t>enterococci</w:t>
      </w:r>
      <w:r>
        <w:t xml:space="preserve">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w:t>
      </w:r>
      <w:r>
        <w:t xml:space="preserve">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w:t>
      </w:r>
      <w:r>
        <w:t>enterococci</w:t>
      </w:r>
      <w:r>
        <w:t xml:space="preserve">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w:t>
      </w:r>
      <w:r>
        <w:t>Enterococci</w:t>
      </w:r>
      <w:r>
        <w:t xml:space="preserve">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w:t>
      </w:r>
      <w:r>
        <w:t xml:space="preserve">(McDonald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w:t>
      </w:r>
      <w:r>
        <w:rPr>
          <w:rFonts w:ascii="Times New Roman" w:cs="Times New Roman" w:eastAsia="Times New Roman" w:hAnsi="Times New Roman"/>
          <w:color w:val="auto"/>
          <w:szCs w:val="24"/>
        </w:rPr>
        <w:t>),</w:t>
      </w:r>
      <w:r>
        <w:rPr>
          <w:rFonts w:ascii="Times New Roman" w:cs="Times New Roman" w:eastAsia="Times New Roman" w:hAnsi="Times New Roman"/>
          <w:color w:val="auto"/>
          <w:szCs w:val="24"/>
        </w:rPr>
        <w:t xml:space="preserve">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w:t>
      </w:r>
      <w:r>
        <w:rPr>
          <w:rFonts w:ascii="Times New Roman" w:cs="Times New Roman" w:hAnsi="Times New Roman"/>
          <w:szCs w:val="24"/>
        </w:rPr>
        <w:t xml:space="preserve">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Pr>
          <w:rFonts w:ascii="Times New Roman" w:cs="Times New Roman" w:hAnsi="Times New Roman"/>
          <w:szCs w:val="24"/>
        </w:rPr>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Pr>
          <w:rFonts w:eastAsia="Arial"/>
          <w:color w:val="000000"/>
        </w:rPr>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sp, pseudomonas sp, </w:t>
      </w:r>
      <w:r>
        <w:rPr>
          <w:rFonts w:eastAsia="Arial"/>
          <w:i/>
          <w:color w:val="000000"/>
        </w:rPr>
        <w:t>klebsiella</w:t>
      </w:r>
      <w:r>
        <w:rPr>
          <w:rFonts w:eastAsia="Arial"/>
          <w:i/>
          <w:color w:val="000000"/>
        </w:rPr>
        <w:t xml:space="preserve"> sp, streptococcus sp,</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Pr>
          <w:rFonts w:eastAsia="Arial"/>
          <w:color w:val="000000"/>
        </w:rPr>
        <w:t xml:space="preserve">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w:t>
      </w:r>
      <w:r>
        <w:t xml:space="preserve">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 xml:space="preserve">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w:t>
      </w:r>
      <w:r>
        <w:t>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w:t>
      </w:r>
      <w:r>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w:t>
      </w:r>
      <w:r>
        <w:rPr>
          <w:rFonts w:ascii="Times New Roman" w:cs="Times New Roman" w:hAnsi="Times New Roman"/>
        </w:rPr>
        <w:t xml:space="preserve">differentiate oxidase-positive bacteria such as </w:t>
      </w:r>
      <w:r>
        <w:rPr>
          <w:rFonts w:ascii="Times New Roman" w:cs="Times New Roman" w:hAnsi="Times New Roman"/>
          <w:i/>
        </w:rPr>
        <w:t>Pseudomonas</w:t>
      </w:r>
      <w:r>
        <w:rPr>
          <w:rFonts w:ascii="Times New Roman" w:cs="Times New Roman" w:hAnsi="Times New Roman"/>
        </w:rPr>
        <w:t xml:space="preserve"> from </w:t>
      </w:r>
      <w:r>
        <w:rPr>
          <w:rFonts w:ascii="Times New Roman" w:cs="Times New Roman" w:hAnsi="Times New Roman"/>
        </w:rPr>
        <w:t>oxidase</w:t>
      </w:r>
      <w:r>
        <w:rPr>
          <w:rFonts w:ascii="Times New Roman" w:cs="Times New Roman" w:hAnsi="Times New Roman"/>
        </w:rPr>
        <w:t xml:space="preserv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w:t>
      </w:r>
      <w:r>
        <w:rPr>
          <w:rFonts w:ascii="Times New Roman" w:cs="Times New Roman" w:hAnsi="Times New Roman"/>
        </w:rPr>
        <w:t>oxidase</w:t>
      </w:r>
      <w:r>
        <w:rPr>
          <w:rFonts w:ascii="Times New Roman" w:cs="Times New Roman" w:hAnsi="Times New Roman"/>
        </w:rPr>
        <w:t xml:space="preserv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w:t>
      </w:r>
      <w:r>
        <w:t>,</w:t>
      </w:r>
      <w:r>
        <w:t xml:space="preserve">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w:t>
      </w:r>
      <w:r>
        <w:t>,</w:t>
      </w:r>
      <w:r>
        <w:t xml:space="preserve">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w:t>
      </w:r>
      <w:r>
        <w:t xml:space="preserve">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w:t>
      </w:r>
      <w:r>
        <w:t>2.55 µS/cm in OW</w:t>
      </w:r>
      <w:r>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93"/>
        <w:gridCol w:w="1151"/>
        <w:gridCol w:w="1133"/>
        <w:gridCol w:w="1163"/>
        <w:gridCol w:w="1187"/>
        <w:gridCol w:w="1186"/>
        <w:gridCol w:w="1525"/>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w:t>
      </w:r>
      <w:r>
        <w:t>mL</w:t>
      </w:r>
      <w:r>
        <w:t>).</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649"/>
        <w:gridCol w:w="1300"/>
        <w:gridCol w:w="1292"/>
        <w:gridCol w:w="1300"/>
        <w:gridCol w:w="1288"/>
        <w:gridCol w:w="1410"/>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126"/>
        <w:gridCol w:w="1265"/>
        <w:gridCol w:w="1222"/>
        <w:gridCol w:w="1713"/>
        <w:gridCol w:w="1328"/>
        <w:gridCol w:w="1005"/>
        <w:gridCol w:w="1581"/>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w:t>
      </w:r>
      <w:r>
        <w:t xml:space="preserve">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66"/>
        <w:gridCol w:w="1444"/>
        <w:gridCol w:w="943"/>
        <w:gridCol w:w="883"/>
        <w:gridCol w:w="1109"/>
        <w:gridCol w:w="1180"/>
        <w:gridCol w:w="1131"/>
        <w:gridCol w:w="1683"/>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No Escherichia coli </w:t>
      </w:r>
      <w:r>
        <w:rPr>
          <w:rFonts w:ascii="Times New Roman" w:cs="Times New Roman" w:eastAsia="Times New Roman" w:hAnsi="Times New Roman"/>
          <w:bCs/>
          <w:color w:val="auto"/>
          <w:szCs w:val="24"/>
        </w:rPr>
        <w:t>was</w:t>
      </w:r>
      <w:r>
        <w:rPr>
          <w:rFonts w:ascii="Times New Roman" w:cs="Times New Roman" w:eastAsia="Times New Roman" w:hAnsi="Times New Roman"/>
          <w:bCs/>
          <w:color w:val="auto"/>
          <w:szCs w:val="24"/>
        </w:rPr>
        <w:t xml:space="preserve">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r>
        <w:rPr>
          <w:rFonts w:ascii="Times New Roman" w:cs="Times New Roman" w:eastAsia="宋体" w:hAnsi="Times New Roman" w:hint="default"/>
          <w:b/>
          <w:bCs/>
          <w:i w:val="false"/>
          <w:iCs w:val="false"/>
          <w:color w:val="000000"/>
          <w:sz w:val="24"/>
          <w:szCs w:val="32"/>
          <w:highlight w:val="none"/>
          <w:vertAlign w:val="baseline"/>
          <w:em w:val="none"/>
          <w:lang w:val="en-US" w:eastAsia="en-US"/>
        </w:rPr>
        <w:t xml:space="preserve"> </w:t>
      </w:r>
    </w:p>
    <w:p>
      <w:pPr>
        <w:pStyle w:val="style179"/>
        <w:numPr>
          <w:ilvl w:val="0"/>
          <w:numId w:val="0"/>
        </w:numPr>
        <w:tabs>
          <w:tab w:val="left" w:leader="none" w:pos="1049"/>
        </w:tabs>
        <w:spacing w:after="0" w:lineRule="auto" w:line="480"/>
        <w:ind w:left="720" w:firstLine="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p>
    <w:p>
      <w:pPr>
        <w:pStyle w:val="style179"/>
        <w:numPr>
          <w:ilvl w:val="0"/>
          <w:numId w:val="0"/>
        </w:numPr>
        <w:tabs>
          <w:tab w:val="left" w:leader="none" w:pos="1049"/>
        </w:tabs>
        <w:spacing w:after="0" w:lineRule="auto" w:line="480"/>
        <w:ind w:left="720" w:firstLine="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p>
    <w:p>
      <w:pPr>
        <w:pStyle w:val="style179"/>
        <w:numPr>
          <w:ilvl w:val="0"/>
          <w:numId w:val="0"/>
        </w:numPr>
        <w:tabs>
          <w:tab w:val="left" w:leader="none" w:pos="1049"/>
        </w:tabs>
        <w:spacing w:after="0" w:lineRule="auto" w:line="480"/>
        <w:ind w:left="720" w:firstLine="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p>
    <w:p>
      <w:pPr>
        <w:pStyle w:val="style179"/>
        <w:numPr>
          <w:ilvl w:val="0"/>
          <w:numId w:val="0"/>
        </w:numPr>
        <w:tabs>
          <w:tab w:val="left" w:leader="none" w:pos="1049"/>
        </w:tabs>
        <w:spacing w:after="0" w:lineRule="auto" w:line="480"/>
        <w:ind w:left="720" w:firstLine="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p>
    <w:p>
      <w:pPr>
        <w:pStyle w:val="style179"/>
        <w:numPr>
          <w:ilvl w:val="0"/>
          <w:numId w:val="0"/>
        </w:numPr>
        <w:tabs>
          <w:tab w:val="left" w:leader="none" w:pos="1049"/>
        </w:tabs>
        <w:spacing w:after="0" w:lineRule="auto" w:line="480"/>
        <w:ind w:left="720" w:firstLine="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p>
    <w:p>
      <w:pPr>
        <w:pStyle w:val="style0"/>
        <w:numPr>
          <w:ilvl w:val="0"/>
          <w:numId w:val="0"/>
        </w:numPr>
        <w:tabs>
          <w:tab w:val="left" w:leader="none" w:pos="1049"/>
        </w:tabs>
        <w:spacing w:after="0" w:lineRule="auto" w:line="480"/>
        <w:ind w:left="0" w:firstLine="0"/>
        <w:rPr>
          <w:rFonts w:ascii="Times New Roman" w:cs="Times New Roman" w:eastAsia="宋体" w:hAnsi="Times New Roman" w:hint="default"/>
          <w:b/>
          <w:bCs/>
          <w:i w:val="false"/>
          <w:iCs w:val="false"/>
          <w:color w:val="000000"/>
          <w:sz w:val="24"/>
          <w:szCs w:val="32"/>
          <w:highlight w:val="none"/>
          <w:vertAlign w:val="baseline"/>
          <w:em w:val="none"/>
          <w:lang w:val="en-US" w:eastAsia="en-US"/>
        </w:rPr>
      </w:pPr>
    </w:p>
    <w:p>
      <w:pPr>
        <w:pStyle w:val="style179"/>
        <w:numPr>
          <w:ilvl w:val="0"/>
          <w:numId w:val="0"/>
        </w:numPr>
        <w:tabs>
          <w:tab w:val="left" w:leader="none" w:pos="1049"/>
        </w:tabs>
        <w:spacing w:after="0" w:lineRule="auto" w:line="480"/>
        <w:ind w:left="720" w:firstLine="0"/>
        <w:jc w:val="center"/>
        <w:rPr/>
      </w:pPr>
      <w:r>
        <w:rPr>
          <w:rFonts w:ascii="Times New Roman" w:cs="Times New Roman" w:eastAsia="宋体" w:hAnsi="Times New Roman" w:hint="default"/>
          <w:b/>
          <w:bCs/>
          <w:i w:val="false"/>
          <w:iCs w:val="false"/>
          <w:color w:val="000000"/>
          <w:sz w:val="24"/>
          <w:szCs w:val="32"/>
          <w:highlight w:val="none"/>
          <w:vertAlign w:val="baseline"/>
          <w:em w:val="none"/>
          <w:lang w:val="en-US" w:eastAsia="en-US"/>
        </w:rPr>
        <w:t>REFERENCES</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pStyle w:val="style0"/>
        <w:spacing w:before="100" w:beforeAutospacing="true" w:after="100" w:afterAutospacing="true" w:lineRule="auto" w:line="240"/>
        <w:ind w:left="720" w:hanging="72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4103"/>
        <w:jc w:val="both"/>
        <w:rPr/>
      </w:pPr>
    </w:p>
    <w:p>
      <w:pPr>
        <w:pStyle w:val="style4103"/>
        <w:jc w:val="both"/>
        <w:rPr/>
      </w:pP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2159635" cy="2190115"/>
                    </a:xfrm>
                    <a:prstGeom prst="rect"/>
                  </pic:spPr>
                </pic:pic>
              </a:graphicData>
            </a:graphic>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2155190" cy="2468878"/>
                    </a:xfrm>
                    <a:prstGeom prst="rect"/>
                  </pic:spPr>
                </pic:pic>
              </a:graphicData>
            </a:graphic>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5" cstate="print"/>
                    <a:srcRect l="11853" t="17777" r="19547" b="32817"/>
                    <a:stretch/>
                  </pic:blipFill>
                  <pic:spPr>
                    <a:xfrm rot="0">
                      <a:off x="0" y="0"/>
                      <a:ext cx="2663824" cy="2557780"/>
                    </a:xfrm>
                    <a:prstGeom prst="rect"/>
                    <a:ln>
                      <a:noFill/>
                    </a:ln>
                  </pic:spPr>
                </pic:pic>
              </a:graphicData>
            </a:graphic>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6" cstate="print"/>
                    <a:srcRect l="14587" t="10940" r="17491" b="36924"/>
                    <a:stretch/>
                  </pic:blipFill>
                  <pic:spPr>
                    <a:xfrm rot="0">
                      <a:off x="0" y="0"/>
                      <a:ext cx="2590800" cy="2651759"/>
                    </a:xfrm>
                    <a:prstGeom prst="rect"/>
                    <a:ln>
                      <a:noFill/>
                    </a:ln>
                  </pic:spPr>
                </pic:pic>
              </a:graphicData>
            </a:graphic>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srcRect l="16866" t="24616" r="11798" b="16074"/>
                    <a:stretch/>
                  </pic:blipFill>
                  <pic:spPr>
                    <a:xfrm rot="0">
                      <a:off x="0" y="0"/>
                      <a:ext cx="2677795" cy="2967990"/>
                    </a:xfrm>
                    <a:prstGeom prst="rect"/>
                    <a:ln>
                      <a:noFill/>
                    </a:ln>
                  </pic:spPr>
                </pic:pic>
              </a:graphicData>
            </a:graphic>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8" cstate="print"/>
                    <a:srcRect l="0" t="0" r="9519" b="0"/>
                    <a:stretch/>
                  </pic:blipFill>
                  <pic:spPr>
                    <a:xfrm rot="0">
                      <a:off x="0" y="0"/>
                      <a:ext cx="2631440" cy="2814320"/>
                    </a:xfrm>
                    <a:prstGeom prst="rect"/>
                    <a:ln>
                      <a:noFill/>
                    </a:ln>
                  </pic:spPr>
                </pic:pic>
              </a:graphicData>
            </a:graphic>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55664f4-bebd-4a48-8f33-4868197b8b2f"/>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3a534d9-b393-4f8b-970e-79fc81d3b712"/>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26ca0bc9-3941-4368-8382-d7bc5e90c97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e9ab1af-297d-4b46-ad70-ae88c2097990"/>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e2b2a105-6672-4840-8369-9f2c43b2eba1"/>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e8038383-4047-42b3-b64f-697420cb9eaf"/>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eastAsia="Calibri" w:hAnsi="Tahoma"/>
      <w:color w:val="000000"/>
      <w:sz w:val="16"/>
      <w:szCs w:val="16"/>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footer" Target="footer2.xml"/><Relationship Id="rId14" Type="http://schemas.openxmlformats.org/officeDocument/2006/relationships/customXml" Target="../customXml/item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FE89-6964-42E9-83CD-3A20D117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12312</Words>
  <Pages>51</Pages>
  <Characters>72342</Characters>
  <Application>WPS Office</Application>
  <DocSecurity>0</DocSecurity>
  <Paragraphs>712</Paragraphs>
  <ScaleCrop>false</ScaleCrop>
  <LinksUpToDate>false</LinksUpToDate>
  <CharactersWithSpaces>84517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TECNO KF6i</lastModifiedBy>
  <dcterms:modified xsi:type="dcterms:W3CDTF">2025-07-12T16:59:56Z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707fd371d17b4715bad27380c453971d</vt:lpwstr>
  </property>
</Properties>
</file>