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5678" w14:textId="77777777" w:rsidR="0032565D" w:rsidRDefault="0032565D" w:rsidP="00753DC2">
      <w:pPr>
        <w:spacing w:line="480" w:lineRule="auto"/>
        <w:jc w:val="center"/>
        <w:rPr>
          <w:rFonts w:ascii="Times New Roman" w:hAnsi="Times New Roman" w:cs="Times New Roman"/>
          <w:sz w:val="28"/>
          <w:szCs w:val="28"/>
        </w:rPr>
      </w:pPr>
    </w:p>
    <w:p w14:paraId="3A751CC6" w14:textId="77777777" w:rsidR="0032565D" w:rsidRPr="00621DA9" w:rsidRDefault="0032565D" w:rsidP="00263183">
      <w:pPr>
        <w:spacing w:after="0" w:line="360" w:lineRule="auto"/>
        <w:jc w:val="center"/>
        <w:rPr>
          <w:rFonts w:ascii="Times New Roman" w:hAnsi="Times New Roman" w:cs="Times New Roman"/>
          <w:b/>
          <w:sz w:val="28"/>
          <w:szCs w:val="28"/>
        </w:rPr>
      </w:pPr>
      <w:r w:rsidRPr="00621DA9">
        <w:rPr>
          <w:rFonts w:ascii="Times New Roman" w:hAnsi="Times New Roman" w:cs="Times New Roman"/>
          <w:b/>
          <w:sz w:val="28"/>
          <w:szCs w:val="28"/>
        </w:rPr>
        <w:t xml:space="preserve">THE POTENCY OF </w:t>
      </w:r>
      <w:r w:rsidRPr="00621DA9">
        <w:rPr>
          <w:rFonts w:ascii="Times New Roman" w:hAnsi="Times New Roman" w:cs="Times New Roman"/>
          <w:b/>
          <w:i/>
          <w:sz w:val="28"/>
          <w:szCs w:val="28"/>
        </w:rPr>
        <w:t xml:space="preserve">PENICILLIUM </w:t>
      </w:r>
      <w:r w:rsidRPr="00621DA9">
        <w:rPr>
          <w:rFonts w:ascii="Times New Roman" w:hAnsi="Times New Roman" w:cs="Times New Roman"/>
          <w:b/>
          <w:sz w:val="28"/>
          <w:szCs w:val="28"/>
        </w:rPr>
        <w:t>CITRININ TOXIN</w:t>
      </w:r>
    </w:p>
    <w:p w14:paraId="39DDA0F3" w14:textId="77777777" w:rsidR="0032565D" w:rsidRDefault="0032565D" w:rsidP="00263183">
      <w:pPr>
        <w:spacing w:after="0" w:line="360" w:lineRule="auto"/>
        <w:jc w:val="center"/>
        <w:rPr>
          <w:rFonts w:ascii="Times New Roman" w:hAnsi="Times New Roman" w:cs="Times New Roman"/>
          <w:b/>
          <w:sz w:val="28"/>
          <w:szCs w:val="28"/>
        </w:rPr>
      </w:pPr>
    </w:p>
    <w:p w14:paraId="06745150" w14:textId="77777777" w:rsidR="0032565D" w:rsidRPr="006A21FC" w:rsidRDefault="0032565D" w:rsidP="00263183">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37602508" w14:textId="77777777" w:rsidR="0032565D" w:rsidRDefault="0032565D" w:rsidP="00263183">
      <w:pPr>
        <w:spacing w:after="0" w:line="360" w:lineRule="auto"/>
        <w:jc w:val="center"/>
        <w:rPr>
          <w:rFonts w:ascii="Times New Roman" w:hAnsi="Times New Roman" w:cs="Times New Roman"/>
          <w:b/>
          <w:sz w:val="28"/>
          <w:szCs w:val="28"/>
        </w:rPr>
      </w:pPr>
    </w:p>
    <w:p w14:paraId="7E797BDE" w14:textId="77777777" w:rsidR="0032565D" w:rsidRDefault="0032565D" w:rsidP="00263183">
      <w:pPr>
        <w:spacing w:line="240" w:lineRule="auto"/>
        <w:jc w:val="center"/>
        <w:rPr>
          <w:rFonts w:ascii="Arial Black" w:hAnsi="Arial Black" w:cs="Times New Roman"/>
          <w:sz w:val="28"/>
          <w:szCs w:val="28"/>
        </w:rPr>
      </w:pPr>
      <w:r>
        <w:rPr>
          <w:rFonts w:ascii="Arial Black" w:hAnsi="Arial Black" w:cs="Times New Roman"/>
          <w:sz w:val="28"/>
          <w:szCs w:val="28"/>
        </w:rPr>
        <w:t>MUSA KAOSAR AJOKE</w:t>
      </w:r>
    </w:p>
    <w:p w14:paraId="1591FD4B" w14:textId="77777777" w:rsidR="0032565D" w:rsidRDefault="0032565D" w:rsidP="00263183">
      <w:pPr>
        <w:spacing w:line="240" w:lineRule="auto"/>
        <w:jc w:val="center"/>
        <w:rPr>
          <w:rFonts w:ascii="Arial Black" w:hAnsi="Arial Black" w:cs="Times New Roman"/>
          <w:sz w:val="28"/>
          <w:szCs w:val="28"/>
        </w:rPr>
      </w:pPr>
      <w:r w:rsidRPr="006A21FC">
        <w:rPr>
          <w:rFonts w:ascii="Arial Black" w:hAnsi="Arial Black" w:cs="Times New Roman"/>
          <w:sz w:val="28"/>
          <w:szCs w:val="28"/>
        </w:rPr>
        <w:t>HND/23/SLT/FT/0</w:t>
      </w:r>
      <w:r>
        <w:rPr>
          <w:rFonts w:ascii="Arial Black" w:hAnsi="Arial Black" w:cs="Times New Roman"/>
          <w:sz w:val="28"/>
          <w:szCs w:val="28"/>
        </w:rPr>
        <w:t>589</w:t>
      </w:r>
    </w:p>
    <w:p w14:paraId="1CAEF3A6" w14:textId="77777777" w:rsidR="0032565D" w:rsidRPr="006A21FC" w:rsidRDefault="0032565D" w:rsidP="00263183">
      <w:pPr>
        <w:spacing w:line="240" w:lineRule="auto"/>
        <w:jc w:val="center"/>
        <w:rPr>
          <w:rFonts w:ascii="Arial Black" w:hAnsi="Arial Black" w:cs="Times New Roman"/>
          <w:sz w:val="28"/>
          <w:szCs w:val="28"/>
        </w:rPr>
      </w:pPr>
    </w:p>
    <w:p w14:paraId="7EC5F321" w14:textId="77777777" w:rsidR="0032565D" w:rsidRDefault="0032565D" w:rsidP="0026318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B0D324D" w14:textId="77777777" w:rsidR="0032565D" w:rsidRDefault="0032565D" w:rsidP="00263183">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144F6A73" w14:textId="77777777" w:rsidR="0032565D" w:rsidRDefault="0032565D" w:rsidP="0026318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5B37347" w14:textId="77777777" w:rsidR="0032565D" w:rsidRDefault="0032565D" w:rsidP="00263183">
      <w:pPr>
        <w:spacing w:after="0" w:line="360" w:lineRule="auto"/>
        <w:jc w:val="center"/>
        <w:rPr>
          <w:rFonts w:ascii="Times New Roman" w:hAnsi="Times New Roman" w:cs="Times New Roman"/>
          <w:b/>
          <w:sz w:val="28"/>
          <w:szCs w:val="28"/>
        </w:rPr>
      </w:pPr>
    </w:p>
    <w:p w14:paraId="105A38CC" w14:textId="77777777" w:rsidR="0032565D" w:rsidRDefault="0032565D" w:rsidP="00263183">
      <w:pPr>
        <w:spacing w:after="0" w:line="360" w:lineRule="auto"/>
        <w:jc w:val="right"/>
        <w:rPr>
          <w:rFonts w:ascii="Times New Roman" w:hAnsi="Times New Roman" w:cs="Times New Roman"/>
          <w:b/>
          <w:bCs/>
          <w:sz w:val="28"/>
          <w:szCs w:val="28"/>
        </w:rPr>
      </w:pPr>
    </w:p>
    <w:p w14:paraId="7041A0F4" w14:textId="77777777" w:rsidR="0032565D" w:rsidRDefault="0032565D" w:rsidP="00263183">
      <w:pPr>
        <w:spacing w:after="0" w:line="360" w:lineRule="auto"/>
        <w:jc w:val="right"/>
        <w:rPr>
          <w:rFonts w:ascii="Times New Roman" w:hAnsi="Times New Roman" w:cs="Times New Roman"/>
          <w:b/>
          <w:bCs/>
          <w:sz w:val="28"/>
          <w:szCs w:val="28"/>
        </w:rPr>
      </w:pPr>
    </w:p>
    <w:p w14:paraId="20C8AF59" w14:textId="77777777" w:rsidR="0032565D" w:rsidRDefault="0032565D" w:rsidP="00263183">
      <w:pPr>
        <w:spacing w:after="0" w:line="360" w:lineRule="auto"/>
        <w:jc w:val="right"/>
        <w:rPr>
          <w:rFonts w:ascii="Times New Roman" w:hAnsi="Times New Roman" w:cs="Times New Roman"/>
          <w:b/>
          <w:bCs/>
          <w:sz w:val="28"/>
          <w:szCs w:val="28"/>
        </w:rPr>
      </w:pPr>
    </w:p>
    <w:p w14:paraId="4DFBA2CD" w14:textId="77777777" w:rsidR="0032565D" w:rsidRDefault="0032565D" w:rsidP="00263183">
      <w:pPr>
        <w:spacing w:after="0" w:line="360" w:lineRule="auto"/>
        <w:jc w:val="right"/>
        <w:rPr>
          <w:rFonts w:ascii="Times New Roman" w:hAnsi="Times New Roman" w:cs="Times New Roman"/>
          <w:b/>
          <w:bCs/>
          <w:sz w:val="28"/>
          <w:szCs w:val="28"/>
        </w:rPr>
      </w:pPr>
    </w:p>
    <w:p w14:paraId="529995A7" w14:textId="77777777" w:rsidR="0032565D" w:rsidRDefault="0032565D" w:rsidP="00263183">
      <w:pPr>
        <w:spacing w:after="0" w:line="360" w:lineRule="auto"/>
        <w:jc w:val="right"/>
        <w:rPr>
          <w:rFonts w:ascii="Times New Roman" w:hAnsi="Times New Roman" w:cs="Times New Roman"/>
          <w:b/>
          <w:bCs/>
          <w:sz w:val="28"/>
          <w:szCs w:val="28"/>
        </w:rPr>
      </w:pPr>
    </w:p>
    <w:p w14:paraId="690F13DD" w14:textId="77777777" w:rsidR="0032565D" w:rsidRDefault="0032565D" w:rsidP="00263183">
      <w:pPr>
        <w:spacing w:after="0" w:line="360" w:lineRule="auto"/>
        <w:jc w:val="right"/>
        <w:rPr>
          <w:rFonts w:ascii="Times New Roman" w:hAnsi="Times New Roman" w:cs="Times New Roman"/>
          <w:b/>
          <w:bCs/>
          <w:sz w:val="28"/>
          <w:szCs w:val="28"/>
        </w:rPr>
      </w:pPr>
    </w:p>
    <w:p w14:paraId="0279EA38" w14:textId="77777777" w:rsidR="0032565D" w:rsidRDefault="0032565D" w:rsidP="00263183">
      <w:pPr>
        <w:spacing w:after="0" w:line="360" w:lineRule="auto"/>
        <w:jc w:val="right"/>
        <w:rPr>
          <w:rFonts w:ascii="Times New Roman" w:hAnsi="Times New Roman" w:cs="Times New Roman"/>
          <w:b/>
          <w:bCs/>
          <w:sz w:val="28"/>
          <w:szCs w:val="28"/>
        </w:rPr>
      </w:pPr>
    </w:p>
    <w:p w14:paraId="1A1B0D29" w14:textId="77777777" w:rsidR="0032565D" w:rsidRDefault="0032565D" w:rsidP="00263183">
      <w:pPr>
        <w:spacing w:after="0" w:line="360" w:lineRule="auto"/>
        <w:jc w:val="right"/>
        <w:rPr>
          <w:rFonts w:ascii="Times New Roman" w:hAnsi="Times New Roman" w:cs="Times New Roman"/>
          <w:b/>
          <w:bCs/>
          <w:sz w:val="28"/>
          <w:szCs w:val="28"/>
        </w:rPr>
      </w:pPr>
    </w:p>
    <w:p w14:paraId="1AD494D2" w14:textId="77777777" w:rsidR="0032565D" w:rsidRDefault="0032565D" w:rsidP="00263183">
      <w:pPr>
        <w:spacing w:after="0" w:line="360" w:lineRule="auto"/>
        <w:jc w:val="right"/>
        <w:rPr>
          <w:rFonts w:ascii="Times New Roman" w:hAnsi="Times New Roman" w:cs="Times New Roman"/>
          <w:b/>
          <w:bCs/>
          <w:sz w:val="28"/>
          <w:szCs w:val="28"/>
        </w:rPr>
      </w:pPr>
    </w:p>
    <w:p w14:paraId="685E0C3C" w14:textId="77777777" w:rsidR="0032565D" w:rsidRPr="006A21FC" w:rsidRDefault="0032565D" w:rsidP="00263183">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3A50721B" w14:textId="77777777" w:rsidR="00AC0219" w:rsidRDefault="00AC0219" w:rsidP="00263183">
      <w:pPr>
        <w:spacing w:after="0" w:line="240" w:lineRule="auto"/>
        <w:jc w:val="center"/>
        <w:rPr>
          <w:rFonts w:ascii="Times New Roman" w:hAnsi="Times New Roman" w:cs="Times New Roman"/>
          <w:noProof/>
          <w:sz w:val="28"/>
          <w:szCs w:val="28"/>
        </w:rPr>
      </w:pPr>
    </w:p>
    <w:p w14:paraId="2A6FC973" w14:textId="77777777" w:rsidR="00AC0219" w:rsidRDefault="00AC0219" w:rsidP="00263183">
      <w:pPr>
        <w:spacing w:after="0" w:line="240" w:lineRule="auto"/>
        <w:jc w:val="center"/>
        <w:rPr>
          <w:rFonts w:ascii="Times New Roman" w:hAnsi="Times New Roman" w:cs="Times New Roman"/>
          <w:noProof/>
          <w:sz w:val="28"/>
          <w:szCs w:val="28"/>
        </w:rPr>
      </w:pPr>
    </w:p>
    <w:p w14:paraId="383820AA" w14:textId="77777777" w:rsidR="00AC0219" w:rsidRDefault="00AC0219" w:rsidP="00263183">
      <w:pPr>
        <w:spacing w:after="0" w:line="240" w:lineRule="auto"/>
        <w:jc w:val="center"/>
        <w:rPr>
          <w:rFonts w:ascii="Times New Roman" w:hAnsi="Times New Roman" w:cs="Times New Roman"/>
          <w:noProof/>
          <w:sz w:val="28"/>
          <w:szCs w:val="28"/>
        </w:rPr>
      </w:pPr>
    </w:p>
    <w:p w14:paraId="194FE612" w14:textId="77777777" w:rsidR="00AC0219" w:rsidRDefault="00AC0219" w:rsidP="00263183">
      <w:pPr>
        <w:spacing w:after="0" w:line="240" w:lineRule="auto"/>
        <w:jc w:val="center"/>
        <w:rPr>
          <w:rFonts w:ascii="Times New Roman" w:hAnsi="Times New Roman" w:cs="Times New Roman"/>
          <w:noProof/>
          <w:sz w:val="28"/>
          <w:szCs w:val="28"/>
        </w:rPr>
      </w:pPr>
    </w:p>
    <w:p w14:paraId="31B473B6" w14:textId="77777777" w:rsidR="00AC0219" w:rsidRDefault="00AC0219" w:rsidP="00263183">
      <w:pPr>
        <w:spacing w:after="0" w:line="240" w:lineRule="auto"/>
        <w:jc w:val="center"/>
        <w:rPr>
          <w:rFonts w:ascii="Times New Roman" w:hAnsi="Times New Roman" w:cs="Times New Roman"/>
          <w:noProof/>
          <w:sz w:val="28"/>
          <w:szCs w:val="28"/>
        </w:rPr>
      </w:pPr>
    </w:p>
    <w:p w14:paraId="75708AA9" w14:textId="77777777" w:rsidR="00AC0219" w:rsidRDefault="00AC0219" w:rsidP="00263183">
      <w:pPr>
        <w:spacing w:after="0" w:line="240" w:lineRule="auto"/>
        <w:jc w:val="center"/>
        <w:rPr>
          <w:rFonts w:ascii="Times New Roman" w:hAnsi="Times New Roman" w:cs="Times New Roman"/>
          <w:noProof/>
          <w:sz w:val="28"/>
          <w:szCs w:val="28"/>
        </w:rPr>
      </w:pPr>
    </w:p>
    <w:p w14:paraId="7B0852BA" w14:textId="72C7C8D5" w:rsidR="0032565D" w:rsidRDefault="0032565D" w:rsidP="00263183">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CERTIFICATION</w:t>
      </w:r>
    </w:p>
    <w:p w14:paraId="095AB038" w14:textId="77777777" w:rsidR="0032565D" w:rsidRDefault="0032565D" w:rsidP="00263183">
      <w:pPr>
        <w:spacing w:after="0" w:line="240" w:lineRule="auto"/>
        <w:jc w:val="center"/>
        <w:rPr>
          <w:rFonts w:ascii="Times New Roman" w:hAnsi="Times New Roman" w:cs="Times New Roman"/>
          <w:sz w:val="28"/>
          <w:szCs w:val="28"/>
        </w:rPr>
      </w:pPr>
    </w:p>
    <w:p w14:paraId="7727178D" w14:textId="77777777" w:rsidR="0032565D" w:rsidRPr="00B12BF7"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This is to certify that this work is the original work of MUSA KAOSAR AJOKE</w:t>
      </w:r>
    </w:p>
    <w:p w14:paraId="31BF79CE"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with matric number HND/23/SLT/FT/0589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19B097CC" w14:textId="77777777" w:rsidR="0032565D" w:rsidRDefault="0032565D" w:rsidP="00263183">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26BC3D49" w14:textId="77777777" w:rsidR="0032565D" w:rsidRDefault="0032565D" w:rsidP="00263183">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E87DAA2" w14:textId="77777777" w:rsidR="0032565D" w:rsidRDefault="0032565D" w:rsidP="00263183">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CDB4CC5" w14:textId="77777777" w:rsidR="0032565D" w:rsidRDefault="0032565D" w:rsidP="00263183">
      <w:pPr>
        <w:jc w:val="both"/>
        <w:rPr>
          <w:rFonts w:ascii="Times New Roman" w:hAnsi="Times New Roman" w:cs="Times New Roman"/>
          <w:sz w:val="28"/>
          <w:szCs w:val="28"/>
        </w:rPr>
      </w:pPr>
    </w:p>
    <w:p w14:paraId="641D0C30" w14:textId="77777777" w:rsidR="0032565D" w:rsidRDefault="0032565D" w:rsidP="00263183">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4969797C" w14:textId="77777777" w:rsidR="0032565D" w:rsidRDefault="0032565D" w:rsidP="00263183">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E666109" w14:textId="77777777" w:rsidR="0032565D" w:rsidRDefault="0032565D" w:rsidP="00263183">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68A5920D" w14:textId="77777777" w:rsidR="0032565D" w:rsidRDefault="0032565D" w:rsidP="00263183">
      <w:pPr>
        <w:spacing w:after="0"/>
        <w:jc w:val="both"/>
        <w:rPr>
          <w:rFonts w:ascii="Times New Roman" w:hAnsi="Times New Roman" w:cs="Times New Roman"/>
          <w:sz w:val="28"/>
          <w:szCs w:val="28"/>
        </w:rPr>
      </w:pPr>
    </w:p>
    <w:p w14:paraId="32E0D943" w14:textId="77777777" w:rsidR="0032565D" w:rsidRDefault="0032565D" w:rsidP="00263183">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76FB9F53" w14:textId="77777777" w:rsidR="0032565D" w:rsidRDefault="0032565D" w:rsidP="00263183">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E1C3800" w14:textId="77777777" w:rsidR="0032565D" w:rsidRDefault="0032565D" w:rsidP="00263183">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0B9D33CA" w14:textId="77777777" w:rsidR="0032565D" w:rsidRDefault="0032565D" w:rsidP="00263183">
      <w:pPr>
        <w:jc w:val="both"/>
        <w:rPr>
          <w:rFonts w:ascii="Times New Roman" w:hAnsi="Times New Roman" w:cs="Times New Roman"/>
          <w:sz w:val="28"/>
          <w:szCs w:val="28"/>
        </w:rPr>
      </w:pPr>
    </w:p>
    <w:p w14:paraId="28D8936B" w14:textId="77777777" w:rsidR="0032565D" w:rsidRDefault="0032565D" w:rsidP="00263183">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79C2AD8" w14:textId="77777777" w:rsidR="0032565D" w:rsidRDefault="0032565D" w:rsidP="00263183">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5D245212" w14:textId="77777777" w:rsidR="0032565D" w:rsidRDefault="0032565D" w:rsidP="00263183">
      <w:pPr>
        <w:ind w:left="2160" w:firstLine="720"/>
        <w:jc w:val="both"/>
        <w:rPr>
          <w:rFonts w:ascii="Times New Roman" w:hAnsi="Times New Roman" w:cs="Times New Roman"/>
          <w:b/>
          <w:bCs/>
          <w:sz w:val="28"/>
          <w:szCs w:val="28"/>
        </w:rPr>
      </w:pPr>
    </w:p>
    <w:p w14:paraId="556D5FD1" w14:textId="77777777" w:rsidR="0032565D" w:rsidRDefault="0032565D" w:rsidP="00263183">
      <w:pPr>
        <w:spacing w:line="480" w:lineRule="auto"/>
        <w:rPr>
          <w:rFonts w:ascii="Times New Roman" w:hAnsi="Times New Roman" w:cs="Times New Roman"/>
          <w:b/>
          <w:bCs/>
          <w:sz w:val="28"/>
          <w:szCs w:val="28"/>
        </w:rPr>
      </w:pPr>
    </w:p>
    <w:p w14:paraId="6001C89D" w14:textId="77777777" w:rsidR="0032565D" w:rsidRDefault="0032565D" w:rsidP="00263183">
      <w:pPr>
        <w:spacing w:line="480" w:lineRule="auto"/>
        <w:rPr>
          <w:rFonts w:ascii="Times New Roman" w:hAnsi="Times New Roman" w:cs="Times New Roman"/>
          <w:b/>
          <w:bCs/>
          <w:sz w:val="28"/>
          <w:szCs w:val="28"/>
        </w:rPr>
      </w:pPr>
    </w:p>
    <w:p w14:paraId="3F7A1A42" w14:textId="77777777" w:rsidR="0032565D" w:rsidRDefault="0032565D" w:rsidP="00263183">
      <w:pPr>
        <w:spacing w:line="480" w:lineRule="auto"/>
        <w:rPr>
          <w:rFonts w:ascii="Times New Roman" w:hAnsi="Times New Roman" w:cs="Times New Roman"/>
          <w:b/>
          <w:bCs/>
          <w:sz w:val="28"/>
          <w:szCs w:val="28"/>
        </w:rPr>
      </w:pPr>
    </w:p>
    <w:p w14:paraId="4A4E2D0B" w14:textId="77777777" w:rsidR="0032565D" w:rsidRDefault="0032565D" w:rsidP="00263183">
      <w:pPr>
        <w:spacing w:line="480" w:lineRule="auto"/>
        <w:rPr>
          <w:rFonts w:ascii="Times New Roman" w:hAnsi="Times New Roman" w:cs="Times New Roman"/>
          <w:b/>
          <w:bCs/>
          <w:sz w:val="28"/>
          <w:szCs w:val="28"/>
        </w:rPr>
      </w:pPr>
    </w:p>
    <w:p w14:paraId="3422DB62" w14:textId="77777777" w:rsidR="0032565D" w:rsidRDefault="0032565D" w:rsidP="00263183">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DEDICATION</w:t>
      </w:r>
    </w:p>
    <w:p w14:paraId="38471705" w14:textId="77777777" w:rsidR="0032565D" w:rsidRPr="00B12BF7"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project work is dedicated to Almighty Allah for giving me sound health throughout my course and to my late mother, ALHAJA RALIAT MUSA (of blessed memory) May Almighty Allah grant her </w:t>
      </w:r>
      <w:proofErr w:type="spellStart"/>
      <w:r>
        <w:rPr>
          <w:rFonts w:ascii="Times New Roman" w:hAnsi="Times New Roman" w:cs="Times New Roman"/>
          <w:sz w:val="28"/>
          <w:szCs w:val="28"/>
        </w:rPr>
        <w:t>Aljana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Fridaous</w:t>
      </w:r>
      <w:proofErr w:type="spellEnd"/>
      <w:r>
        <w:rPr>
          <w:rFonts w:ascii="Times New Roman" w:hAnsi="Times New Roman" w:cs="Times New Roman"/>
          <w:sz w:val="28"/>
          <w:szCs w:val="28"/>
        </w:rPr>
        <w:t xml:space="preserve"> (Amin)</w:t>
      </w:r>
    </w:p>
    <w:p w14:paraId="1A4ADB2F" w14:textId="77777777" w:rsidR="0032565D" w:rsidRDefault="0032565D" w:rsidP="00263183">
      <w:pPr>
        <w:spacing w:line="480" w:lineRule="auto"/>
        <w:jc w:val="both"/>
        <w:rPr>
          <w:rFonts w:ascii="Times New Roman" w:hAnsi="Times New Roman" w:cs="Times New Roman"/>
          <w:sz w:val="28"/>
          <w:szCs w:val="28"/>
        </w:rPr>
      </w:pPr>
    </w:p>
    <w:p w14:paraId="44C74EAD" w14:textId="77777777" w:rsidR="0032565D" w:rsidRDefault="0032565D" w:rsidP="00263183">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2D2209F5" w14:textId="77777777" w:rsidR="0032565D" w:rsidRDefault="0032565D" w:rsidP="00263183">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0DE4BDF2" w14:textId="77777777" w:rsidR="0032565D" w:rsidRDefault="0032565D" w:rsidP="0026318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Alhamdullilah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Robillihalain</w:t>
      </w:r>
      <w:proofErr w:type="spellEnd"/>
      <w:r>
        <w:rPr>
          <w:rFonts w:ascii="Times New Roman" w:hAnsi="Times New Roman" w:cs="Times New Roman"/>
          <w:sz w:val="28"/>
          <w:szCs w:val="28"/>
        </w:rPr>
        <w:t xml:space="preserve">. All glory, all honors and adoration goes to the mighty one(Allah) for giving me the rare privilege to complete this work. It is very important to appreciate the efforts of my Dad (ALH. CHIEF, SULAIMON MUSA),  who has contributed greatly to my success in the course of my study both financially and morally. I pray that May Allah continue to guide, protect, and shower him unending blessings (Amin). I will like to appreciate my amiable and concierge supervisor MR. OLARONGBE, G.O whose suggestion and supervision has led to the success of this project, May Almighty Allah reward him abundantly. I would also like to appreciate my siblings, efforts, their moral support and words of encouragement goes a long way for me, may Allah help me to reward them. (Amin). Furthermore, my appreciation goes to my very good friends who has always have my back during this phase. AREMU SALAWA OLAIDE, MALIK ZAINAB OYINDAMOLA. I love you both. My appreciation goes to the entire lecturers and staffs of the Department of Science Laboratory Technology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and to my colleagues for a good relationship and cooperation from the beginning of my program till the end. May God be with you all in all the ramifications of life. Amin.</w:t>
      </w:r>
    </w:p>
    <w:p w14:paraId="1B579A66" w14:textId="77777777" w:rsidR="0032565D" w:rsidRDefault="0032565D" w:rsidP="00263183">
      <w:pPr>
        <w:tabs>
          <w:tab w:val="left" w:pos="3340"/>
        </w:tabs>
        <w:spacing w:line="360" w:lineRule="auto"/>
        <w:rPr>
          <w:rFonts w:ascii="Times New Roman" w:hAnsi="Times New Roman" w:cs="Times New Roman"/>
          <w:b/>
          <w:bCs/>
          <w:sz w:val="28"/>
          <w:szCs w:val="28"/>
        </w:rPr>
      </w:pPr>
      <w:r>
        <w:rPr>
          <w:rFonts w:ascii="Times New Roman" w:hAnsi="Times New Roman" w:cs="Times New Roman"/>
          <w:sz w:val="28"/>
          <w:szCs w:val="28"/>
        </w:rPr>
        <w:t>]</w:t>
      </w:r>
    </w:p>
    <w:p w14:paraId="0ACAF859" w14:textId="77777777" w:rsidR="0032565D" w:rsidRDefault="0032565D" w:rsidP="00263183">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27A63823"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2EC46D55"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i</w:t>
      </w:r>
      <w:proofErr w:type="spellEnd"/>
    </w:p>
    <w:p w14:paraId="40A32ED2"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4F47F911"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172AE5A8"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63B927C2"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5137337D"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4DBF1F78"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38272F5D" w14:textId="77777777" w:rsidR="0032565D" w:rsidRDefault="0032565D" w:rsidP="0026318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5250C46C"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7F8C4191"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42BC4BD1"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4CB5593B"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642D1123"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2FF74A5A" w14:textId="77777777" w:rsidR="0032565D" w:rsidRDefault="0032565D" w:rsidP="0026318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3CEC21FB"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9E0785E"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376945A"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3726113E"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Sample Processing and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A705B7A"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53723CFF"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609AEF22"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32D4C5CB"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27B4B971"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B3ADC78"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C28DF2D"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 xml:space="preserve">Preparation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4706BDA7"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68A696B1"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59EFFB23"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66824AB3"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2F789ED4"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4171F0C6"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Characterization and identification of fungal isolates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4B2EB9E4"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Pr>
          <w:rFonts w:ascii="Times New Roman" w:hAnsi="Times New Roman" w:cs="Times New Roman"/>
          <w:iCs/>
          <w:sz w:val="28"/>
          <w:szCs w:val="28"/>
        </w:rPr>
        <w:t>Daily Observation for 100% conc. Toxin Administration in Rats</w:t>
      </w:r>
      <w:r>
        <w:rPr>
          <w:rFonts w:ascii="Times New Roman" w:hAnsi="Times New Roman" w:cs="Times New Roman"/>
          <w:sz w:val="28"/>
          <w:szCs w:val="28"/>
        </w:rPr>
        <w:tab/>
        <w:t>36</w:t>
      </w:r>
    </w:p>
    <w:p w14:paraId="5A9E3120" w14:textId="77777777" w:rsidR="0032565D" w:rsidRDefault="0032565D" w:rsidP="00263183">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r>
      <w:r>
        <w:rPr>
          <w:rFonts w:ascii="Times New Roman" w:hAnsi="Times New Roman" w:cs="Times New Roman"/>
          <w:iCs/>
          <w:sz w:val="28"/>
          <w:szCs w:val="28"/>
        </w:rPr>
        <w:t>Daily Observation for 80% conc. Toxin Administration in Rats</w:t>
      </w:r>
      <w:r>
        <w:rPr>
          <w:rFonts w:ascii="Times New Roman" w:hAnsi="Times New Roman" w:cs="Times New Roman"/>
          <w:sz w:val="28"/>
          <w:szCs w:val="28"/>
        </w:rPr>
        <w:tab/>
      </w:r>
      <w:r>
        <w:rPr>
          <w:rFonts w:ascii="Times New Roman" w:hAnsi="Times New Roman" w:cs="Times New Roman"/>
          <w:sz w:val="28"/>
          <w:szCs w:val="28"/>
        </w:rPr>
        <w:tab/>
        <w:t xml:space="preserve">37                      </w:t>
      </w:r>
    </w:p>
    <w:p w14:paraId="01CF758A"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 60% conc. Toxin Administration in Rats</w:t>
      </w:r>
      <w:r>
        <w:rPr>
          <w:rFonts w:ascii="Times New Roman" w:hAnsi="Times New Roman" w:cs="Times New Roman"/>
          <w:sz w:val="28"/>
          <w:szCs w:val="28"/>
        </w:rPr>
        <w:tab/>
      </w:r>
      <w:r>
        <w:rPr>
          <w:rFonts w:ascii="Times New Roman" w:hAnsi="Times New Roman" w:cs="Times New Roman"/>
          <w:sz w:val="28"/>
          <w:szCs w:val="28"/>
        </w:rPr>
        <w:tab/>
        <w:t>37</w:t>
      </w:r>
    </w:p>
    <w:p w14:paraId="0EDCEB9A"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 50% conc. Toxin Administration in Rats</w:t>
      </w:r>
      <w:r>
        <w:rPr>
          <w:rFonts w:ascii="Times New Roman" w:hAnsi="Times New Roman" w:cs="Times New Roman"/>
          <w:sz w:val="28"/>
          <w:szCs w:val="28"/>
        </w:rPr>
        <w:tab/>
      </w:r>
      <w:r>
        <w:rPr>
          <w:rFonts w:ascii="Times New Roman" w:hAnsi="Times New Roman" w:cs="Times New Roman"/>
          <w:sz w:val="28"/>
          <w:szCs w:val="28"/>
        </w:rPr>
        <w:tab/>
        <w:t>38</w:t>
      </w:r>
    </w:p>
    <w:p w14:paraId="4C473CD4"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39                                                          </w:t>
      </w:r>
    </w:p>
    <w:p w14:paraId="63F55F3D" w14:textId="77777777" w:rsidR="0032565D" w:rsidRDefault="0032565D" w:rsidP="0026318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7539946"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D2C04C5"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t xml:space="preserve">        </w:t>
      </w:r>
    </w:p>
    <w:p w14:paraId="5CBFDA72"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472C424C"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14:paraId="07F83342" w14:textId="77777777" w:rsidR="0032565D" w:rsidRDefault="0032565D" w:rsidP="00263183">
      <w:pPr>
        <w:tabs>
          <w:tab w:val="left" w:pos="3780"/>
        </w:tabs>
        <w:spacing w:line="480" w:lineRule="auto"/>
        <w:jc w:val="both"/>
        <w:rPr>
          <w:rFonts w:ascii="Times New Roman" w:hAnsi="Times New Roman" w:cs="Times New Roman"/>
          <w:sz w:val="28"/>
          <w:szCs w:val="28"/>
        </w:rPr>
      </w:pPr>
    </w:p>
    <w:p w14:paraId="57D30FB1" w14:textId="77777777" w:rsidR="0032565D" w:rsidRDefault="0032565D" w:rsidP="00263183">
      <w:pPr>
        <w:spacing w:line="480" w:lineRule="auto"/>
        <w:jc w:val="both"/>
        <w:rPr>
          <w:rFonts w:ascii="Times New Roman" w:hAnsi="Times New Roman" w:cs="Times New Roman"/>
          <w:sz w:val="28"/>
          <w:szCs w:val="28"/>
        </w:rPr>
      </w:pPr>
    </w:p>
    <w:p w14:paraId="570DD34A" w14:textId="77777777" w:rsidR="0032565D" w:rsidRDefault="0032565D" w:rsidP="00263183">
      <w:pPr>
        <w:spacing w:line="480" w:lineRule="auto"/>
        <w:jc w:val="both"/>
        <w:rPr>
          <w:rFonts w:ascii="Times New Roman" w:hAnsi="Times New Roman" w:cs="Times New Roman"/>
          <w:sz w:val="28"/>
          <w:szCs w:val="28"/>
        </w:rPr>
      </w:pPr>
    </w:p>
    <w:p w14:paraId="486F9D7E" w14:textId="77777777" w:rsidR="0032565D" w:rsidRDefault="0032565D" w:rsidP="0026318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7CF9BBEB"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Table 1:  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13AB1BB6"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Pr>
          <w:rFonts w:ascii="Times New Roman" w:hAnsi="Times New Roman" w:cs="Times New Roman"/>
          <w:iCs/>
          <w:sz w:val="28"/>
          <w:szCs w:val="28"/>
        </w:rPr>
        <w:t>Daily Observation for 100% conc. Toxin Administration in Rats</w:t>
      </w:r>
      <w:r>
        <w:rPr>
          <w:rFonts w:ascii="Times New Roman" w:hAnsi="Times New Roman" w:cs="Times New Roman"/>
          <w:sz w:val="28"/>
          <w:szCs w:val="28"/>
        </w:rPr>
        <w:tab/>
        <w:t>36</w:t>
      </w:r>
    </w:p>
    <w:p w14:paraId="2652D9D4" w14:textId="77777777" w:rsidR="0032565D" w:rsidRDefault="0032565D" w:rsidP="00263183">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Table 3:  </w:t>
      </w:r>
      <w:r>
        <w:rPr>
          <w:rFonts w:ascii="Times New Roman" w:hAnsi="Times New Roman" w:cs="Times New Roman"/>
          <w:iCs/>
          <w:sz w:val="28"/>
          <w:szCs w:val="28"/>
        </w:rPr>
        <w:t>Daily Observation for 80% conc. Toxin Administration in Rats</w:t>
      </w:r>
      <w:r>
        <w:rPr>
          <w:rFonts w:ascii="Times New Roman" w:hAnsi="Times New Roman" w:cs="Times New Roman"/>
          <w:sz w:val="28"/>
          <w:szCs w:val="28"/>
        </w:rPr>
        <w:tab/>
        <w:t xml:space="preserve">37                      </w:t>
      </w:r>
    </w:p>
    <w:p w14:paraId="537B6325"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 60% conc. Toxin Administration in Rats</w:t>
      </w:r>
      <w:r>
        <w:rPr>
          <w:rFonts w:ascii="Times New Roman" w:hAnsi="Times New Roman" w:cs="Times New Roman"/>
          <w:sz w:val="28"/>
          <w:szCs w:val="28"/>
        </w:rPr>
        <w:tab/>
        <w:t>37</w:t>
      </w:r>
    </w:p>
    <w:p w14:paraId="3F976712"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 50% conc. Toxin Administration in Rats</w:t>
      </w:r>
      <w:r>
        <w:rPr>
          <w:rFonts w:ascii="Times New Roman" w:hAnsi="Times New Roman" w:cs="Times New Roman"/>
          <w:sz w:val="28"/>
          <w:szCs w:val="28"/>
        </w:rPr>
        <w:tab/>
        <w:t>38</w:t>
      </w:r>
    </w:p>
    <w:p w14:paraId="2E59F535"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4C20B9A9" w14:textId="77777777" w:rsidR="0032565D" w:rsidRDefault="0032565D" w:rsidP="00263183">
      <w:pPr>
        <w:spacing w:line="480" w:lineRule="auto"/>
        <w:jc w:val="both"/>
        <w:rPr>
          <w:rFonts w:ascii="Times New Roman" w:hAnsi="Times New Roman" w:cs="Times New Roman"/>
          <w:sz w:val="28"/>
          <w:szCs w:val="28"/>
        </w:rPr>
      </w:pPr>
    </w:p>
    <w:p w14:paraId="1E7F6635"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880C29E" w14:textId="77777777" w:rsidR="0032565D" w:rsidRDefault="0032565D" w:rsidP="00263183">
      <w:pPr>
        <w:spacing w:line="480" w:lineRule="auto"/>
        <w:jc w:val="both"/>
        <w:rPr>
          <w:rFonts w:ascii="Times New Roman" w:hAnsi="Times New Roman" w:cs="Times New Roman"/>
          <w:sz w:val="28"/>
          <w:szCs w:val="28"/>
        </w:rPr>
      </w:pPr>
    </w:p>
    <w:p w14:paraId="1EB6E631" w14:textId="77777777" w:rsidR="0032565D" w:rsidRDefault="0032565D" w:rsidP="00263183">
      <w:pPr>
        <w:spacing w:line="480" w:lineRule="auto"/>
        <w:jc w:val="both"/>
        <w:rPr>
          <w:rFonts w:ascii="Times New Roman" w:hAnsi="Times New Roman" w:cs="Times New Roman"/>
          <w:sz w:val="28"/>
          <w:szCs w:val="28"/>
        </w:rPr>
      </w:pPr>
    </w:p>
    <w:p w14:paraId="69A9A184" w14:textId="77777777" w:rsidR="0032565D" w:rsidRDefault="0032565D" w:rsidP="00263183">
      <w:pPr>
        <w:spacing w:line="480" w:lineRule="auto"/>
        <w:jc w:val="both"/>
        <w:rPr>
          <w:rFonts w:ascii="Times New Roman" w:hAnsi="Times New Roman" w:cs="Times New Roman"/>
          <w:sz w:val="28"/>
          <w:szCs w:val="28"/>
        </w:rPr>
      </w:pPr>
    </w:p>
    <w:p w14:paraId="2BA63C3E" w14:textId="77777777" w:rsidR="0032565D" w:rsidRDefault="0032565D" w:rsidP="00263183">
      <w:pPr>
        <w:spacing w:line="480" w:lineRule="auto"/>
        <w:jc w:val="center"/>
        <w:rPr>
          <w:rFonts w:ascii="Times New Roman" w:hAnsi="Times New Roman" w:cs="Times New Roman"/>
          <w:b/>
          <w:bCs/>
          <w:sz w:val="28"/>
          <w:szCs w:val="28"/>
        </w:rPr>
      </w:pPr>
    </w:p>
    <w:p w14:paraId="2361D098" w14:textId="77777777" w:rsidR="0032565D" w:rsidRDefault="0032565D" w:rsidP="00263183">
      <w:pPr>
        <w:spacing w:line="480" w:lineRule="auto"/>
        <w:jc w:val="center"/>
        <w:rPr>
          <w:rFonts w:ascii="Times New Roman" w:hAnsi="Times New Roman" w:cs="Times New Roman"/>
          <w:b/>
          <w:bCs/>
          <w:sz w:val="28"/>
          <w:szCs w:val="28"/>
        </w:rPr>
      </w:pPr>
    </w:p>
    <w:p w14:paraId="7A8C284A" w14:textId="77777777" w:rsidR="0032565D" w:rsidRDefault="0032565D" w:rsidP="00263183">
      <w:pPr>
        <w:spacing w:line="480" w:lineRule="auto"/>
        <w:jc w:val="center"/>
        <w:rPr>
          <w:rFonts w:ascii="Times New Roman" w:hAnsi="Times New Roman" w:cs="Times New Roman"/>
          <w:b/>
          <w:bCs/>
          <w:sz w:val="28"/>
          <w:szCs w:val="28"/>
        </w:rPr>
      </w:pPr>
    </w:p>
    <w:p w14:paraId="6DF28D40" w14:textId="77777777" w:rsidR="0032565D" w:rsidRDefault="0032565D" w:rsidP="0026318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0D21BF86" w14:textId="77777777" w:rsidR="0032565D" w:rsidRDefault="0032565D" w:rsidP="00263183">
      <w:pPr>
        <w:spacing w:line="480" w:lineRule="auto"/>
        <w:jc w:val="both"/>
        <w:rPr>
          <w:rFonts w:ascii="Times New Roman" w:hAnsi="Times New Roman" w:cs="Times New Roman"/>
          <w:sz w:val="28"/>
          <w:szCs w:val="28"/>
        </w:rPr>
      </w:pPr>
      <w:proofErr w:type="spellStart"/>
      <w:r w:rsidRPr="00B06E5D">
        <w:rPr>
          <w:rFonts w:ascii="Times New Roman" w:hAnsi="Times New Roman" w:cs="Times New Roman"/>
          <w:i/>
          <w:iCs/>
          <w:sz w:val="28"/>
          <w:szCs w:val="28"/>
        </w:rPr>
        <w:t>Penicillium</w:t>
      </w:r>
      <w:proofErr w:type="spellEnd"/>
      <w:r w:rsidRPr="00B06E5D">
        <w:rPr>
          <w:rFonts w:ascii="Times New Roman" w:hAnsi="Times New Roman" w:cs="Times New Roman"/>
          <w:i/>
          <w:iCs/>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is a toxigenic fungus commonly found on spoiled food products, capable of producing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 mycotoxin known for causing liver and kidney damage in both humans and animals. This study aimed to evaluate the potency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produced by </w:t>
      </w:r>
      <w:proofErr w:type="spellStart"/>
      <w:r w:rsidRPr="00B06E5D">
        <w:rPr>
          <w:rFonts w:ascii="Times New Roman" w:hAnsi="Times New Roman" w:cs="Times New Roman"/>
          <w:i/>
          <w:iCs/>
          <w:sz w:val="28"/>
          <w:szCs w:val="28"/>
        </w:rPr>
        <w:t>Penicillium</w:t>
      </w:r>
      <w:proofErr w:type="spellEnd"/>
      <w:r w:rsidRPr="00B06E5D">
        <w:rPr>
          <w:rFonts w:ascii="Times New Roman" w:hAnsi="Times New Roman" w:cs="Times New Roman"/>
          <w:i/>
          <w:iCs/>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at varying concentrations using an animal model (rat). The specific objectives were to isolate the fungus from overripe bananas, confirm its identity through macroscopic and microscopic observations, subject it to toxin production via media incubation, and assess the toxicological effects of the extracted toxin on rats. Spoiled bananas were collected and cultured on Potato Dextrose Agar (PDA) to isolate </w:t>
      </w:r>
      <w:r w:rsidRPr="00B06E5D">
        <w:rPr>
          <w:rFonts w:ascii="Times New Roman" w:hAnsi="Times New Roman" w:cs="Times New Roman"/>
          <w:i/>
          <w:iCs/>
          <w:sz w:val="28"/>
          <w:szCs w:val="28"/>
        </w:rPr>
        <w:t>P</w:t>
      </w:r>
      <w:r>
        <w:rPr>
          <w:rFonts w:ascii="Times New Roman" w:hAnsi="Times New Roman" w:cs="Times New Roman"/>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Pure colonies were confirmed based on their bluish-green appearance and microscopic structures such as septate hyphae and brush-like conidiophores. Toxin production was induced by growing the isolate in Potato Dextrose Broth (PDB) containing streptomycin to inhibit bacterial growth. The culture was incubated on a rotary shaker for 3 days, followed by 5 days at room temperature. The biomass was separated via filtration, and the clear supernatant containing the crude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extract was used for toxicity testing. Rats were grouped and administered 50%, 60%, 80%, and 100% toxin concentrations. Observations were made daily to monitor behavioral changes, feeding patterns, physical appearance, and survival. Post-mortem examinations were conducted on affected rats to evaluate organ damage. The results demonstrated a dose-dependent toxic response: rats exposed to higher concentrations exhibited abnormal behavior, reduced activity, and eventually death, while those at lower doses showed milder symptoms. Gross pathology revealed pale kidneys, dark liver spots, and intestinal shrinkage in high-dose groups. These findings confirm that </w:t>
      </w:r>
      <w:r w:rsidRPr="00B06E5D">
        <w:rPr>
          <w:rFonts w:ascii="Times New Roman" w:hAnsi="Times New Roman" w:cs="Times New Roman"/>
          <w:i/>
          <w:iCs/>
          <w:sz w:val="28"/>
          <w:szCs w:val="28"/>
        </w:rPr>
        <w:t xml:space="preserve">P.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produces a potent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and even moderate exposure poses a health risk if contaminated food is consumed.</w:t>
      </w:r>
    </w:p>
    <w:p w14:paraId="62BD211D" w14:textId="77777777" w:rsidR="0032565D" w:rsidRDefault="0032565D" w:rsidP="0026318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mycotoxin, fungal toxin, food spoilage, toxicity, rats, concentration-dependent effects</w:t>
      </w:r>
    </w:p>
    <w:p w14:paraId="0CAC4089" w14:textId="77777777" w:rsidR="0032565D" w:rsidRDefault="0032565D" w:rsidP="00263183">
      <w:pPr>
        <w:spacing w:line="480" w:lineRule="auto"/>
        <w:jc w:val="both"/>
        <w:rPr>
          <w:rFonts w:ascii="Times New Roman" w:hAnsi="Times New Roman" w:cs="Times New Roman"/>
          <w:sz w:val="28"/>
          <w:szCs w:val="28"/>
        </w:rPr>
      </w:pPr>
    </w:p>
    <w:p w14:paraId="473489EE" w14:textId="77777777" w:rsidR="0032565D" w:rsidRDefault="0032565D" w:rsidP="00263183">
      <w:pPr>
        <w:spacing w:line="480" w:lineRule="auto"/>
        <w:jc w:val="both"/>
        <w:rPr>
          <w:rFonts w:ascii="Times New Roman" w:hAnsi="Times New Roman" w:cs="Times New Roman"/>
          <w:sz w:val="28"/>
          <w:szCs w:val="28"/>
        </w:rPr>
      </w:pPr>
    </w:p>
    <w:p w14:paraId="459C5836" w14:textId="77777777" w:rsidR="0032565D" w:rsidRDefault="0032565D" w:rsidP="00263183">
      <w:pPr>
        <w:spacing w:line="480" w:lineRule="auto"/>
        <w:jc w:val="both"/>
        <w:rPr>
          <w:rFonts w:ascii="Times New Roman" w:hAnsi="Times New Roman" w:cs="Times New Roman"/>
          <w:sz w:val="28"/>
          <w:szCs w:val="28"/>
        </w:rPr>
      </w:pPr>
    </w:p>
    <w:p w14:paraId="19F0E6E9" w14:textId="77777777" w:rsidR="0032565D" w:rsidRDefault="0032565D" w:rsidP="00263183">
      <w:pPr>
        <w:spacing w:line="480" w:lineRule="auto"/>
        <w:jc w:val="both"/>
        <w:rPr>
          <w:rFonts w:ascii="Times New Roman" w:hAnsi="Times New Roman" w:cs="Times New Roman"/>
          <w:sz w:val="28"/>
          <w:szCs w:val="28"/>
        </w:rPr>
      </w:pPr>
    </w:p>
    <w:p w14:paraId="49D74393" w14:textId="77777777" w:rsidR="0032565D" w:rsidRDefault="0032565D" w:rsidP="00263183">
      <w:pPr>
        <w:spacing w:line="480" w:lineRule="auto"/>
        <w:jc w:val="both"/>
        <w:rPr>
          <w:rFonts w:ascii="Times New Roman" w:hAnsi="Times New Roman" w:cs="Times New Roman"/>
          <w:sz w:val="28"/>
          <w:szCs w:val="28"/>
        </w:rPr>
      </w:pPr>
    </w:p>
    <w:p w14:paraId="62482A74" w14:textId="77777777" w:rsidR="0032565D" w:rsidRDefault="0032565D" w:rsidP="00263183">
      <w:pPr>
        <w:spacing w:line="480" w:lineRule="auto"/>
        <w:jc w:val="both"/>
        <w:rPr>
          <w:rFonts w:ascii="Times New Roman" w:hAnsi="Times New Roman" w:cs="Times New Roman"/>
          <w:sz w:val="28"/>
          <w:szCs w:val="28"/>
        </w:rPr>
      </w:pPr>
    </w:p>
    <w:p w14:paraId="05918BFF" w14:textId="77777777" w:rsidR="0032565D" w:rsidRDefault="0032565D" w:rsidP="00263183">
      <w:pPr>
        <w:spacing w:line="480" w:lineRule="auto"/>
        <w:jc w:val="both"/>
      </w:pPr>
    </w:p>
    <w:p w14:paraId="55BAFAAA" w14:textId="77777777" w:rsidR="0032565D" w:rsidRDefault="0032565D" w:rsidP="00753DC2">
      <w:pPr>
        <w:spacing w:line="480" w:lineRule="auto"/>
        <w:jc w:val="center"/>
        <w:rPr>
          <w:rFonts w:ascii="Times New Roman" w:hAnsi="Times New Roman" w:cs="Times New Roman"/>
          <w:sz w:val="28"/>
          <w:szCs w:val="28"/>
        </w:rPr>
      </w:pPr>
    </w:p>
    <w:p w14:paraId="080758AA" w14:textId="77777777" w:rsidR="0032565D" w:rsidRDefault="0032565D" w:rsidP="00753DC2">
      <w:pPr>
        <w:spacing w:line="480" w:lineRule="auto"/>
        <w:jc w:val="center"/>
        <w:rPr>
          <w:rFonts w:ascii="Times New Roman" w:hAnsi="Times New Roman" w:cs="Times New Roman"/>
          <w:sz w:val="28"/>
          <w:szCs w:val="28"/>
        </w:rPr>
      </w:pPr>
    </w:p>
    <w:p w14:paraId="04332DEA" w14:textId="77777777" w:rsidR="0032565D" w:rsidRDefault="0032565D" w:rsidP="00753DC2">
      <w:pPr>
        <w:spacing w:line="480" w:lineRule="auto"/>
        <w:jc w:val="center"/>
        <w:rPr>
          <w:rFonts w:ascii="Times New Roman" w:hAnsi="Times New Roman" w:cs="Times New Roman"/>
          <w:sz w:val="28"/>
          <w:szCs w:val="28"/>
        </w:rPr>
      </w:pPr>
    </w:p>
    <w:p w14:paraId="0B891162" w14:textId="1CE1241D" w:rsidR="00471BB7" w:rsidRDefault="00471BB7" w:rsidP="00753DC2">
      <w:pPr>
        <w:spacing w:line="480" w:lineRule="auto"/>
        <w:jc w:val="center"/>
        <w:rPr>
          <w:rFonts w:ascii="Times New Roman" w:hAnsi="Times New Roman" w:cs="Times New Roman"/>
          <w:sz w:val="28"/>
          <w:szCs w:val="28"/>
        </w:rPr>
      </w:pPr>
      <w:r w:rsidRPr="00471BB7">
        <w:rPr>
          <w:rFonts w:ascii="Times New Roman" w:hAnsi="Times New Roman" w:cs="Times New Roman"/>
          <w:sz w:val="28"/>
          <w:szCs w:val="28"/>
        </w:rPr>
        <w:t>CHAPTER ONE</w:t>
      </w:r>
    </w:p>
    <w:p w14:paraId="49E9F7D9" w14:textId="357A1613" w:rsidR="000E1722" w:rsidRPr="00471BB7" w:rsidRDefault="000E1722"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INTRODUCTION </w:t>
      </w:r>
    </w:p>
    <w:p w14:paraId="2E046FFF" w14:textId="04F03FC6" w:rsidR="00277922" w:rsidRDefault="00016CF8" w:rsidP="00471BB7">
      <w:pPr>
        <w:spacing w:line="480" w:lineRule="auto"/>
        <w:jc w:val="both"/>
        <w:rPr>
          <w:rFonts w:ascii="Times New Roman" w:hAnsi="Times New Roman" w:cs="Times New Roman"/>
          <w:sz w:val="28"/>
          <w:szCs w:val="28"/>
        </w:rPr>
      </w:pPr>
      <w:r w:rsidRPr="00471BB7">
        <w:rPr>
          <w:rFonts w:ascii="Times New Roman" w:hAnsi="Times New Roman" w:cs="Times New Roman"/>
          <w:sz w:val="28"/>
          <w:szCs w:val="28"/>
        </w:rPr>
        <w:t>Fungi are a diverse kingdom of eukaryotic organisms that include molds, yeasts, and mushrooms, characterized by their heterotrophic mode of nutrition and filamentous growth in most species. Unlike plants, fungi lack chlorophyll and cannot perform photosynthesis; instead, they obtain nutrients through the decomposition of organic matter, parasitism, or mutualistic relationships (</w:t>
      </w:r>
      <w:proofErr w:type="spellStart"/>
      <w:r w:rsidRPr="00471BB7">
        <w:rPr>
          <w:rFonts w:ascii="Times New Roman" w:hAnsi="Times New Roman" w:cs="Times New Roman"/>
          <w:sz w:val="28"/>
          <w:szCs w:val="28"/>
        </w:rPr>
        <w:t>Heitman</w:t>
      </w:r>
      <w:proofErr w:type="spellEnd"/>
      <w:r w:rsidRPr="00471BB7">
        <w:rPr>
          <w:rFonts w:ascii="Times New Roman" w:hAnsi="Times New Roman" w:cs="Times New Roman"/>
          <w:sz w:val="28"/>
          <w:szCs w:val="28"/>
        </w:rPr>
        <w:t xml:space="preserve"> et al., 2021). They are found in almost every environment, from soil and water to extreme habitats such as deep-sea hydrothermal vents and arid deserts. Their ecological role in nutrient cycling, organic matter decomposition, and symbiotic associations with plants makes them indispensable to global ecosystems (Gao et al., 2022).</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Structurally, fungi exhibit great variation, but most filamentous species consist of hyphae, which form an interconnected network known as mycelium. The hyphal cell walls are primarily composed of chitin, a strong polysaccharide also found in arthropod exoskeletons (Gauthier</w:t>
      </w:r>
      <w:r w:rsidR="009C559B">
        <w:rPr>
          <w:rFonts w:ascii="Times New Roman" w:hAnsi="Times New Roman" w:cs="Times New Roman"/>
          <w:sz w:val="28"/>
          <w:szCs w:val="28"/>
        </w:rPr>
        <w:t xml:space="preserve"> </w:t>
      </w:r>
      <w:r w:rsidR="00A62CB0">
        <w:rPr>
          <w:rFonts w:ascii="Times New Roman" w:hAnsi="Times New Roman" w:cs="Times New Roman"/>
          <w:sz w:val="28"/>
          <w:szCs w:val="28"/>
        </w:rPr>
        <w:t>et</w:t>
      </w:r>
      <w:r w:rsidR="009C559B">
        <w:rPr>
          <w:rFonts w:ascii="Times New Roman" w:hAnsi="Times New Roman" w:cs="Times New Roman"/>
          <w:sz w:val="28"/>
          <w:szCs w:val="28"/>
        </w:rPr>
        <w:t xml:space="preserve"> al</w:t>
      </w:r>
      <w:r w:rsidR="00A62CB0">
        <w:rPr>
          <w:rFonts w:ascii="Times New Roman" w:hAnsi="Times New Roman" w:cs="Times New Roman"/>
          <w:sz w:val="28"/>
          <w:szCs w:val="28"/>
        </w:rPr>
        <w:t xml:space="preserve">., </w:t>
      </w:r>
      <w:r w:rsidRPr="00471BB7">
        <w:rPr>
          <w:rFonts w:ascii="Times New Roman" w:hAnsi="Times New Roman" w:cs="Times New Roman"/>
          <w:sz w:val="28"/>
          <w:szCs w:val="28"/>
        </w:rPr>
        <w:t>2019). Yeasts, in contrast, exist as unicellular organisms and reproduce through budding or fission, contributing significantly to fermentation industries and biotechnology. Fungi reproduce both sexually and asexually through spores, which can be airborne, waterborne, or spread via animals, allowing for rapid colonization and survival in diverse environments (Golan &amp; Pringle, 2017).</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 xml:space="preserve">The classification of fungi is based on morphological, reproductive, and molecular characteristics. Major fungal phyla include Ascomycota (sac fungi), </w:t>
      </w:r>
      <w:proofErr w:type="spellStart"/>
      <w:r w:rsidRPr="00AA12BF">
        <w:rPr>
          <w:rFonts w:ascii="Times New Roman" w:hAnsi="Times New Roman" w:cs="Times New Roman"/>
          <w:iCs/>
          <w:sz w:val="28"/>
          <w:szCs w:val="28"/>
        </w:rPr>
        <w:t>Basidiomycota</w:t>
      </w:r>
      <w:proofErr w:type="spellEnd"/>
      <w:r w:rsidRPr="00471BB7">
        <w:rPr>
          <w:rFonts w:ascii="Times New Roman" w:hAnsi="Times New Roman" w:cs="Times New Roman"/>
          <w:sz w:val="28"/>
          <w:szCs w:val="28"/>
        </w:rPr>
        <w:t xml:space="preserve"> (club fungi), </w:t>
      </w:r>
      <w:proofErr w:type="spellStart"/>
      <w:r w:rsidRPr="00AA12BF">
        <w:rPr>
          <w:rFonts w:ascii="Times New Roman" w:hAnsi="Times New Roman" w:cs="Times New Roman"/>
          <w:iCs/>
          <w:sz w:val="28"/>
          <w:szCs w:val="28"/>
        </w:rPr>
        <w:t>Zygomycota</w:t>
      </w:r>
      <w:proofErr w:type="spellEnd"/>
      <w:r w:rsidRPr="00AA12BF">
        <w:rPr>
          <w:rFonts w:ascii="Times New Roman" w:hAnsi="Times New Roman" w:cs="Times New Roman"/>
          <w:sz w:val="28"/>
          <w:szCs w:val="28"/>
        </w:rPr>
        <w:t xml:space="preserve"> </w:t>
      </w:r>
      <w:r w:rsidRPr="00471BB7">
        <w:rPr>
          <w:rFonts w:ascii="Times New Roman" w:hAnsi="Times New Roman" w:cs="Times New Roman"/>
          <w:sz w:val="28"/>
          <w:szCs w:val="28"/>
        </w:rPr>
        <w:t xml:space="preserve">(bread molds), </w:t>
      </w:r>
      <w:proofErr w:type="spellStart"/>
      <w:r w:rsidRPr="00AA12BF">
        <w:rPr>
          <w:rFonts w:ascii="Times New Roman" w:hAnsi="Times New Roman" w:cs="Times New Roman"/>
          <w:iCs/>
          <w:sz w:val="28"/>
          <w:szCs w:val="28"/>
        </w:rPr>
        <w:t>Chytridiomycota</w:t>
      </w:r>
      <w:proofErr w:type="spellEnd"/>
      <w:r w:rsidRPr="00471BB7">
        <w:rPr>
          <w:rFonts w:ascii="Times New Roman" w:hAnsi="Times New Roman" w:cs="Times New Roman"/>
          <w:sz w:val="28"/>
          <w:szCs w:val="28"/>
        </w:rPr>
        <w:t xml:space="preserve"> (aquatic fungi), and </w:t>
      </w:r>
      <w:proofErr w:type="spellStart"/>
      <w:r w:rsidRPr="00AA12BF">
        <w:rPr>
          <w:rFonts w:ascii="Times New Roman" w:hAnsi="Times New Roman" w:cs="Times New Roman"/>
          <w:iCs/>
          <w:sz w:val="28"/>
          <w:szCs w:val="28"/>
        </w:rPr>
        <w:t>Glomeromycota</w:t>
      </w:r>
      <w:proofErr w:type="spellEnd"/>
      <w:r w:rsidRPr="00471BB7">
        <w:rPr>
          <w:rFonts w:ascii="Times New Roman" w:hAnsi="Times New Roman" w:cs="Times New Roman"/>
          <w:sz w:val="28"/>
          <w:szCs w:val="28"/>
        </w:rPr>
        <w:t xml:space="preserve"> (</w:t>
      </w:r>
      <w:proofErr w:type="spellStart"/>
      <w:r w:rsidRPr="00AA12BF">
        <w:rPr>
          <w:rFonts w:ascii="Times New Roman" w:hAnsi="Times New Roman" w:cs="Times New Roman"/>
          <w:iCs/>
          <w:sz w:val="28"/>
          <w:szCs w:val="28"/>
        </w:rPr>
        <w:t>arbuscular</w:t>
      </w:r>
      <w:proofErr w:type="spellEnd"/>
      <w:r w:rsidRPr="00AA12BF">
        <w:rPr>
          <w:rFonts w:ascii="Times New Roman" w:hAnsi="Times New Roman" w:cs="Times New Roman"/>
          <w:sz w:val="28"/>
          <w:szCs w:val="28"/>
        </w:rPr>
        <w:t xml:space="preserve"> </w:t>
      </w:r>
      <w:proofErr w:type="spellStart"/>
      <w:r w:rsidRPr="00AA12BF">
        <w:rPr>
          <w:rFonts w:ascii="Times New Roman" w:hAnsi="Times New Roman" w:cs="Times New Roman"/>
          <w:iCs/>
          <w:sz w:val="28"/>
          <w:szCs w:val="28"/>
        </w:rPr>
        <w:t>mycorrhizal</w:t>
      </w:r>
      <w:proofErr w:type="spellEnd"/>
      <w:r w:rsidRPr="00471BB7">
        <w:rPr>
          <w:rFonts w:ascii="Times New Roman" w:hAnsi="Times New Roman" w:cs="Times New Roman"/>
          <w:sz w:val="28"/>
          <w:szCs w:val="28"/>
        </w:rPr>
        <w:t xml:space="preserve"> fungi). Among these, Ascomycota is the largest phylum, encompassing many industrially and medically significant genera such as </w:t>
      </w:r>
      <w:proofErr w:type="spellStart"/>
      <w:r w:rsidRPr="007669DB">
        <w:rPr>
          <w:rFonts w:ascii="Times New Roman" w:hAnsi="Times New Roman" w:cs="Times New Roman"/>
          <w:i/>
          <w:iCs/>
          <w:sz w:val="28"/>
          <w:szCs w:val="28"/>
        </w:rPr>
        <w:t>Penicillium</w:t>
      </w:r>
      <w:proofErr w:type="spellEnd"/>
      <w:r w:rsidRPr="00471BB7">
        <w:rPr>
          <w:rFonts w:ascii="Times New Roman" w:hAnsi="Times New Roman" w:cs="Times New Roman"/>
          <w:sz w:val="28"/>
          <w:szCs w:val="28"/>
        </w:rPr>
        <w:t xml:space="preserve">, </w:t>
      </w:r>
      <w:proofErr w:type="spellStart"/>
      <w:r w:rsidRPr="007669DB">
        <w:rPr>
          <w:rFonts w:ascii="Times New Roman" w:hAnsi="Times New Roman" w:cs="Times New Roman"/>
          <w:i/>
          <w:iCs/>
          <w:sz w:val="28"/>
          <w:szCs w:val="28"/>
        </w:rPr>
        <w:t>Aspergillus</w:t>
      </w:r>
      <w:proofErr w:type="spellEnd"/>
      <w:r w:rsidRPr="00471BB7">
        <w:rPr>
          <w:rFonts w:ascii="Times New Roman" w:hAnsi="Times New Roman" w:cs="Times New Roman"/>
          <w:sz w:val="28"/>
          <w:szCs w:val="28"/>
        </w:rPr>
        <w:t xml:space="preserve">, and </w:t>
      </w:r>
      <w:r w:rsidRPr="007669DB">
        <w:rPr>
          <w:rFonts w:ascii="Times New Roman" w:hAnsi="Times New Roman" w:cs="Times New Roman"/>
          <w:i/>
          <w:iCs/>
          <w:sz w:val="28"/>
          <w:szCs w:val="28"/>
        </w:rPr>
        <w:t>Saccharomyces</w:t>
      </w:r>
      <w:r w:rsidRPr="00471BB7">
        <w:rPr>
          <w:rFonts w:ascii="Times New Roman" w:hAnsi="Times New Roman" w:cs="Times New Roman"/>
          <w:sz w:val="28"/>
          <w:szCs w:val="28"/>
        </w:rPr>
        <w:t xml:space="preserve"> (</w:t>
      </w:r>
      <w:proofErr w:type="spellStart"/>
      <w:r w:rsidRPr="00471BB7">
        <w:rPr>
          <w:rFonts w:ascii="Times New Roman" w:hAnsi="Times New Roman" w:cs="Times New Roman"/>
          <w:sz w:val="28"/>
          <w:szCs w:val="28"/>
        </w:rPr>
        <w:t>Alexopoulos</w:t>
      </w:r>
      <w:proofErr w:type="spellEnd"/>
      <w:r w:rsidR="00652866">
        <w:rPr>
          <w:rFonts w:ascii="Times New Roman" w:hAnsi="Times New Roman" w:cs="Times New Roman"/>
          <w:sz w:val="28"/>
          <w:szCs w:val="28"/>
        </w:rPr>
        <w:t xml:space="preserve"> et al., </w:t>
      </w:r>
      <w:r w:rsidRPr="00471BB7">
        <w:rPr>
          <w:rFonts w:ascii="Times New Roman" w:hAnsi="Times New Roman" w:cs="Times New Roman"/>
          <w:sz w:val="28"/>
          <w:szCs w:val="28"/>
        </w:rPr>
        <w:t>2020). The advent of molecular techniques such as whole-genome sequencing and phylogenetic analysis has led to more accurate fungal classification and identification, enhancing our understanding of their evolutionary relationships and functional diversity (Sharma &amp; Ghosh, 2021).</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 xml:space="preserve">Fungi have significant economic and medical importance. They serve as natural decomposers, breaking down complex organic compounds into simpler forms that enrich the soil. Many fungi form mutualistic relationships with plants, enhancing nutrient uptake through </w:t>
      </w:r>
      <w:proofErr w:type="spellStart"/>
      <w:r w:rsidRPr="00AA12BF">
        <w:rPr>
          <w:rFonts w:ascii="Times New Roman" w:hAnsi="Times New Roman" w:cs="Times New Roman"/>
          <w:iCs/>
          <w:sz w:val="28"/>
          <w:szCs w:val="28"/>
        </w:rPr>
        <w:t>mycorrhizal</w:t>
      </w:r>
      <w:proofErr w:type="spellEnd"/>
      <w:r w:rsidRPr="00471BB7">
        <w:rPr>
          <w:rFonts w:ascii="Times New Roman" w:hAnsi="Times New Roman" w:cs="Times New Roman"/>
          <w:sz w:val="28"/>
          <w:szCs w:val="28"/>
        </w:rPr>
        <w:t xml:space="preserve"> associations. In industry, fungal species such as </w:t>
      </w:r>
      <w:r w:rsidRPr="00AA12BF">
        <w:rPr>
          <w:rFonts w:ascii="Times New Roman" w:hAnsi="Times New Roman" w:cs="Times New Roman"/>
          <w:i/>
          <w:sz w:val="28"/>
          <w:szCs w:val="28"/>
        </w:rPr>
        <w:t>Saccharomyces cerevisiae</w:t>
      </w:r>
      <w:r w:rsidRPr="00471BB7">
        <w:rPr>
          <w:rFonts w:ascii="Times New Roman" w:hAnsi="Times New Roman" w:cs="Times New Roman"/>
          <w:sz w:val="28"/>
          <w:szCs w:val="28"/>
        </w:rPr>
        <w:t xml:space="preserve"> are indispensable for alcohol fermentation, bread making, and bioethanol production. Additionally, fungi produce bioactive compounds, including antibiotics such as penicillin, </w:t>
      </w:r>
      <w:proofErr w:type="spellStart"/>
      <w:r w:rsidRPr="00471BB7">
        <w:rPr>
          <w:rFonts w:ascii="Times New Roman" w:hAnsi="Times New Roman" w:cs="Times New Roman"/>
          <w:sz w:val="28"/>
          <w:szCs w:val="28"/>
        </w:rPr>
        <w:t>immunosuppressants</w:t>
      </w:r>
      <w:proofErr w:type="spellEnd"/>
      <w:r w:rsidRPr="00471BB7">
        <w:rPr>
          <w:rFonts w:ascii="Times New Roman" w:hAnsi="Times New Roman" w:cs="Times New Roman"/>
          <w:sz w:val="28"/>
          <w:szCs w:val="28"/>
        </w:rPr>
        <w:t xml:space="preserve"> like cyclosporine, and cholesterol-lowering drugs such as lovastatin (</w:t>
      </w:r>
      <w:proofErr w:type="spellStart"/>
      <w:r w:rsidRPr="00471BB7">
        <w:rPr>
          <w:rFonts w:ascii="Times New Roman" w:hAnsi="Times New Roman" w:cs="Times New Roman"/>
          <w:sz w:val="28"/>
          <w:szCs w:val="28"/>
        </w:rPr>
        <w:t>Hibbett</w:t>
      </w:r>
      <w:proofErr w:type="spellEnd"/>
      <w:r w:rsidRPr="00471BB7">
        <w:rPr>
          <w:rFonts w:ascii="Times New Roman" w:hAnsi="Times New Roman" w:cs="Times New Roman"/>
          <w:sz w:val="28"/>
          <w:szCs w:val="28"/>
        </w:rPr>
        <w:t xml:space="preserve"> et al., 2018). However, some fungi also pose serious threats to human health, agriculture, and food safety. Pathogenic species like </w:t>
      </w:r>
      <w:r w:rsidRPr="00E31755">
        <w:rPr>
          <w:rFonts w:ascii="Times New Roman" w:hAnsi="Times New Roman" w:cs="Times New Roman"/>
          <w:i/>
          <w:iCs/>
          <w:sz w:val="28"/>
          <w:szCs w:val="28"/>
        </w:rPr>
        <w:t xml:space="preserve">Candida </w:t>
      </w:r>
      <w:proofErr w:type="spellStart"/>
      <w:r w:rsidRPr="00E31755">
        <w:rPr>
          <w:rFonts w:ascii="Times New Roman" w:hAnsi="Times New Roman" w:cs="Times New Roman"/>
          <w:i/>
          <w:iCs/>
          <w:sz w:val="28"/>
          <w:szCs w:val="28"/>
        </w:rPr>
        <w:t>albicans</w:t>
      </w:r>
      <w:proofErr w:type="spellEnd"/>
      <w:r w:rsidRPr="00471BB7">
        <w:rPr>
          <w:rFonts w:ascii="Times New Roman" w:hAnsi="Times New Roman" w:cs="Times New Roman"/>
          <w:sz w:val="28"/>
          <w:szCs w:val="28"/>
        </w:rPr>
        <w:t xml:space="preserve"> cause opportunistic infections, while plant pathogens such as </w:t>
      </w:r>
      <w:proofErr w:type="spellStart"/>
      <w:r w:rsidRPr="00E31755">
        <w:rPr>
          <w:rFonts w:ascii="Times New Roman" w:hAnsi="Times New Roman" w:cs="Times New Roman"/>
          <w:i/>
          <w:iCs/>
          <w:sz w:val="28"/>
          <w:szCs w:val="28"/>
        </w:rPr>
        <w:t>Fusarium</w:t>
      </w:r>
      <w:proofErr w:type="spellEnd"/>
      <w:r w:rsidRPr="00471BB7">
        <w:rPr>
          <w:rFonts w:ascii="Times New Roman" w:hAnsi="Times New Roman" w:cs="Times New Roman"/>
          <w:sz w:val="28"/>
          <w:szCs w:val="28"/>
        </w:rPr>
        <w:t xml:space="preserve"> and </w:t>
      </w:r>
      <w:proofErr w:type="spellStart"/>
      <w:r w:rsidR="00E31755" w:rsidRPr="00E31755">
        <w:rPr>
          <w:rFonts w:ascii="Times New Roman" w:hAnsi="Times New Roman" w:cs="Times New Roman"/>
          <w:i/>
          <w:iCs/>
          <w:sz w:val="28"/>
          <w:szCs w:val="28"/>
        </w:rPr>
        <w:t>Aspergillu</w:t>
      </w:r>
      <w:r w:rsidR="0013206C">
        <w:rPr>
          <w:rFonts w:ascii="Times New Roman" w:hAnsi="Times New Roman" w:cs="Times New Roman"/>
          <w:i/>
          <w:iCs/>
          <w:sz w:val="28"/>
          <w:szCs w:val="28"/>
        </w:rPr>
        <w:t>s</w:t>
      </w:r>
      <w:proofErr w:type="spellEnd"/>
      <w:r w:rsidR="0013206C">
        <w:rPr>
          <w:rFonts w:ascii="Times New Roman" w:hAnsi="Times New Roman" w:cs="Times New Roman"/>
          <w:i/>
          <w:iCs/>
          <w:sz w:val="28"/>
          <w:szCs w:val="28"/>
        </w:rPr>
        <w:t xml:space="preserve"> </w:t>
      </w:r>
      <w:r w:rsidRPr="00471BB7">
        <w:rPr>
          <w:rFonts w:ascii="Times New Roman" w:hAnsi="Times New Roman" w:cs="Times New Roman"/>
          <w:sz w:val="28"/>
          <w:szCs w:val="28"/>
        </w:rPr>
        <w:t>significantly reduce crop yields. Furthermore, certain fu</w:t>
      </w:r>
      <w:r w:rsidR="00AA12BF">
        <w:rPr>
          <w:rFonts w:ascii="Times New Roman" w:hAnsi="Times New Roman" w:cs="Times New Roman"/>
          <w:sz w:val="28"/>
          <w:szCs w:val="28"/>
        </w:rPr>
        <w:t xml:space="preserve">ngal species produce mycotoxins </w:t>
      </w:r>
      <w:r w:rsidRPr="00471BB7">
        <w:rPr>
          <w:rFonts w:ascii="Times New Roman" w:hAnsi="Times New Roman" w:cs="Times New Roman"/>
          <w:sz w:val="28"/>
          <w:szCs w:val="28"/>
        </w:rPr>
        <w:t>secondary metabolites that contaminate food and feed, leading to severe health consequences (</w:t>
      </w:r>
      <w:proofErr w:type="spellStart"/>
      <w:r w:rsidRPr="00471BB7">
        <w:rPr>
          <w:rFonts w:ascii="Times New Roman" w:hAnsi="Times New Roman" w:cs="Times New Roman"/>
          <w:sz w:val="28"/>
          <w:szCs w:val="28"/>
        </w:rPr>
        <w:t>Frisvad</w:t>
      </w:r>
      <w:proofErr w:type="spellEnd"/>
      <w:r w:rsidRPr="00471BB7">
        <w:rPr>
          <w:rFonts w:ascii="Times New Roman" w:hAnsi="Times New Roman" w:cs="Times New Roman"/>
          <w:sz w:val="28"/>
          <w:szCs w:val="28"/>
        </w:rPr>
        <w:t>, 2018).</w:t>
      </w:r>
      <w:r w:rsidR="004F7464" w:rsidRPr="00471BB7">
        <w:rPr>
          <w:rFonts w:ascii="Times New Roman" w:hAnsi="Times New Roman" w:cs="Times New Roman"/>
          <w:sz w:val="28"/>
          <w:szCs w:val="28"/>
        </w:rPr>
        <w:t xml:space="preserve"> </w:t>
      </w:r>
      <w:r w:rsidRPr="00471BB7">
        <w:rPr>
          <w:rFonts w:ascii="Times New Roman" w:hAnsi="Times New Roman" w:cs="Times New Roman"/>
          <w:sz w:val="28"/>
          <w:szCs w:val="28"/>
        </w:rPr>
        <w:t>The study of fungi, known as mycology, continues to expand due to their broad impact on medicine, biotechnology, and agriculture. Emerging research focuses on harnessing fungi for bioremediation, biofuel production, and novel drug discovery. However, challenges such as antifungal resistance, fungal infections in immunocompromised individuals, and climate change-driven alterations in fungal distribution require continued investigation (Fisher et al., 2020). As scientific understanding of fungi deepens, their applications in various industries and environmental conservation efforts will continue to grow.</w:t>
      </w:r>
    </w:p>
    <w:p w14:paraId="60F55333" w14:textId="01C130DA" w:rsidR="004F6A58" w:rsidRDefault="00277922"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genus </w:t>
      </w:r>
      <w:proofErr w:type="spellStart"/>
      <w:r w:rsidRPr="00AA12BF">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comprises a diverse group of filamentous fungi that are widely distributed in soil, air, decaying organic matter, and food products. These fungi belong to the phylum </w:t>
      </w:r>
      <w:r w:rsidRPr="00AA12BF">
        <w:rPr>
          <w:rFonts w:ascii="Times New Roman" w:hAnsi="Times New Roman" w:cs="Times New Roman"/>
          <w:iCs/>
          <w:sz w:val="28"/>
          <w:szCs w:val="28"/>
        </w:rPr>
        <w:t>Ascomycota</w:t>
      </w:r>
      <w:r>
        <w:rPr>
          <w:rFonts w:ascii="Times New Roman" w:hAnsi="Times New Roman" w:cs="Times New Roman"/>
          <w:sz w:val="28"/>
          <w:szCs w:val="28"/>
        </w:rPr>
        <w:t xml:space="preserve"> and the family </w:t>
      </w:r>
      <w:proofErr w:type="spellStart"/>
      <w:r w:rsidRPr="00AA12BF">
        <w:rPr>
          <w:rFonts w:ascii="Times New Roman" w:hAnsi="Times New Roman" w:cs="Times New Roman"/>
          <w:iCs/>
          <w:sz w:val="28"/>
          <w:szCs w:val="28"/>
        </w:rPr>
        <w:t>Trichocomace</w:t>
      </w:r>
      <w:r w:rsidRPr="007D0BBF">
        <w:rPr>
          <w:rFonts w:ascii="Times New Roman" w:hAnsi="Times New Roman" w:cs="Times New Roman"/>
          <w:i/>
          <w:iCs/>
          <w:sz w:val="28"/>
          <w:szCs w:val="28"/>
        </w:rPr>
        <w:t>ae</w:t>
      </w:r>
      <w:proofErr w:type="spellEnd"/>
      <w:r>
        <w:rPr>
          <w:rFonts w:ascii="Times New Roman" w:hAnsi="Times New Roman" w:cs="Times New Roman"/>
          <w:sz w:val="28"/>
          <w:szCs w:val="28"/>
        </w:rPr>
        <w:t xml:space="preserve">, characterized by their ability to produce conidia in chains from brush-like conidiophores.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are among the most studied fungi due to their industrial, medical, and agricultural significance, as well as their ability to produce secondary metabolites, including beneficial antibiotics and harmful mycotoxins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et al., 2020). Members of the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genus are predominantly saprophytic, playing a crucial role in organic matter decomposition and nutrient recycling. They are commonly found in soil, where they contribute to the breakdown of plant material and release essential nutrients into the environment. Due to their high adaptability,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can thrive in diverse habitats, including indoor environments, refrigerated foods, and even extreme ecological niches such as </w:t>
      </w:r>
      <w:r w:rsidR="00AA12BF">
        <w:rPr>
          <w:rFonts w:ascii="Times New Roman" w:hAnsi="Times New Roman" w:cs="Times New Roman"/>
          <w:sz w:val="28"/>
          <w:szCs w:val="28"/>
        </w:rPr>
        <w:t>polar region</w:t>
      </w:r>
      <w:r>
        <w:rPr>
          <w:rFonts w:ascii="Times New Roman" w:hAnsi="Times New Roman" w:cs="Times New Roman"/>
          <w:sz w:val="28"/>
          <w:szCs w:val="28"/>
        </w:rPr>
        <w:t xml:space="preserve"> and deep-sea sediments (</w:t>
      </w:r>
      <w:proofErr w:type="spellStart"/>
      <w:r>
        <w:rPr>
          <w:rFonts w:ascii="Times New Roman" w:hAnsi="Times New Roman" w:cs="Times New Roman"/>
          <w:sz w:val="28"/>
          <w:szCs w:val="28"/>
        </w:rPr>
        <w:t>Visagie</w:t>
      </w:r>
      <w:proofErr w:type="spellEnd"/>
      <w:r>
        <w:rPr>
          <w:rFonts w:ascii="Times New Roman" w:hAnsi="Times New Roman" w:cs="Times New Roman"/>
          <w:sz w:val="28"/>
          <w:szCs w:val="28"/>
        </w:rPr>
        <w:t xml:space="preserve"> et al., 2017). This adaptability is partly attributed to their ability to produce spores that can withstand harsh conditions and remain dormant until favorable growth conditions arise. The morphological characteristics of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include septate hyphae, conidiophores that branch in a distinctive </w:t>
      </w:r>
      <w:proofErr w:type="spellStart"/>
      <w:r w:rsidRPr="007D0BBF">
        <w:rPr>
          <w:rFonts w:ascii="Times New Roman" w:hAnsi="Times New Roman" w:cs="Times New Roman"/>
          <w:i/>
          <w:iCs/>
          <w:sz w:val="28"/>
          <w:szCs w:val="28"/>
        </w:rPr>
        <w:t>penicillus</w:t>
      </w:r>
      <w:proofErr w:type="spellEnd"/>
      <w:r>
        <w:rPr>
          <w:rFonts w:ascii="Times New Roman" w:hAnsi="Times New Roman" w:cs="Times New Roman"/>
          <w:sz w:val="28"/>
          <w:szCs w:val="28"/>
        </w:rPr>
        <w:t xml:space="preserve">-like structure, and pigmented conidia. Colony appearance varies depending on the species and growth medium, but many species exhibit blue-green, yellow, or white pigmentation. While traditional taxonomy relied on morphological features, advancements in molecular </w:t>
      </w:r>
      <w:proofErr w:type="spellStart"/>
      <w:r>
        <w:rPr>
          <w:rFonts w:ascii="Times New Roman" w:hAnsi="Times New Roman" w:cs="Times New Roman"/>
          <w:sz w:val="28"/>
          <w:szCs w:val="28"/>
        </w:rPr>
        <w:t>phylogenetics</w:t>
      </w:r>
      <w:proofErr w:type="spellEnd"/>
      <w:r>
        <w:rPr>
          <w:rFonts w:ascii="Times New Roman" w:hAnsi="Times New Roman" w:cs="Times New Roman"/>
          <w:sz w:val="28"/>
          <w:szCs w:val="28"/>
        </w:rPr>
        <w:t xml:space="preserve"> have significantly improved species identification, revealing cryptic diversity within the genus. Techniques such as</w:t>
      </w:r>
      <w:r w:rsidR="00463D0B">
        <w:rPr>
          <w:rFonts w:ascii="Times New Roman" w:hAnsi="Times New Roman" w:cs="Times New Roman"/>
          <w:sz w:val="28"/>
          <w:szCs w:val="28"/>
        </w:rPr>
        <w:t xml:space="preserve"> Internal Transcribed Spacer region of the ribosomal DNA(</w:t>
      </w:r>
      <w:r>
        <w:rPr>
          <w:rFonts w:ascii="Times New Roman" w:hAnsi="Times New Roman" w:cs="Times New Roman"/>
          <w:sz w:val="28"/>
          <w:szCs w:val="28"/>
        </w:rPr>
        <w:t>ITS rDNA</w:t>
      </w:r>
      <w:r w:rsidR="00463D0B">
        <w:rPr>
          <w:rFonts w:ascii="Times New Roman" w:hAnsi="Times New Roman" w:cs="Times New Roman"/>
          <w:sz w:val="28"/>
          <w:szCs w:val="28"/>
        </w:rPr>
        <w:t>)</w:t>
      </w:r>
      <w:r>
        <w:rPr>
          <w:rFonts w:ascii="Times New Roman" w:hAnsi="Times New Roman" w:cs="Times New Roman"/>
          <w:sz w:val="28"/>
          <w:szCs w:val="28"/>
        </w:rPr>
        <w:t xml:space="preserve"> sequencing and whole-genome analysis have provided deeper insights into the genetic relationships and functional diversity of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(Samson et al., 2019). Many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have beneficial applications in biotechnology, agriculture, and medicine. The most well-known example is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786B70">
        <w:rPr>
          <w:rFonts w:ascii="Times New Roman" w:hAnsi="Times New Roman" w:cs="Times New Roman"/>
          <w:i/>
          <w:iCs/>
          <w:sz w:val="28"/>
          <w:szCs w:val="28"/>
        </w:rPr>
        <w:t>rubens</w:t>
      </w:r>
      <w:proofErr w:type="spellEnd"/>
      <w:r>
        <w:rPr>
          <w:rFonts w:ascii="Times New Roman" w:hAnsi="Times New Roman" w:cs="Times New Roman"/>
          <w:sz w:val="28"/>
          <w:szCs w:val="28"/>
        </w:rPr>
        <w:t xml:space="preserve"> (formerly </w:t>
      </w:r>
      <w:r w:rsidRPr="00786B70">
        <w:rPr>
          <w:rFonts w:ascii="Times New Roman" w:hAnsi="Times New Roman" w:cs="Times New Roman"/>
          <w:i/>
          <w:iCs/>
          <w:sz w:val="28"/>
          <w:szCs w:val="28"/>
        </w:rPr>
        <w:t>P</w:t>
      </w:r>
      <w:r>
        <w:rPr>
          <w:rFonts w:ascii="Times New Roman" w:hAnsi="Times New Roman" w:cs="Times New Roman"/>
          <w:sz w:val="28"/>
          <w:szCs w:val="28"/>
        </w:rPr>
        <w:t xml:space="preserve">. </w:t>
      </w:r>
      <w:proofErr w:type="spellStart"/>
      <w:r w:rsidRPr="00786B70">
        <w:rPr>
          <w:rFonts w:ascii="Times New Roman" w:hAnsi="Times New Roman" w:cs="Times New Roman"/>
          <w:i/>
          <w:iCs/>
          <w:sz w:val="28"/>
          <w:szCs w:val="28"/>
        </w:rPr>
        <w:t>chrysogenum</w:t>
      </w:r>
      <w:proofErr w:type="spellEnd"/>
      <w:r>
        <w:rPr>
          <w:rFonts w:ascii="Times New Roman" w:hAnsi="Times New Roman" w:cs="Times New Roman"/>
          <w:sz w:val="28"/>
          <w:szCs w:val="28"/>
        </w:rPr>
        <w:t xml:space="preserve">), which produces penicillin, the first widely used antibiotic discovered by Alexander Fleming in 1928. Additionally,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play an essential role in food production, contributing to the ripening and flavor development of blue-veined cheeses such as Roquefort and Gorgonzola. Industrial enzymes derived from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strains, including pectinases, </w:t>
      </w:r>
      <w:proofErr w:type="spellStart"/>
      <w:r>
        <w:rPr>
          <w:rFonts w:ascii="Times New Roman" w:hAnsi="Times New Roman" w:cs="Times New Roman"/>
          <w:sz w:val="28"/>
          <w:szCs w:val="28"/>
        </w:rPr>
        <w:t>cellulases</w:t>
      </w:r>
      <w:proofErr w:type="spellEnd"/>
      <w:r>
        <w:rPr>
          <w:rFonts w:ascii="Times New Roman" w:hAnsi="Times New Roman" w:cs="Times New Roman"/>
          <w:sz w:val="28"/>
          <w:szCs w:val="28"/>
        </w:rPr>
        <w:t xml:space="preserve">, and lipases, are widely used in food processing, textile production, and biofuel generation (De </w:t>
      </w:r>
      <w:proofErr w:type="spellStart"/>
      <w:r>
        <w:rPr>
          <w:rFonts w:ascii="Times New Roman" w:hAnsi="Times New Roman" w:cs="Times New Roman"/>
          <w:sz w:val="28"/>
          <w:szCs w:val="28"/>
        </w:rPr>
        <w:t>Hoog</w:t>
      </w:r>
      <w:proofErr w:type="spellEnd"/>
      <w:r>
        <w:rPr>
          <w:rFonts w:ascii="Times New Roman" w:hAnsi="Times New Roman" w:cs="Times New Roman"/>
          <w:sz w:val="28"/>
          <w:szCs w:val="28"/>
        </w:rPr>
        <w:t xml:space="preserve"> et al., 2021). Despite their numerous benefits, some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pose serious risks to food safety and human health due to their ability to produce mycotoxins. Among these,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w:t>
      </w:r>
      <w:proofErr w:type="spellStart"/>
      <w:r w:rsidRPr="00753DC2">
        <w:rPr>
          <w:rFonts w:ascii="Times New Roman" w:hAnsi="Times New Roman" w:cs="Times New Roman"/>
          <w:iCs/>
          <w:sz w:val="28"/>
          <w:szCs w:val="28"/>
        </w:rPr>
        <w:t>patulin</w:t>
      </w:r>
      <w:proofErr w:type="spellEnd"/>
      <w:r>
        <w:rPr>
          <w:rFonts w:ascii="Times New Roman" w:hAnsi="Times New Roman" w:cs="Times New Roman"/>
          <w:sz w:val="28"/>
          <w:szCs w:val="28"/>
        </w:rPr>
        <w:t xml:space="preserve">, and </w:t>
      </w:r>
      <w:proofErr w:type="spellStart"/>
      <w:r w:rsidRPr="00753DC2">
        <w:rPr>
          <w:rFonts w:ascii="Times New Roman" w:hAnsi="Times New Roman" w:cs="Times New Roman"/>
          <w:iCs/>
          <w:sz w:val="28"/>
          <w:szCs w:val="28"/>
        </w:rPr>
        <w:t>ochratoxin</w:t>
      </w:r>
      <w:proofErr w:type="spellEnd"/>
      <w:r>
        <w:rPr>
          <w:rFonts w:ascii="Times New Roman" w:hAnsi="Times New Roman" w:cs="Times New Roman"/>
          <w:sz w:val="28"/>
          <w:szCs w:val="28"/>
        </w:rPr>
        <w:t xml:space="preserve"> A are particularly concerning, as they are associated with nephrotoxicity, hepatotoxicity, and carcinogenicity in humans and animals.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786B70">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w:t>
      </w:r>
      <w:r w:rsidRPr="005671B3">
        <w:rPr>
          <w:rFonts w:ascii="Times New Roman" w:hAnsi="Times New Roman" w:cs="Times New Roman"/>
          <w:i/>
          <w:iCs/>
          <w:sz w:val="28"/>
          <w:szCs w:val="28"/>
        </w:rPr>
        <w:t xml:space="preserve">P. </w:t>
      </w:r>
      <w:proofErr w:type="spellStart"/>
      <w:r w:rsidRPr="00786B70">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and </w:t>
      </w:r>
      <w:r w:rsidRPr="005671B3">
        <w:rPr>
          <w:rFonts w:ascii="Times New Roman" w:hAnsi="Times New Roman" w:cs="Times New Roman"/>
          <w:i/>
          <w:iCs/>
          <w:sz w:val="28"/>
          <w:szCs w:val="28"/>
        </w:rPr>
        <w:t xml:space="preserve">P. </w:t>
      </w:r>
      <w:proofErr w:type="spellStart"/>
      <w:r w:rsidRPr="005671B3">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are notable producers of these mycotoxins, which frequently contaminate cereals, fruits, nuts, and dairy products, leading to regulatory concerns and economic losses in the food industry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&amp; Samson, 2018). The presence of </w:t>
      </w:r>
      <w:proofErr w:type="spellStart"/>
      <w:r>
        <w:rPr>
          <w:rFonts w:ascii="Times New Roman" w:hAnsi="Times New Roman" w:cs="Times New Roman"/>
          <w:sz w:val="28"/>
          <w:szCs w:val="28"/>
        </w:rPr>
        <w:t>mycotoxigenic</w:t>
      </w:r>
      <w:proofErr w:type="spellEnd"/>
      <w:r>
        <w:rPr>
          <w:rFonts w:ascii="Times New Roman" w:hAnsi="Times New Roman" w:cs="Times New Roman"/>
          <w:sz w:val="28"/>
          <w:szCs w:val="28"/>
        </w:rPr>
        <w:t xml:space="preserve">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in indoor environments can also contribute to respiratory problems and allergic reactions, making their control a priority in food storage and building maintenance. In recent years, research on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has expanded to explore their biotechnological potential beyond antibiotics and enzymes. Some strains exhibit biocontrol properties, inhibiting plant pathogens and reducing postharvest spoilage. Others are being investigated for their ability to degrade environmental pollutants, including heavy metals and hydrocarbons, offering promising applications in bioremediation (</w:t>
      </w:r>
      <w:proofErr w:type="spellStart"/>
      <w:r>
        <w:rPr>
          <w:rFonts w:ascii="Times New Roman" w:hAnsi="Times New Roman" w:cs="Times New Roman"/>
          <w:sz w:val="28"/>
          <w:szCs w:val="28"/>
        </w:rPr>
        <w:t>Gonçalves</w:t>
      </w:r>
      <w:proofErr w:type="spellEnd"/>
      <w:r>
        <w:rPr>
          <w:rFonts w:ascii="Times New Roman" w:hAnsi="Times New Roman" w:cs="Times New Roman"/>
          <w:sz w:val="28"/>
          <w:szCs w:val="28"/>
        </w:rPr>
        <w:t xml:space="preserve"> et al., 2020). Understanding the genetic and metabolic pathways responsible for these capabilities can further enhance the exploitation of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for sustainable industrial and environmental applications. Despite their economic and ecological significance,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remain underexplored in certain areas, particularly concerning their potential role in human health beyond mycotoxin production. Some studies suggest that certain strains may produce bioactive compounds with antifungal, anticancer, and </w:t>
      </w:r>
      <w:proofErr w:type="spellStart"/>
      <w:r>
        <w:rPr>
          <w:rFonts w:ascii="Times New Roman" w:hAnsi="Times New Roman" w:cs="Times New Roman"/>
          <w:sz w:val="28"/>
          <w:szCs w:val="28"/>
        </w:rPr>
        <w:t>immunomodulatory</w:t>
      </w:r>
      <w:proofErr w:type="spellEnd"/>
      <w:r>
        <w:rPr>
          <w:rFonts w:ascii="Times New Roman" w:hAnsi="Times New Roman" w:cs="Times New Roman"/>
          <w:sz w:val="28"/>
          <w:szCs w:val="28"/>
        </w:rPr>
        <w:t xml:space="preserve"> properties, opening new avenues for pharmaceutical applications (Zhang et al., 2022). However, the dual nature of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as both a beneficial and harmful microorganism necessitates continuous monitoring, improved detection methods, and regulatory frameworks to minimize risks associated with mycotoxin contamination while maximizing their biotechnological potential. With growing advancements in genomic research, synthetic biology, and metabolomics, the future of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research holds great promise. Unlocking the full metabolic potential of these fungi can lead to novel drug discoveries, improved food production methods, and sustainable biotechnological innovations. However, challenges such as antifungal resistance, climate change-driven shifts in fungal distribution, and the emergence of new toxigenic strains underscore the need for continued interdisciplinary research on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w:t>
      </w:r>
      <w:proofErr w:type="spellStart"/>
      <w:r>
        <w:rPr>
          <w:rFonts w:ascii="Times New Roman" w:hAnsi="Times New Roman" w:cs="Times New Roman"/>
          <w:sz w:val="28"/>
          <w:szCs w:val="28"/>
        </w:rPr>
        <w:t>Cabañes</w:t>
      </w:r>
      <w:proofErr w:type="spellEnd"/>
      <w:r>
        <w:rPr>
          <w:rFonts w:ascii="Times New Roman" w:hAnsi="Times New Roman" w:cs="Times New Roman"/>
          <w:sz w:val="28"/>
          <w:szCs w:val="28"/>
        </w:rPr>
        <w:t xml:space="preserve"> et al., 2021).</w:t>
      </w:r>
    </w:p>
    <w:p w14:paraId="415B6E04" w14:textId="54D7B518" w:rsidR="004F6A58" w:rsidRDefault="004F6A58" w:rsidP="00471BB7">
      <w:pPr>
        <w:spacing w:line="480" w:lineRule="auto"/>
        <w:jc w:val="both"/>
        <w:rPr>
          <w:rFonts w:ascii="Times New Roman" w:hAnsi="Times New Roman" w:cs="Times New Roman"/>
          <w:sz w:val="28"/>
          <w:szCs w:val="28"/>
        </w:rPr>
      </w:pP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is a mycotoxin produced by several fungal species, primarily from the genera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5671B3">
        <w:rPr>
          <w:rFonts w:ascii="Times New Roman" w:hAnsi="Times New Roman" w:cs="Times New Roman"/>
          <w:i/>
          <w:iCs/>
          <w:sz w:val="28"/>
          <w:szCs w:val="28"/>
        </w:rPr>
        <w:t>Aspergillus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Monascus</w:t>
      </w:r>
      <w:proofErr w:type="spellEnd"/>
      <w:r>
        <w:rPr>
          <w:rFonts w:ascii="Times New Roman" w:hAnsi="Times New Roman" w:cs="Times New Roman"/>
          <w:sz w:val="28"/>
          <w:szCs w:val="28"/>
        </w:rPr>
        <w:t xml:space="preserve">. It was first discovered in </w:t>
      </w:r>
      <w:proofErr w:type="spellStart"/>
      <w:r w:rsidRPr="00867A2B">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5671B3">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in 1931 and has since been identified in various food and feed products, raising significant concerns about its toxic effects on human and animal health (Zhang et al., 2018).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is particularly prevalent in stored grains, nuts, fruits, and dairy products, as well as in fermented food items such as red yeast rice, which is commonly used in traditional Asian medicine and food coloring (Liu et al., 2020). Due to its nephrotoxic, hepatotoxic, and </w:t>
      </w:r>
      <w:proofErr w:type="spellStart"/>
      <w:r>
        <w:rPr>
          <w:rFonts w:ascii="Times New Roman" w:hAnsi="Times New Roman" w:cs="Times New Roman"/>
          <w:sz w:val="28"/>
          <w:szCs w:val="28"/>
        </w:rPr>
        <w:t>genotoxic</w:t>
      </w:r>
      <w:proofErr w:type="spellEnd"/>
      <w:r>
        <w:rPr>
          <w:rFonts w:ascii="Times New Roman" w:hAnsi="Times New Roman" w:cs="Times New Roman"/>
          <w:sz w:val="28"/>
          <w:szCs w:val="28"/>
        </w:rPr>
        <w:t xml:space="preserve"> properties, </w:t>
      </w:r>
      <w:proofErr w:type="spellStart"/>
      <w:r w:rsidRPr="00AA12BF">
        <w:rPr>
          <w:rFonts w:ascii="Times New Roman" w:hAnsi="Times New Roman" w:cs="Times New Roman"/>
          <w:iCs/>
          <w:sz w:val="28"/>
          <w:szCs w:val="28"/>
        </w:rPr>
        <w:t>citrinin</w:t>
      </w:r>
      <w:proofErr w:type="spellEnd"/>
      <w:r w:rsidRPr="00AA12BF">
        <w:rPr>
          <w:rFonts w:ascii="Times New Roman" w:hAnsi="Times New Roman" w:cs="Times New Roman"/>
          <w:sz w:val="28"/>
          <w:szCs w:val="28"/>
        </w:rPr>
        <w:t xml:space="preserve"> </w:t>
      </w:r>
      <w:r>
        <w:rPr>
          <w:rFonts w:ascii="Times New Roman" w:hAnsi="Times New Roman" w:cs="Times New Roman"/>
          <w:sz w:val="28"/>
          <w:szCs w:val="28"/>
        </w:rPr>
        <w:t xml:space="preserve">is regarded as a major food safety hazard, necessitating strict regulatory monitoring and control measures worldwide. Structurally, </w:t>
      </w:r>
      <w:proofErr w:type="spellStart"/>
      <w:r w:rsidRPr="00AA12BF">
        <w:rPr>
          <w:rFonts w:ascii="Times New Roman" w:hAnsi="Times New Roman" w:cs="Times New Roman"/>
          <w:iCs/>
          <w:sz w:val="28"/>
          <w:szCs w:val="28"/>
        </w:rPr>
        <w:t>citrinin</w:t>
      </w:r>
      <w:proofErr w:type="spellEnd"/>
      <w:r w:rsidRPr="00AA12BF">
        <w:rPr>
          <w:rFonts w:ascii="Times New Roman" w:hAnsi="Times New Roman" w:cs="Times New Roman"/>
          <w:sz w:val="28"/>
          <w:szCs w:val="28"/>
        </w:rPr>
        <w:t xml:space="preserve"> </w:t>
      </w:r>
      <w:r>
        <w:rPr>
          <w:rFonts w:ascii="Times New Roman" w:hAnsi="Times New Roman" w:cs="Times New Roman"/>
          <w:sz w:val="28"/>
          <w:szCs w:val="28"/>
        </w:rPr>
        <w:t xml:space="preserve">belongs to the polyketide class of secondary metabolites, characterized by a </w:t>
      </w:r>
      <w:proofErr w:type="spellStart"/>
      <w:r>
        <w:rPr>
          <w:rFonts w:ascii="Times New Roman" w:hAnsi="Times New Roman" w:cs="Times New Roman"/>
          <w:sz w:val="28"/>
          <w:szCs w:val="28"/>
        </w:rPr>
        <w:t>benzophenone</w:t>
      </w:r>
      <w:proofErr w:type="spellEnd"/>
      <w:r>
        <w:rPr>
          <w:rFonts w:ascii="Times New Roman" w:hAnsi="Times New Roman" w:cs="Times New Roman"/>
          <w:sz w:val="28"/>
          <w:szCs w:val="28"/>
        </w:rPr>
        <w:t xml:space="preserve">-like structure. It is a yellow crystalline compound with relatively high stability under normal storage conditions but can degrade into other toxic metabolites when exposed to heat and light. Recent studies have identified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derivatives, such as </w:t>
      </w:r>
      <w:proofErr w:type="spellStart"/>
      <w:r>
        <w:rPr>
          <w:rFonts w:ascii="Times New Roman" w:hAnsi="Times New Roman" w:cs="Times New Roman"/>
          <w:sz w:val="28"/>
          <w:szCs w:val="28"/>
        </w:rPr>
        <w:t>dihydrocitrinone</w:t>
      </w:r>
      <w:proofErr w:type="spellEnd"/>
      <w:r>
        <w:rPr>
          <w:rFonts w:ascii="Times New Roman" w:hAnsi="Times New Roman" w:cs="Times New Roman"/>
          <w:sz w:val="28"/>
          <w:szCs w:val="28"/>
        </w:rPr>
        <w:t xml:space="preserve">, which exhibit even greater toxicity than the parent compound (Zhou et al., 2021). The biosynthesis of </w:t>
      </w:r>
      <w:proofErr w:type="spellStart"/>
      <w:r w:rsidRPr="00AA12BF">
        <w:rPr>
          <w:rFonts w:ascii="Times New Roman" w:hAnsi="Times New Roman" w:cs="Times New Roman"/>
          <w:iCs/>
          <w:sz w:val="28"/>
          <w:szCs w:val="28"/>
        </w:rPr>
        <w:t>citrinin</w:t>
      </w:r>
      <w:proofErr w:type="spellEnd"/>
      <w:r w:rsidRPr="00AA12BF">
        <w:rPr>
          <w:rFonts w:ascii="Times New Roman" w:hAnsi="Times New Roman" w:cs="Times New Roman"/>
          <w:sz w:val="28"/>
          <w:szCs w:val="28"/>
        </w:rPr>
        <w:t xml:space="preserve"> </w:t>
      </w:r>
      <w:r>
        <w:rPr>
          <w:rFonts w:ascii="Times New Roman" w:hAnsi="Times New Roman" w:cs="Times New Roman"/>
          <w:sz w:val="28"/>
          <w:szCs w:val="28"/>
        </w:rPr>
        <w:t xml:space="preserve">involves a complex enzymatic pathway governed by polyketide synthase genes, with regulatory mechanisms that vary between fungal species. Advances in genomic and transcriptomic analysis have provided deeper insights into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biosynthetic gene clusters, offering potential strategies for targeted mycotoxin mitigation (He &amp; Cox, 2019). The toxicological effects of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have been extensively studied in both in vitro and in vivo models. The kidney is the primary target organ, with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leading to nephropathy characterized by oxidative stress, mitochondrial dysfunction, and apoptotic cell death. Chronic exposure to low doses of </w:t>
      </w:r>
      <w:proofErr w:type="spellStart"/>
      <w:r w:rsidRPr="009752C9">
        <w:rPr>
          <w:rFonts w:ascii="Times New Roman" w:hAnsi="Times New Roman" w:cs="Times New Roman"/>
          <w:iCs/>
          <w:sz w:val="28"/>
          <w:szCs w:val="28"/>
        </w:rPr>
        <w:t>ci</w:t>
      </w:r>
      <w:r w:rsidRPr="00AA12BF">
        <w:rPr>
          <w:rFonts w:ascii="Times New Roman" w:hAnsi="Times New Roman" w:cs="Times New Roman"/>
          <w:iCs/>
          <w:sz w:val="28"/>
          <w:szCs w:val="28"/>
        </w:rPr>
        <w:t>trinin</w:t>
      </w:r>
      <w:proofErr w:type="spellEnd"/>
      <w:r>
        <w:rPr>
          <w:rFonts w:ascii="Times New Roman" w:hAnsi="Times New Roman" w:cs="Times New Roman"/>
          <w:sz w:val="28"/>
          <w:szCs w:val="28"/>
        </w:rPr>
        <w:t xml:space="preserve"> has been linked to renal fibrosis and progressive kidney damage, particularly in animals consuming contaminated feed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In addition to nephrotoxicity,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has been shown to exert hepatotoxic effects by inducing liver enzyme dysregulation, lipid peroxidation, and inflammation. Emerging evidence also suggests a potential role in carcinogenesis, as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has been found to cause DNA damage, chromosomal aberrations, and cell cycle arrest in human cell lines (Shi et al., 2022). Human exposure to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primarily occurs through dietary consumption of contaminated food products. Regulatory agencies, including the European Food Safety Authority (EFSA) and the U.S. Food and Drug Administration (FDA), have established maximum allowable limits for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in food and feed to minimize health risks</w:t>
      </w:r>
      <w:r w:rsidR="00C879DE">
        <w:rPr>
          <w:rFonts w:ascii="Times New Roman" w:hAnsi="Times New Roman" w:cs="Times New Roman"/>
          <w:sz w:val="28"/>
          <w:szCs w:val="28"/>
        </w:rPr>
        <w:t xml:space="preserve">, EFSA set 0.2 micrograms/kilogram, EU 2micrograms/kilogram but FDA has not set an official limits, but check food supplements and removes any that have unsafe amount of </w:t>
      </w:r>
      <w:proofErr w:type="spellStart"/>
      <w:r w:rsidR="00C879DE">
        <w:rPr>
          <w:rFonts w:ascii="Times New Roman" w:hAnsi="Times New Roman" w:cs="Times New Roman"/>
          <w:sz w:val="28"/>
          <w:szCs w:val="28"/>
        </w:rPr>
        <w:t>citrinin</w:t>
      </w:r>
      <w:proofErr w:type="spellEnd"/>
      <w:r>
        <w:rPr>
          <w:rFonts w:ascii="Times New Roman" w:hAnsi="Times New Roman" w:cs="Times New Roman"/>
          <w:sz w:val="28"/>
          <w:szCs w:val="28"/>
        </w:rPr>
        <w:t xml:space="preserve">. However, the global nature of food trade poses challenges in maintaining strict surveillance, particularly in developing countries where mycotoxin testing infrastructure is limited. Traditional mycotoxin detection methods, such as high-performance liquid chromatography (HPLC) and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assays (ELISA), have been widely used for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quantification, but recent advancements in biosensor technology and molecular diagnostics offer more rapid and sensitive detection approaches (Wang et al., 2020). Beyond food safety concerns,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has significant economic implications for the agricultural and food industries. Contaminated crops and food products often require disposal, leading to financial losses for farmers and manufacturers. Additionally, livestock consuming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-contaminated feed can suffer from reduced productivity, weight loss, and reproductive issues, further exacerbating economic burdens. Strategies for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mitigation include improved storage conditions, biocontrol approaches using antagonistic microorganisms, and the development of detoxification methods such as enzymatic degradation and adsorption techniques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Recent research has explored potential applications of </w:t>
      </w:r>
      <w:proofErr w:type="spellStart"/>
      <w:r w:rsidRPr="009752C9">
        <w:rPr>
          <w:rFonts w:ascii="Times New Roman" w:hAnsi="Times New Roman" w:cs="Times New Roman"/>
          <w:iCs/>
          <w:sz w:val="28"/>
          <w:szCs w:val="28"/>
        </w:rPr>
        <w:t>citrinin</w:t>
      </w:r>
      <w:proofErr w:type="spellEnd"/>
      <w:r w:rsidRPr="009752C9">
        <w:rPr>
          <w:rFonts w:ascii="Times New Roman" w:hAnsi="Times New Roman" w:cs="Times New Roman"/>
          <w:sz w:val="28"/>
          <w:szCs w:val="28"/>
        </w:rPr>
        <w:t xml:space="preserve"> </w:t>
      </w:r>
      <w:r>
        <w:rPr>
          <w:rFonts w:ascii="Times New Roman" w:hAnsi="Times New Roman" w:cs="Times New Roman"/>
          <w:sz w:val="28"/>
          <w:szCs w:val="28"/>
        </w:rPr>
        <w:t xml:space="preserve">and its derivatives in pharmaceutical and biotechnological fields. Despite its toxic properties, some studies suggest that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exhibits antimicrobial and anticancer activities at controlled concentrations, warranting further investigation into its potential therapeutic uses. However, the risks associated with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currently outweigh its potential benefits, necessitating continued efforts in risk assessment, regulatory compliance, and food safety research (Sun et al., 2022). As climate change alters global temperature and humidity patterns, the prevalence of </w:t>
      </w:r>
      <w:proofErr w:type="spellStart"/>
      <w:r w:rsidRPr="009752C9">
        <w:rPr>
          <w:rFonts w:ascii="Times New Roman" w:hAnsi="Times New Roman" w:cs="Times New Roman"/>
          <w:iCs/>
          <w:sz w:val="28"/>
          <w:szCs w:val="28"/>
        </w:rPr>
        <w:t>citrinin</w:t>
      </w:r>
      <w:proofErr w:type="spellEnd"/>
      <w:r w:rsidRPr="009752C9">
        <w:rPr>
          <w:rFonts w:ascii="Times New Roman" w:hAnsi="Times New Roman" w:cs="Times New Roman"/>
          <w:sz w:val="28"/>
          <w:szCs w:val="28"/>
        </w:rPr>
        <w:t>-</w:t>
      </w:r>
      <w:r>
        <w:rPr>
          <w:rFonts w:ascii="Times New Roman" w:hAnsi="Times New Roman" w:cs="Times New Roman"/>
          <w:sz w:val="28"/>
          <w:szCs w:val="28"/>
        </w:rPr>
        <w:t xml:space="preserve">producing fungi is expected to increase, posing new challenges for food security and public health. Future research should focus on developing integrated mycotoxin management strategies, including genetic engineering approaches to inhibit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biosynthesis, the use of probiotics to degrade mycotoxins in the gut, and improved regulatory frameworks to minimize exposure risks. The interplay between environmental factors, fungal metabolism, and human health underscores the need for a multidisciplinary approach in addressing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and its associated hazards (Rai et al., 2023).</w:t>
      </w:r>
    </w:p>
    <w:p w14:paraId="69F744C0" w14:textId="40115E71" w:rsidR="00C879DE"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t>1.1 LITERATURE REVIEW</w:t>
      </w:r>
    </w:p>
    <w:p w14:paraId="24540C99" w14:textId="15B686CE" w:rsidR="00C879DE" w:rsidRPr="00762D86"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Several studies have reported the widespread contamination of food and feed with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For instance, Liu et al. (2021) conducted an extensive survey on cereals, fruits, and dairy products, revealing that over 30% of tested samples contained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levels exceeding regulatory limits. These findings underscore the need for improved detection and mitigation strategies to reduce dietary exposure. Another study by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investigated the occurrence of </w:t>
      </w:r>
      <w:proofErr w:type="spellStart"/>
      <w:r w:rsidRPr="00BC3BDF">
        <w:rPr>
          <w:rFonts w:ascii="Times New Roman" w:hAnsi="Times New Roman" w:cs="Times New Roman"/>
          <w:iCs/>
          <w:sz w:val="28"/>
          <w:szCs w:val="28"/>
        </w:rPr>
        <w:t>citrinin</w:t>
      </w:r>
      <w:proofErr w:type="spellEnd"/>
      <w:r w:rsidRPr="00BC3BDF">
        <w:rPr>
          <w:rFonts w:ascii="Times New Roman" w:hAnsi="Times New Roman" w:cs="Times New Roman"/>
          <w:sz w:val="28"/>
          <w:szCs w:val="28"/>
        </w:rPr>
        <w:t xml:space="preserve"> </w:t>
      </w:r>
      <w:r>
        <w:rPr>
          <w:rFonts w:ascii="Times New Roman" w:hAnsi="Times New Roman" w:cs="Times New Roman"/>
          <w:sz w:val="28"/>
          <w:szCs w:val="28"/>
        </w:rPr>
        <w:t xml:space="preserve">in Asian fermented foods, demonstrating its persistent presence in red yeast rice, a popular food additive. A study by Sun et al. (2022) explored the molecular mechanisms of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-induced nephrotoxicity, showing that oxidative stress and mitochondrial dysfunction play critical roles in renal cell apoptosis. Similar findings were reported by Zhou et al. (2021), who demonstrated that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leads to DNA damage and chromosomal aberrations, raising concerns about its potential carcinogenicity. In animal models, </w:t>
      </w:r>
      <w:proofErr w:type="spellStart"/>
      <w:r w:rsidRPr="00BC3BDF">
        <w:rPr>
          <w:rFonts w:ascii="Times New Roman" w:hAnsi="Times New Roman" w:cs="Times New Roman"/>
          <w:iCs/>
          <w:sz w:val="28"/>
          <w:szCs w:val="28"/>
        </w:rPr>
        <w:t>citrinin</w:t>
      </w:r>
      <w:proofErr w:type="spellEnd"/>
      <w:r w:rsidRPr="00BC3BDF">
        <w:rPr>
          <w:rFonts w:ascii="Times New Roman" w:hAnsi="Times New Roman" w:cs="Times New Roman"/>
          <w:sz w:val="28"/>
          <w:szCs w:val="28"/>
        </w:rPr>
        <w:t xml:space="preserve"> </w:t>
      </w:r>
      <w:r>
        <w:rPr>
          <w:rFonts w:ascii="Times New Roman" w:hAnsi="Times New Roman" w:cs="Times New Roman"/>
          <w:sz w:val="28"/>
          <w:szCs w:val="28"/>
        </w:rPr>
        <w:t xml:space="preserve">has been shown to induce kidney fibrosis and liver inflammation, further supporting its classification as a high-risk mycotoxin (He &amp; Cox, 2019). Detection methods have also been an area of active research. Traditional techniques such as high-performance liquid chromatography (HPLC) and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assays (ELISA) have been widely used to quantify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levels in food (Wang et al., 2020). However, recent advancements in biosensor technology and molecular diagnostics have led to more rapid and sensitive detection methods. For example,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developed a novel fluorescence-based biosensor capable of detecting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at </w:t>
      </w:r>
      <w:proofErr w:type="spellStart"/>
      <w:r>
        <w:rPr>
          <w:rFonts w:ascii="Times New Roman" w:hAnsi="Times New Roman" w:cs="Times New Roman"/>
          <w:sz w:val="28"/>
          <w:szCs w:val="28"/>
        </w:rPr>
        <w:t>nanomolar</w:t>
      </w:r>
      <w:proofErr w:type="spellEnd"/>
      <w:r>
        <w:rPr>
          <w:rFonts w:ascii="Times New Roman" w:hAnsi="Times New Roman" w:cs="Times New Roman"/>
          <w:sz w:val="28"/>
          <w:szCs w:val="28"/>
        </w:rPr>
        <w:t xml:space="preserve"> concentrations, offering a promising alternative for food safety monitoring. Research on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mitigation strategies has expanded significantly. Various physical, chemical, and biological approaches have been investigated to reduce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in food and feed. Rai et al. (2023) explored the use of probiotic bacteria to degrade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in contaminated food, demonstrating a significant reduction in toxin levels. Similarly, enzymatic degradation techniques using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-degrading enzymes have shown potential in detoxification (Liu et al., 2020). A study by Zhou et al. (2021) found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leads to hepatic fibrosis in rodents, suggesting that prolonged dietary exposure may contribute to chronic liver diseases. Additionally, research by Liu et al. (2021) showed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suppresses immune function by inhibiting cytokine production and impairing T-cell responses, raising concerns about its impact on immune-compromised individuals. Recent findings have also highlighted </w:t>
      </w:r>
      <w:proofErr w:type="spellStart"/>
      <w:r w:rsidRPr="005C7A45">
        <w:rPr>
          <w:rFonts w:ascii="Times New Roman" w:hAnsi="Times New Roman" w:cs="Times New Roman"/>
          <w:iCs/>
          <w:sz w:val="28"/>
          <w:szCs w:val="28"/>
        </w:rPr>
        <w:t>citrinin’s</w:t>
      </w:r>
      <w:proofErr w:type="spellEnd"/>
      <w:r>
        <w:rPr>
          <w:rFonts w:ascii="Times New Roman" w:hAnsi="Times New Roman" w:cs="Times New Roman"/>
          <w:sz w:val="28"/>
          <w:szCs w:val="28"/>
        </w:rPr>
        <w:t xml:space="preserve"> potential carcinogenic effects. Although it is not classified as a confirmed human carcinogen, studies suggest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may act as a co-carcinogen by inducing DNA damage and promoting </w:t>
      </w:r>
      <w:proofErr w:type="spellStart"/>
      <w:r>
        <w:rPr>
          <w:rFonts w:ascii="Times New Roman" w:hAnsi="Times New Roman" w:cs="Times New Roman"/>
          <w:sz w:val="28"/>
          <w:szCs w:val="28"/>
        </w:rPr>
        <w:t>tumorigenesis</w:t>
      </w:r>
      <w:proofErr w:type="spellEnd"/>
      <w:r>
        <w:rPr>
          <w:rFonts w:ascii="Times New Roman" w:hAnsi="Times New Roman" w:cs="Times New Roman"/>
          <w:sz w:val="28"/>
          <w:szCs w:val="28"/>
        </w:rPr>
        <w:t xml:space="preserve">. For example, He and Cox (2019) demonstrated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enhances the mutagenic effects of other mycotoxins, such as aflatoxins, by disrupting DNA repair mechanisms. This has led to growing concerns about its long-term impact on public health, particularly in populations with high dietary exposure. Numerous studies have examined the prevalence of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in food and feed products, revealing its widespread occurrence in grains, dairy, fermented foods, and even dietary supplements. Research by Wang et al. (2020) analyzed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levels in rice and wheat samples across multiple countries, reporting contamination rates exceeding regulatory limits in over 25% of tested samples. Similarly,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focused on fermented foods, particularly red yeast rice, a widely consumed traditional food product known to contain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due to fungal fermentation. Their findings emphasized the difficulty of eliminating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from such products without affecting their desired characteristics. In addition to dietary exposure, occupational exposure to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has also been studied. Agricultural workers, millers, and food handlers are at higher risk due to inhalation of airborne fungal spores containing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A study by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analyzed occupational exposure in grain storage facilities and found that workers had significantly higher urinary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levels compared to the general population. This raises concerns about the need for improved workplace safety measures and exposure monitoring in high-risk industries. The detection of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in food, feed, and biological samples has been a major research focus, leading to the development of various analytical techniques. Traditional methods such as high-performance liquid chromatography (HPLC) and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assays (ELISA) have been widely used, offering high sensitivity and specificity. However, these techniques are often expensive and require specialized laboratory equipment, limiting their accessibility in resource-limited settings (Wang et al., 2020). Recent advancements have led to the development of more rapid and cost-effective detection methods. A study by Rai et al. (2023) introduced a biosensor-based detection system that utilizes fluorescence and electrochemical signals to detect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at </w:t>
      </w:r>
      <w:proofErr w:type="spellStart"/>
      <w:r>
        <w:rPr>
          <w:rFonts w:ascii="Times New Roman" w:hAnsi="Times New Roman" w:cs="Times New Roman"/>
          <w:sz w:val="28"/>
          <w:szCs w:val="28"/>
        </w:rPr>
        <w:t>nanomolar</w:t>
      </w:r>
      <w:proofErr w:type="spellEnd"/>
      <w:r>
        <w:rPr>
          <w:rFonts w:ascii="Times New Roman" w:hAnsi="Times New Roman" w:cs="Times New Roman"/>
          <w:sz w:val="28"/>
          <w:szCs w:val="28"/>
        </w:rPr>
        <w:t xml:space="preserve"> concentrations. Similarly, Liu et al. (2020) explored the use of molecularly imprinted polymers for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detection, providing an innovative approach for on-site testing. These advancements are critical for improving food safety monitoring and reducing the risk of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Efforts to mitigate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have focused on physical, chemical, and biological detoxification methods. Traditional approaches include heat treatment, ultraviolet (UV) irradiation, and chemical detoxification using ozone or ammonia. However, these methods have limitations, as they can alter food properties or produce toxic byproducts (Wang et al., 2020). Recent studies have explored biological detoxification as a more sustainable alternative. For instance,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demonstrated that certain probiotic bacteria, such as Lactobacillus strains, can degrade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into non-toxic metabolites. Similarly, enzymatic degradation methods using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-degrading enzymes have shown promise in reducing toxin levels in contaminated food products (Rai et al., 2023). Further research is needed to optimize these approaches and assess their feasibility for large-scale application. Several theoretical frameworks have guided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research, particularly in toxicology, food safety, and microbiology. The dose-response theory has been widely used to assess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toxicity, demonstrating a clear relationship between exposure levels and adverse health effects (Shi et al., 2022). Additionally, the oxidative stress hypothesis has provided insights into </w:t>
      </w:r>
      <w:proofErr w:type="spellStart"/>
      <w:r w:rsidRPr="005C7A45">
        <w:rPr>
          <w:rFonts w:ascii="Times New Roman" w:hAnsi="Times New Roman" w:cs="Times New Roman"/>
          <w:iCs/>
          <w:sz w:val="28"/>
          <w:szCs w:val="28"/>
        </w:rPr>
        <w:t>citrinin’s</w:t>
      </w:r>
      <w:proofErr w:type="spellEnd"/>
      <w:r>
        <w:rPr>
          <w:rFonts w:ascii="Times New Roman" w:hAnsi="Times New Roman" w:cs="Times New Roman"/>
          <w:sz w:val="28"/>
          <w:szCs w:val="28"/>
        </w:rPr>
        <w:t xml:space="preserve"> mechanism of action, highlighting its role in generating reactive oxygen species (ROS) and inducing cellular damage (Sun et al., 2022). From a food safety perspective, the Hazard Analysis and Critical Control Points (HACCP) framework has been applied to minimize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during food production and storage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This approach emphasizes risk assessment, monitoring, and preventive measures to ensure compliance with regulatory standards.</w:t>
      </w:r>
    </w:p>
    <w:p w14:paraId="47740680" w14:textId="77777777" w:rsidR="00C879DE"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extensive research on </w:t>
      </w:r>
      <w:proofErr w:type="spellStart"/>
      <w:r w:rsidRPr="00486D48">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486D48">
        <w:rPr>
          <w:rFonts w:ascii="Times New Roman" w:hAnsi="Times New Roman" w:cs="Times New Roman"/>
          <w:i/>
          <w:iCs/>
          <w:sz w:val="28"/>
          <w:szCs w:val="28"/>
        </w:rPr>
        <w:t>citrinin</w:t>
      </w:r>
      <w:proofErr w:type="spellEnd"/>
      <w:r>
        <w:rPr>
          <w:rFonts w:ascii="Times New Roman" w:hAnsi="Times New Roman" w:cs="Times New Roman"/>
          <w:sz w:val="28"/>
          <w:szCs w:val="28"/>
        </w:rPr>
        <w:t xml:space="preserve"> toxin, several gaps remain that warrant further investigation. These gaps exist across multiple aspects, including toxicology, exposure assessment, detection techniques, mitigation strategies, and public health impact. </w:t>
      </w:r>
      <w:r w:rsidRPr="00486D48">
        <w:rPr>
          <w:rFonts w:ascii="Times New Roman" w:hAnsi="Times New Roman" w:cs="Times New Roman"/>
          <w:sz w:val="28"/>
          <w:szCs w:val="28"/>
        </w:rPr>
        <w:t>Identifying</w:t>
      </w:r>
      <w:r>
        <w:rPr>
          <w:rFonts w:ascii="Times New Roman" w:hAnsi="Times New Roman" w:cs="Times New Roman"/>
          <w:sz w:val="28"/>
          <w:szCs w:val="28"/>
        </w:rPr>
        <w:t xml:space="preserve"> these gaps is crucial for guiding future research efforts aimed at reducing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-associated risks and improving food safety regulations. </w:t>
      </w:r>
      <w:r w:rsidRPr="00E932B2">
        <w:rPr>
          <w:rFonts w:ascii="Times New Roman" w:hAnsi="Times New Roman" w:cs="Times New Roman"/>
          <w:sz w:val="28"/>
          <w:szCs w:val="28"/>
        </w:rPr>
        <w:t xml:space="preserve">While the nephrotoxic and hepatotoxic effects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are well established, research on its long-term impact on human health remains limited. Most toxicological studies have been conducted in animal models over short durations, leaving a significant gap in understanding chronic low-dose exposure effects in humans (Sun et al., 2022). Epidemiological studies linking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to kidney diseases, liver disorders, or carcinogenicity are scarce, and more population-based studies are needed to assess its role in chronic illnesses (Zhou et al., 2021). Additionally, the potential synergistic effects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with other mycotoxins, such as </w:t>
      </w:r>
      <w:proofErr w:type="spellStart"/>
      <w:r w:rsidRPr="005C7A45">
        <w:rPr>
          <w:rFonts w:ascii="Times New Roman" w:hAnsi="Times New Roman" w:cs="Times New Roman"/>
          <w:iCs/>
          <w:sz w:val="28"/>
          <w:szCs w:val="28"/>
        </w:rPr>
        <w:t>ochratoxin</w:t>
      </w:r>
      <w:proofErr w:type="spellEnd"/>
      <w:r w:rsidRPr="00E932B2">
        <w:rPr>
          <w:rFonts w:ascii="Times New Roman" w:hAnsi="Times New Roman" w:cs="Times New Roman"/>
          <w:sz w:val="28"/>
          <w:szCs w:val="28"/>
        </w:rPr>
        <w:t xml:space="preserve"> A and aflatoxins, remain underexplored (Wang et al., 2020). Despite the widespread occurrence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in food and agricultural products, accurate exposure assessment in humans is challenging. Most studies rely on food sample analyses rather than direct </w:t>
      </w:r>
      <w:proofErr w:type="spellStart"/>
      <w:r w:rsidRPr="00E932B2">
        <w:rPr>
          <w:rFonts w:ascii="Times New Roman" w:hAnsi="Times New Roman" w:cs="Times New Roman"/>
          <w:sz w:val="28"/>
          <w:szCs w:val="28"/>
        </w:rPr>
        <w:t>biomonitoring</w:t>
      </w:r>
      <w:proofErr w:type="spellEnd"/>
      <w:r w:rsidRPr="00E932B2">
        <w:rPr>
          <w:rFonts w:ascii="Times New Roman" w:hAnsi="Times New Roman" w:cs="Times New Roman"/>
          <w:sz w:val="28"/>
          <w:szCs w:val="28"/>
        </w:rPr>
        <w:t xml:space="preserve"> in individuals (</w:t>
      </w:r>
      <w:proofErr w:type="spellStart"/>
      <w:r w:rsidRPr="00E932B2">
        <w:rPr>
          <w:rFonts w:ascii="Times New Roman" w:hAnsi="Times New Roman" w:cs="Times New Roman"/>
          <w:sz w:val="28"/>
          <w:szCs w:val="28"/>
        </w:rPr>
        <w:t>Geng</w:t>
      </w:r>
      <w:proofErr w:type="spellEnd"/>
      <w:r w:rsidRPr="00E932B2">
        <w:rPr>
          <w:rFonts w:ascii="Times New Roman" w:hAnsi="Times New Roman" w:cs="Times New Roman"/>
          <w:sz w:val="28"/>
          <w:szCs w:val="28"/>
        </w:rPr>
        <w:t xml:space="preserve"> et al., 2021). The development of reliable biomarkers for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such as urinary metabolites, could significantly improve risk assessment. Moreover, variations in dietary habits and food processing techniques influence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levels, requiring region-specific studies to develop more accurate exposure models (</w:t>
      </w:r>
      <w:proofErr w:type="spellStart"/>
      <w:r w:rsidRPr="00E932B2">
        <w:rPr>
          <w:rFonts w:ascii="Times New Roman" w:hAnsi="Times New Roman" w:cs="Times New Roman"/>
          <w:sz w:val="28"/>
          <w:szCs w:val="28"/>
        </w:rPr>
        <w:t>Haque</w:t>
      </w:r>
      <w:proofErr w:type="spellEnd"/>
      <w:r w:rsidRPr="00E932B2">
        <w:rPr>
          <w:rFonts w:ascii="Times New Roman" w:hAnsi="Times New Roman" w:cs="Times New Roman"/>
          <w:sz w:val="28"/>
          <w:szCs w:val="28"/>
        </w:rPr>
        <w:t xml:space="preserve"> et al., 2021). Regulatory guidelines for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vary between countries, leading to inconsistencies in risk assessment and food safety enforcement. The European Food Safety Authority (EFSA) has set strict limits on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in food products, particularly red yeast rice, while the U.S. Food and Drug Administration (FDA) has yet to establish definitive exposure thresholds (Wang et al., 2020). This regulatory disparity highlights the need for harmonized global standards based on updated toxicological and epidemiological data. Furthermore, more research is required to establish safe exposure limits that account for vulnerable populations, such as pregnant women, children, and individuals with pre-existing kidney conditions (Shi et al., 2022). Although advances in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detection methods have improved analytical sensitivity, many techniques remain expensive, time-consuming, and inaccessible in low-resource settings. Traditional methods such as high-performance liquid chromatography (HPLC) and enzyme-linked </w:t>
      </w:r>
      <w:proofErr w:type="spellStart"/>
      <w:r w:rsidRPr="00E932B2">
        <w:rPr>
          <w:rFonts w:ascii="Times New Roman" w:hAnsi="Times New Roman" w:cs="Times New Roman"/>
          <w:sz w:val="28"/>
          <w:szCs w:val="28"/>
        </w:rPr>
        <w:t>immunosorbent</w:t>
      </w:r>
      <w:proofErr w:type="spellEnd"/>
      <w:r w:rsidRPr="00E932B2">
        <w:rPr>
          <w:rFonts w:ascii="Times New Roman" w:hAnsi="Times New Roman" w:cs="Times New Roman"/>
          <w:sz w:val="28"/>
          <w:szCs w:val="28"/>
        </w:rPr>
        <w:t xml:space="preserve"> assays (ELISA) require specialized laboratories, limiting their applicability for routine food safety monitoring (Liu et al., 2021). Emerging technologies, such as biosensors and nanotechnology-based assays, show promise for real-time monitoring, but further validation studies are needed to assess their accuracy, reliability, and cost-effectiveness for large-scale application (Rai et al., 2023). Most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detoxification strategies focus on physical or chemical methods, such as heat treatment and UV irradiation, which may alter food properties or produce harmful byproducts (Wang et al., 2020). While some studies have explored biological degradation using probiotic bacteria and enzymatic detoxification, these approaches remain in early experimental stages (</w:t>
      </w:r>
      <w:proofErr w:type="spellStart"/>
      <w:r w:rsidRPr="00E932B2">
        <w:rPr>
          <w:rFonts w:ascii="Times New Roman" w:hAnsi="Times New Roman" w:cs="Times New Roman"/>
          <w:sz w:val="28"/>
          <w:szCs w:val="28"/>
        </w:rPr>
        <w:t>Haque</w:t>
      </w:r>
      <w:proofErr w:type="spellEnd"/>
      <w:r w:rsidRPr="00E932B2">
        <w:rPr>
          <w:rFonts w:ascii="Times New Roman" w:hAnsi="Times New Roman" w:cs="Times New Roman"/>
          <w:sz w:val="28"/>
          <w:szCs w:val="28"/>
        </w:rPr>
        <w:t xml:space="preserve"> et al., 2021). More research is required to identify effective microbial strains and enzymes capable of degrading </w:t>
      </w:r>
      <w:proofErr w:type="spellStart"/>
      <w:r w:rsidRPr="00BE2569">
        <w:rPr>
          <w:rFonts w:ascii="Times New Roman" w:hAnsi="Times New Roman" w:cs="Times New Roman"/>
          <w:i/>
          <w:iCs/>
          <w:sz w:val="28"/>
          <w:szCs w:val="28"/>
        </w:rPr>
        <w:t>citrinin</w:t>
      </w:r>
      <w:proofErr w:type="spellEnd"/>
      <w:r w:rsidRPr="00E932B2">
        <w:rPr>
          <w:rFonts w:ascii="Times New Roman" w:hAnsi="Times New Roman" w:cs="Times New Roman"/>
          <w:sz w:val="28"/>
          <w:szCs w:val="28"/>
        </w:rPr>
        <w:t xml:space="preserve"> safely without compromising food quality. Additionally, optimizing bioremediation techniques for large-scale application could help reduce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contamination in food and feed products. The biosynthetic pathway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is only partially understood, with gaps in knowledge regarding the regulatory genes and environmental factors influencing toxin production (</w:t>
      </w:r>
      <w:proofErr w:type="spellStart"/>
      <w:r w:rsidRPr="00E932B2">
        <w:rPr>
          <w:rFonts w:ascii="Times New Roman" w:hAnsi="Times New Roman" w:cs="Times New Roman"/>
          <w:sz w:val="28"/>
          <w:szCs w:val="28"/>
        </w:rPr>
        <w:t>Grollman</w:t>
      </w:r>
      <w:proofErr w:type="spellEnd"/>
      <w:r w:rsidRPr="00E932B2">
        <w:rPr>
          <w:rFonts w:ascii="Times New Roman" w:hAnsi="Times New Roman" w:cs="Times New Roman"/>
          <w:sz w:val="28"/>
          <w:szCs w:val="28"/>
        </w:rPr>
        <w:t xml:space="preserve"> et al., 2017). Further genomic and transcriptomic studies on </w:t>
      </w:r>
      <w:proofErr w:type="spellStart"/>
      <w:r w:rsidRPr="00BE2569">
        <w:rPr>
          <w:rFonts w:ascii="Times New Roman" w:hAnsi="Times New Roman" w:cs="Times New Roman"/>
          <w:i/>
          <w:iCs/>
          <w:sz w:val="28"/>
          <w:szCs w:val="28"/>
        </w:rPr>
        <w:t>Penicillium</w:t>
      </w:r>
      <w:proofErr w:type="spellEnd"/>
      <w:r w:rsidRPr="00E932B2">
        <w:rPr>
          <w:rFonts w:ascii="Times New Roman" w:hAnsi="Times New Roman" w:cs="Times New Roman"/>
          <w:sz w:val="28"/>
          <w:szCs w:val="28"/>
        </w:rPr>
        <w:t xml:space="preserve"> </w:t>
      </w:r>
      <w:proofErr w:type="spellStart"/>
      <w:r w:rsidRPr="00BE2569">
        <w:rPr>
          <w:rFonts w:ascii="Times New Roman" w:hAnsi="Times New Roman" w:cs="Times New Roman"/>
          <w:i/>
          <w:iCs/>
          <w:sz w:val="28"/>
          <w:szCs w:val="28"/>
        </w:rPr>
        <w:t>citrinum</w:t>
      </w:r>
      <w:proofErr w:type="spellEnd"/>
      <w:r w:rsidRPr="00E932B2">
        <w:rPr>
          <w:rFonts w:ascii="Times New Roman" w:hAnsi="Times New Roman" w:cs="Times New Roman"/>
          <w:sz w:val="28"/>
          <w:szCs w:val="28"/>
        </w:rPr>
        <w:t xml:space="preserve"> could provide insights into gene regulation mechanisms and potential genetic targets for controlling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synthesis (Shi et al., 2022). Understanding these molecular pathways could also aid in developing antifungal strategies to prevent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contamination at the source. While dietary exposure to </w:t>
      </w:r>
      <w:proofErr w:type="spellStart"/>
      <w:r w:rsidRPr="005C7A45">
        <w:rPr>
          <w:rFonts w:ascii="Times New Roman" w:hAnsi="Times New Roman" w:cs="Times New Roman"/>
          <w:iCs/>
          <w:sz w:val="28"/>
          <w:szCs w:val="28"/>
        </w:rPr>
        <w:t>citrin</w:t>
      </w:r>
      <w:r w:rsidRPr="005C7A45">
        <w:rPr>
          <w:rFonts w:ascii="Times New Roman" w:hAnsi="Times New Roman" w:cs="Times New Roman"/>
          <w:sz w:val="28"/>
          <w:szCs w:val="28"/>
        </w:rPr>
        <w:t>in</w:t>
      </w:r>
      <w:proofErr w:type="spellEnd"/>
      <w:r>
        <w:rPr>
          <w:rFonts w:ascii="Times New Roman" w:hAnsi="Times New Roman" w:cs="Times New Roman"/>
          <w:sz w:val="28"/>
          <w:szCs w:val="28"/>
        </w:rPr>
        <w:t xml:space="preserve"> </w:t>
      </w:r>
      <w:r w:rsidRPr="00E932B2">
        <w:rPr>
          <w:rFonts w:ascii="Times New Roman" w:hAnsi="Times New Roman" w:cs="Times New Roman"/>
          <w:sz w:val="28"/>
          <w:szCs w:val="28"/>
        </w:rPr>
        <w:t xml:space="preserve">has been extensively studied, occupational exposure remains largely overlooked. Agricultural workers, millers, and food handlers are at risk of inhaling airborne fungal spores containing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yet few studies have investigated the potential respiratory effects and systemic absorption of inhaled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w:t>
      </w:r>
      <w:proofErr w:type="spellStart"/>
      <w:r w:rsidRPr="00E932B2">
        <w:rPr>
          <w:rFonts w:ascii="Times New Roman" w:hAnsi="Times New Roman" w:cs="Times New Roman"/>
          <w:sz w:val="28"/>
          <w:szCs w:val="28"/>
        </w:rPr>
        <w:t>Haque</w:t>
      </w:r>
      <w:proofErr w:type="spellEnd"/>
      <w:r w:rsidRPr="00E932B2">
        <w:rPr>
          <w:rFonts w:ascii="Times New Roman" w:hAnsi="Times New Roman" w:cs="Times New Roman"/>
          <w:sz w:val="28"/>
          <w:szCs w:val="28"/>
        </w:rPr>
        <w:t xml:space="preserve"> et al., 2021). Future research should assess occupational exposure risks and develop protective measures to minimize health hazards for workers in high-risk industries. Consumer awareness regarding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contamination in food remains low, with limited public health campaigns addressing mycotoxin risks. Studies suggest that many individuals, especially in developing regions, lack knowledge about foodborne mycotoxins and their potential health effects (</w:t>
      </w:r>
      <w:proofErr w:type="spellStart"/>
      <w:r w:rsidRPr="00E932B2">
        <w:rPr>
          <w:rFonts w:ascii="Times New Roman" w:hAnsi="Times New Roman" w:cs="Times New Roman"/>
          <w:sz w:val="28"/>
          <w:szCs w:val="28"/>
        </w:rPr>
        <w:t>Geng</w:t>
      </w:r>
      <w:proofErr w:type="spellEnd"/>
      <w:r w:rsidRPr="00E932B2">
        <w:rPr>
          <w:rFonts w:ascii="Times New Roman" w:hAnsi="Times New Roman" w:cs="Times New Roman"/>
          <w:sz w:val="28"/>
          <w:szCs w:val="28"/>
        </w:rPr>
        <w:t xml:space="preserve"> et al., 2021). Research should explore effective communication strategies to educate consumers about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risks, proper food storage, and preventive measures to reduce exposure. Public health interventions, including food labeling regulations and consumer awareness programs, could play a vital role in mitigating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-related health risks.</w:t>
      </w:r>
    </w:p>
    <w:p w14:paraId="492A29D3" w14:textId="77777777" w:rsidR="00C879DE" w:rsidRDefault="00C879DE" w:rsidP="00C879DE">
      <w:pPr>
        <w:spacing w:line="480" w:lineRule="auto"/>
        <w:jc w:val="both"/>
        <w:rPr>
          <w:rFonts w:ascii="Times New Roman" w:hAnsi="Times New Roman" w:cs="Times New Roman"/>
          <w:sz w:val="28"/>
          <w:szCs w:val="28"/>
        </w:rPr>
      </w:pPr>
      <w:r w:rsidRPr="008F0058">
        <w:rPr>
          <w:rFonts w:ascii="Times New Roman" w:hAnsi="Times New Roman" w:cs="Times New Roman"/>
          <w:sz w:val="28"/>
          <w:szCs w:val="28"/>
        </w:rPr>
        <w:t xml:space="preserve">One of the primary debates surrounding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revolves around its toxicity in humans. While multiple animal studies have confirmed its nephrotoxic, hepatotoxic, and </w:t>
      </w:r>
      <w:proofErr w:type="spellStart"/>
      <w:r w:rsidRPr="008F0058">
        <w:rPr>
          <w:rFonts w:ascii="Times New Roman" w:hAnsi="Times New Roman" w:cs="Times New Roman"/>
          <w:sz w:val="28"/>
          <w:szCs w:val="28"/>
        </w:rPr>
        <w:t>immunotoxic</w:t>
      </w:r>
      <w:proofErr w:type="spellEnd"/>
      <w:r w:rsidRPr="008F0058">
        <w:rPr>
          <w:rFonts w:ascii="Times New Roman" w:hAnsi="Times New Roman" w:cs="Times New Roman"/>
          <w:sz w:val="28"/>
          <w:szCs w:val="28"/>
        </w:rPr>
        <w:t xml:space="preserve"> effects, direct evidence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-induced toxicity in humans remains limited (Shi et al., 2022). Some researchers argue that existing toxicological data from animal models are sufficient to classify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as a significant human health risk (Wang et al., 2020). Others contend that due to the absence of large-scale human studies, the true impact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on human health remains inconclusive (</w:t>
      </w:r>
      <w:proofErr w:type="spellStart"/>
      <w:r w:rsidRPr="008F0058">
        <w:rPr>
          <w:rFonts w:ascii="Times New Roman" w:hAnsi="Times New Roman" w:cs="Times New Roman"/>
          <w:sz w:val="28"/>
          <w:szCs w:val="28"/>
        </w:rPr>
        <w:t>Geng</w:t>
      </w:r>
      <w:proofErr w:type="spellEnd"/>
      <w:r w:rsidRPr="008F0058">
        <w:rPr>
          <w:rFonts w:ascii="Times New Roman" w:hAnsi="Times New Roman" w:cs="Times New Roman"/>
          <w:sz w:val="28"/>
          <w:szCs w:val="28"/>
        </w:rPr>
        <w:t xml:space="preserve"> et al., 2021). This ongoing debate has implications for risk assessment and regulatory decisions regarding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exposure limits. There is no global consensus on the permissible limits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in food and feed products. The European Food Safety Authority (EFSA) has set strict limits on </w:t>
      </w:r>
      <w:proofErr w:type="spellStart"/>
      <w:r w:rsidRPr="00A15331">
        <w:rPr>
          <w:rFonts w:ascii="Times New Roman" w:hAnsi="Times New Roman" w:cs="Times New Roman"/>
          <w:sz w:val="28"/>
          <w:szCs w:val="28"/>
        </w:rPr>
        <w:t>citrinin</w:t>
      </w:r>
      <w:proofErr w:type="spellEnd"/>
      <w:r w:rsidRPr="008F0058">
        <w:rPr>
          <w:rFonts w:ascii="Times New Roman" w:hAnsi="Times New Roman" w:cs="Times New Roman"/>
          <w:sz w:val="28"/>
          <w:szCs w:val="28"/>
        </w:rPr>
        <w:t xml:space="preserve"> levels, particularly in red yeast rice, due to its potential nephrotoxicity (EFSA, 2019). In contrast, the U.S. Food and Drug Administration (FDA) has not established a definitive regulatory threshold, arguing that more toxicological data are needed before imposing strict regulations (Zhou et al., 2021). This regulatory inconsistency raises concerns about the effectiveness of existing policies in protecting consumers from </w:t>
      </w:r>
      <w:proofErr w:type="spellStart"/>
      <w:r w:rsidRPr="008F0058">
        <w:rPr>
          <w:rFonts w:ascii="Times New Roman" w:hAnsi="Times New Roman" w:cs="Times New Roman"/>
          <w:sz w:val="28"/>
          <w:szCs w:val="28"/>
        </w:rPr>
        <w:t>citrinin</w:t>
      </w:r>
      <w:proofErr w:type="spellEnd"/>
      <w:r w:rsidRPr="008F0058">
        <w:rPr>
          <w:rFonts w:ascii="Times New Roman" w:hAnsi="Times New Roman" w:cs="Times New Roman"/>
          <w:sz w:val="28"/>
          <w:szCs w:val="28"/>
        </w:rPr>
        <w:t>-related health risks. Some researchers advocate for a harmonized global standard, while others argue that regulatory thresholds should be determined based on region-specific dietary habits and exposure patterns (</w:t>
      </w:r>
      <w:proofErr w:type="spellStart"/>
      <w:r w:rsidRPr="008F0058">
        <w:rPr>
          <w:rFonts w:ascii="Times New Roman" w:hAnsi="Times New Roman" w:cs="Times New Roman"/>
          <w:sz w:val="28"/>
          <w:szCs w:val="28"/>
        </w:rPr>
        <w:t>Haque</w:t>
      </w:r>
      <w:proofErr w:type="spellEnd"/>
      <w:r w:rsidRPr="008F0058">
        <w:rPr>
          <w:rFonts w:ascii="Times New Roman" w:hAnsi="Times New Roman" w:cs="Times New Roman"/>
          <w:sz w:val="28"/>
          <w:szCs w:val="28"/>
        </w:rPr>
        <w:t xml:space="preserve"> et al., 2021). Another ongoing debate concerns the interaction between </w:t>
      </w:r>
      <w:proofErr w:type="spellStart"/>
      <w:r w:rsidRPr="008F0058">
        <w:rPr>
          <w:rFonts w:ascii="Times New Roman" w:hAnsi="Times New Roman" w:cs="Times New Roman"/>
          <w:sz w:val="28"/>
          <w:szCs w:val="28"/>
        </w:rPr>
        <w:t>citrinin</w:t>
      </w:r>
      <w:proofErr w:type="spellEnd"/>
      <w:r w:rsidRPr="008F0058">
        <w:rPr>
          <w:rFonts w:ascii="Times New Roman" w:hAnsi="Times New Roman" w:cs="Times New Roman"/>
          <w:sz w:val="28"/>
          <w:szCs w:val="28"/>
        </w:rPr>
        <w:t xml:space="preserve"> and other mycotoxins, particularly </w:t>
      </w:r>
      <w:proofErr w:type="spellStart"/>
      <w:r w:rsidRPr="005C7A45">
        <w:rPr>
          <w:rFonts w:ascii="Times New Roman" w:hAnsi="Times New Roman" w:cs="Times New Roman"/>
          <w:iCs/>
          <w:sz w:val="28"/>
          <w:szCs w:val="28"/>
        </w:rPr>
        <w:t>ochratoxin</w:t>
      </w:r>
      <w:proofErr w:type="spellEnd"/>
      <w:r w:rsidRPr="00953CD4">
        <w:rPr>
          <w:rFonts w:ascii="Times New Roman" w:hAnsi="Times New Roman" w:cs="Times New Roman"/>
          <w:i/>
          <w:iCs/>
          <w:sz w:val="28"/>
          <w:szCs w:val="28"/>
        </w:rPr>
        <w:t xml:space="preserve"> A.</w:t>
      </w:r>
      <w:r w:rsidRPr="008F0058">
        <w:rPr>
          <w:rFonts w:ascii="Times New Roman" w:hAnsi="Times New Roman" w:cs="Times New Roman"/>
          <w:sz w:val="28"/>
          <w:szCs w:val="28"/>
        </w:rPr>
        <w:t xml:space="preserve"> Some studies suggest that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acts synergistically with </w:t>
      </w:r>
      <w:proofErr w:type="spellStart"/>
      <w:r w:rsidRPr="005C7A45">
        <w:rPr>
          <w:rFonts w:ascii="Times New Roman" w:hAnsi="Times New Roman" w:cs="Times New Roman"/>
          <w:iCs/>
          <w:sz w:val="28"/>
          <w:szCs w:val="28"/>
        </w:rPr>
        <w:t>ochratoxin</w:t>
      </w:r>
      <w:proofErr w:type="spellEnd"/>
      <w:r w:rsidRPr="008F0058">
        <w:rPr>
          <w:rFonts w:ascii="Times New Roman" w:hAnsi="Times New Roman" w:cs="Times New Roman"/>
          <w:sz w:val="28"/>
          <w:szCs w:val="28"/>
        </w:rPr>
        <w:t xml:space="preserve"> </w:t>
      </w:r>
      <w:r w:rsidRPr="00953CD4">
        <w:rPr>
          <w:rFonts w:ascii="Times New Roman" w:hAnsi="Times New Roman" w:cs="Times New Roman"/>
          <w:i/>
          <w:iCs/>
          <w:sz w:val="28"/>
          <w:szCs w:val="28"/>
        </w:rPr>
        <w:t>A</w:t>
      </w:r>
      <w:r w:rsidRPr="008F0058">
        <w:rPr>
          <w:rFonts w:ascii="Times New Roman" w:hAnsi="Times New Roman" w:cs="Times New Roman"/>
          <w:sz w:val="28"/>
          <w:szCs w:val="28"/>
        </w:rPr>
        <w:t xml:space="preserve">, exacerbating its nephrotoxic effects (Sun et al., 2022). This has led to concerns that even low levels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exposure could pose significant health risks when combined with other mycotoxins. However, other researchers argue that the evidence supporting this synergistic effect is insufficient and that more mechanistic studies are required to confirm this interaction (Liu et al., 2021). The debate over </w:t>
      </w:r>
      <w:proofErr w:type="spellStart"/>
      <w:r w:rsidRPr="005C7A45">
        <w:rPr>
          <w:rFonts w:ascii="Times New Roman" w:hAnsi="Times New Roman" w:cs="Times New Roman"/>
          <w:iCs/>
          <w:sz w:val="28"/>
          <w:szCs w:val="28"/>
        </w:rPr>
        <w:t>citrinin’s</w:t>
      </w:r>
      <w:proofErr w:type="spellEnd"/>
      <w:r w:rsidRPr="008F0058">
        <w:rPr>
          <w:rFonts w:ascii="Times New Roman" w:hAnsi="Times New Roman" w:cs="Times New Roman"/>
          <w:sz w:val="28"/>
          <w:szCs w:val="28"/>
        </w:rPr>
        <w:t xml:space="preserve"> role in multi-mycotoxin toxicity highlights the need for further research into its interactions with other foodborne toxins. The accuracy and reliability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detection methods are another source of contention. Traditional detection methods, such as high-performance liquid chromatography (HPLC) and liquid chromatography-mass spectrometry (LC-MS), are widely used for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analysis. However, critics argue that these methods are time-consuming, expensive, and require specialized laboratories, making them impractical for large-scale food safety monitoring (Rai et al., 2023). On the other hand, rapid detection methods, such as enzyme-linked </w:t>
      </w:r>
      <w:proofErr w:type="spellStart"/>
      <w:r w:rsidRPr="008F0058">
        <w:rPr>
          <w:rFonts w:ascii="Times New Roman" w:hAnsi="Times New Roman" w:cs="Times New Roman"/>
          <w:sz w:val="28"/>
          <w:szCs w:val="28"/>
        </w:rPr>
        <w:t>immunosorbent</w:t>
      </w:r>
      <w:proofErr w:type="spellEnd"/>
      <w:r w:rsidRPr="008F0058">
        <w:rPr>
          <w:rFonts w:ascii="Times New Roman" w:hAnsi="Times New Roman" w:cs="Times New Roman"/>
          <w:sz w:val="28"/>
          <w:szCs w:val="28"/>
        </w:rPr>
        <w:t xml:space="preserve"> assays (ELISA) and biosensors, have been proposed as cost-effective alternatives. However, some researchers question the sensitivity and specificity of these newer methods, arguing that further validation studies are needed before they can replace conventional techniques (Shi et al., 2022). The debate over the best approach to mitigate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continues among scientists and industry stakeholders. Chemical and physical detoxification methods, such as UV irradiation and heat treatment, have been shown to reduce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levels in contaminated products (Wang et al., 2020). However, these methods often raise concerns about food quality deterioration and the formation of potentially harmful degradation products. Some researchers advocate for biological detoxification using probiotic bacteria and enzymatic degradation, arguing that these methods offer a safer and more sustainable alternative (</w:t>
      </w:r>
      <w:proofErr w:type="spellStart"/>
      <w:r w:rsidRPr="008F0058">
        <w:rPr>
          <w:rFonts w:ascii="Times New Roman" w:hAnsi="Times New Roman" w:cs="Times New Roman"/>
          <w:sz w:val="28"/>
          <w:szCs w:val="28"/>
        </w:rPr>
        <w:t>Haque</w:t>
      </w:r>
      <w:proofErr w:type="spellEnd"/>
      <w:r w:rsidRPr="008F0058">
        <w:rPr>
          <w:rFonts w:ascii="Times New Roman" w:hAnsi="Times New Roman" w:cs="Times New Roman"/>
          <w:sz w:val="28"/>
          <w:szCs w:val="28"/>
        </w:rPr>
        <w:t xml:space="preserve"> et al., 2021). However, critics highlight the need for more research to optimize these biological approaches for large-scale application. The lack of a universally accepted detoxification strategy underscores the complexity of managing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effectively. There is a growing discussion on how climate change may impact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in food crops. Some researchers suggest that rising global temperatures and increased humidity create favorable conditions for </w:t>
      </w:r>
      <w:proofErr w:type="spellStart"/>
      <w:r w:rsidRPr="0069290A">
        <w:rPr>
          <w:rFonts w:ascii="Times New Roman" w:hAnsi="Times New Roman" w:cs="Times New Roman"/>
          <w:i/>
          <w:iCs/>
          <w:sz w:val="28"/>
          <w:szCs w:val="28"/>
        </w:rPr>
        <w:t>Penicillium</w:t>
      </w:r>
      <w:proofErr w:type="spellEnd"/>
      <w:r w:rsidRPr="008F0058">
        <w:rPr>
          <w:rFonts w:ascii="Times New Roman" w:hAnsi="Times New Roman" w:cs="Times New Roman"/>
          <w:sz w:val="28"/>
          <w:szCs w:val="28"/>
        </w:rPr>
        <w:t xml:space="preserve"> species to thrive, potentially leading to higher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levels (Zhou et al., 2021). This perspective supports the argument for stricter monitoring and adaptive food safety policies to address climate-related risks. However, skeptics argue that while climate change may influence fungal growth patterns, other factors such as agricultural practices and post-harvest storage conditions play a more significant role in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w:t>
      </w:r>
      <w:proofErr w:type="spellStart"/>
      <w:r w:rsidRPr="008F0058">
        <w:rPr>
          <w:rFonts w:ascii="Times New Roman" w:hAnsi="Times New Roman" w:cs="Times New Roman"/>
          <w:sz w:val="28"/>
          <w:szCs w:val="28"/>
        </w:rPr>
        <w:t>Geng</w:t>
      </w:r>
      <w:proofErr w:type="spellEnd"/>
      <w:r w:rsidRPr="008F0058">
        <w:rPr>
          <w:rFonts w:ascii="Times New Roman" w:hAnsi="Times New Roman" w:cs="Times New Roman"/>
          <w:sz w:val="28"/>
          <w:szCs w:val="28"/>
        </w:rPr>
        <w:t xml:space="preserve"> et al., 2021). This debate highlights the need for interdisciplinary research to assess the long-term impact of climate change on mycotoxin prevalence. The economic implications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regulations and mitigation strategies have also been a point of contention. Stricter regulations on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levels could lead to increased food waste, higher production costs, and economic losses for farmers and food manufacturers (Rai et al., 2023). Some industry stakeholders argue that overly stringent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regulations could disproportionately affect small-scale farmers in developing countries who lack access to advanced detection and mitigation technologies. Conversely, public health advocates emphasize that prioritizing food safety over economic concerns is necessary to prevent long-term health consequences associated with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exposure (Shi et al., 2022). Balancing economic viability with public health protection remains a challenge in policymaking.</w:t>
      </w:r>
    </w:p>
    <w:p w14:paraId="240B51EC" w14:textId="44567969" w:rsidR="00602320" w:rsidRDefault="00602320" w:rsidP="00602320">
      <w:pPr>
        <w:spacing w:line="480" w:lineRule="auto"/>
        <w:jc w:val="both"/>
        <w:rPr>
          <w:rFonts w:ascii="Times New Roman" w:hAnsi="Times New Roman" w:cs="Times New Roman"/>
          <w:sz w:val="28"/>
          <w:szCs w:val="28"/>
        </w:rPr>
      </w:pPr>
      <w:r>
        <w:rPr>
          <w:rFonts w:ascii="Times New Roman" w:hAnsi="Times New Roman" w:cs="Times New Roman"/>
          <w:sz w:val="28"/>
          <w:szCs w:val="28"/>
        </w:rPr>
        <w:t>1.2  STATEMENT</w:t>
      </w:r>
      <w:r w:rsidR="008B7CEE">
        <w:rPr>
          <w:rFonts w:ascii="Times New Roman" w:hAnsi="Times New Roman" w:cs="Times New Roman"/>
          <w:sz w:val="28"/>
          <w:szCs w:val="28"/>
        </w:rPr>
        <w:t xml:space="preserve"> OF PROBLEM </w:t>
      </w:r>
    </w:p>
    <w:p w14:paraId="432DC6D8" w14:textId="1404C83D" w:rsidR="006B402D" w:rsidRPr="00201F4C" w:rsidRDefault="006B402D" w:rsidP="00201F4C">
      <w:pPr>
        <w:pStyle w:val="ListParagraph"/>
        <w:numPr>
          <w:ilvl w:val="0"/>
          <w:numId w:val="8"/>
        </w:numPr>
        <w:spacing w:line="480" w:lineRule="auto"/>
        <w:jc w:val="both"/>
        <w:rPr>
          <w:rFonts w:ascii="Times New Roman" w:hAnsi="Times New Roman" w:cs="Times New Roman"/>
          <w:sz w:val="28"/>
          <w:szCs w:val="28"/>
        </w:rPr>
      </w:pPr>
      <w:r w:rsidRPr="00201F4C">
        <w:rPr>
          <w:rFonts w:ascii="Times New Roman" w:hAnsi="Times New Roman" w:cs="Times New Roman"/>
          <w:sz w:val="28"/>
          <w:szCs w:val="28"/>
        </w:rPr>
        <w:t xml:space="preserve">There is limited local research on the presence and potency of </w:t>
      </w:r>
      <w:proofErr w:type="spellStart"/>
      <w:r w:rsidRPr="00201F4C">
        <w:rPr>
          <w:rFonts w:ascii="Times New Roman" w:hAnsi="Times New Roman" w:cs="Times New Roman"/>
          <w:sz w:val="28"/>
          <w:szCs w:val="28"/>
        </w:rPr>
        <w:t>citrinin</w:t>
      </w:r>
      <w:proofErr w:type="spellEnd"/>
      <w:r w:rsidRPr="00201F4C">
        <w:rPr>
          <w:rFonts w:ascii="Times New Roman" w:hAnsi="Times New Roman" w:cs="Times New Roman"/>
          <w:sz w:val="28"/>
          <w:szCs w:val="28"/>
        </w:rPr>
        <w:t xml:space="preserve"> from fruits like bananas.</w:t>
      </w:r>
    </w:p>
    <w:p w14:paraId="74C67870" w14:textId="1D6DAFFA" w:rsidR="006B402D" w:rsidRPr="00201F4C" w:rsidRDefault="006B402D" w:rsidP="00201F4C">
      <w:pPr>
        <w:pStyle w:val="ListParagraph"/>
        <w:numPr>
          <w:ilvl w:val="0"/>
          <w:numId w:val="8"/>
        </w:numPr>
        <w:spacing w:line="480" w:lineRule="auto"/>
        <w:jc w:val="both"/>
        <w:rPr>
          <w:rFonts w:ascii="Times New Roman" w:hAnsi="Times New Roman" w:cs="Times New Roman"/>
          <w:sz w:val="28"/>
          <w:szCs w:val="28"/>
        </w:rPr>
      </w:pPr>
      <w:r w:rsidRPr="00201F4C">
        <w:rPr>
          <w:rFonts w:ascii="Times New Roman" w:hAnsi="Times New Roman" w:cs="Times New Roman"/>
          <w:sz w:val="28"/>
          <w:szCs w:val="28"/>
        </w:rPr>
        <w:t xml:space="preserve">Low-cost, simple methods for </w:t>
      </w:r>
      <w:proofErr w:type="spellStart"/>
      <w:r w:rsidRPr="00201F4C">
        <w:rPr>
          <w:rFonts w:ascii="Times New Roman" w:hAnsi="Times New Roman" w:cs="Times New Roman"/>
          <w:sz w:val="28"/>
          <w:szCs w:val="28"/>
        </w:rPr>
        <w:t>citrinin</w:t>
      </w:r>
      <w:proofErr w:type="spellEnd"/>
      <w:r w:rsidRPr="00201F4C">
        <w:rPr>
          <w:rFonts w:ascii="Times New Roman" w:hAnsi="Times New Roman" w:cs="Times New Roman"/>
          <w:sz w:val="28"/>
          <w:szCs w:val="28"/>
        </w:rPr>
        <w:t xml:space="preserve"> detection are lacking, making food safety monitoring difficult.</w:t>
      </w:r>
    </w:p>
    <w:p w14:paraId="7DF6EC6B" w14:textId="51D344FC" w:rsidR="005B6C47" w:rsidRDefault="005B6C47" w:rsidP="005B6C47">
      <w:pPr>
        <w:pStyle w:val="NormalWeb"/>
        <w:numPr>
          <w:ilvl w:val="0"/>
          <w:numId w:val="8"/>
        </w:numPr>
        <w:spacing w:line="480" w:lineRule="auto"/>
        <w:jc w:val="both"/>
        <w:rPr>
          <w:sz w:val="28"/>
          <w:szCs w:val="28"/>
        </w:rPr>
      </w:pPr>
      <w:r>
        <w:rPr>
          <w:sz w:val="28"/>
          <w:szCs w:val="28"/>
        </w:rPr>
        <w:t xml:space="preserve">Despite global awareness of </w:t>
      </w:r>
      <w:proofErr w:type="spellStart"/>
      <w:r>
        <w:rPr>
          <w:sz w:val="28"/>
          <w:szCs w:val="28"/>
        </w:rPr>
        <w:t>citrinin’s</w:t>
      </w:r>
      <w:proofErr w:type="spellEnd"/>
      <w:r>
        <w:rPr>
          <w:sz w:val="28"/>
          <w:szCs w:val="28"/>
        </w:rPr>
        <w:t xml:space="preserve"> toxicological effects such as </w:t>
      </w:r>
      <w:proofErr w:type="spellStart"/>
      <w:r>
        <w:rPr>
          <w:sz w:val="28"/>
          <w:szCs w:val="28"/>
        </w:rPr>
        <w:t>immunotoxicity</w:t>
      </w:r>
      <w:proofErr w:type="spellEnd"/>
      <w:r>
        <w:rPr>
          <w:sz w:val="28"/>
          <w:szCs w:val="28"/>
        </w:rPr>
        <w:t xml:space="preserve">, neurotoxicity, and </w:t>
      </w:r>
      <w:proofErr w:type="spellStart"/>
      <w:r>
        <w:rPr>
          <w:sz w:val="28"/>
          <w:szCs w:val="28"/>
        </w:rPr>
        <w:t>genotoxicity</w:t>
      </w:r>
      <w:proofErr w:type="spellEnd"/>
      <w:r>
        <w:rPr>
          <w:sz w:val="28"/>
          <w:szCs w:val="28"/>
        </w:rPr>
        <w:t xml:space="preserve"> contamination in food chains remains a persistent challenge due to inadequate storage conditions, limited surveillance, and insufficient public awareness. </w:t>
      </w:r>
    </w:p>
    <w:p w14:paraId="04D8B50B" w14:textId="47844B78" w:rsidR="005B6C47" w:rsidRDefault="005B6C47" w:rsidP="005B6C47">
      <w:pPr>
        <w:pStyle w:val="NormalWeb"/>
        <w:numPr>
          <w:ilvl w:val="0"/>
          <w:numId w:val="8"/>
        </w:numPr>
        <w:spacing w:line="480" w:lineRule="auto"/>
        <w:jc w:val="both"/>
        <w:rPr>
          <w:sz w:val="28"/>
          <w:szCs w:val="28"/>
        </w:rPr>
      </w:pPr>
      <w:r>
        <w:rPr>
          <w:sz w:val="28"/>
          <w:szCs w:val="28"/>
        </w:rPr>
        <w:t xml:space="preserve">The variation in </w:t>
      </w:r>
      <w:proofErr w:type="spellStart"/>
      <w:r>
        <w:rPr>
          <w:sz w:val="28"/>
          <w:szCs w:val="28"/>
        </w:rPr>
        <w:t>citrinin</w:t>
      </w:r>
      <w:proofErr w:type="spellEnd"/>
      <w:r>
        <w:rPr>
          <w:sz w:val="28"/>
          <w:szCs w:val="28"/>
        </w:rPr>
        <w:t xml:space="preserve"> toxicity at different concentrations and its organ-specific effects in mammals are still under-researched, particularly in vivo studies involving animal models. </w:t>
      </w:r>
    </w:p>
    <w:p w14:paraId="3D69660A" w14:textId="6507CD1D" w:rsidR="00BC3BDF" w:rsidRPr="00BC3BDF" w:rsidRDefault="00602320" w:rsidP="00BC3BD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BC3BDF">
        <w:rPr>
          <w:rFonts w:ascii="Times New Roman" w:hAnsi="Times New Roman" w:cs="Times New Roman"/>
          <w:sz w:val="28"/>
          <w:szCs w:val="28"/>
        </w:rPr>
        <w:t>.</w:t>
      </w:r>
      <w:r>
        <w:rPr>
          <w:rFonts w:ascii="Times New Roman" w:hAnsi="Times New Roman" w:cs="Times New Roman"/>
          <w:sz w:val="28"/>
          <w:szCs w:val="28"/>
        </w:rPr>
        <w:t xml:space="preserve"> </w:t>
      </w:r>
      <w:r w:rsidRPr="00BC3BDF">
        <w:rPr>
          <w:rFonts w:ascii="Times New Roman" w:hAnsi="Times New Roman" w:cs="Times New Roman"/>
          <w:sz w:val="28"/>
          <w:szCs w:val="28"/>
        </w:rPr>
        <w:t>JUSTIFICATION OF STUDY</w:t>
      </w:r>
    </w:p>
    <w:p w14:paraId="3E0A46E4" w14:textId="21406680" w:rsidR="001A5DB4" w:rsidRDefault="00E129CA" w:rsidP="00E129CA">
      <w:pPr>
        <w:pStyle w:val="NormalWeb"/>
        <w:spacing w:line="480" w:lineRule="auto"/>
        <w:jc w:val="both"/>
        <w:rPr>
          <w:sz w:val="28"/>
          <w:szCs w:val="28"/>
        </w:rPr>
      </w:pPr>
      <w:r>
        <w:rPr>
          <w:sz w:val="28"/>
          <w:szCs w:val="28"/>
        </w:rPr>
        <w:t xml:space="preserve">The presence of </w:t>
      </w:r>
      <w:proofErr w:type="spellStart"/>
      <w:r w:rsidRPr="00B80C1B">
        <w:rPr>
          <w:i/>
          <w:iCs/>
          <w:sz w:val="28"/>
          <w:szCs w:val="28"/>
        </w:rPr>
        <w:t>Penicillium</w:t>
      </w:r>
      <w:proofErr w:type="spellEnd"/>
      <w:r>
        <w:rPr>
          <w:sz w:val="28"/>
          <w:szCs w:val="28"/>
        </w:rPr>
        <w:t xml:space="preserve"> </w:t>
      </w:r>
      <w:proofErr w:type="spellStart"/>
      <w:r>
        <w:rPr>
          <w:sz w:val="28"/>
          <w:szCs w:val="28"/>
        </w:rPr>
        <w:t>citrinin</w:t>
      </w:r>
      <w:proofErr w:type="spellEnd"/>
      <w:r>
        <w:rPr>
          <w:sz w:val="28"/>
          <w:szCs w:val="28"/>
        </w:rPr>
        <w:t xml:space="preserve"> in food products, particularly fruits and their derivatives, poses a significant public health concern due to its ability to produce </w:t>
      </w:r>
      <w:proofErr w:type="spellStart"/>
      <w:r>
        <w:rPr>
          <w:sz w:val="28"/>
          <w:szCs w:val="28"/>
        </w:rPr>
        <w:t>citrinin</w:t>
      </w:r>
      <w:proofErr w:type="spellEnd"/>
      <w:r>
        <w:rPr>
          <w:sz w:val="28"/>
          <w:szCs w:val="28"/>
        </w:rPr>
        <w:t xml:space="preserve"> a mycotoxin with confirmed toxic effects. Although regulatory bodies like the WHO and EFSA have established safety limits, </w:t>
      </w:r>
      <w:proofErr w:type="spellStart"/>
      <w:r>
        <w:rPr>
          <w:sz w:val="28"/>
          <w:szCs w:val="28"/>
        </w:rPr>
        <w:t>citrinin</w:t>
      </w:r>
      <w:proofErr w:type="spellEnd"/>
      <w:r>
        <w:rPr>
          <w:sz w:val="28"/>
          <w:szCs w:val="28"/>
        </w:rPr>
        <w:t xml:space="preserve"> contamination remains underreported in many regions, especially in developing countries with limited food quality monitoring. Studying the toxicity of </w:t>
      </w:r>
      <w:proofErr w:type="spellStart"/>
      <w:r>
        <w:rPr>
          <w:sz w:val="28"/>
          <w:szCs w:val="28"/>
        </w:rPr>
        <w:t>citrinin</w:t>
      </w:r>
      <w:proofErr w:type="spellEnd"/>
      <w:r>
        <w:rPr>
          <w:sz w:val="28"/>
          <w:szCs w:val="28"/>
        </w:rPr>
        <w:t xml:space="preserve"> at varying concentrations using animal models provides essential data on dose-dependent pathological effects, which is crucial for refining health guidelines. This study also helps to bridge existing gaps in </w:t>
      </w:r>
      <w:proofErr w:type="spellStart"/>
      <w:r>
        <w:rPr>
          <w:sz w:val="28"/>
          <w:szCs w:val="28"/>
        </w:rPr>
        <w:t>citrinin</w:t>
      </w:r>
      <w:proofErr w:type="spellEnd"/>
      <w:r>
        <w:rPr>
          <w:sz w:val="28"/>
          <w:szCs w:val="28"/>
        </w:rPr>
        <w:t xml:space="preserve"> toxicology, contributes to global efforts on food safety, and supports the development of effective mitigation strategies.</w:t>
      </w:r>
    </w:p>
    <w:p w14:paraId="0A906F36" w14:textId="63CF8402" w:rsidR="007A11B4" w:rsidRDefault="007A11B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AIMS AND OBJECTIVES </w:t>
      </w:r>
    </w:p>
    <w:p w14:paraId="15FA2BC7" w14:textId="7C71F855" w:rsidR="00602320" w:rsidRDefault="00602320" w:rsidP="00602320">
      <w:pPr>
        <w:spacing w:line="480" w:lineRule="auto"/>
        <w:jc w:val="both"/>
        <w:rPr>
          <w:rFonts w:ascii="Times New Roman" w:hAnsi="Times New Roman" w:cs="Times New Roman"/>
          <w:sz w:val="28"/>
          <w:szCs w:val="28"/>
        </w:rPr>
      </w:pPr>
      <w:r>
        <w:rPr>
          <w:rFonts w:ascii="Times New Roman" w:hAnsi="Times New Roman" w:cs="Times New Roman"/>
          <w:sz w:val="28"/>
          <w:szCs w:val="28"/>
        </w:rPr>
        <w:t>This study aim</w:t>
      </w:r>
      <w:r w:rsidR="00970C16">
        <w:rPr>
          <w:rFonts w:ascii="Times New Roman" w:hAnsi="Times New Roman" w:cs="Times New Roman"/>
          <w:sz w:val="28"/>
          <w:szCs w:val="28"/>
        </w:rPr>
        <w:t xml:space="preserve"> </w:t>
      </w:r>
      <w:r>
        <w:rPr>
          <w:rFonts w:ascii="Times New Roman" w:hAnsi="Times New Roman" w:cs="Times New Roman"/>
          <w:sz w:val="28"/>
          <w:szCs w:val="28"/>
        </w:rPr>
        <w:t xml:space="preserve">check the potency of </w:t>
      </w:r>
      <w:proofErr w:type="spellStart"/>
      <w:r w:rsidRPr="00B503E2">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at vary degree of concentration</w:t>
      </w:r>
    </w:p>
    <w:p w14:paraId="396E2E23" w14:textId="77777777" w:rsidR="00602320" w:rsidRDefault="00602320" w:rsidP="0060232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w:t>
      </w:r>
    </w:p>
    <w:p w14:paraId="52ECBB12" w14:textId="2122B4AF" w:rsidR="00602320" w:rsidRPr="004764C4"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Pr="004764C4">
        <w:rPr>
          <w:rFonts w:ascii="Times New Roman" w:hAnsi="Times New Roman" w:cs="Times New Roman"/>
          <w:sz w:val="28"/>
          <w:szCs w:val="28"/>
        </w:rPr>
        <w:t xml:space="preserve">solate </w:t>
      </w:r>
      <w:proofErr w:type="spellStart"/>
      <w:r w:rsidRPr="00AA25DA">
        <w:rPr>
          <w:rFonts w:ascii="Times New Roman" w:hAnsi="Times New Roman" w:cs="Times New Roman"/>
          <w:i/>
          <w:iCs/>
          <w:sz w:val="28"/>
          <w:szCs w:val="28"/>
        </w:rPr>
        <w:t>Penicillium</w:t>
      </w:r>
      <w:proofErr w:type="spellEnd"/>
      <w:r w:rsidRPr="004764C4">
        <w:rPr>
          <w:rFonts w:ascii="Times New Roman" w:hAnsi="Times New Roman" w:cs="Times New Roman"/>
          <w:sz w:val="28"/>
          <w:szCs w:val="28"/>
        </w:rPr>
        <w:t xml:space="preserve"> </w:t>
      </w:r>
      <w:proofErr w:type="spellStart"/>
      <w:r w:rsidRPr="009535E4">
        <w:rPr>
          <w:rFonts w:ascii="Times New Roman" w:hAnsi="Times New Roman" w:cs="Times New Roman"/>
          <w:i/>
          <w:iCs/>
          <w:sz w:val="28"/>
          <w:szCs w:val="28"/>
        </w:rPr>
        <w:t>citrinum</w:t>
      </w:r>
      <w:proofErr w:type="spellEnd"/>
      <w:r w:rsidRPr="00970C16">
        <w:rPr>
          <w:rFonts w:ascii="Times New Roman" w:hAnsi="Times New Roman" w:cs="Times New Roman"/>
          <w:sz w:val="28"/>
          <w:szCs w:val="28"/>
        </w:rPr>
        <w:t xml:space="preserve"> from overripe bananas</w:t>
      </w:r>
    </w:p>
    <w:p w14:paraId="5ED190E2" w14:textId="77777777" w:rsidR="00602320"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subject it to toxin production</w:t>
      </w:r>
      <w:r w:rsidRPr="004764C4">
        <w:rPr>
          <w:rFonts w:ascii="Times New Roman" w:hAnsi="Times New Roman" w:cs="Times New Roman"/>
          <w:sz w:val="28"/>
          <w:szCs w:val="28"/>
        </w:rPr>
        <w:t>.</w:t>
      </w:r>
    </w:p>
    <w:p w14:paraId="28B004CC" w14:textId="77777777" w:rsidR="00602320" w:rsidRPr="004764C4"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14:paraId="29C37AEE" w14:textId="69A3F234" w:rsidR="00FC55AC" w:rsidRPr="00602320" w:rsidRDefault="00602320" w:rsidP="00471BB7">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Pr="004764C4">
        <w:rPr>
          <w:rFonts w:ascii="Times New Roman" w:hAnsi="Times New Roman" w:cs="Times New Roman"/>
          <w:sz w:val="28"/>
          <w:szCs w:val="28"/>
        </w:rPr>
        <w:t>valuate the toxic effects on an animal model (rat).</w:t>
      </w:r>
    </w:p>
    <w:p w14:paraId="200D62E2" w14:textId="77777777" w:rsidR="00DE225E" w:rsidRDefault="00DE225E" w:rsidP="00471BB7">
      <w:pPr>
        <w:spacing w:line="480" w:lineRule="auto"/>
        <w:jc w:val="both"/>
        <w:rPr>
          <w:rFonts w:ascii="Times New Roman" w:hAnsi="Times New Roman" w:cs="Times New Roman"/>
          <w:sz w:val="28"/>
          <w:szCs w:val="28"/>
        </w:rPr>
      </w:pPr>
    </w:p>
    <w:p w14:paraId="3C97444E" w14:textId="77777777" w:rsidR="00DE225E" w:rsidRDefault="00DE225E" w:rsidP="00471BB7">
      <w:pPr>
        <w:spacing w:line="480" w:lineRule="auto"/>
        <w:jc w:val="both"/>
        <w:rPr>
          <w:rFonts w:ascii="Times New Roman" w:hAnsi="Times New Roman" w:cs="Times New Roman"/>
          <w:sz w:val="28"/>
          <w:szCs w:val="28"/>
        </w:rPr>
      </w:pPr>
    </w:p>
    <w:p w14:paraId="3D3ABBCB" w14:textId="77777777" w:rsidR="00E129CA" w:rsidRDefault="00E129CA" w:rsidP="00471BB7">
      <w:pPr>
        <w:spacing w:line="480" w:lineRule="auto"/>
        <w:jc w:val="both"/>
        <w:rPr>
          <w:rFonts w:ascii="Times New Roman" w:hAnsi="Times New Roman" w:cs="Times New Roman"/>
          <w:sz w:val="28"/>
          <w:szCs w:val="28"/>
        </w:rPr>
      </w:pPr>
    </w:p>
    <w:p w14:paraId="0187E847" w14:textId="77777777" w:rsidR="00077DBE" w:rsidRDefault="00077DBE" w:rsidP="00471BB7">
      <w:pPr>
        <w:spacing w:line="480" w:lineRule="auto"/>
        <w:jc w:val="both"/>
        <w:rPr>
          <w:rFonts w:ascii="Times New Roman" w:hAnsi="Times New Roman" w:cs="Times New Roman"/>
          <w:sz w:val="28"/>
          <w:szCs w:val="28"/>
        </w:rPr>
      </w:pPr>
    </w:p>
    <w:p w14:paraId="55E69FDE" w14:textId="77777777" w:rsidR="00077DBE" w:rsidRDefault="00077DBE" w:rsidP="00471BB7">
      <w:pPr>
        <w:spacing w:line="480" w:lineRule="auto"/>
        <w:jc w:val="both"/>
        <w:rPr>
          <w:rFonts w:ascii="Times New Roman" w:hAnsi="Times New Roman" w:cs="Times New Roman"/>
          <w:sz w:val="28"/>
          <w:szCs w:val="28"/>
        </w:rPr>
      </w:pPr>
    </w:p>
    <w:p w14:paraId="732C0898" w14:textId="0BC1E50F" w:rsidR="00EA4F2B" w:rsidRDefault="00FC55AC" w:rsidP="00406099">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113D5E46" w14:textId="77777777" w:rsidR="0066433F" w:rsidRDefault="00FC55A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2.0 MATER</w:t>
      </w:r>
      <w:r w:rsidR="00F153AE">
        <w:rPr>
          <w:rFonts w:ascii="Times New Roman" w:hAnsi="Times New Roman" w:cs="Times New Roman"/>
          <w:sz w:val="28"/>
          <w:szCs w:val="28"/>
        </w:rPr>
        <w:t>IALS AND METHOD</w:t>
      </w:r>
    </w:p>
    <w:p w14:paraId="518E8200" w14:textId="77777777" w:rsidR="0066433F" w:rsidRDefault="0066433F"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 Materials</w:t>
      </w:r>
    </w:p>
    <w:p w14:paraId="4C708C99" w14:textId="0BE61708" w:rsidR="00FC55AC"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Overripe banana</w:t>
      </w:r>
      <w:r w:rsidR="0066433F">
        <w:rPr>
          <w:rFonts w:ascii="Times New Roman" w:hAnsi="Times New Roman" w:cs="Times New Roman"/>
          <w:sz w:val="28"/>
          <w:szCs w:val="28"/>
        </w:rPr>
        <w:t xml:space="preserve">, conical flakes, beakers, cotton wool, aluminum foil paper, wire loop, spirit lamp, matches, stirring rod, 70% dilute ethanol, petri dishes, distilled water, Lacto phenol cotton blue, nose mask, gloves, autoclaves, incubator, glass slide, test tubes, centrifuge, </w:t>
      </w:r>
      <w:proofErr w:type="spellStart"/>
      <w:r w:rsidR="0066433F">
        <w:rPr>
          <w:rFonts w:ascii="Times New Roman" w:hAnsi="Times New Roman" w:cs="Times New Roman"/>
          <w:sz w:val="28"/>
          <w:szCs w:val="28"/>
        </w:rPr>
        <w:t>wistar</w:t>
      </w:r>
      <w:proofErr w:type="spellEnd"/>
      <w:r w:rsidR="0066433F">
        <w:rPr>
          <w:rFonts w:ascii="Times New Roman" w:hAnsi="Times New Roman" w:cs="Times New Roman"/>
          <w:sz w:val="28"/>
          <w:szCs w:val="28"/>
        </w:rPr>
        <w:t xml:space="preserve"> rats, oral feeding syringe, digital weighing scale, microscope and spatula, antibiotics (streptomycin), rotary shaker, hot a</w:t>
      </w:r>
      <w:r>
        <w:rPr>
          <w:rFonts w:ascii="Times New Roman" w:hAnsi="Times New Roman" w:cs="Times New Roman"/>
          <w:sz w:val="28"/>
          <w:szCs w:val="28"/>
        </w:rPr>
        <w:t>ir oven, dissecting instrument.</w:t>
      </w:r>
    </w:p>
    <w:p w14:paraId="66A4129A" w14:textId="14FE0DCD" w:rsidR="00F153AE"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F153AE">
        <w:rPr>
          <w:rFonts w:ascii="Times New Roman" w:hAnsi="Times New Roman" w:cs="Times New Roman"/>
          <w:sz w:val="28"/>
          <w:szCs w:val="28"/>
        </w:rPr>
        <w:t xml:space="preserve"> </w:t>
      </w:r>
      <w:r>
        <w:rPr>
          <w:rFonts w:ascii="Times New Roman" w:hAnsi="Times New Roman" w:cs="Times New Roman"/>
          <w:sz w:val="28"/>
          <w:szCs w:val="28"/>
        </w:rPr>
        <w:t>Sterilization of Equipment and Environment</w:t>
      </w:r>
    </w:p>
    <w:p w14:paraId="2FEE6AF1" w14:textId="49CC3729" w:rsidR="00F153AE"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4C455C41" w14:textId="5C4B000F" w:rsidR="009F599F"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9F599F">
        <w:rPr>
          <w:rFonts w:ascii="Times New Roman" w:hAnsi="Times New Roman" w:cs="Times New Roman"/>
          <w:sz w:val="28"/>
          <w:szCs w:val="28"/>
        </w:rPr>
        <w:t xml:space="preserve"> </w:t>
      </w:r>
      <w:r>
        <w:rPr>
          <w:rFonts w:ascii="Times New Roman" w:hAnsi="Times New Roman" w:cs="Times New Roman"/>
          <w:sz w:val="28"/>
          <w:szCs w:val="28"/>
        </w:rPr>
        <w:t>Sample Collection</w:t>
      </w:r>
      <w:r w:rsidR="00077DBE">
        <w:rPr>
          <w:rFonts w:ascii="Times New Roman" w:hAnsi="Times New Roman" w:cs="Times New Roman"/>
          <w:sz w:val="28"/>
          <w:szCs w:val="28"/>
        </w:rPr>
        <w:t>, Sample Processing and Culturing</w:t>
      </w:r>
    </w:p>
    <w:p w14:paraId="0CE6F6EC" w14:textId="58E0D3D9" w:rsidR="00B313CD"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pieces of overripe banana was brought from a fruit seller, at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gate junction,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r w:rsidR="00077DBE">
        <w:rPr>
          <w:rFonts w:ascii="Times New Roman" w:hAnsi="Times New Roman" w:cs="Times New Roman"/>
          <w:sz w:val="28"/>
          <w:szCs w:val="28"/>
        </w:rPr>
        <w:t xml:space="preserve"> </w:t>
      </w:r>
      <w:r w:rsidR="00D62A45">
        <w:rPr>
          <w:rFonts w:ascii="Times New Roman" w:hAnsi="Times New Roman" w:cs="Times New Roman"/>
          <w:sz w:val="28"/>
          <w:szCs w:val="28"/>
        </w:rPr>
        <w:t xml:space="preserve">The banana was first washed with distilled water, then </w:t>
      </w:r>
      <w:r w:rsidR="00C67C2F">
        <w:rPr>
          <w:rFonts w:ascii="Times New Roman" w:hAnsi="Times New Roman" w:cs="Times New Roman"/>
          <w:sz w:val="28"/>
          <w:szCs w:val="28"/>
        </w:rPr>
        <w:t xml:space="preserve">cleaned with cotton wool </w:t>
      </w:r>
      <w:r w:rsidR="00B7356F">
        <w:rPr>
          <w:rFonts w:ascii="Times New Roman" w:hAnsi="Times New Roman" w:cs="Times New Roman"/>
          <w:sz w:val="28"/>
          <w:szCs w:val="28"/>
        </w:rPr>
        <w:t>soaked with 70% ethanol</w:t>
      </w:r>
      <w:r w:rsidR="001723D2">
        <w:rPr>
          <w:rFonts w:ascii="Times New Roman" w:hAnsi="Times New Roman" w:cs="Times New Roman"/>
          <w:sz w:val="28"/>
          <w:szCs w:val="28"/>
        </w:rPr>
        <w:t xml:space="preserve"> before washing again with distilled water. Afterward it was</w:t>
      </w:r>
      <w:r w:rsidR="00C75178">
        <w:rPr>
          <w:rFonts w:ascii="Times New Roman" w:hAnsi="Times New Roman" w:cs="Times New Roman"/>
          <w:sz w:val="28"/>
          <w:szCs w:val="28"/>
        </w:rPr>
        <w:t xml:space="preserve"> </w:t>
      </w:r>
      <w:r w:rsidR="00650E5F">
        <w:rPr>
          <w:rFonts w:ascii="Times New Roman" w:hAnsi="Times New Roman" w:cs="Times New Roman"/>
          <w:sz w:val="28"/>
          <w:szCs w:val="28"/>
        </w:rPr>
        <w:t xml:space="preserve">peeled and </w:t>
      </w:r>
      <w:r w:rsidR="001723D2">
        <w:rPr>
          <w:rFonts w:ascii="Times New Roman" w:hAnsi="Times New Roman" w:cs="Times New Roman"/>
          <w:sz w:val="28"/>
          <w:szCs w:val="28"/>
        </w:rPr>
        <w:t xml:space="preserve">cut into </w:t>
      </w:r>
      <w:r w:rsidR="003363C6">
        <w:rPr>
          <w:rFonts w:ascii="Times New Roman" w:hAnsi="Times New Roman" w:cs="Times New Roman"/>
          <w:sz w:val="28"/>
          <w:szCs w:val="28"/>
        </w:rPr>
        <w:t>four (4) pieces</w:t>
      </w:r>
      <w:r w:rsidR="0095319F">
        <w:rPr>
          <w:rFonts w:ascii="Times New Roman" w:hAnsi="Times New Roman" w:cs="Times New Roman"/>
          <w:sz w:val="28"/>
          <w:szCs w:val="28"/>
        </w:rPr>
        <w:t xml:space="preserve"> with measurements of 0-2</w:t>
      </w:r>
      <w:r w:rsidR="000C0A20">
        <w:rPr>
          <w:rFonts w:ascii="Times New Roman" w:hAnsi="Times New Roman" w:cs="Times New Roman"/>
          <w:sz w:val="28"/>
          <w:szCs w:val="28"/>
        </w:rPr>
        <w:t>cm length</w:t>
      </w:r>
      <w:r w:rsidR="00A04126">
        <w:rPr>
          <w:rFonts w:ascii="Times New Roman" w:hAnsi="Times New Roman" w:cs="Times New Roman"/>
          <w:sz w:val="28"/>
          <w:szCs w:val="28"/>
        </w:rPr>
        <w:t xml:space="preserve">. It was then transferred into a clean beaker and </w:t>
      </w:r>
      <w:r w:rsidR="003836E9">
        <w:rPr>
          <w:rFonts w:ascii="Times New Roman" w:hAnsi="Times New Roman" w:cs="Times New Roman"/>
          <w:sz w:val="28"/>
          <w:szCs w:val="28"/>
        </w:rPr>
        <w:t>10ml of distilled water was measured and pour into it, then mixed together</w:t>
      </w:r>
      <w:r w:rsidR="0007408E">
        <w:rPr>
          <w:rFonts w:ascii="Times New Roman" w:hAnsi="Times New Roman" w:cs="Times New Roman"/>
          <w:sz w:val="28"/>
          <w:szCs w:val="28"/>
        </w:rPr>
        <w:t>.</w:t>
      </w:r>
      <w:r w:rsidR="005B6C47">
        <w:rPr>
          <w:rFonts w:ascii="Times New Roman" w:hAnsi="Times New Roman" w:cs="Times New Roman"/>
          <w:sz w:val="28"/>
          <w:szCs w:val="28"/>
        </w:rPr>
        <w:t xml:space="preserve"> After the agar plates have solidify, 0.1ml of serial dilution 10-² and 10-³ were taking from each tubes and inoculated on corresponding labelled agar plate. After Inoculation, all the plates was placed </w:t>
      </w:r>
      <w:proofErr w:type="spellStart"/>
      <w:r w:rsidR="005B6C47">
        <w:rPr>
          <w:rFonts w:ascii="Times New Roman" w:hAnsi="Times New Roman" w:cs="Times New Roman"/>
          <w:sz w:val="28"/>
          <w:szCs w:val="28"/>
        </w:rPr>
        <w:t>invertedly</w:t>
      </w:r>
      <w:proofErr w:type="spellEnd"/>
      <w:r w:rsidR="005B6C47">
        <w:rPr>
          <w:rFonts w:ascii="Times New Roman" w:hAnsi="Times New Roman" w:cs="Times New Roman"/>
          <w:sz w:val="28"/>
          <w:szCs w:val="28"/>
        </w:rPr>
        <w:t xml:space="preserve">, wrapped with foil paper, and incubated at room temperature (25⁰c) for 3-days </w:t>
      </w:r>
    </w:p>
    <w:p w14:paraId="0F750CD6" w14:textId="556AC5A4" w:rsidR="00BC2C6C"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BC2C6C">
        <w:rPr>
          <w:rFonts w:ascii="Times New Roman" w:hAnsi="Times New Roman" w:cs="Times New Roman"/>
          <w:sz w:val="28"/>
          <w:szCs w:val="28"/>
        </w:rPr>
        <w:t xml:space="preserve"> Media preparation </w:t>
      </w:r>
    </w:p>
    <w:p w14:paraId="07355C29" w14:textId="77777777" w:rsidR="00DC2494" w:rsidRDefault="00DC2494" w:rsidP="00DC2494">
      <w:pPr>
        <w:spacing w:line="480" w:lineRule="auto"/>
        <w:ind w:left="3" w:right="117"/>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The media used namely </w:t>
      </w:r>
      <w:r>
        <w:rPr>
          <w:rFonts w:ascii="Times New Roman" w:hAnsi="Times New Roman" w:cs="Times New Roman"/>
          <w:kern w:val="0"/>
          <w:sz w:val="28"/>
          <w:szCs w:val="28"/>
          <w14:ligatures w14:val="none"/>
        </w:rPr>
        <w:t>Potato Dextrose Agar (PDA) and Potato Dextrose Broth (PDB) were prepared according to the manufacturer instructions and sterilized by autoclaving at 121°C for fifteen minutes. Upon cooling, 1 mL of streptomycin was aseptically added to prevent bacterial contamination, and approximately 250 mL of the medium was poured into petri dishes and left to solidify (Pitt &amp; Hocking, 2021).</w:t>
      </w:r>
    </w:p>
    <w:p w14:paraId="7FB4ACB0" w14:textId="663DD620" w:rsidR="00F62BFD"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F62BFD">
        <w:rPr>
          <w:rFonts w:ascii="Times New Roman" w:hAnsi="Times New Roman" w:cs="Times New Roman"/>
          <w:sz w:val="28"/>
          <w:szCs w:val="28"/>
        </w:rPr>
        <w:t xml:space="preserve"> Serial Dilution </w:t>
      </w:r>
    </w:p>
    <w:p w14:paraId="1F65B562" w14:textId="4B0ACBE3" w:rsidR="009C1DF5" w:rsidRDefault="0071241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(4) test tube </w:t>
      </w:r>
      <w:r w:rsidR="00BB7E69">
        <w:rPr>
          <w:rFonts w:ascii="Times New Roman" w:hAnsi="Times New Roman" w:cs="Times New Roman"/>
          <w:sz w:val="28"/>
          <w:szCs w:val="28"/>
        </w:rPr>
        <w:t xml:space="preserve">labelled 10-¹ to 10-4 </w:t>
      </w:r>
      <w:r>
        <w:rPr>
          <w:rFonts w:ascii="Times New Roman" w:hAnsi="Times New Roman" w:cs="Times New Roman"/>
          <w:sz w:val="28"/>
          <w:szCs w:val="28"/>
        </w:rPr>
        <w:t xml:space="preserve">was placed in </w:t>
      </w:r>
      <w:r w:rsidR="00986A31">
        <w:rPr>
          <w:rFonts w:ascii="Times New Roman" w:hAnsi="Times New Roman" w:cs="Times New Roman"/>
          <w:sz w:val="28"/>
          <w:szCs w:val="28"/>
        </w:rPr>
        <w:t>a tube</w:t>
      </w:r>
      <w:r w:rsidR="00F2015B">
        <w:rPr>
          <w:rFonts w:ascii="Times New Roman" w:hAnsi="Times New Roman" w:cs="Times New Roman"/>
          <w:sz w:val="28"/>
          <w:szCs w:val="28"/>
        </w:rPr>
        <w:t xml:space="preserve"> </w:t>
      </w:r>
      <w:r w:rsidR="00986A31">
        <w:rPr>
          <w:rFonts w:ascii="Times New Roman" w:hAnsi="Times New Roman" w:cs="Times New Roman"/>
          <w:sz w:val="28"/>
          <w:szCs w:val="28"/>
        </w:rPr>
        <w:t>rack and each tube</w:t>
      </w:r>
      <w:r w:rsidR="00F2015B">
        <w:rPr>
          <w:rFonts w:ascii="Times New Roman" w:hAnsi="Times New Roman" w:cs="Times New Roman"/>
          <w:sz w:val="28"/>
          <w:szCs w:val="28"/>
        </w:rPr>
        <w:t xml:space="preserve"> </w:t>
      </w:r>
      <w:r w:rsidR="00986A31">
        <w:rPr>
          <w:rFonts w:ascii="Times New Roman" w:hAnsi="Times New Roman" w:cs="Times New Roman"/>
          <w:sz w:val="28"/>
          <w:szCs w:val="28"/>
        </w:rPr>
        <w:t xml:space="preserve">was filled with </w:t>
      </w:r>
      <w:r w:rsidR="00B05677">
        <w:rPr>
          <w:rFonts w:ascii="Times New Roman" w:hAnsi="Times New Roman" w:cs="Times New Roman"/>
          <w:sz w:val="28"/>
          <w:szCs w:val="28"/>
        </w:rPr>
        <w:t>9ml of distilled water using 10ml needle and syringe</w:t>
      </w:r>
      <w:r w:rsidR="00EE3987">
        <w:rPr>
          <w:rFonts w:ascii="Times New Roman" w:hAnsi="Times New Roman" w:cs="Times New Roman"/>
          <w:sz w:val="28"/>
          <w:szCs w:val="28"/>
        </w:rPr>
        <w:t xml:space="preserve">, then from the prepared </w:t>
      </w:r>
      <w:r w:rsidR="00774EED">
        <w:rPr>
          <w:rFonts w:ascii="Times New Roman" w:hAnsi="Times New Roman" w:cs="Times New Roman"/>
          <w:sz w:val="28"/>
          <w:szCs w:val="28"/>
        </w:rPr>
        <w:t>banana sample in a beaker</w:t>
      </w:r>
      <w:r w:rsidR="00B6130E">
        <w:rPr>
          <w:rFonts w:ascii="Times New Roman" w:hAnsi="Times New Roman" w:cs="Times New Roman"/>
          <w:sz w:val="28"/>
          <w:szCs w:val="28"/>
        </w:rPr>
        <w:t xml:space="preserve"> (Initial suspension)</w:t>
      </w:r>
      <w:r w:rsidR="00774EED">
        <w:rPr>
          <w:rFonts w:ascii="Times New Roman" w:hAnsi="Times New Roman" w:cs="Times New Roman"/>
          <w:sz w:val="28"/>
          <w:szCs w:val="28"/>
        </w:rPr>
        <w:t>, 1ml was withdraw and</w:t>
      </w:r>
      <w:r w:rsidR="00D21539">
        <w:rPr>
          <w:rFonts w:ascii="Times New Roman" w:hAnsi="Times New Roman" w:cs="Times New Roman"/>
          <w:sz w:val="28"/>
          <w:szCs w:val="28"/>
        </w:rPr>
        <w:t xml:space="preserve"> transferred into 10-¹, from 10-¹ 1ml was </w:t>
      </w:r>
      <w:r w:rsidR="00500E20">
        <w:rPr>
          <w:rFonts w:ascii="Times New Roman" w:hAnsi="Times New Roman" w:cs="Times New Roman"/>
          <w:sz w:val="28"/>
          <w:szCs w:val="28"/>
        </w:rPr>
        <w:t>withdraw and transferred into 10-², from 10-² 1ml was withdraw and transferred into 10-³</w:t>
      </w:r>
      <w:r w:rsidR="006A05BF">
        <w:rPr>
          <w:rFonts w:ascii="Times New Roman" w:hAnsi="Times New Roman" w:cs="Times New Roman"/>
          <w:sz w:val="28"/>
          <w:szCs w:val="28"/>
        </w:rPr>
        <w:t>,</w:t>
      </w:r>
      <w:r w:rsidR="00500E20">
        <w:rPr>
          <w:rFonts w:ascii="Times New Roman" w:hAnsi="Times New Roman" w:cs="Times New Roman"/>
          <w:sz w:val="28"/>
          <w:szCs w:val="28"/>
        </w:rPr>
        <w:t xml:space="preserve"> from 10-³ </w:t>
      </w:r>
      <w:r w:rsidR="006A05BF">
        <w:rPr>
          <w:rFonts w:ascii="Times New Roman" w:hAnsi="Times New Roman" w:cs="Times New Roman"/>
          <w:sz w:val="28"/>
          <w:szCs w:val="28"/>
        </w:rPr>
        <w:t>1ml was withdraw and transferred into 10-</w:t>
      </w:r>
      <w:r w:rsidR="0024741A">
        <w:rPr>
          <w:rFonts w:ascii="Times New Roman" w:hAnsi="Times New Roman" w:cs="Times New Roman"/>
          <w:sz w:val="28"/>
          <w:szCs w:val="28"/>
        </w:rPr>
        <w:t>⁴</w:t>
      </w:r>
      <w:r w:rsidR="006A05BF">
        <w:rPr>
          <w:rFonts w:ascii="Times New Roman" w:hAnsi="Times New Roman" w:cs="Times New Roman"/>
          <w:sz w:val="28"/>
          <w:szCs w:val="28"/>
        </w:rPr>
        <w:t xml:space="preserve"> respectfully </w:t>
      </w:r>
    </w:p>
    <w:p w14:paraId="2790CD94" w14:textId="2BBA140B" w:rsidR="001858D7"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013A5A">
        <w:rPr>
          <w:rFonts w:ascii="Times New Roman" w:hAnsi="Times New Roman" w:cs="Times New Roman"/>
          <w:sz w:val="28"/>
          <w:szCs w:val="28"/>
        </w:rPr>
        <w:t xml:space="preserve"> </w:t>
      </w:r>
      <w:r w:rsidR="00F83DEC">
        <w:rPr>
          <w:rFonts w:ascii="Times New Roman" w:hAnsi="Times New Roman" w:cs="Times New Roman"/>
          <w:sz w:val="28"/>
          <w:szCs w:val="28"/>
        </w:rPr>
        <w:t xml:space="preserve">Classification and Identification </w:t>
      </w:r>
    </w:p>
    <w:p w14:paraId="12F00BF9"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Macroscopic features of colonies were observed after 4 days. For microscopic identification, a small portion of fungal growth was stained with </w:t>
      </w:r>
      <w:proofErr w:type="spellStart"/>
      <w:r>
        <w:rPr>
          <w:rFonts w:ascii="Times New Roman" w:hAnsi="Times New Roman" w:cs="Times New Roman"/>
          <w:sz w:val="28"/>
          <w:szCs w:val="28"/>
        </w:rPr>
        <w:t>lactophenol</w:t>
      </w:r>
      <w:proofErr w:type="spellEnd"/>
      <w:r>
        <w:rPr>
          <w:rFonts w:ascii="Times New Roman" w:hAnsi="Times New Roman" w:cs="Times New Roman"/>
          <w:sz w:val="28"/>
          <w:szCs w:val="28"/>
        </w:rPr>
        <w:t xml:space="preserve"> cotton blue on a microscope slide, covered with a cover slip, and examined under a microscope to observe spore structures and hyphal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42460A4F" w14:textId="09D5A2E1" w:rsidR="005E3E31"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E3E31">
        <w:rPr>
          <w:rFonts w:ascii="Times New Roman" w:hAnsi="Times New Roman" w:cs="Times New Roman"/>
          <w:sz w:val="28"/>
          <w:szCs w:val="28"/>
        </w:rPr>
        <w:t xml:space="preserve"> </w:t>
      </w:r>
      <w:proofErr w:type="spellStart"/>
      <w:r w:rsidR="005E3E31">
        <w:rPr>
          <w:rFonts w:ascii="Times New Roman" w:hAnsi="Times New Roman" w:cs="Times New Roman"/>
          <w:sz w:val="28"/>
          <w:szCs w:val="28"/>
        </w:rPr>
        <w:t>Subculturing</w:t>
      </w:r>
      <w:proofErr w:type="spellEnd"/>
      <w:r w:rsidR="005E3E31">
        <w:rPr>
          <w:rFonts w:ascii="Times New Roman" w:hAnsi="Times New Roman" w:cs="Times New Roman"/>
          <w:sz w:val="28"/>
          <w:szCs w:val="28"/>
        </w:rPr>
        <w:t xml:space="preserve"> </w:t>
      </w:r>
    </w:p>
    <w:p w14:paraId="7758B881" w14:textId="0CE21FA6"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PDA plates to obtain pure isolates. These were incubated under the same conditions for 7days (Watanabe, 2017).</w:t>
      </w:r>
    </w:p>
    <w:p w14:paraId="49532187" w14:textId="63CF9BF0" w:rsidR="00F871D7"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57CB2">
        <w:rPr>
          <w:rFonts w:ascii="Times New Roman" w:hAnsi="Times New Roman" w:cs="Times New Roman"/>
          <w:sz w:val="28"/>
          <w:szCs w:val="28"/>
        </w:rPr>
        <w:t xml:space="preserve"> Toxin Extraction </w:t>
      </w:r>
    </w:p>
    <w:p w14:paraId="7FBEEE87" w14:textId="754797CD"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Pure fungal isolates grown on PDA were transferred into PDB in sterile flasks, placed on a rotary shaker for 3 days to stimulate mycelial growth and secondary metabolite productio</w:t>
      </w:r>
      <w:r w:rsidR="00EB4B2C">
        <w:rPr>
          <w:rFonts w:ascii="Times New Roman" w:hAnsi="Times New Roman" w:cs="Times New Roman"/>
          <w:sz w:val="28"/>
          <w:szCs w:val="28"/>
        </w:rPr>
        <w:t xml:space="preserve">ns </w:t>
      </w:r>
      <w:r>
        <w:rPr>
          <w:rFonts w:ascii="Times New Roman" w:hAnsi="Times New Roman" w:cs="Times New Roman"/>
          <w:sz w:val="28"/>
          <w:szCs w:val="28"/>
        </w:rPr>
        <w:t xml:space="preserve">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31BA8FBE" w14:textId="07A41DC6" w:rsidR="00AA31BD"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sidR="00AA31BD">
        <w:rPr>
          <w:rFonts w:ascii="Times New Roman" w:hAnsi="Times New Roman" w:cs="Times New Roman"/>
          <w:sz w:val="28"/>
          <w:szCs w:val="28"/>
        </w:rPr>
        <w:t xml:space="preserve"> Separation of Biomass </w:t>
      </w:r>
    </w:p>
    <w:p w14:paraId="10C3E1C9"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culture was gently swirled and </w:t>
      </w:r>
      <w:proofErr w:type="spellStart"/>
      <w:r>
        <w:rPr>
          <w:rFonts w:ascii="Times New Roman" w:hAnsi="Times New Roman" w:cs="Times New Roman"/>
          <w:sz w:val="28"/>
          <w:szCs w:val="28"/>
        </w:rPr>
        <w:t>aliquoted</w:t>
      </w:r>
      <w:proofErr w:type="spellEnd"/>
      <w:r>
        <w:rPr>
          <w:rFonts w:ascii="Times New Roman" w:hAnsi="Times New Roman" w:cs="Times New Roman"/>
          <w:sz w:val="28"/>
          <w:szCs w:val="28"/>
        </w:rPr>
        <w:t xml:space="preserve"> into test tubes filled to three-quarters capacity, then centrifuged at 4000–6000 rpm for 10–15 minutes. The supernatant, containing the crude toxin, was collected, while the pellet (fungal biomass) was discarded.</w:t>
      </w:r>
    </w:p>
    <w:p w14:paraId="049D2D5D" w14:textId="13DE4293" w:rsidR="001E0B98"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sidR="00D477C0">
        <w:rPr>
          <w:rFonts w:ascii="Times New Roman" w:hAnsi="Times New Roman" w:cs="Times New Roman"/>
          <w:sz w:val="28"/>
          <w:szCs w:val="28"/>
        </w:rPr>
        <w:t xml:space="preserve"> </w:t>
      </w:r>
      <w:r w:rsidR="001E0B98">
        <w:rPr>
          <w:rFonts w:ascii="Times New Roman" w:hAnsi="Times New Roman" w:cs="Times New Roman"/>
          <w:sz w:val="28"/>
          <w:szCs w:val="28"/>
        </w:rPr>
        <w:t xml:space="preserve">Preparation of </w:t>
      </w:r>
      <w:proofErr w:type="spellStart"/>
      <w:r w:rsidR="0051523A">
        <w:rPr>
          <w:rFonts w:ascii="Times New Roman" w:hAnsi="Times New Roman" w:cs="Times New Roman"/>
          <w:sz w:val="28"/>
          <w:szCs w:val="28"/>
        </w:rPr>
        <w:t>Citrinin</w:t>
      </w:r>
      <w:proofErr w:type="spellEnd"/>
      <w:r w:rsidR="0051523A">
        <w:rPr>
          <w:rFonts w:ascii="Times New Roman" w:hAnsi="Times New Roman" w:cs="Times New Roman"/>
          <w:sz w:val="28"/>
          <w:szCs w:val="28"/>
        </w:rPr>
        <w:t xml:space="preserve"> </w:t>
      </w:r>
      <w:r w:rsidR="001E0B98">
        <w:rPr>
          <w:rFonts w:ascii="Times New Roman" w:hAnsi="Times New Roman" w:cs="Times New Roman"/>
          <w:sz w:val="28"/>
          <w:szCs w:val="28"/>
        </w:rPr>
        <w:t>Concentrations</w:t>
      </w:r>
    </w:p>
    <w:p w14:paraId="2307D9FD" w14:textId="2A782408"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w:t>
      </w:r>
      <w:r w:rsidR="009C6F6D">
        <w:rPr>
          <w:rFonts w:ascii="Times New Roman" w:hAnsi="Times New Roman" w:cs="Times New Roman"/>
          <w:sz w:val="28"/>
          <w:szCs w:val="28"/>
        </w:rPr>
        <w:t xml:space="preserve"> (supernatant</w:t>
      </w:r>
      <w:r w:rsidR="00F85C81">
        <w:rPr>
          <w:rFonts w:ascii="Times New Roman" w:hAnsi="Times New Roman" w:cs="Times New Roman"/>
          <w:sz w:val="28"/>
          <w:szCs w:val="28"/>
        </w:rPr>
        <w:t>)</w:t>
      </w:r>
      <w:r>
        <w:rPr>
          <w:rFonts w:ascii="Times New Roman" w:hAnsi="Times New Roman" w:cs="Times New Roman"/>
          <w:sz w:val="28"/>
          <w:szCs w:val="28"/>
        </w:rPr>
        <w:t xml:space="preserve">, regarded as the 100% concentration, was diluted using sterile distilled water to obtain lower concentrations of </w:t>
      </w:r>
      <w:proofErr w:type="spellStart"/>
      <w:r w:rsidR="00E5195E">
        <w:rPr>
          <w:rFonts w:ascii="Times New Roman" w:hAnsi="Times New Roman" w:cs="Times New Roman"/>
          <w:sz w:val="28"/>
          <w:szCs w:val="28"/>
        </w:rPr>
        <w:t>c</w:t>
      </w:r>
      <w:r w:rsidR="00F85C81">
        <w:rPr>
          <w:rFonts w:ascii="Times New Roman" w:hAnsi="Times New Roman" w:cs="Times New Roman"/>
          <w:sz w:val="28"/>
          <w:szCs w:val="28"/>
        </w:rPr>
        <w:t>itrinin</w:t>
      </w:r>
      <w:proofErr w:type="spellEnd"/>
      <w:r>
        <w:rPr>
          <w:rFonts w:ascii="Times New Roman" w:hAnsi="Times New Roman" w:cs="Times New Roman"/>
          <w:sz w:val="28"/>
          <w:szCs w:val="28"/>
        </w:rPr>
        <w:t>. Each prepared concentration was measured into a sterile test tube as follows:</w:t>
      </w:r>
    </w:p>
    <w:p w14:paraId="7F4295AC" w14:textId="3DD7501C"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proofErr w:type="spellStart"/>
      <w:r w:rsidR="00E5195E">
        <w:rPr>
          <w:rFonts w:ascii="Times New Roman" w:hAnsi="Times New Roman" w:cs="Times New Roman"/>
          <w:sz w:val="28"/>
          <w:szCs w:val="28"/>
        </w:rPr>
        <w:t>citrinin</w:t>
      </w:r>
      <w:proofErr w:type="spellEnd"/>
      <w:r w:rsidR="00E5195E">
        <w:rPr>
          <w:rFonts w:ascii="Times New Roman" w:hAnsi="Times New Roman" w:cs="Times New Roman"/>
          <w:sz w:val="28"/>
          <w:szCs w:val="28"/>
        </w:rPr>
        <w:t xml:space="preserve"> </w:t>
      </w:r>
      <w:r>
        <w:rPr>
          <w:rFonts w:ascii="Times New Roman" w:hAnsi="Times New Roman" w:cs="Times New Roman"/>
          <w:sz w:val="28"/>
          <w:szCs w:val="28"/>
        </w:rPr>
        <w:t>filtrate.</w:t>
      </w:r>
    </w:p>
    <w:p w14:paraId="38DA3EE8" w14:textId="3FEDC0D8"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00F85C81">
        <w:rPr>
          <w:rFonts w:ascii="Times New Roman" w:hAnsi="Times New Roman" w:cs="Times New Roman"/>
          <w:sz w:val="28"/>
          <w:szCs w:val="28"/>
        </w:rPr>
        <w:t>0</w:t>
      </w:r>
      <w:r>
        <w:rPr>
          <w:rFonts w:ascii="Times New Roman" w:hAnsi="Times New Roman" w:cs="Times New Roman"/>
          <w:sz w:val="28"/>
          <w:szCs w:val="28"/>
        </w:rPr>
        <w:t xml:space="preserve">% concentration: 4 mL of crude </w:t>
      </w:r>
      <w:proofErr w:type="spellStart"/>
      <w:r w:rsidR="00E5195E">
        <w:rPr>
          <w:rFonts w:ascii="Times New Roman" w:hAnsi="Times New Roman" w:cs="Times New Roman"/>
          <w:sz w:val="28"/>
          <w:szCs w:val="28"/>
        </w:rPr>
        <w:t>citrinin</w:t>
      </w:r>
      <w:proofErr w:type="spellEnd"/>
      <w:r w:rsidR="00E5195E">
        <w:rPr>
          <w:rFonts w:ascii="Times New Roman" w:hAnsi="Times New Roman" w:cs="Times New Roman"/>
          <w:sz w:val="28"/>
          <w:szCs w:val="28"/>
        </w:rPr>
        <w:t xml:space="preserve"> </w:t>
      </w:r>
      <w:r>
        <w:rPr>
          <w:rFonts w:ascii="Times New Roman" w:hAnsi="Times New Roman" w:cs="Times New Roman"/>
          <w:sz w:val="28"/>
          <w:szCs w:val="28"/>
        </w:rPr>
        <w:t>filtrate mixed with 1 mL of sterile distilled water.</w:t>
      </w:r>
    </w:p>
    <w:p w14:paraId="139BF7CC" w14:textId="6C2B8C5E"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proofErr w:type="spellStart"/>
      <w:r w:rsidR="001560AA">
        <w:rPr>
          <w:rFonts w:ascii="Times New Roman" w:hAnsi="Times New Roman" w:cs="Times New Roman"/>
          <w:sz w:val="28"/>
          <w:szCs w:val="28"/>
        </w:rPr>
        <w:t>citrinin</w:t>
      </w:r>
      <w:proofErr w:type="spellEnd"/>
      <w:r w:rsidR="001560AA">
        <w:rPr>
          <w:rFonts w:ascii="Times New Roman" w:hAnsi="Times New Roman" w:cs="Times New Roman"/>
          <w:sz w:val="28"/>
          <w:szCs w:val="28"/>
        </w:rPr>
        <w:t xml:space="preserve"> </w:t>
      </w:r>
      <w:r>
        <w:rPr>
          <w:rFonts w:ascii="Times New Roman" w:hAnsi="Times New Roman" w:cs="Times New Roman"/>
          <w:sz w:val="28"/>
          <w:szCs w:val="28"/>
        </w:rPr>
        <w:t>filtrate mixed with 2 mL of sterile distilled water.</w:t>
      </w:r>
    </w:p>
    <w:p w14:paraId="3A6D8637" w14:textId="16569606"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w:t>
      </w:r>
      <w:proofErr w:type="spellStart"/>
      <w:r w:rsidR="001560AA">
        <w:rPr>
          <w:rFonts w:ascii="Times New Roman" w:hAnsi="Times New Roman" w:cs="Times New Roman"/>
          <w:sz w:val="28"/>
          <w:szCs w:val="28"/>
        </w:rPr>
        <w:t>citrinin</w:t>
      </w:r>
      <w:proofErr w:type="spellEnd"/>
      <w:r w:rsidR="001560AA">
        <w:rPr>
          <w:rFonts w:ascii="Times New Roman" w:hAnsi="Times New Roman" w:cs="Times New Roman"/>
          <w:sz w:val="28"/>
          <w:szCs w:val="28"/>
        </w:rPr>
        <w:t xml:space="preserve"> </w:t>
      </w:r>
      <w:r>
        <w:rPr>
          <w:rFonts w:ascii="Times New Roman" w:hAnsi="Times New Roman" w:cs="Times New Roman"/>
          <w:sz w:val="28"/>
          <w:szCs w:val="28"/>
        </w:rPr>
        <w:t>filtrate mixed with 2.5 mL of sterile distilled water.</w:t>
      </w:r>
      <w:r w:rsidR="001560AA">
        <w:rPr>
          <w:rFonts w:ascii="Times New Roman" w:hAnsi="Times New Roman" w:cs="Times New Roman"/>
          <w:sz w:val="28"/>
          <w:szCs w:val="28"/>
        </w:rPr>
        <w:t xml:space="preserve"> </w:t>
      </w:r>
      <w:r w:rsidR="00DC2494">
        <w:rPr>
          <w:rFonts w:ascii="Times New Roman" w:hAnsi="Times New Roman" w:cs="Times New Roman"/>
          <w:sz w:val="28"/>
          <w:szCs w:val="28"/>
        </w:rPr>
        <w:t>Each mixture was homogenized and labeled accordingly for further use.</w:t>
      </w:r>
    </w:p>
    <w:p w14:paraId="25C4AD92" w14:textId="492FB8BF" w:rsidR="001E0B98"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1560AA">
        <w:rPr>
          <w:rFonts w:ascii="Times New Roman" w:hAnsi="Times New Roman" w:cs="Times New Roman"/>
          <w:sz w:val="28"/>
          <w:szCs w:val="28"/>
        </w:rPr>
        <w:t xml:space="preserve"> </w:t>
      </w:r>
      <w:r w:rsidR="004C3249">
        <w:rPr>
          <w:rFonts w:ascii="Times New Roman" w:hAnsi="Times New Roman" w:cs="Times New Roman"/>
          <w:sz w:val="28"/>
          <w:szCs w:val="28"/>
        </w:rPr>
        <w:t>Identification and Grouping of Experimental Rats</w:t>
      </w:r>
    </w:p>
    <w:p w14:paraId="53CD1C1E" w14:textId="15192943" w:rsidR="001E0B98" w:rsidRDefault="00DC249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1E0B98">
        <w:rPr>
          <w:rFonts w:ascii="Times New Roman" w:hAnsi="Times New Roman" w:cs="Times New Roman"/>
          <w:sz w:val="28"/>
          <w:szCs w:val="28"/>
        </w:rPr>
        <w:t>.</w:t>
      </w:r>
      <w:r w:rsidR="00B12122">
        <w:rPr>
          <w:rFonts w:ascii="Times New Roman" w:hAnsi="Times New Roman" w:cs="Times New Roman"/>
          <w:sz w:val="28"/>
          <w:szCs w:val="28"/>
        </w:rPr>
        <w:t xml:space="preserve"> </w:t>
      </w:r>
      <w:r w:rsidR="001E0B98">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proofErr w:type="spellStart"/>
      <w:r w:rsidR="001E0B98" w:rsidRPr="0067383E">
        <w:rPr>
          <w:rFonts w:ascii="Times New Roman" w:hAnsi="Times New Roman" w:cs="Times New Roman"/>
          <w:i/>
          <w:iCs/>
          <w:sz w:val="28"/>
          <w:szCs w:val="28"/>
        </w:rPr>
        <w:t>Penicillium</w:t>
      </w:r>
      <w:proofErr w:type="spellEnd"/>
      <w:r w:rsidR="001E0B98">
        <w:rPr>
          <w:rFonts w:ascii="Times New Roman" w:hAnsi="Times New Roman" w:cs="Times New Roman"/>
          <w:sz w:val="28"/>
          <w:szCs w:val="28"/>
        </w:rPr>
        <w:t xml:space="preserve"> </w:t>
      </w:r>
      <w:proofErr w:type="spellStart"/>
      <w:r w:rsidR="0067383E" w:rsidRPr="0067383E">
        <w:rPr>
          <w:rFonts w:ascii="Times New Roman" w:hAnsi="Times New Roman" w:cs="Times New Roman"/>
          <w:i/>
          <w:iCs/>
          <w:sz w:val="28"/>
          <w:szCs w:val="28"/>
        </w:rPr>
        <w:t>citrini</w:t>
      </w:r>
      <w:r w:rsidR="007A1F4F">
        <w:rPr>
          <w:rFonts w:ascii="Times New Roman" w:hAnsi="Times New Roman" w:cs="Times New Roman"/>
          <w:i/>
          <w:iCs/>
          <w:sz w:val="28"/>
          <w:szCs w:val="28"/>
        </w:rPr>
        <w:t>um</w:t>
      </w:r>
      <w:proofErr w:type="spellEnd"/>
      <w:r w:rsidR="0067383E">
        <w:rPr>
          <w:rFonts w:ascii="Times New Roman" w:hAnsi="Times New Roman" w:cs="Times New Roman"/>
          <w:sz w:val="28"/>
          <w:szCs w:val="28"/>
        </w:rPr>
        <w:t xml:space="preserve"> </w:t>
      </w:r>
      <w:r w:rsidR="001E0B98">
        <w:rPr>
          <w:rFonts w:ascii="Times New Roman" w:hAnsi="Times New Roman" w:cs="Times New Roman"/>
          <w:sz w:val="28"/>
          <w:szCs w:val="28"/>
        </w:rPr>
        <w:t>toxin they received as follows:</w:t>
      </w:r>
    </w:p>
    <w:p w14:paraId="20965FD6" w14:textId="3C3D19F3"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Blue – 100% concentration</w:t>
      </w:r>
    </w:p>
    <w:p w14:paraId="43E7509C" w14:textId="77777777"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1A87B67" w14:textId="0F1961E3"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24547348" w14:textId="3C86F262"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w:t>
      </w:r>
      <w:r w:rsidR="00797DB5">
        <w:rPr>
          <w:rFonts w:ascii="Times New Roman" w:hAnsi="Times New Roman" w:cs="Times New Roman"/>
          <w:sz w:val="28"/>
          <w:szCs w:val="28"/>
        </w:rPr>
        <w:t>n</w:t>
      </w:r>
      <w:r w:rsidR="00DE225E">
        <w:rPr>
          <w:rFonts w:ascii="Times New Roman" w:hAnsi="Times New Roman" w:cs="Times New Roman"/>
          <w:sz w:val="28"/>
          <w:szCs w:val="28"/>
        </w:rPr>
        <w:t>s</w:t>
      </w:r>
      <w:r w:rsidR="00797DB5">
        <w:rPr>
          <w:rFonts w:ascii="Times New Roman" w:hAnsi="Times New Roman" w:cs="Times New Roman"/>
          <w:sz w:val="28"/>
          <w:szCs w:val="28"/>
        </w:rPr>
        <w:t xml:space="preserve">. </w:t>
      </w:r>
      <w:r>
        <w:rPr>
          <w:rFonts w:ascii="Times New Roman" w:hAnsi="Times New Roman" w:cs="Times New Roman"/>
          <w:sz w:val="28"/>
          <w:szCs w:val="28"/>
        </w:rPr>
        <w:t>The color marking was maintained throughout the experiment for accurate tracking and observation.</w:t>
      </w:r>
    </w:p>
    <w:p w14:paraId="1C2024A3" w14:textId="1B12A83E"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5AFA">
        <w:rPr>
          <w:rFonts w:ascii="Times New Roman" w:hAnsi="Times New Roman" w:cs="Times New Roman"/>
          <w:sz w:val="28"/>
          <w:szCs w:val="28"/>
        </w:rPr>
        <w:t>2.1</w:t>
      </w:r>
      <w:r w:rsidR="00077DBE">
        <w:rPr>
          <w:rFonts w:ascii="Times New Roman" w:hAnsi="Times New Roman" w:cs="Times New Roman"/>
          <w:sz w:val="28"/>
          <w:szCs w:val="28"/>
        </w:rPr>
        <w:t>2</w:t>
      </w:r>
      <w:r w:rsidR="00B95AFA">
        <w:rPr>
          <w:rFonts w:ascii="Times New Roman" w:hAnsi="Times New Roman" w:cs="Times New Roman"/>
          <w:sz w:val="28"/>
          <w:szCs w:val="28"/>
        </w:rPr>
        <w:t xml:space="preserve"> </w:t>
      </w:r>
      <w:r>
        <w:rPr>
          <w:rFonts w:ascii="Times New Roman" w:hAnsi="Times New Roman" w:cs="Times New Roman"/>
          <w:sz w:val="28"/>
          <w:szCs w:val="28"/>
        </w:rPr>
        <w:t>Toxin Administration</w:t>
      </w:r>
    </w:p>
    <w:p w14:paraId="304100A2"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73943D5D" w14:textId="0DF4C074" w:rsidR="002B1EDF"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sidR="009348B7">
        <w:rPr>
          <w:rFonts w:ascii="Times New Roman" w:hAnsi="Times New Roman" w:cs="Times New Roman"/>
          <w:sz w:val="28"/>
          <w:szCs w:val="28"/>
        </w:rPr>
        <w:t xml:space="preserve"> </w:t>
      </w:r>
      <w:r w:rsidR="002B1EDF">
        <w:rPr>
          <w:rFonts w:ascii="Times New Roman" w:hAnsi="Times New Roman" w:cs="Times New Roman"/>
          <w:sz w:val="28"/>
          <w:szCs w:val="28"/>
        </w:rPr>
        <w:t>Dissection and Post-Mortem Examination</w:t>
      </w:r>
    </w:p>
    <w:p w14:paraId="5BC6ED38" w14:textId="08911BC9" w:rsidR="0039798E" w:rsidRDefault="00894539"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14:paraId="0B8FEAB5" w14:textId="77777777" w:rsidR="00077DBE" w:rsidRDefault="00077DBE" w:rsidP="00DE225E">
      <w:pPr>
        <w:spacing w:line="480" w:lineRule="auto"/>
        <w:jc w:val="center"/>
        <w:rPr>
          <w:rFonts w:ascii="Times New Roman" w:hAnsi="Times New Roman" w:cs="Times New Roman"/>
          <w:sz w:val="28"/>
          <w:szCs w:val="28"/>
        </w:rPr>
      </w:pPr>
    </w:p>
    <w:p w14:paraId="2B2BE5A4" w14:textId="77777777" w:rsidR="00077DBE" w:rsidRDefault="00077DBE" w:rsidP="00DE225E">
      <w:pPr>
        <w:spacing w:line="480" w:lineRule="auto"/>
        <w:jc w:val="center"/>
        <w:rPr>
          <w:rFonts w:ascii="Times New Roman" w:hAnsi="Times New Roman" w:cs="Times New Roman"/>
          <w:sz w:val="28"/>
          <w:szCs w:val="28"/>
        </w:rPr>
      </w:pPr>
    </w:p>
    <w:p w14:paraId="4E158DC8" w14:textId="77777777" w:rsidR="00077DBE" w:rsidRDefault="00077DBE" w:rsidP="00DE225E">
      <w:pPr>
        <w:spacing w:line="480" w:lineRule="auto"/>
        <w:jc w:val="center"/>
        <w:rPr>
          <w:rFonts w:ascii="Times New Roman" w:hAnsi="Times New Roman" w:cs="Times New Roman"/>
          <w:sz w:val="28"/>
          <w:szCs w:val="28"/>
        </w:rPr>
      </w:pPr>
    </w:p>
    <w:p w14:paraId="2BED1D41" w14:textId="77777777" w:rsidR="00077DBE" w:rsidRDefault="00077DBE" w:rsidP="00DE225E">
      <w:pPr>
        <w:spacing w:line="480" w:lineRule="auto"/>
        <w:jc w:val="center"/>
        <w:rPr>
          <w:rFonts w:ascii="Times New Roman" w:hAnsi="Times New Roman" w:cs="Times New Roman"/>
          <w:sz w:val="28"/>
          <w:szCs w:val="28"/>
        </w:rPr>
      </w:pPr>
    </w:p>
    <w:p w14:paraId="42881A29" w14:textId="77777777" w:rsidR="00077DBE" w:rsidRDefault="00077DBE" w:rsidP="00DE225E">
      <w:pPr>
        <w:spacing w:line="480" w:lineRule="auto"/>
        <w:jc w:val="center"/>
        <w:rPr>
          <w:rFonts w:ascii="Times New Roman" w:hAnsi="Times New Roman" w:cs="Times New Roman"/>
          <w:sz w:val="28"/>
          <w:szCs w:val="28"/>
        </w:rPr>
      </w:pPr>
    </w:p>
    <w:p w14:paraId="7A605EAC" w14:textId="77777777" w:rsidR="00077DBE" w:rsidRDefault="00077DBE" w:rsidP="00DE225E">
      <w:pPr>
        <w:spacing w:line="480" w:lineRule="auto"/>
        <w:jc w:val="center"/>
        <w:rPr>
          <w:rFonts w:ascii="Times New Roman" w:hAnsi="Times New Roman" w:cs="Times New Roman"/>
          <w:sz w:val="28"/>
          <w:szCs w:val="28"/>
        </w:rPr>
      </w:pPr>
    </w:p>
    <w:p w14:paraId="5E1CED22" w14:textId="77777777" w:rsidR="00077DBE" w:rsidRDefault="00077DBE" w:rsidP="00DE225E">
      <w:pPr>
        <w:spacing w:line="480" w:lineRule="auto"/>
        <w:jc w:val="center"/>
        <w:rPr>
          <w:rFonts w:ascii="Times New Roman" w:hAnsi="Times New Roman" w:cs="Times New Roman"/>
          <w:sz w:val="28"/>
          <w:szCs w:val="28"/>
        </w:rPr>
      </w:pPr>
    </w:p>
    <w:p w14:paraId="16C22CE9" w14:textId="77777777" w:rsidR="00077DBE" w:rsidRDefault="00077DBE" w:rsidP="00DE225E">
      <w:pPr>
        <w:spacing w:line="480" w:lineRule="auto"/>
        <w:jc w:val="center"/>
        <w:rPr>
          <w:rFonts w:ascii="Times New Roman" w:hAnsi="Times New Roman" w:cs="Times New Roman"/>
          <w:sz w:val="28"/>
          <w:szCs w:val="28"/>
        </w:rPr>
      </w:pPr>
    </w:p>
    <w:p w14:paraId="3241AE47" w14:textId="77777777" w:rsidR="00077DBE" w:rsidRDefault="00077DBE" w:rsidP="00DE225E">
      <w:pPr>
        <w:spacing w:line="480" w:lineRule="auto"/>
        <w:jc w:val="center"/>
        <w:rPr>
          <w:rFonts w:ascii="Times New Roman" w:hAnsi="Times New Roman" w:cs="Times New Roman"/>
          <w:sz w:val="28"/>
          <w:szCs w:val="28"/>
        </w:rPr>
      </w:pPr>
    </w:p>
    <w:p w14:paraId="1CC7A626" w14:textId="77777777" w:rsidR="00077DBE" w:rsidRDefault="00077DBE" w:rsidP="00DE225E">
      <w:pPr>
        <w:spacing w:line="480" w:lineRule="auto"/>
        <w:jc w:val="center"/>
        <w:rPr>
          <w:rFonts w:ascii="Times New Roman" w:hAnsi="Times New Roman" w:cs="Times New Roman"/>
          <w:sz w:val="28"/>
          <w:szCs w:val="28"/>
        </w:rPr>
      </w:pPr>
    </w:p>
    <w:p w14:paraId="323DB6CE" w14:textId="77777777" w:rsidR="00077DBE" w:rsidRDefault="00077DBE" w:rsidP="00DE225E">
      <w:pPr>
        <w:spacing w:line="480" w:lineRule="auto"/>
        <w:jc w:val="center"/>
        <w:rPr>
          <w:rFonts w:ascii="Times New Roman" w:hAnsi="Times New Roman" w:cs="Times New Roman"/>
          <w:sz w:val="28"/>
          <w:szCs w:val="28"/>
        </w:rPr>
      </w:pPr>
    </w:p>
    <w:p w14:paraId="049ABCC1" w14:textId="77777777" w:rsidR="00077DBE" w:rsidRDefault="00077DBE" w:rsidP="00DE225E">
      <w:pPr>
        <w:spacing w:line="480" w:lineRule="auto"/>
        <w:jc w:val="center"/>
        <w:rPr>
          <w:rFonts w:ascii="Times New Roman" w:hAnsi="Times New Roman" w:cs="Times New Roman"/>
          <w:sz w:val="28"/>
          <w:szCs w:val="28"/>
        </w:rPr>
      </w:pPr>
    </w:p>
    <w:p w14:paraId="193D6ADD" w14:textId="3CF417EB" w:rsidR="007020CB" w:rsidRDefault="00946C9C" w:rsidP="00DE225E">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t>
      </w:r>
      <w:r w:rsidR="007020CB">
        <w:rPr>
          <w:rFonts w:ascii="Times New Roman" w:hAnsi="Times New Roman" w:cs="Times New Roman"/>
          <w:sz w:val="28"/>
          <w:szCs w:val="28"/>
        </w:rPr>
        <w:t>HREE</w:t>
      </w:r>
    </w:p>
    <w:p w14:paraId="17F705E0" w14:textId="3FA42DFB" w:rsidR="00736340" w:rsidRPr="00D751B6" w:rsidRDefault="00736340" w:rsidP="00D751B6">
      <w:pPr>
        <w:pStyle w:val="ListParagraph"/>
        <w:numPr>
          <w:ilvl w:val="0"/>
          <w:numId w:val="7"/>
        </w:numPr>
        <w:spacing w:line="480" w:lineRule="auto"/>
        <w:jc w:val="both"/>
        <w:rPr>
          <w:rFonts w:ascii="Times New Roman" w:hAnsi="Times New Roman" w:cs="Times New Roman"/>
          <w:sz w:val="28"/>
          <w:szCs w:val="28"/>
        </w:rPr>
      </w:pPr>
      <w:r w:rsidRPr="00D751B6">
        <w:rPr>
          <w:rFonts w:ascii="Times New Roman" w:hAnsi="Times New Roman" w:cs="Times New Roman"/>
          <w:sz w:val="28"/>
          <w:szCs w:val="28"/>
        </w:rPr>
        <w:t>RESULTS</w:t>
      </w:r>
    </w:p>
    <w:p w14:paraId="399E088E" w14:textId="04504766" w:rsidR="00946C9C" w:rsidRDefault="00946C9C" w:rsidP="00736340">
      <w:pPr>
        <w:spacing w:line="480" w:lineRule="auto"/>
        <w:jc w:val="both"/>
        <w:rPr>
          <w:rFonts w:ascii="Times New Roman" w:hAnsi="Times New Roman" w:cs="Times New Roman"/>
          <w:sz w:val="28"/>
          <w:szCs w:val="28"/>
        </w:rPr>
      </w:pPr>
      <w:r w:rsidRPr="00736340">
        <w:rPr>
          <w:rFonts w:ascii="Times New Roman" w:hAnsi="Times New Roman" w:cs="Times New Roman"/>
          <w:sz w:val="28"/>
          <w:szCs w:val="28"/>
        </w:rPr>
        <w:t>Table 1</w:t>
      </w:r>
      <w:r w:rsidR="00261E97" w:rsidRPr="00736340">
        <w:rPr>
          <w:rFonts w:ascii="Times New Roman" w:hAnsi="Times New Roman" w:cs="Times New Roman"/>
          <w:sz w:val="28"/>
          <w:szCs w:val="28"/>
        </w:rPr>
        <w:t xml:space="preserve">: </w:t>
      </w:r>
      <w:r w:rsidR="00BF07CC">
        <w:rPr>
          <w:rFonts w:ascii="Times New Roman" w:hAnsi="Times New Roman" w:cs="Times New Roman"/>
          <w:sz w:val="28"/>
          <w:szCs w:val="28"/>
        </w:rPr>
        <w:t>Characterization and identification of fungal isolates</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BF07CC" w:rsidRPr="00F134DD" w14:paraId="5A10252C" w14:textId="77777777" w:rsidTr="00E83C63">
        <w:trPr>
          <w:trHeight w:val="344"/>
        </w:trPr>
        <w:tc>
          <w:tcPr>
            <w:tcW w:w="5239" w:type="dxa"/>
          </w:tcPr>
          <w:p w14:paraId="5F017CA9" w14:textId="77777777" w:rsidR="00BF07CC" w:rsidRPr="00F134DD" w:rsidRDefault="00BF07CC" w:rsidP="00E83C63">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57184B5D" w14:textId="77777777" w:rsidR="00BF07CC" w:rsidRPr="00F134DD" w:rsidRDefault="00BF07CC" w:rsidP="00E83C63">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BF07CC" w:rsidRPr="00F134DD" w14:paraId="3B493206" w14:textId="77777777" w:rsidTr="00E83C63">
        <w:trPr>
          <w:trHeight w:val="1348"/>
        </w:trPr>
        <w:tc>
          <w:tcPr>
            <w:tcW w:w="5239" w:type="dxa"/>
          </w:tcPr>
          <w:p w14:paraId="386EE286" w14:textId="28E7385C"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bluish-green</w:t>
            </w:r>
          </w:p>
          <w:p w14:paraId="10F50AD8" w14:textId="77777777" w:rsidR="00BF07CC" w:rsidRDefault="00BF07CC" w:rsidP="00E83C63">
            <w:pPr>
              <w:spacing w:line="276" w:lineRule="auto"/>
              <w:jc w:val="center"/>
              <w:rPr>
                <w:rFonts w:ascii="Times New Roman" w:hAnsi="Times New Roman" w:cs="Times New Roman"/>
                <w:sz w:val="28"/>
                <w:szCs w:val="28"/>
              </w:rPr>
            </w:pPr>
          </w:p>
          <w:p w14:paraId="23ADC3FB" w14:textId="77777777"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5C4440E9" w14:textId="77777777" w:rsidR="00BF07CC" w:rsidRPr="00F134DD"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2B902555" w14:textId="53F4F177"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Septate</w:t>
            </w:r>
          </w:p>
          <w:p w14:paraId="0BE4A0CD" w14:textId="77777777"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Smooth, and branched often terminate in brush-like structure (penicillin)</w:t>
            </w:r>
          </w:p>
          <w:p w14:paraId="563E9E3B" w14:textId="093F565A" w:rsidR="00BF07CC" w:rsidRPr="00F134DD"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Smooth to roughened born in unbranched chains</w:t>
            </w:r>
          </w:p>
        </w:tc>
      </w:tr>
    </w:tbl>
    <w:p w14:paraId="4EF7EB3B" w14:textId="77777777" w:rsidR="00346043" w:rsidRDefault="00346043" w:rsidP="00A72A90">
      <w:pPr>
        <w:tabs>
          <w:tab w:val="right" w:pos="8640"/>
        </w:tabs>
        <w:spacing w:line="480" w:lineRule="auto"/>
        <w:jc w:val="both"/>
        <w:rPr>
          <w:rFonts w:ascii="Times New Roman" w:hAnsi="Times New Roman" w:cs="Times New Roman"/>
          <w:sz w:val="28"/>
          <w:szCs w:val="28"/>
        </w:rPr>
      </w:pPr>
    </w:p>
    <w:p w14:paraId="0109015F" w14:textId="5431645F" w:rsidR="003B1D88"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2</w:t>
      </w:r>
      <w:r w:rsidR="004C5C93">
        <w:rPr>
          <w:rFonts w:ascii="Times New Roman" w:hAnsi="Times New Roman" w:cs="Times New Roman"/>
          <w:sz w:val="28"/>
          <w:szCs w:val="28"/>
        </w:rPr>
        <w:t xml:space="preserve">: </w:t>
      </w:r>
      <w:r w:rsidR="004C5C93" w:rsidRPr="00C52E7C">
        <w:rPr>
          <w:rFonts w:ascii="Times New Roman" w:hAnsi="Times New Roman" w:cs="Times New Roman"/>
          <w:iCs/>
          <w:sz w:val="28"/>
          <w:szCs w:val="28"/>
        </w:rPr>
        <w:t>Daily Observation for</w:t>
      </w:r>
      <w:r w:rsidR="003B1D88">
        <w:rPr>
          <w:rFonts w:ascii="Times New Roman" w:hAnsi="Times New Roman" w:cs="Times New Roman"/>
          <w:iCs/>
          <w:sz w:val="28"/>
          <w:szCs w:val="28"/>
        </w:rPr>
        <w:t xml:space="preserve"> </w:t>
      </w:r>
      <w:r w:rsidR="004C5C93" w:rsidRPr="00C52E7C">
        <w:rPr>
          <w:rFonts w:ascii="Times New Roman" w:hAnsi="Times New Roman" w:cs="Times New Roman"/>
          <w:iCs/>
          <w:sz w:val="28"/>
          <w:szCs w:val="28"/>
        </w:rPr>
        <w:t>100% conc. Toxin Administration in Rats</w:t>
      </w:r>
    </w:p>
    <w:tbl>
      <w:tblPr>
        <w:tblStyle w:val="TableGrid"/>
        <w:tblpPr w:leftFromText="180" w:rightFromText="180" w:vertAnchor="text" w:tblpXSpec="center" w:tblpY="1"/>
        <w:tblOverlap w:val="never"/>
        <w:tblW w:w="113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
        <w:gridCol w:w="1406"/>
        <w:gridCol w:w="1587"/>
        <w:gridCol w:w="1197"/>
        <w:gridCol w:w="1381"/>
        <w:gridCol w:w="1565"/>
        <w:gridCol w:w="1105"/>
        <w:gridCol w:w="1197"/>
        <w:gridCol w:w="1397"/>
      </w:tblGrid>
      <w:tr w:rsidR="00E83C63" w14:paraId="1A36DDD9" w14:textId="77777777" w:rsidTr="009C3E0B">
        <w:trPr>
          <w:trHeight w:val="482"/>
        </w:trPr>
        <w:tc>
          <w:tcPr>
            <w:tcW w:w="523" w:type="dxa"/>
            <w:tcBorders>
              <w:top w:val="single" w:sz="4" w:space="0" w:color="auto"/>
              <w:bottom w:val="single" w:sz="4" w:space="0" w:color="auto"/>
            </w:tcBorders>
          </w:tcPr>
          <w:p w14:paraId="3FC9304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406" w:type="dxa"/>
            <w:tcBorders>
              <w:top w:val="single" w:sz="4" w:space="0" w:color="auto"/>
              <w:bottom w:val="single" w:sz="4" w:space="0" w:color="auto"/>
            </w:tcBorders>
          </w:tcPr>
          <w:p w14:paraId="244CF399" w14:textId="042C266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General </w:t>
            </w:r>
            <w:r w:rsidR="00E831DA">
              <w:rPr>
                <w:rFonts w:ascii="Times New Roman" w:hAnsi="Times New Roman" w:cs="Times New Roman"/>
                <w:iCs/>
                <w:sz w:val="28"/>
                <w:szCs w:val="28"/>
              </w:rPr>
              <w:t>appearance</w:t>
            </w:r>
          </w:p>
        </w:tc>
        <w:tc>
          <w:tcPr>
            <w:tcW w:w="1587" w:type="dxa"/>
            <w:tcBorders>
              <w:top w:val="single" w:sz="4" w:space="0" w:color="auto"/>
              <w:bottom w:val="single" w:sz="4" w:space="0" w:color="auto"/>
            </w:tcBorders>
          </w:tcPr>
          <w:p w14:paraId="372A0116"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97" w:type="dxa"/>
            <w:tcBorders>
              <w:top w:val="single" w:sz="4" w:space="0" w:color="auto"/>
              <w:bottom w:val="single" w:sz="4" w:space="0" w:color="auto"/>
            </w:tcBorders>
          </w:tcPr>
          <w:p w14:paraId="61786DED"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381" w:type="dxa"/>
            <w:tcBorders>
              <w:top w:val="single" w:sz="4" w:space="0" w:color="auto"/>
              <w:bottom w:val="single" w:sz="4" w:space="0" w:color="auto"/>
            </w:tcBorders>
          </w:tcPr>
          <w:p w14:paraId="641DFB2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65" w:type="dxa"/>
            <w:tcBorders>
              <w:top w:val="single" w:sz="4" w:space="0" w:color="auto"/>
              <w:bottom w:val="single" w:sz="4" w:space="0" w:color="auto"/>
            </w:tcBorders>
          </w:tcPr>
          <w:p w14:paraId="6D381F9D"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105" w:type="dxa"/>
            <w:tcBorders>
              <w:top w:val="single" w:sz="4" w:space="0" w:color="auto"/>
              <w:bottom w:val="single" w:sz="4" w:space="0" w:color="auto"/>
            </w:tcBorders>
          </w:tcPr>
          <w:p w14:paraId="1D21C93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97" w:type="dxa"/>
            <w:tcBorders>
              <w:top w:val="single" w:sz="4" w:space="0" w:color="auto"/>
              <w:bottom w:val="single" w:sz="4" w:space="0" w:color="auto"/>
            </w:tcBorders>
          </w:tcPr>
          <w:p w14:paraId="343019B8"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397" w:type="dxa"/>
            <w:tcBorders>
              <w:top w:val="single" w:sz="4" w:space="0" w:color="auto"/>
              <w:bottom w:val="single" w:sz="4" w:space="0" w:color="auto"/>
            </w:tcBorders>
          </w:tcPr>
          <w:p w14:paraId="3457752C"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E83C63" w14:paraId="6B1622DC" w14:textId="77777777" w:rsidTr="009C3E0B">
        <w:trPr>
          <w:trHeight w:val="117"/>
        </w:trPr>
        <w:tc>
          <w:tcPr>
            <w:tcW w:w="523" w:type="dxa"/>
            <w:tcBorders>
              <w:top w:val="single" w:sz="4" w:space="0" w:color="auto"/>
              <w:bottom w:val="nil"/>
            </w:tcBorders>
          </w:tcPr>
          <w:p w14:paraId="45E97E89"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406" w:type="dxa"/>
            <w:tcBorders>
              <w:top w:val="single" w:sz="4" w:space="0" w:color="auto"/>
              <w:bottom w:val="nil"/>
            </w:tcBorders>
          </w:tcPr>
          <w:p w14:paraId="29A82A28" w14:textId="773D8C7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BF07CC">
              <w:rPr>
                <w:rFonts w:ascii="Times New Roman" w:hAnsi="Times New Roman" w:cs="Times New Roman"/>
                <w:iCs/>
                <w:sz w:val="28"/>
                <w:szCs w:val="28"/>
              </w:rPr>
              <w:t>mal</w:t>
            </w:r>
          </w:p>
        </w:tc>
        <w:tc>
          <w:tcPr>
            <w:tcW w:w="1587" w:type="dxa"/>
            <w:tcBorders>
              <w:top w:val="single" w:sz="4" w:space="0" w:color="auto"/>
              <w:bottom w:val="nil"/>
            </w:tcBorders>
          </w:tcPr>
          <w:p w14:paraId="336618F3" w14:textId="7D4BB6B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97" w:type="dxa"/>
            <w:tcBorders>
              <w:top w:val="single" w:sz="4" w:space="0" w:color="auto"/>
              <w:bottom w:val="nil"/>
            </w:tcBorders>
          </w:tcPr>
          <w:p w14:paraId="6ED7E2A3" w14:textId="033A040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r>
              <w:rPr>
                <w:rFonts w:ascii="Times New Roman" w:hAnsi="Times New Roman" w:cs="Times New Roman"/>
                <w:iCs/>
                <w:sz w:val="28"/>
                <w:szCs w:val="28"/>
              </w:rPr>
              <w:t xml:space="preserve"> </w:t>
            </w:r>
          </w:p>
        </w:tc>
        <w:tc>
          <w:tcPr>
            <w:tcW w:w="1381" w:type="dxa"/>
            <w:tcBorders>
              <w:top w:val="single" w:sz="4" w:space="0" w:color="auto"/>
              <w:bottom w:val="nil"/>
            </w:tcBorders>
          </w:tcPr>
          <w:p w14:paraId="6B1E888A" w14:textId="32EA79EC"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Borders>
              <w:top w:val="single" w:sz="4" w:space="0" w:color="auto"/>
              <w:bottom w:val="nil"/>
            </w:tcBorders>
          </w:tcPr>
          <w:p w14:paraId="0D69039B" w14:textId="59DF79B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w:t>
            </w:r>
            <w:r w:rsidR="00C15820">
              <w:rPr>
                <w:rFonts w:ascii="Times New Roman" w:hAnsi="Times New Roman" w:cs="Times New Roman"/>
                <w:iCs/>
                <w:sz w:val="28"/>
                <w:szCs w:val="28"/>
              </w:rPr>
              <w:t>al</w:t>
            </w:r>
          </w:p>
        </w:tc>
        <w:tc>
          <w:tcPr>
            <w:tcW w:w="1105" w:type="dxa"/>
            <w:tcBorders>
              <w:top w:val="single" w:sz="4" w:space="0" w:color="auto"/>
              <w:bottom w:val="nil"/>
            </w:tcBorders>
          </w:tcPr>
          <w:p w14:paraId="10BC1353" w14:textId="0C39202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Borders>
              <w:top w:val="single" w:sz="4" w:space="0" w:color="auto"/>
              <w:bottom w:val="nil"/>
            </w:tcBorders>
          </w:tcPr>
          <w:p w14:paraId="1A3E0B9B" w14:textId="0B5760B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Borders>
              <w:top w:val="single" w:sz="4" w:space="0" w:color="auto"/>
              <w:bottom w:val="nil"/>
            </w:tcBorders>
          </w:tcPr>
          <w:p w14:paraId="594FF27A" w14:textId="7B36282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3455F829" w14:textId="77777777" w:rsidTr="009C3E0B">
        <w:trPr>
          <w:trHeight w:val="120"/>
        </w:trPr>
        <w:tc>
          <w:tcPr>
            <w:tcW w:w="523" w:type="dxa"/>
            <w:tcBorders>
              <w:top w:val="nil"/>
            </w:tcBorders>
          </w:tcPr>
          <w:p w14:paraId="4B444B6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406" w:type="dxa"/>
            <w:tcBorders>
              <w:top w:val="nil"/>
            </w:tcBorders>
          </w:tcPr>
          <w:p w14:paraId="160CB304" w14:textId="5C33DDE5"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BF07CC">
              <w:rPr>
                <w:rFonts w:ascii="Times New Roman" w:hAnsi="Times New Roman" w:cs="Times New Roman"/>
                <w:iCs/>
                <w:sz w:val="28"/>
                <w:szCs w:val="28"/>
              </w:rPr>
              <w:t>mal</w:t>
            </w:r>
          </w:p>
        </w:tc>
        <w:tc>
          <w:tcPr>
            <w:tcW w:w="1587" w:type="dxa"/>
            <w:tcBorders>
              <w:top w:val="nil"/>
            </w:tcBorders>
          </w:tcPr>
          <w:p w14:paraId="003C4DB7" w14:textId="71980FF4"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More active</w:t>
            </w:r>
          </w:p>
        </w:tc>
        <w:tc>
          <w:tcPr>
            <w:tcW w:w="1197" w:type="dxa"/>
            <w:tcBorders>
              <w:top w:val="nil"/>
            </w:tcBorders>
          </w:tcPr>
          <w:p w14:paraId="247E0DDE" w14:textId="145BB36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381" w:type="dxa"/>
            <w:tcBorders>
              <w:top w:val="nil"/>
            </w:tcBorders>
          </w:tcPr>
          <w:p w14:paraId="12E6D3D2" w14:textId="673989EB"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Borders>
              <w:top w:val="nil"/>
            </w:tcBorders>
          </w:tcPr>
          <w:p w14:paraId="3C58DCCE" w14:textId="1DF7350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05" w:type="dxa"/>
            <w:tcBorders>
              <w:top w:val="nil"/>
            </w:tcBorders>
          </w:tcPr>
          <w:p w14:paraId="381BA98C" w14:textId="41017CB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Borders>
              <w:top w:val="nil"/>
            </w:tcBorders>
          </w:tcPr>
          <w:p w14:paraId="18442A1E" w14:textId="6F41B27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Borders>
              <w:top w:val="nil"/>
            </w:tcBorders>
          </w:tcPr>
          <w:p w14:paraId="0A10749A" w14:textId="563BE4B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69DDE062" w14:textId="77777777" w:rsidTr="009C3E0B">
        <w:trPr>
          <w:trHeight w:val="120"/>
        </w:trPr>
        <w:tc>
          <w:tcPr>
            <w:tcW w:w="523" w:type="dxa"/>
          </w:tcPr>
          <w:p w14:paraId="611E09EB"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406" w:type="dxa"/>
          </w:tcPr>
          <w:p w14:paraId="586F7215" w14:textId="7850ED91" w:rsidR="004C5C93" w:rsidRDefault="00BF07CC"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87" w:type="dxa"/>
          </w:tcPr>
          <w:p w14:paraId="4678772E" w14:textId="78C6FD26"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97" w:type="dxa"/>
          </w:tcPr>
          <w:p w14:paraId="1680FA9A" w14:textId="3488B9C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381" w:type="dxa"/>
          </w:tcPr>
          <w:p w14:paraId="6D1AA615" w14:textId="1F56C313"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Pr>
          <w:p w14:paraId="3262600D" w14:textId="0620EE1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05" w:type="dxa"/>
          </w:tcPr>
          <w:p w14:paraId="030BA646" w14:textId="574D797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Pr>
          <w:p w14:paraId="70F66CD8" w14:textId="2D45DAA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38BA9B20" w14:textId="4A09796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70B003FF" w14:textId="77777777" w:rsidTr="009C3E0B">
        <w:trPr>
          <w:trHeight w:val="117"/>
        </w:trPr>
        <w:tc>
          <w:tcPr>
            <w:tcW w:w="523" w:type="dxa"/>
          </w:tcPr>
          <w:p w14:paraId="7FF5ED8F"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406" w:type="dxa"/>
          </w:tcPr>
          <w:p w14:paraId="18A77E9D" w14:textId="3C513BEA"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587" w:type="dxa"/>
          </w:tcPr>
          <w:p w14:paraId="6CB103A8" w14:textId="6C9C1A9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197" w:type="dxa"/>
          </w:tcPr>
          <w:p w14:paraId="5DE62DD4" w14:textId="599C1C35"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62790A23" w14:textId="5D34927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565" w:type="dxa"/>
          </w:tcPr>
          <w:p w14:paraId="5886BEAC" w14:textId="0035F01E"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105" w:type="dxa"/>
          </w:tcPr>
          <w:p w14:paraId="444DC425" w14:textId="17F74B1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766A9C59" w14:textId="68F9C92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72FD0B86" w14:textId="5DD3E981"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5CEA45B4" w14:textId="77777777" w:rsidTr="009C3E0B">
        <w:trPr>
          <w:trHeight w:val="120"/>
        </w:trPr>
        <w:tc>
          <w:tcPr>
            <w:tcW w:w="523" w:type="dxa"/>
          </w:tcPr>
          <w:p w14:paraId="2B963244"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406" w:type="dxa"/>
          </w:tcPr>
          <w:p w14:paraId="3C133272" w14:textId="46AF94BD"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47830DCA" w14:textId="7E25B6E8"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97" w:type="dxa"/>
          </w:tcPr>
          <w:p w14:paraId="09B4D813" w14:textId="1933BE7F" w:rsidR="004C5C93" w:rsidRDefault="00C15820"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381" w:type="dxa"/>
          </w:tcPr>
          <w:p w14:paraId="79D214A2" w14:textId="68ACBC34"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565" w:type="dxa"/>
          </w:tcPr>
          <w:p w14:paraId="0B6E92DA" w14:textId="1830F04A"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105" w:type="dxa"/>
          </w:tcPr>
          <w:p w14:paraId="2C045C62" w14:textId="353EF2E1"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3E58F55E" w14:textId="79BBD5C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75C9E1D9" w14:textId="6492F583"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7A92F4D3" w14:textId="77777777" w:rsidTr="009C3E0B">
        <w:trPr>
          <w:trHeight w:val="120"/>
        </w:trPr>
        <w:tc>
          <w:tcPr>
            <w:tcW w:w="523" w:type="dxa"/>
          </w:tcPr>
          <w:p w14:paraId="2280FE9B"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406" w:type="dxa"/>
          </w:tcPr>
          <w:p w14:paraId="49B44F95" w14:textId="0451E827"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255DE7B7" w14:textId="0949222E"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97" w:type="dxa"/>
          </w:tcPr>
          <w:p w14:paraId="1E8F1021" w14:textId="44318A6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716A81C0" w14:textId="764CE854"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65" w:type="dxa"/>
          </w:tcPr>
          <w:p w14:paraId="1E0092B2" w14:textId="4C805B78" w:rsidR="004C5C93" w:rsidRPr="009C3E0B" w:rsidRDefault="009C3E0B" w:rsidP="00E83C63">
            <w:pPr>
              <w:tabs>
                <w:tab w:val="right" w:pos="8640"/>
              </w:tabs>
              <w:jc w:val="both"/>
              <w:rPr>
                <w:rFonts w:ascii="Times New Roman" w:hAnsi="Times New Roman" w:cs="Times New Roman"/>
                <w:iCs/>
                <w:sz w:val="30"/>
                <w:szCs w:val="28"/>
              </w:rPr>
            </w:pPr>
            <w:r>
              <w:rPr>
                <w:rFonts w:ascii="Times New Roman" w:hAnsi="Times New Roman" w:cs="Times New Roman"/>
                <w:iCs/>
                <w:kern w:val="0"/>
                <w:sz w:val="28"/>
                <w:szCs w:val="28"/>
                <w14:ligatures w14:val="none"/>
              </w:rPr>
              <w:t>Tachypnea</w:t>
            </w:r>
          </w:p>
        </w:tc>
        <w:tc>
          <w:tcPr>
            <w:tcW w:w="1105" w:type="dxa"/>
          </w:tcPr>
          <w:p w14:paraId="17087861" w14:textId="570A1B8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3AFEE02E" w14:textId="5CF38893"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5EEB0E5D" w14:textId="18E8CB99"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6D55DAEB" w14:textId="77777777" w:rsidTr="009C3E0B">
        <w:trPr>
          <w:trHeight w:val="267"/>
        </w:trPr>
        <w:tc>
          <w:tcPr>
            <w:tcW w:w="523" w:type="dxa"/>
          </w:tcPr>
          <w:p w14:paraId="72C74A32"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406" w:type="dxa"/>
          </w:tcPr>
          <w:p w14:paraId="627650A1" w14:textId="16AA506E"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7000230D" w14:textId="604FB18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97" w:type="dxa"/>
          </w:tcPr>
          <w:p w14:paraId="504D9F82" w14:textId="7D3C622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4CED2CBF" w14:textId="6ECBE5B6"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65" w:type="dxa"/>
          </w:tcPr>
          <w:p w14:paraId="41DA7227" w14:textId="0521FF4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105" w:type="dxa"/>
          </w:tcPr>
          <w:p w14:paraId="745A290B" w14:textId="61E76FB9"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41E573E5" w14:textId="5EABA15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1A9BFD6C" w14:textId="115C1034" w:rsidR="004C5C93" w:rsidRDefault="00E83C63"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E83C63" w14:paraId="6F100F0C" w14:textId="77777777" w:rsidTr="009C3E0B">
        <w:trPr>
          <w:trHeight w:val="124"/>
        </w:trPr>
        <w:tc>
          <w:tcPr>
            <w:tcW w:w="523" w:type="dxa"/>
          </w:tcPr>
          <w:p w14:paraId="11BC5C8A"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406" w:type="dxa"/>
          </w:tcPr>
          <w:p w14:paraId="0236D4A8" w14:textId="283D5A0B"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0C88DF31" w14:textId="10AEAFFB"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Death</w:t>
            </w:r>
          </w:p>
        </w:tc>
        <w:tc>
          <w:tcPr>
            <w:tcW w:w="1197" w:type="dxa"/>
          </w:tcPr>
          <w:p w14:paraId="79E70A14" w14:textId="77777777" w:rsidR="004C5C93" w:rsidRDefault="004C5C93" w:rsidP="00E83C63">
            <w:pPr>
              <w:tabs>
                <w:tab w:val="right" w:pos="8640"/>
              </w:tabs>
              <w:jc w:val="both"/>
              <w:rPr>
                <w:rFonts w:ascii="Times New Roman" w:hAnsi="Times New Roman" w:cs="Times New Roman"/>
                <w:iCs/>
                <w:sz w:val="28"/>
                <w:szCs w:val="28"/>
              </w:rPr>
            </w:pPr>
          </w:p>
        </w:tc>
        <w:tc>
          <w:tcPr>
            <w:tcW w:w="1381" w:type="dxa"/>
          </w:tcPr>
          <w:p w14:paraId="2F7AA9B4" w14:textId="77777777" w:rsidR="004C5C93" w:rsidRDefault="004C5C93" w:rsidP="00E83C63">
            <w:pPr>
              <w:tabs>
                <w:tab w:val="right" w:pos="8640"/>
              </w:tabs>
              <w:jc w:val="both"/>
              <w:rPr>
                <w:rFonts w:ascii="Times New Roman" w:hAnsi="Times New Roman" w:cs="Times New Roman"/>
                <w:iCs/>
                <w:sz w:val="28"/>
                <w:szCs w:val="28"/>
              </w:rPr>
            </w:pPr>
          </w:p>
        </w:tc>
        <w:tc>
          <w:tcPr>
            <w:tcW w:w="1565" w:type="dxa"/>
          </w:tcPr>
          <w:p w14:paraId="0FCD201B" w14:textId="77777777" w:rsidR="004C5C93" w:rsidRDefault="004C5C93" w:rsidP="00E83C63">
            <w:pPr>
              <w:tabs>
                <w:tab w:val="right" w:pos="8640"/>
              </w:tabs>
              <w:jc w:val="both"/>
              <w:rPr>
                <w:rFonts w:ascii="Times New Roman" w:hAnsi="Times New Roman" w:cs="Times New Roman"/>
                <w:iCs/>
                <w:sz w:val="28"/>
                <w:szCs w:val="28"/>
              </w:rPr>
            </w:pPr>
          </w:p>
        </w:tc>
        <w:tc>
          <w:tcPr>
            <w:tcW w:w="1105" w:type="dxa"/>
          </w:tcPr>
          <w:p w14:paraId="4B556ABF" w14:textId="77777777" w:rsidR="004C5C93" w:rsidRDefault="004C5C93" w:rsidP="00E83C63">
            <w:pPr>
              <w:tabs>
                <w:tab w:val="right" w:pos="8640"/>
              </w:tabs>
              <w:jc w:val="both"/>
              <w:rPr>
                <w:rFonts w:ascii="Times New Roman" w:hAnsi="Times New Roman" w:cs="Times New Roman"/>
                <w:iCs/>
                <w:sz w:val="28"/>
                <w:szCs w:val="28"/>
              </w:rPr>
            </w:pPr>
          </w:p>
        </w:tc>
        <w:tc>
          <w:tcPr>
            <w:tcW w:w="1197" w:type="dxa"/>
          </w:tcPr>
          <w:p w14:paraId="26ED1168" w14:textId="77777777" w:rsidR="004C5C93" w:rsidRDefault="004C5C93" w:rsidP="00E83C63">
            <w:pPr>
              <w:tabs>
                <w:tab w:val="right" w:pos="8640"/>
              </w:tabs>
              <w:jc w:val="both"/>
              <w:rPr>
                <w:rFonts w:ascii="Times New Roman" w:hAnsi="Times New Roman" w:cs="Times New Roman"/>
                <w:iCs/>
                <w:sz w:val="28"/>
                <w:szCs w:val="28"/>
              </w:rPr>
            </w:pPr>
          </w:p>
        </w:tc>
        <w:tc>
          <w:tcPr>
            <w:tcW w:w="1397" w:type="dxa"/>
          </w:tcPr>
          <w:p w14:paraId="6FC18B76" w14:textId="77777777" w:rsidR="004C5C93" w:rsidRDefault="004C5C93" w:rsidP="00E83C63">
            <w:pPr>
              <w:tabs>
                <w:tab w:val="right" w:pos="8640"/>
              </w:tabs>
              <w:jc w:val="both"/>
              <w:rPr>
                <w:rFonts w:ascii="Times New Roman" w:hAnsi="Times New Roman" w:cs="Times New Roman"/>
                <w:iCs/>
                <w:sz w:val="28"/>
                <w:szCs w:val="28"/>
              </w:rPr>
            </w:pPr>
          </w:p>
        </w:tc>
      </w:tr>
    </w:tbl>
    <w:p w14:paraId="06169753" w14:textId="77777777" w:rsidR="00233D4D" w:rsidRDefault="00233D4D" w:rsidP="004C5C93">
      <w:pPr>
        <w:tabs>
          <w:tab w:val="right" w:pos="8640"/>
        </w:tabs>
        <w:spacing w:line="480" w:lineRule="auto"/>
        <w:jc w:val="both"/>
        <w:rPr>
          <w:rFonts w:ascii="Times New Roman" w:hAnsi="Times New Roman" w:cs="Times New Roman"/>
          <w:iCs/>
        </w:rPr>
      </w:pPr>
    </w:p>
    <w:p w14:paraId="41E394C2" w14:textId="225B23A5" w:rsidR="00E83C63" w:rsidRPr="00315C15"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3</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C63">
        <w:rPr>
          <w:rFonts w:ascii="Times New Roman" w:hAnsi="Times New Roman" w:cs="Times New Roman"/>
          <w:iCs/>
          <w:sz w:val="28"/>
          <w:szCs w:val="28"/>
        </w:rPr>
        <w:t xml:space="preserve"> </w:t>
      </w:r>
      <w:r w:rsidR="004C5C93">
        <w:rPr>
          <w:rFonts w:ascii="Times New Roman" w:hAnsi="Times New Roman" w:cs="Times New Roman"/>
          <w:iCs/>
          <w:sz w:val="28"/>
          <w:szCs w:val="28"/>
        </w:rPr>
        <w:t>8</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315C15" w14:paraId="531960BC" w14:textId="77777777" w:rsidTr="009C3E0B">
        <w:trPr>
          <w:trHeight w:val="492"/>
        </w:trPr>
        <w:tc>
          <w:tcPr>
            <w:tcW w:w="511" w:type="dxa"/>
            <w:tcBorders>
              <w:top w:val="single" w:sz="4" w:space="0" w:color="auto"/>
              <w:bottom w:val="single" w:sz="4" w:space="0" w:color="auto"/>
            </w:tcBorders>
          </w:tcPr>
          <w:p w14:paraId="159700C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5D052D2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14:paraId="2AA1213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14:paraId="0284B0E6"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37832093" w14:textId="1AF86806"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w:t>
            </w:r>
            <w:r w:rsidR="00E831DA">
              <w:rPr>
                <w:rFonts w:ascii="Times New Roman" w:hAnsi="Times New Roman" w:cs="Times New Roman"/>
                <w:iCs/>
                <w:sz w:val="28"/>
                <w:szCs w:val="28"/>
              </w:rPr>
              <w:t>]</w:t>
            </w:r>
            <w:proofErr w:type="spellStart"/>
            <w:r>
              <w:rPr>
                <w:rFonts w:ascii="Times New Roman" w:hAnsi="Times New Roman" w:cs="Times New Roman"/>
                <w:iCs/>
                <w:sz w:val="28"/>
                <w:szCs w:val="28"/>
              </w:rPr>
              <w:t>eeding</w:t>
            </w:r>
            <w:proofErr w:type="spellEnd"/>
            <w:r>
              <w:rPr>
                <w:rFonts w:ascii="Times New Roman" w:hAnsi="Times New Roman" w:cs="Times New Roman"/>
                <w:iCs/>
                <w:sz w:val="28"/>
                <w:szCs w:val="28"/>
              </w:rPr>
              <w:t xml:space="preserve"> &amp; drinking</w:t>
            </w:r>
          </w:p>
        </w:tc>
        <w:tc>
          <w:tcPr>
            <w:tcW w:w="1530" w:type="dxa"/>
            <w:tcBorders>
              <w:top w:val="single" w:sz="4" w:space="0" w:color="auto"/>
              <w:bottom w:val="single" w:sz="4" w:space="0" w:color="auto"/>
            </w:tcBorders>
          </w:tcPr>
          <w:p w14:paraId="3C858A03"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6A0C611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77F4AA0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002CD5F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315C15" w14:paraId="553C88FA" w14:textId="77777777" w:rsidTr="009C3E0B">
        <w:trPr>
          <w:trHeight w:val="119"/>
        </w:trPr>
        <w:tc>
          <w:tcPr>
            <w:tcW w:w="511" w:type="dxa"/>
            <w:tcBorders>
              <w:top w:val="single" w:sz="4" w:space="0" w:color="auto"/>
              <w:bottom w:val="nil"/>
            </w:tcBorders>
          </w:tcPr>
          <w:p w14:paraId="0FA0FDB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2E33240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single" w:sz="4" w:space="0" w:color="auto"/>
              <w:bottom w:val="nil"/>
            </w:tcBorders>
          </w:tcPr>
          <w:p w14:paraId="7AFA481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6EAC2D2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5E4D6E83" w14:textId="62BC13BF"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5B9571B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0F38DA1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131479CF"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1391A39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086A956F" w14:textId="77777777" w:rsidTr="009C3E0B">
        <w:trPr>
          <w:trHeight w:val="122"/>
        </w:trPr>
        <w:tc>
          <w:tcPr>
            <w:tcW w:w="511" w:type="dxa"/>
            <w:tcBorders>
              <w:top w:val="nil"/>
            </w:tcBorders>
          </w:tcPr>
          <w:p w14:paraId="0E5FCB7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0C0D7C9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7C72211E" w14:textId="1550117B"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Borders>
              <w:top w:val="nil"/>
            </w:tcBorders>
          </w:tcPr>
          <w:p w14:paraId="416D81C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2119395E" w14:textId="092D037C"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5FBA7ED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10A1316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12F1562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4F83A55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121D3D82" w14:textId="77777777" w:rsidTr="009C3E0B">
        <w:trPr>
          <w:trHeight w:val="122"/>
        </w:trPr>
        <w:tc>
          <w:tcPr>
            <w:tcW w:w="511" w:type="dxa"/>
          </w:tcPr>
          <w:p w14:paraId="7BF377D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4649A655" w14:textId="28D690E4" w:rsidR="00315C15" w:rsidRDefault="00315C15" w:rsidP="00315C15">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127EF7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2BE21872"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BD08E3B" w14:textId="45DC3370"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2AED257B" w14:textId="36382E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6C3B46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CEDA42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3BF048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1C17315B" w14:textId="77777777" w:rsidTr="009C3E0B">
        <w:trPr>
          <w:trHeight w:val="119"/>
        </w:trPr>
        <w:tc>
          <w:tcPr>
            <w:tcW w:w="511" w:type="dxa"/>
          </w:tcPr>
          <w:p w14:paraId="06CD59E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0EFDC251" w14:textId="2EEE314D"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38144C0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170" w:type="dxa"/>
          </w:tcPr>
          <w:p w14:paraId="7DB5A7FE" w14:textId="399CE395"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Dull</w:t>
            </w:r>
          </w:p>
        </w:tc>
        <w:tc>
          <w:tcPr>
            <w:tcW w:w="1440" w:type="dxa"/>
          </w:tcPr>
          <w:p w14:paraId="3CFABA5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9CBEAEE" w14:textId="216AE506"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Tachypnea</w:t>
            </w:r>
          </w:p>
        </w:tc>
        <w:tc>
          <w:tcPr>
            <w:tcW w:w="1084" w:type="dxa"/>
          </w:tcPr>
          <w:p w14:paraId="1F009D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59F81F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348D4C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60C21C53" w14:textId="77777777" w:rsidTr="009C3E0B">
        <w:trPr>
          <w:trHeight w:val="122"/>
        </w:trPr>
        <w:tc>
          <w:tcPr>
            <w:tcW w:w="511" w:type="dxa"/>
          </w:tcPr>
          <w:p w14:paraId="40CD34D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375" w:type="dxa"/>
          </w:tcPr>
          <w:p w14:paraId="1B712993"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5F549D7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4C2A508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0E60F50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38A51C82" w14:textId="4878E994" w:rsidR="00315C15" w:rsidRDefault="00315C15" w:rsidP="00315C15">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3143709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342D7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364A704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6509ADD0" w14:textId="77777777" w:rsidTr="009C3E0B">
        <w:trPr>
          <w:trHeight w:val="122"/>
        </w:trPr>
        <w:tc>
          <w:tcPr>
            <w:tcW w:w="511" w:type="dxa"/>
          </w:tcPr>
          <w:p w14:paraId="11C5866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61C1E69F"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66B94D5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6DD995F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F5B12E0" w14:textId="06C48C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3EFF5A9" w14:textId="562AC8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57B04FE0" w14:textId="1DFC8E79"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Blind</w:t>
            </w:r>
          </w:p>
        </w:tc>
        <w:tc>
          <w:tcPr>
            <w:tcW w:w="1166" w:type="dxa"/>
          </w:tcPr>
          <w:p w14:paraId="21F52B6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558EDEE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7B8F363A" w14:textId="77777777" w:rsidTr="009C3E0B">
        <w:trPr>
          <w:trHeight w:val="746"/>
        </w:trPr>
        <w:tc>
          <w:tcPr>
            <w:tcW w:w="511" w:type="dxa"/>
          </w:tcPr>
          <w:p w14:paraId="3F5DEE5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118E2B8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6295176"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4A26C6C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CA58362" w14:textId="218EB6A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04AE297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28785135" w14:textId="7FD5CE59"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Blind</w:t>
            </w:r>
          </w:p>
        </w:tc>
        <w:tc>
          <w:tcPr>
            <w:tcW w:w="1166" w:type="dxa"/>
          </w:tcPr>
          <w:p w14:paraId="2AD0157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BD4BE2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315C15" w14:paraId="24B627D2" w14:textId="77777777" w:rsidTr="009C3E0B">
        <w:trPr>
          <w:trHeight w:val="126"/>
        </w:trPr>
        <w:tc>
          <w:tcPr>
            <w:tcW w:w="511" w:type="dxa"/>
          </w:tcPr>
          <w:p w14:paraId="4020566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339F15D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7914C472"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Death</w:t>
            </w:r>
          </w:p>
        </w:tc>
        <w:tc>
          <w:tcPr>
            <w:tcW w:w="1170" w:type="dxa"/>
          </w:tcPr>
          <w:p w14:paraId="2CC13B3B" w14:textId="77777777" w:rsidR="00315C15" w:rsidRDefault="00315C15" w:rsidP="00E831DA">
            <w:pPr>
              <w:tabs>
                <w:tab w:val="right" w:pos="8640"/>
              </w:tabs>
              <w:jc w:val="both"/>
              <w:rPr>
                <w:rFonts w:ascii="Times New Roman" w:hAnsi="Times New Roman" w:cs="Times New Roman"/>
                <w:iCs/>
                <w:sz w:val="28"/>
                <w:szCs w:val="28"/>
              </w:rPr>
            </w:pPr>
          </w:p>
        </w:tc>
        <w:tc>
          <w:tcPr>
            <w:tcW w:w="1440" w:type="dxa"/>
          </w:tcPr>
          <w:p w14:paraId="0C0A1CFB" w14:textId="77777777" w:rsidR="00315C15" w:rsidRDefault="00315C15" w:rsidP="00E831DA">
            <w:pPr>
              <w:tabs>
                <w:tab w:val="right" w:pos="8640"/>
              </w:tabs>
              <w:jc w:val="both"/>
              <w:rPr>
                <w:rFonts w:ascii="Times New Roman" w:hAnsi="Times New Roman" w:cs="Times New Roman"/>
                <w:iCs/>
                <w:sz w:val="28"/>
                <w:szCs w:val="28"/>
              </w:rPr>
            </w:pPr>
          </w:p>
        </w:tc>
        <w:tc>
          <w:tcPr>
            <w:tcW w:w="1530" w:type="dxa"/>
          </w:tcPr>
          <w:p w14:paraId="7B0674CA" w14:textId="77777777" w:rsidR="00315C15" w:rsidRDefault="00315C15" w:rsidP="00E831DA">
            <w:pPr>
              <w:tabs>
                <w:tab w:val="right" w:pos="8640"/>
              </w:tabs>
              <w:jc w:val="both"/>
              <w:rPr>
                <w:rFonts w:ascii="Times New Roman" w:hAnsi="Times New Roman" w:cs="Times New Roman"/>
                <w:iCs/>
                <w:sz w:val="28"/>
                <w:szCs w:val="28"/>
              </w:rPr>
            </w:pPr>
          </w:p>
        </w:tc>
        <w:tc>
          <w:tcPr>
            <w:tcW w:w="1084" w:type="dxa"/>
          </w:tcPr>
          <w:p w14:paraId="41BB5EA5" w14:textId="77777777" w:rsidR="00315C15" w:rsidRDefault="00315C15" w:rsidP="00E831DA">
            <w:pPr>
              <w:tabs>
                <w:tab w:val="right" w:pos="8640"/>
              </w:tabs>
              <w:jc w:val="both"/>
              <w:rPr>
                <w:rFonts w:ascii="Times New Roman" w:hAnsi="Times New Roman" w:cs="Times New Roman"/>
                <w:iCs/>
                <w:sz w:val="28"/>
                <w:szCs w:val="28"/>
              </w:rPr>
            </w:pPr>
          </w:p>
        </w:tc>
        <w:tc>
          <w:tcPr>
            <w:tcW w:w="1166" w:type="dxa"/>
          </w:tcPr>
          <w:p w14:paraId="4C2AC41F" w14:textId="77777777" w:rsidR="00315C15" w:rsidRDefault="00315C15" w:rsidP="00E831DA">
            <w:pPr>
              <w:tabs>
                <w:tab w:val="right" w:pos="8640"/>
              </w:tabs>
              <w:jc w:val="both"/>
              <w:rPr>
                <w:rFonts w:ascii="Times New Roman" w:hAnsi="Times New Roman" w:cs="Times New Roman"/>
                <w:iCs/>
                <w:sz w:val="28"/>
                <w:szCs w:val="28"/>
              </w:rPr>
            </w:pPr>
          </w:p>
        </w:tc>
        <w:tc>
          <w:tcPr>
            <w:tcW w:w="1440" w:type="dxa"/>
          </w:tcPr>
          <w:p w14:paraId="1FB2AD7C" w14:textId="77777777" w:rsidR="00315C15" w:rsidRDefault="00315C15" w:rsidP="00E831DA">
            <w:pPr>
              <w:tabs>
                <w:tab w:val="right" w:pos="8640"/>
              </w:tabs>
              <w:jc w:val="both"/>
              <w:rPr>
                <w:rFonts w:ascii="Times New Roman" w:hAnsi="Times New Roman" w:cs="Times New Roman"/>
                <w:iCs/>
                <w:sz w:val="28"/>
                <w:szCs w:val="28"/>
              </w:rPr>
            </w:pPr>
          </w:p>
        </w:tc>
      </w:tr>
    </w:tbl>
    <w:p w14:paraId="17BBF497" w14:textId="5F07802D" w:rsidR="009C3E0B" w:rsidRPr="00E831DA"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4</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1DA">
        <w:rPr>
          <w:rFonts w:ascii="Times New Roman" w:hAnsi="Times New Roman" w:cs="Times New Roman"/>
          <w:iCs/>
          <w:sz w:val="28"/>
          <w:szCs w:val="28"/>
        </w:rPr>
        <w:t xml:space="preserve"> </w:t>
      </w:r>
      <w:r w:rsidR="004C5C93">
        <w:rPr>
          <w:rFonts w:ascii="Times New Roman" w:hAnsi="Times New Roman" w:cs="Times New Roman"/>
          <w:iCs/>
          <w:sz w:val="28"/>
          <w:szCs w:val="28"/>
        </w:rPr>
        <w:t>6</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9C3E0B" w14:paraId="5D377CBA" w14:textId="77777777" w:rsidTr="00E831DA">
        <w:trPr>
          <w:trHeight w:val="492"/>
        </w:trPr>
        <w:tc>
          <w:tcPr>
            <w:tcW w:w="511" w:type="dxa"/>
            <w:tcBorders>
              <w:top w:val="single" w:sz="4" w:space="0" w:color="auto"/>
              <w:bottom w:val="single" w:sz="4" w:space="0" w:color="auto"/>
            </w:tcBorders>
          </w:tcPr>
          <w:p w14:paraId="5951EBB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36CBCAC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14:paraId="432E25B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14:paraId="5C69513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4F5CA6B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30" w:type="dxa"/>
            <w:tcBorders>
              <w:top w:val="single" w:sz="4" w:space="0" w:color="auto"/>
              <w:bottom w:val="single" w:sz="4" w:space="0" w:color="auto"/>
            </w:tcBorders>
          </w:tcPr>
          <w:p w14:paraId="30753D4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1CBCDBD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144A4AB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0120AA7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9C3E0B" w14:paraId="63412F21" w14:textId="77777777" w:rsidTr="00E831DA">
        <w:trPr>
          <w:trHeight w:val="119"/>
        </w:trPr>
        <w:tc>
          <w:tcPr>
            <w:tcW w:w="511" w:type="dxa"/>
            <w:tcBorders>
              <w:top w:val="single" w:sz="4" w:space="0" w:color="auto"/>
              <w:bottom w:val="nil"/>
            </w:tcBorders>
          </w:tcPr>
          <w:p w14:paraId="34B8D6F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321ACC0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single" w:sz="4" w:space="0" w:color="auto"/>
              <w:bottom w:val="nil"/>
            </w:tcBorders>
          </w:tcPr>
          <w:p w14:paraId="4911A7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4564B75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43DB83C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575BB2C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73E6405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633EADA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7698E97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4E4FDE15" w14:textId="77777777" w:rsidTr="00E831DA">
        <w:trPr>
          <w:trHeight w:val="122"/>
        </w:trPr>
        <w:tc>
          <w:tcPr>
            <w:tcW w:w="511" w:type="dxa"/>
            <w:tcBorders>
              <w:top w:val="nil"/>
            </w:tcBorders>
          </w:tcPr>
          <w:p w14:paraId="56B9E7F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3504ECE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19017BFE" w14:textId="2121B24B"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Borders>
              <w:top w:val="nil"/>
            </w:tcBorders>
          </w:tcPr>
          <w:p w14:paraId="68FE6E7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3E128CC"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6FE6D1D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050D9DCC"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766B497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CEF2AF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50D9F45A" w14:textId="77777777" w:rsidTr="00E831DA">
        <w:trPr>
          <w:trHeight w:val="122"/>
        </w:trPr>
        <w:tc>
          <w:tcPr>
            <w:tcW w:w="511" w:type="dxa"/>
          </w:tcPr>
          <w:p w14:paraId="6907A6B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65949C1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1134183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16928A6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ED3FA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754EB68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7BC7397"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43AB43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C5A577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65B50331" w14:textId="77777777" w:rsidTr="00E831DA">
        <w:trPr>
          <w:trHeight w:val="119"/>
        </w:trPr>
        <w:tc>
          <w:tcPr>
            <w:tcW w:w="511" w:type="dxa"/>
          </w:tcPr>
          <w:p w14:paraId="547FFA2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4CACCC16" w14:textId="141703C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1C1E55FD" w14:textId="4D11519D"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52D59743" w14:textId="1742B3FC"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718C2B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3BF2334E" w14:textId="18667F98" w:rsidR="009C3E0B" w:rsidRDefault="009C3E0B" w:rsidP="009C3E0B">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Pr>
          <w:p w14:paraId="55A70ED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4F1A10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4BB6F9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36740273" w14:textId="77777777" w:rsidTr="00E831DA">
        <w:trPr>
          <w:trHeight w:val="122"/>
        </w:trPr>
        <w:tc>
          <w:tcPr>
            <w:tcW w:w="511" w:type="dxa"/>
          </w:tcPr>
          <w:p w14:paraId="6C485AF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375" w:type="dxa"/>
          </w:tcPr>
          <w:p w14:paraId="2ED7CD91" w14:textId="32E212A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27F600E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238E685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29461FE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0241FD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38981D7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3EAF7FE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DCB9730"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567713A2" w14:textId="77777777" w:rsidTr="00E831DA">
        <w:trPr>
          <w:trHeight w:val="122"/>
        </w:trPr>
        <w:tc>
          <w:tcPr>
            <w:tcW w:w="511" w:type="dxa"/>
          </w:tcPr>
          <w:p w14:paraId="1B8ED2E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513E2C6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593969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0A82829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BD964E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6E01B22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521CB578" w14:textId="2554700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326AB00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1F105C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07999E0B" w14:textId="77777777" w:rsidTr="00E831DA">
        <w:trPr>
          <w:trHeight w:val="746"/>
        </w:trPr>
        <w:tc>
          <w:tcPr>
            <w:tcW w:w="511" w:type="dxa"/>
          </w:tcPr>
          <w:p w14:paraId="313909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741F808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77921FC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3BD99DE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68BC94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5BB5E6F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6C6A455B" w14:textId="6815718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43F393A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274D84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9C3E0B" w14:paraId="43A8601A" w14:textId="77777777" w:rsidTr="00E831DA">
        <w:trPr>
          <w:trHeight w:val="126"/>
        </w:trPr>
        <w:tc>
          <w:tcPr>
            <w:tcW w:w="511" w:type="dxa"/>
          </w:tcPr>
          <w:p w14:paraId="2B50D0B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566378E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41215ABB" w14:textId="78CB7149"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Alive</w:t>
            </w:r>
          </w:p>
        </w:tc>
        <w:tc>
          <w:tcPr>
            <w:tcW w:w="1170" w:type="dxa"/>
          </w:tcPr>
          <w:p w14:paraId="37A28F9A" w14:textId="6521019B"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726BCE59" w14:textId="2258341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2CD83082" w14:textId="6584E1A1"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Irritation</w:t>
            </w:r>
          </w:p>
        </w:tc>
        <w:tc>
          <w:tcPr>
            <w:tcW w:w="1084" w:type="dxa"/>
          </w:tcPr>
          <w:p w14:paraId="7CC9AE95" w14:textId="179ACFF6"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603B95A5" w14:textId="3A74BF14"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8E8BD05" w14:textId="3B6CC2B2" w:rsidR="009C3E0B"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Pale</w:t>
            </w:r>
          </w:p>
        </w:tc>
      </w:tr>
    </w:tbl>
    <w:p w14:paraId="424D734C" w14:textId="1867394C" w:rsidR="00E831DA" w:rsidRPr="00E831DA" w:rsidRDefault="00233D4D" w:rsidP="00E831DA">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5</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1DA">
        <w:rPr>
          <w:rFonts w:ascii="Times New Roman" w:hAnsi="Times New Roman" w:cs="Times New Roman"/>
          <w:iCs/>
          <w:sz w:val="28"/>
          <w:szCs w:val="28"/>
        </w:rPr>
        <w:t xml:space="preserve"> </w:t>
      </w:r>
      <w:r w:rsidR="004C5C93">
        <w:rPr>
          <w:rFonts w:ascii="Times New Roman" w:hAnsi="Times New Roman" w:cs="Times New Roman"/>
          <w:iCs/>
          <w:sz w:val="28"/>
          <w:szCs w:val="28"/>
        </w:rPr>
        <w:t>5</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E831DA" w14:paraId="712BDC4E" w14:textId="77777777" w:rsidTr="00E831DA">
        <w:trPr>
          <w:trHeight w:val="492"/>
        </w:trPr>
        <w:tc>
          <w:tcPr>
            <w:tcW w:w="511" w:type="dxa"/>
            <w:tcBorders>
              <w:top w:val="single" w:sz="4" w:space="0" w:color="auto"/>
              <w:bottom w:val="single" w:sz="4" w:space="0" w:color="auto"/>
            </w:tcBorders>
          </w:tcPr>
          <w:p w14:paraId="2FC2F1F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64C9382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14:paraId="167BABC0"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14:paraId="2178A31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2C1587F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30" w:type="dxa"/>
            <w:tcBorders>
              <w:top w:val="single" w:sz="4" w:space="0" w:color="auto"/>
              <w:bottom w:val="single" w:sz="4" w:space="0" w:color="auto"/>
            </w:tcBorders>
          </w:tcPr>
          <w:p w14:paraId="510EDE8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427CF22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4E61E88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1D23602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E831DA" w14:paraId="7C1C51DB" w14:textId="77777777" w:rsidTr="00E831DA">
        <w:trPr>
          <w:trHeight w:val="119"/>
        </w:trPr>
        <w:tc>
          <w:tcPr>
            <w:tcW w:w="511" w:type="dxa"/>
            <w:tcBorders>
              <w:top w:val="single" w:sz="4" w:space="0" w:color="auto"/>
              <w:bottom w:val="nil"/>
            </w:tcBorders>
          </w:tcPr>
          <w:p w14:paraId="3AAF820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7A1B99A8" w14:textId="5B3DB491" w:rsidR="00E831DA" w:rsidRDefault="00233D4D"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w:t>
            </w:r>
            <w:r w:rsidR="00E831DA">
              <w:rPr>
                <w:rFonts w:ascii="Times New Roman" w:hAnsi="Times New Roman" w:cs="Times New Roman"/>
                <w:iCs/>
                <w:sz w:val="28"/>
                <w:szCs w:val="28"/>
              </w:rPr>
              <w:t>al</w:t>
            </w:r>
          </w:p>
        </w:tc>
        <w:tc>
          <w:tcPr>
            <w:tcW w:w="1462" w:type="dxa"/>
            <w:tcBorders>
              <w:top w:val="single" w:sz="4" w:space="0" w:color="auto"/>
              <w:bottom w:val="nil"/>
            </w:tcBorders>
          </w:tcPr>
          <w:p w14:paraId="0FE2C9C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0A649C6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50D120F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01E98B4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778FFDF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6A0E3C1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3F24A6B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94977D1" w14:textId="77777777" w:rsidTr="00E831DA">
        <w:trPr>
          <w:trHeight w:val="122"/>
        </w:trPr>
        <w:tc>
          <w:tcPr>
            <w:tcW w:w="511" w:type="dxa"/>
            <w:tcBorders>
              <w:top w:val="nil"/>
            </w:tcBorders>
          </w:tcPr>
          <w:p w14:paraId="657D322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0EFAA65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40CB2D38" w14:textId="0B64436C"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More active</w:t>
            </w:r>
          </w:p>
        </w:tc>
        <w:tc>
          <w:tcPr>
            <w:tcW w:w="1170" w:type="dxa"/>
            <w:tcBorders>
              <w:top w:val="nil"/>
            </w:tcBorders>
          </w:tcPr>
          <w:p w14:paraId="4D92953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B73FB1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7B7532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5A23C23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28DFC57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2BA7A3F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5B0A4CB" w14:textId="77777777" w:rsidTr="00E831DA">
        <w:trPr>
          <w:trHeight w:val="122"/>
        </w:trPr>
        <w:tc>
          <w:tcPr>
            <w:tcW w:w="511" w:type="dxa"/>
          </w:tcPr>
          <w:p w14:paraId="7286854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2DB32A3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4D684A5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34F8BFD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5E3E1C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5259B795" w14:textId="5A79A056"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Nor]mal</w:t>
            </w:r>
          </w:p>
        </w:tc>
        <w:tc>
          <w:tcPr>
            <w:tcW w:w="1084" w:type="dxa"/>
          </w:tcPr>
          <w:p w14:paraId="56E4A7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1CFF461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830DD90"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711007B" w14:textId="77777777" w:rsidTr="00E831DA">
        <w:trPr>
          <w:trHeight w:val="119"/>
        </w:trPr>
        <w:tc>
          <w:tcPr>
            <w:tcW w:w="511" w:type="dxa"/>
          </w:tcPr>
          <w:p w14:paraId="74AEE48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7481CE4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32D385AF" w14:textId="1BAFEE83"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170" w:type="dxa"/>
          </w:tcPr>
          <w:p w14:paraId="77BC693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21CFFE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D921F19" w14:textId="23790E36"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9C00EA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7FEC6DB"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541F7D2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1179307C" w14:textId="77777777" w:rsidTr="00E831DA">
        <w:trPr>
          <w:trHeight w:val="122"/>
        </w:trPr>
        <w:tc>
          <w:tcPr>
            <w:tcW w:w="511" w:type="dxa"/>
          </w:tcPr>
          <w:p w14:paraId="424C5B2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375" w:type="dxa"/>
          </w:tcPr>
          <w:p w14:paraId="0652CE2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31BB6AD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7DFF58B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47FAE8F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FC894C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4CFFE3C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FD2AC4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026F45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757F5C0" w14:textId="77777777" w:rsidTr="00E831DA">
        <w:trPr>
          <w:trHeight w:val="122"/>
        </w:trPr>
        <w:tc>
          <w:tcPr>
            <w:tcW w:w="511" w:type="dxa"/>
          </w:tcPr>
          <w:p w14:paraId="7145CE5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1E0938B8" w14:textId="4B43D52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Pr>
          <w:p w14:paraId="62D1BA5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22E6911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259185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2F088F0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766431A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CD194E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F4B506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0FE8ED8" w14:textId="77777777" w:rsidTr="00E831DA">
        <w:trPr>
          <w:trHeight w:val="746"/>
        </w:trPr>
        <w:tc>
          <w:tcPr>
            <w:tcW w:w="511" w:type="dxa"/>
          </w:tcPr>
          <w:p w14:paraId="647BB66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79110CE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E287C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1241818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613FB5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79E929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1969D40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BF7635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CABAC5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E831DA" w14:paraId="5845955E" w14:textId="77777777" w:rsidTr="00E831DA">
        <w:trPr>
          <w:trHeight w:val="126"/>
        </w:trPr>
        <w:tc>
          <w:tcPr>
            <w:tcW w:w="511" w:type="dxa"/>
          </w:tcPr>
          <w:p w14:paraId="50BAD22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2A1C17C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2C8F45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Alive</w:t>
            </w:r>
          </w:p>
        </w:tc>
        <w:tc>
          <w:tcPr>
            <w:tcW w:w="1170" w:type="dxa"/>
          </w:tcPr>
          <w:p w14:paraId="4251F57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5D436E0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EE04C5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Irritation</w:t>
            </w:r>
          </w:p>
        </w:tc>
        <w:tc>
          <w:tcPr>
            <w:tcW w:w="1084" w:type="dxa"/>
          </w:tcPr>
          <w:p w14:paraId="7DDEA5D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618CEDF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691F3D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Pale</w:t>
            </w:r>
          </w:p>
        </w:tc>
      </w:tr>
    </w:tbl>
    <w:p w14:paraId="1E33C5BE" w14:textId="44720DEE" w:rsidR="00E831DA" w:rsidRPr="00233D4D" w:rsidRDefault="00E831DA" w:rsidP="00233D4D">
      <w:pPr>
        <w:tabs>
          <w:tab w:val="left" w:pos="1486"/>
        </w:tabs>
        <w:rPr>
          <w:rFonts w:ascii="Times New Roman" w:hAnsi="Times New Roman" w:cs="Times New Roman"/>
          <w:sz w:val="28"/>
          <w:szCs w:val="28"/>
        </w:rPr>
      </w:pPr>
    </w:p>
    <w:p w14:paraId="3453DC9A" w14:textId="16CEA0E5" w:rsidR="00C04A44" w:rsidRDefault="00C04A44" w:rsidP="00A72A90">
      <w:pPr>
        <w:tabs>
          <w:tab w:val="right" w:pos="8640"/>
        </w:tabs>
        <w:spacing w:line="480" w:lineRule="auto"/>
        <w:jc w:val="both"/>
        <w:rPr>
          <w:rFonts w:ascii="Times New Roman" w:hAnsi="Times New Roman" w:cs="Times New Roman"/>
          <w:iCs/>
          <w:sz w:val="28"/>
          <w:szCs w:val="28"/>
        </w:rPr>
      </w:pPr>
      <w:r>
        <w:rPr>
          <w:noProof/>
        </w:rPr>
        <w:drawing>
          <wp:inline distT="0" distB="0" distL="0" distR="0" wp14:anchorId="60D89CE2" wp14:editId="66B4D157">
            <wp:extent cx="5892800" cy="3033485"/>
            <wp:effectExtent l="0" t="0" r="12700"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A56B77E" w14:textId="77777777" w:rsidR="00974A9A" w:rsidRDefault="00974A9A" w:rsidP="00C964D3">
      <w:pPr>
        <w:tabs>
          <w:tab w:val="right" w:pos="8640"/>
        </w:tabs>
        <w:spacing w:line="480" w:lineRule="auto"/>
        <w:jc w:val="both"/>
        <w:rPr>
          <w:rFonts w:ascii="Times New Roman" w:hAnsi="Times New Roman" w:cs="Times New Roman"/>
          <w:sz w:val="28"/>
          <w:szCs w:val="28"/>
        </w:rPr>
      </w:pPr>
    </w:p>
    <w:p w14:paraId="08392FBA" w14:textId="77777777" w:rsidR="00974A9A" w:rsidRDefault="00974A9A" w:rsidP="00C964D3">
      <w:pPr>
        <w:tabs>
          <w:tab w:val="right" w:pos="8640"/>
        </w:tabs>
        <w:spacing w:line="480" w:lineRule="auto"/>
        <w:jc w:val="both"/>
        <w:rPr>
          <w:rFonts w:ascii="Times New Roman" w:hAnsi="Times New Roman" w:cs="Times New Roman"/>
          <w:sz w:val="28"/>
          <w:szCs w:val="28"/>
        </w:rPr>
      </w:pPr>
    </w:p>
    <w:p w14:paraId="4ACF4B46" w14:textId="5011CC56" w:rsidR="00261E97" w:rsidRPr="00C964D3" w:rsidRDefault="00261E97" w:rsidP="00C964D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6:</w:t>
      </w:r>
      <w:r w:rsidR="00263547">
        <w:rPr>
          <w:rFonts w:ascii="Times New Roman" w:hAnsi="Times New Roman" w:cs="Times New Roman"/>
          <w:sz w:val="28"/>
          <w:szCs w:val="28"/>
        </w:rPr>
        <w:t xml:space="preserve"> Post-Mortem Gross Pathological Findings</w:t>
      </w:r>
    </w:p>
    <w:tbl>
      <w:tblPr>
        <w:tblStyle w:val="TableGrid"/>
        <w:tblW w:w="9781" w:type="dxa"/>
        <w:tblLook w:val="04A0" w:firstRow="1" w:lastRow="0" w:firstColumn="1" w:lastColumn="0" w:noHBand="0" w:noVBand="1"/>
      </w:tblPr>
      <w:tblGrid>
        <w:gridCol w:w="1313"/>
        <w:gridCol w:w="2217"/>
        <w:gridCol w:w="2217"/>
        <w:gridCol w:w="2017"/>
        <w:gridCol w:w="2017"/>
      </w:tblGrid>
      <w:tr w:rsidR="00DE2263" w14:paraId="345D9943" w14:textId="5E0309C7" w:rsidTr="00974A9A">
        <w:trPr>
          <w:trHeight w:val="996"/>
        </w:trPr>
        <w:tc>
          <w:tcPr>
            <w:tcW w:w="1313" w:type="dxa"/>
          </w:tcPr>
          <w:p w14:paraId="23289F6D" w14:textId="56878293"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Rat ID </w:t>
            </w:r>
          </w:p>
        </w:tc>
        <w:tc>
          <w:tcPr>
            <w:tcW w:w="2217" w:type="dxa"/>
          </w:tcPr>
          <w:p w14:paraId="6878CD1F" w14:textId="18E06AD8"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Heart Condition </w:t>
            </w:r>
          </w:p>
        </w:tc>
        <w:tc>
          <w:tcPr>
            <w:tcW w:w="2217" w:type="dxa"/>
          </w:tcPr>
          <w:p w14:paraId="7D6204C3" w14:textId="157A1C23"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Intestine Condition </w:t>
            </w:r>
          </w:p>
        </w:tc>
        <w:tc>
          <w:tcPr>
            <w:tcW w:w="2017" w:type="dxa"/>
          </w:tcPr>
          <w:p w14:paraId="61584C19" w14:textId="0D64B13C"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Liver Condition </w:t>
            </w:r>
          </w:p>
        </w:tc>
        <w:tc>
          <w:tcPr>
            <w:tcW w:w="2017" w:type="dxa"/>
          </w:tcPr>
          <w:p w14:paraId="359B01EB" w14:textId="57FFBDD4"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Kidney Condition </w:t>
            </w:r>
          </w:p>
        </w:tc>
      </w:tr>
      <w:tr w:rsidR="00DE2263" w14:paraId="6DBC3877" w14:textId="16A55A0F" w:rsidTr="00974A9A">
        <w:trPr>
          <w:trHeight w:val="996"/>
        </w:trPr>
        <w:tc>
          <w:tcPr>
            <w:tcW w:w="1313" w:type="dxa"/>
          </w:tcPr>
          <w:p w14:paraId="05CD72E4" w14:textId="65175078" w:rsidR="00DE2263" w:rsidRDefault="00F5147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p>
        </w:tc>
        <w:tc>
          <w:tcPr>
            <w:tcW w:w="2217" w:type="dxa"/>
          </w:tcPr>
          <w:p w14:paraId="35BD363F" w14:textId="4D39B95C" w:rsidR="00DE2263" w:rsidRDefault="004E5996"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Still breathing </w:t>
            </w:r>
          </w:p>
        </w:tc>
        <w:tc>
          <w:tcPr>
            <w:tcW w:w="2217" w:type="dxa"/>
          </w:tcPr>
          <w:p w14:paraId="36D6E92D" w14:textId="2F93EB14" w:rsidR="00DE2263" w:rsidRDefault="00CC209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Tiny</w:t>
            </w:r>
            <w:r w:rsidR="00AD0C7C">
              <w:rPr>
                <w:rFonts w:ascii="Times New Roman" w:hAnsi="Times New Roman" w:cs="Times New Roman"/>
                <w:sz w:val="28"/>
                <w:szCs w:val="28"/>
              </w:rPr>
              <w:t xml:space="preserve"> and </w:t>
            </w:r>
            <w:r>
              <w:rPr>
                <w:rFonts w:ascii="Times New Roman" w:hAnsi="Times New Roman" w:cs="Times New Roman"/>
                <w:sz w:val="28"/>
                <w:szCs w:val="28"/>
              </w:rPr>
              <w:t>Whitish</w:t>
            </w:r>
          </w:p>
        </w:tc>
        <w:tc>
          <w:tcPr>
            <w:tcW w:w="2017" w:type="dxa"/>
          </w:tcPr>
          <w:p w14:paraId="39BB4D75" w14:textId="0B7FEDD6" w:rsidR="00DE2263" w:rsidRDefault="00550090"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Has dark spot</w:t>
            </w:r>
          </w:p>
        </w:tc>
        <w:tc>
          <w:tcPr>
            <w:tcW w:w="2017" w:type="dxa"/>
          </w:tcPr>
          <w:p w14:paraId="607CA213" w14:textId="30762E15" w:rsidR="00DE2263" w:rsidRDefault="00EE417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Pale</w:t>
            </w:r>
          </w:p>
        </w:tc>
      </w:tr>
      <w:tr w:rsidR="00DE2263" w14:paraId="7E51FCAD" w14:textId="2862AEB0" w:rsidTr="00974A9A">
        <w:trPr>
          <w:trHeight w:val="1025"/>
        </w:trPr>
        <w:tc>
          <w:tcPr>
            <w:tcW w:w="1313" w:type="dxa"/>
          </w:tcPr>
          <w:p w14:paraId="68CF1441" w14:textId="55740FB9" w:rsidR="00DE2263" w:rsidRDefault="0039525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Black</w:t>
            </w:r>
          </w:p>
        </w:tc>
        <w:tc>
          <w:tcPr>
            <w:tcW w:w="2217" w:type="dxa"/>
          </w:tcPr>
          <w:p w14:paraId="6B48F886" w14:textId="6D6FACA5" w:rsidR="00DE2263" w:rsidRDefault="006E439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All the blood has dried</w:t>
            </w:r>
          </w:p>
        </w:tc>
        <w:tc>
          <w:tcPr>
            <w:tcW w:w="2217" w:type="dxa"/>
          </w:tcPr>
          <w:p w14:paraId="697310A2" w14:textId="6FB069AF" w:rsidR="00DE2263" w:rsidRDefault="002E318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Tiny</w:t>
            </w:r>
            <w:r w:rsidR="005D7EC2">
              <w:rPr>
                <w:rFonts w:ascii="Times New Roman" w:hAnsi="Times New Roman" w:cs="Times New Roman"/>
                <w:sz w:val="28"/>
                <w:szCs w:val="28"/>
              </w:rPr>
              <w:t xml:space="preserve"> and</w:t>
            </w:r>
            <w:r w:rsidR="00CC2093">
              <w:rPr>
                <w:rFonts w:ascii="Times New Roman" w:hAnsi="Times New Roman" w:cs="Times New Roman"/>
                <w:sz w:val="28"/>
                <w:szCs w:val="28"/>
              </w:rPr>
              <w:t xml:space="preserve"> </w:t>
            </w:r>
            <w:r w:rsidR="005D7EC2">
              <w:rPr>
                <w:rFonts w:ascii="Times New Roman" w:hAnsi="Times New Roman" w:cs="Times New Roman"/>
                <w:sz w:val="28"/>
                <w:szCs w:val="28"/>
              </w:rPr>
              <w:t>Whitish</w:t>
            </w:r>
            <w:r>
              <w:rPr>
                <w:rFonts w:ascii="Times New Roman" w:hAnsi="Times New Roman" w:cs="Times New Roman"/>
                <w:sz w:val="28"/>
                <w:szCs w:val="28"/>
              </w:rPr>
              <w:t xml:space="preserve"> </w:t>
            </w:r>
          </w:p>
        </w:tc>
        <w:tc>
          <w:tcPr>
            <w:tcW w:w="2017" w:type="dxa"/>
          </w:tcPr>
          <w:p w14:paraId="06DD0D8A" w14:textId="0471E730" w:rsidR="00DE2263" w:rsidRDefault="005B327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Nil</w:t>
            </w:r>
          </w:p>
        </w:tc>
        <w:tc>
          <w:tcPr>
            <w:tcW w:w="2017" w:type="dxa"/>
          </w:tcPr>
          <w:p w14:paraId="6CD44C1C" w14:textId="621E213A" w:rsidR="00DE2263" w:rsidRDefault="005B327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Not fresh </w:t>
            </w:r>
          </w:p>
        </w:tc>
      </w:tr>
    </w:tbl>
    <w:p w14:paraId="6D5F525A" w14:textId="271BF112" w:rsidR="009F599F" w:rsidRDefault="009F599F" w:rsidP="00471BB7">
      <w:pPr>
        <w:spacing w:line="480" w:lineRule="auto"/>
        <w:jc w:val="both"/>
        <w:rPr>
          <w:rFonts w:ascii="Times New Roman" w:hAnsi="Times New Roman" w:cs="Times New Roman"/>
          <w:sz w:val="28"/>
          <w:szCs w:val="28"/>
        </w:rPr>
      </w:pPr>
    </w:p>
    <w:p w14:paraId="35202A5F" w14:textId="77777777" w:rsidR="00395254" w:rsidRDefault="00395254" w:rsidP="00471BB7">
      <w:pPr>
        <w:spacing w:line="480" w:lineRule="auto"/>
        <w:jc w:val="both"/>
        <w:rPr>
          <w:rFonts w:ascii="Times New Roman" w:hAnsi="Times New Roman" w:cs="Times New Roman"/>
          <w:sz w:val="28"/>
          <w:szCs w:val="28"/>
        </w:rPr>
      </w:pPr>
    </w:p>
    <w:p w14:paraId="04DF2635" w14:textId="77777777" w:rsidR="00DE58FF" w:rsidRDefault="00DE58FF" w:rsidP="00471BB7">
      <w:pPr>
        <w:spacing w:line="480" w:lineRule="auto"/>
        <w:jc w:val="both"/>
        <w:rPr>
          <w:rFonts w:ascii="Times New Roman" w:hAnsi="Times New Roman" w:cs="Times New Roman"/>
          <w:sz w:val="28"/>
          <w:szCs w:val="28"/>
        </w:rPr>
      </w:pPr>
    </w:p>
    <w:p w14:paraId="1D831CCE" w14:textId="77777777" w:rsidR="00974A9A" w:rsidRDefault="00974A9A" w:rsidP="00471BB7">
      <w:pPr>
        <w:spacing w:line="480" w:lineRule="auto"/>
        <w:jc w:val="both"/>
        <w:rPr>
          <w:rFonts w:ascii="Times New Roman" w:hAnsi="Times New Roman" w:cs="Times New Roman"/>
          <w:sz w:val="28"/>
          <w:szCs w:val="28"/>
        </w:rPr>
      </w:pPr>
    </w:p>
    <w:p w14:paraId="49F4C73A" w14:textId="77777777" w:rsidR="00974A9A" w:rsidRDefault="00974A9A" w:rsidP="00471BB7">
      <w:pPr>
        <w:spacing w:line="480" w:lineRule="auto"/>
        <w:jc w:val="both"/>
        <w:rPr>
          <w:rFonts w:ascii="Times New Roman" w:hAnsi="Times New Roman" w:cs="Times New Roman"/>
          <w:sz w:val="28"/>
          <w:szCs w:val="28"/>
        </w:rPr>
      </w:pPr>
    </w:p>
    <w:p w14:paraId="4E8BE558" w14:textId="77777777" w:rsidR="00974A9A" w:rsidRDefault="00974A9A" w:rsidP="00471BB7">
      <w:pPr>
        <w:spacing w:line="480" w:lineRule="auto"/>
        <w:jc w:val="both"/>
        <w:rPr>
          <w:rFonts w:ascii="Times New Roman" w:hAnsi="Times New Roman" w:cs="Times New Roman"/>
          <w:sz w:val="28"/>
          <w:szCs w:val="28"/>
        </w:rPr>
      </w:pPr>
    </w:p>
    <w:p w14:paraId="158FF071" w14:textId="4C5BDB16" w:rsidR="00974A9A" w:rsidRDefault="00974A9A" w:rsidP="00471BB7">
      <w:pPr>
        <w:spacing w:line="480" w:lineRule="auto"/>
        <w:jc w:val="both"/>
        <w:rPr>
          <w:rFonts w:ascii="Times New Roman" w:hAnsi="Times New Roman" w:cs="Times New Roman"/>
          <w:sz w:val="28"/>
          <w:szCs w:val="28"/>
        </w:rPr>
      </w:pPr>
    </w:p>
    <w:p w14:paraId="6B664295" w14:textId="39AD093C" w:rsidR="00DE58FF" w:rsidRDefault="00DE58FF" w:rsidP="00736340">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6F9C2997" w14:textId="75363B08" w:rsidR="00DE58FF" w:rsidRDefault="0068588B"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4.0 D</w:t>
      </w:r>
      <w:r w:rsidR="000B4933">
        <w:rPr>
          <w:rFonts w:ascii="Times New Roman" w:hAnsi="Times New Roman" w:cs="Times New Roman"/>
          <w:sz w:val="28"/>
          <w:szCs w:val="28"/>
        </w:rPr>
        <w:t xml:space="preserve">ISCUSSION AND CONCLUSION </w:t>
      </w:r>
    </w:p>
    <w:p w14:paraId="63EF888A" w14:textId="08590073" w:rsidR="0046435B" w:rsidRDefault="000B493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of Results </w:t>
      </w:r>
    </w:p>
    <w:p w14:paraId="16687ECC" w14:textId="1F463F2B" w:rsidR="00637A7F" w:rsidRDefault="0046435B" w:rsidP="00233D4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of this study provide clear evidence of the toxic potential of </w:t>
      </w:r>
      <w:proofErr w:type="spellStart"/>
      <w:r w:rsidRPr="0095602C">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95602C">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and its metabolite,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aligning with previous toxicological investigations on fungal secondary metabolites.</w:t>
      </w:r>
      <w:r w:rsidR="00240399">
        <w:rPr>
          <w:rFonts w:ascii="Times New Roman" w:hAnsi="Times New Roman" w:cs="Times New Roman"/>
          <w:sz w:val="28"/>
          <w:szCs w:val="28"/>
        </w:rPr>
        <w:t xml:space="preserve"> </w:t>
      </w:r>
      <w:r w:rsidR="00233D4D">
        <w:rPr>
          <w:rFonts w:ascii="Times New Roman" w:hAnsi="Times New Roman" w:cs="Times New Roman"/>
          <w:sz w:val="28"/>
          <w:szCs w:val="28"/>
        </w:rPr>
        <w:t xml:space="preserve">Table 1, confirms the identification of the fungal isolate. The observation of bluish-green coloration, a powdery texture, septate and branched hyphae along with a </w:t>
      </w:r>
      <w:proofErr w:type="spellStart"/>
      <w:r w:rsidR="00233D4D" w:rsidRPr="00233D4D">
        <w:rPr>
          <w:rFonts w:ascii="Times New Roman" w:hAnsi="Times New Roman" w:cs="Times New Roman"/>
          <w:i/>
          <w:sz w:val="28"/>
          <w:szCs w:val="28"/>
        </w:rPr>
        <w:t>penicillus</w:t>
      </w:r>
      <w:proofErr w:type="spellEnd"/>
      <w:r w:rsidR="00233D4D">
        <w:rPr>
          <w:rFonts w:ascii="Times New Roman" w:hAnsi="Times New Roman" w:cs="Times New Roman"/>
          <w:sz w:val="28"/>
          <w:szCs w:val="28"/>
        </w:rPr>
        <w:t xml:space="preserve">-like arrangement of conidiophores, and chains of round to elliptical conidia, aligns with the defining features of the </w:t>
      </w:r>
      <w:proofErr w:type="spellStart"/>
      <w:r w:rsidR="00233D4D" w:rsidRPr="00233D4D">
        <w:rPr>
          <w:rFonts w:ascii="Times New Roman" w:hAnsi="Times New Roman" w:cs="Times New Roman"/>
          <w:i/>
          <w:sz w:val="28"/>
          <w:szCs w:val="28"/>
        </w:rPr>
        <w:t>Penicillium</w:t>
      </w:r>
      <w:proofErr w:type="spellEnd"/>
      <w:r w:rsidR="00233D4D">
        <w:rPr>
          <w:rFonts w:ascii="Times New Roman" w:hAnsi="Times New Roman" w:cs="Times New Roman"/>
          <w:sz w:val="28"/>
          <w:szCs w:val="28"/>
        </w:rPr>
        <w:t xml:space="preserve"> genus as outlined by Smith &amp; Read (2018) and De </w:t>
      </w:r>
      <w:proofErr w:type="spellStart"/>
      <w:r w:rsidR="00233D4D">
        <w:rPr>
          <w:rFonts w:ascii="Times New Roman" w:hAnsi="Times New Roman" w:cs="Times New Roman"/>
          <w:sz w:val="28"/>
          <w:szCs w:val="28"/>
        </w:rPr>
        <w:t>Vries</w:t>
      </w:r>
      <w:proofErr w:type="spellEnd"/>
      <w:r w:rsidR="00233D4D">
        <w:rPr>
          <w:rFonts w:ascii="Times New Roman" w:hAnsi="Times New Roman" w:cs="Times New Roman"/>
          <w:sz w:val="28"/>
          <w:szCs w:val="28"/>
        </w:rPr>
        <w:t xml:space="preserve"> et al. (2019).</w:t>
      </w:r>
    </w:p>
    <w:p w14:paraId="5885E52E" w14:textId="0B651129" w:rsidR="00637A7F" w:rsidRDefault="00233D4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Tables 2 through 5 </w:t>
      </w:r>
      <w:r w:rsidR="00637A7F">
        <w:rPr>
          <w:rFonts w:ascii="Times New Roman" w:hAnsi="Times New Roman" w:cs="Times New Roman"/>
          <w:sz w:val="28"/>
          <w:szCs w:val="28"/>
        </w:rPr>
        <w:t xml:space="preserve">detail the physiological and behavioral effects observed in rats administered with varying concentrations of the </w:t>
      </w:r>
      <w:proofErr w:type="spellStart"/>
      <w:r w:rsidR="00637A7F">
        <w:rPr>
          <w:rFonts w:ascii="Times New Roman" w:hAnsi="Times New Roman" w:cs="Times New Roman"/>
          <w:sz w:val="28"/>
          <w:szCs w:val="28"/>
        </w:rPr>
        <w:t>citrinin</w:t>
      </w:r>
      <w:proofErr w:type="spellEnd"/>
      <w:r w:rsidR="00637A7F">
        <w:rPr>
          <w:rFonts w:ascii="Times New Roman" w:hAnsi="Times New Roman" w:cs="Times New Roman"/>
          <w:sz w:val="28"/>
          <w:szCs w:val="28"/>
        </w:rPr>
        <w:t xml:space="preserve"> tox</w:t>
      </w:r>
      <w:r>
        <w:rPr>
          <w:rFonts w:ascii="Times New Roman" w:hAnsi="Times New Roman" w:cs="Times New Roman"/>
          <w:sz w:val="28"/>
          <w:szCs w:val="28"/>
        </w:rPr>
        <w:t>in over an 8-day period. Table 2</w:t>
      </w:r>
      <w:r w:rsidR="00637A7F">
        <w:rPr>
          <w:rFonts w:ascii="Times New Roman" w:hAnsi="Times New Roman" w:cs="Times New Roman"/>
          <w:sz w:val="28"/>
          <w:szCs w:val="28"/>
        </w:rPr>
        <w:t xml:space="preserve">, representing 100% toxin concentration, showed early onset of abnormal behavior including lethargy, aggression, and reduced feeding by Day 4. By Day 7, severe symptoms such as palpitations and abnormal skin coloration were observed, and one rat was dead by Day 8. This pattern of dose-dependent toxicity corresponds with findings by </w:t>
      </w:r>
      <w:proofErr w:type="spellStart"/>
      <w:r w:rsidR="00637A7F">
        <w:rPr>
          <w:rFonts w:ascii="Times New Roman" w:hAnsi="Times New Roman" w:cs="Times New Roman"/>
          <w:sz w:val="28"/>
          <w:szCs w:val="28"/>
        </w:rPr>
        <w:t>Flajs</w:t>
      </w:r>
      <w:proofErr w:type="spellEnd"/>
      <w:r w:rsidR="00637A7F">
        <w:rPr>
          <w:rFonts w:ascii="Times New Roman" w:hAnsi="Times New Roman" w:cs="Times New Roman"/>
          <w:sz w:val="28"/>
          <w:szCs w:val="28"/>
        </w:rPr>
        <w:t xml:space="preserve"> and Peraica (2009), who reported nephrotoxicity and behavioral changes in rats exp</w:t>
      </w:r>
      <w:r>
        <w:rPr>
          <w:rFonts w:ascii="Times New Roman" w:hAnsi="Times New Roman" w:cs="Times New Roman"/>
          <w:sz w:val="28"/>
          <w:szCs w:val="28"/>
        </w:rPr>
        <w:t xml:space="preserve">osed to high doses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In Table 3</w:t>
      </w:r>
      <w:r w:rsidR="00637A7F">
        <w:rPr>
          <w:rFonts w:ascii="Times New Roman" w:hAnsi="Times New Roman" w:cs="Times New Roman"/>
          <w:sz w:val="28"/>
          <w:szCs w:val="28"/>
        </w:rPr>
        <w:t>, where rats were administered 80% toxin concentration, the onset of symptoms appeared slightly delayed but followed a similar trajectory. Symptoms such as d</w:t>
      </w:r>
      <w:r>
        <w:rPr>
          <w:rFonts w:ascii="Times New Roman" w:hAnsi="Times New Roman" w:cs="Times New Roman"/>
          <w:sz w:val="28"/>
          <w:szCs w:val="28"/>
        </w:rPr>
        <w:t>]</w:t>
      </w:r>
      <w:proofErr w:type="spellStart"/>
      <w:r w:rsidR="00637A7F">
        <w:rPr>
          <w:rFonts w:ascii="Times New Roman" w:hAnsi="Times New Roman" w:cs="Times New Roman"/>
          <w:sz w:val="28"/>
          <w:szCs w:val="28"/>
        </w:rPr>
        <w:t>ullness</w:t>
      </w:r>
      <w:proofErr w:type="spellEnd"/>
      <w:r w:rsidR="00637A7F">
        <w:rPr>
          <w:rFonts w:ascii="Times New Roman" w:hAnsi="Times New Roman" w:cs="Times New Roman"/>
          <w:sz w:val="28"/>
          <w:szCs w:val="28"/>
        </w:rPr>
        <w:t xml:space="preserve">, slow locomotion, fast breathing, and eventual death by Day 8 were observed. This aligns with the work of O’Brien et al. (2001), who noted progressive organ damage and behavioral alterations at sub-lethal </w:t>
      </w:r>
      <w:proofErr w:type="spellStart"/>
      <w:r w:rsidR="00637A7F">
        <w:rPr>
          <w:rFonts w:ascii="Times New Roman" w:hAnsi="Times New Roman" w:cs="Times New Roman"/>
          <w:sz w:val="28"/>
          <w:szCs w:val="28"/>
        </w:rPr>
        <w:t>citri</w:t>
      </w:r>
      <w:r>
        <w:rPr>
          <w:rFonts w:ascii="Times New Roman" w:hAnsi="Times New Roman" w:cs="Times New Roman"/>
          <w:sz w:val="28"/>
          <w:szCs w:val="28"/>
        </w:rPr>
        <w:t>nin</w:t>
      </w:r>
      <w:proofErr w:type="spellEnd"/>
      <w:r>
        <w:rPr>
          <w:rFonts w:ascii="Times New Roman" w:hAnsi="Times New Roman" w:cs="Times New Roman"/>
          <w:sz w:val="28"/>
          <w:szCs w:val="28"/>
        </w:rPr>
        <w:t xml:space="preserve"> doses. At 60% concentration (Table 4</w:t>
      </w:r>
      <w:r w:rsidR="00637A7F">
        <w:rPr>
          <w:rFonts w:ascii="Times New Roman" w:hAnsi="Times New Roman" w:cs="Times New Roman"/>
          <w:sz w:val="28"/>
          <w:szCs w:val="28"/>
        </w:rPr>
        <w:t xml:space="preserve">), the rats showed milder but noticeable symptoms, including slow movement, less active behavior, and pale skin by Day 8. Notably, no deaths were recorded. These results mirror those of </w:t>
      </w:r>
      <w:proofErr w:type="spellStart"/>
      <w:r w:rsidR="00637A7F">
        <w:rPr>
          <w:rFonts w:ascii="Times New Roman" w:hAnsi="Times New Roman" w:cs="Times New Roman"/>
          <w:sz w:val="28"/>
          <w:szCs w:val="28"/>
        </w:rPr>
        <w:t>Bennet</w:t>
      </w:r>
      <w:proofErr w:type="spellEnd"/>
      <w:r w:rsidR="00637A7F">
        <w:rPr>
          <w:rFonts w:ascii="Times New Roman" w:hAnsi="Times New Roman" w:cs="Times New Roman"/>
          <w:sz w:val="28"/>
          <w:szCs w:val="28"/>
        </w:rPr>
        <w:t xml:space="preserve"> and </w:t>
      </w:r>
      <w:proofErr w:type="spellStart"/>
      <w:r w:rsidR="00637A7F">
        <w:rPr>
          <w:rFonts w:ascii="Times New Roman" w:hAnsi="Times New Roman" w:cs="Times New Roman"/>
          <w:sz w:val="28"/>
          <w:szCs w:val="28"/>
        </w:rPr>
        <w:t>Klich</w:t>
      </w:r>
      <w:proofErr w:type="spellEnd"/>
      <w:r w:rsidR="00637A7F">
        <w:rPr>
          <w:rFonts w:ascii="Times New Roman" w:hAnsi="Times New Roman" w:cs="Times New Roman"/>
          <w:sz w:val="28"/>
          <w:szCs w:val="28"/>
        </w:rPr>
        <w:t xml:space="preserve"> (2003), who found that moderate </w:t>
      </w:r>
      <w:proofErr w:type="spellStart"/>
      <w:r w:rsidR="00637A7F">
        <w:rPr>
          <w:rFonts w:ascii="Times New Roman" w:hAnsi="Times New Roman" w:cs="Times New Roman"/>
          <w:sz w:val="28"/>
          <w:szCs w:val="28"/>
        </w:rPr>
        <w:t>citrinin</w:t>
      </w:r>
      <w:proofErr w:type="spellEnd"/>
      <w:r w:rsidR="00637A7F">
        <w:rPr>
          <w:rFonts w:ascii="Times New Roman" w:hAnsi="Times New Roman" w:cs="Times New Roman"/>
          <w:sz w:val="28"/>
          <w:szCs w:val="28"/>
        </w:rPr>
        <w:t xml:space="preserve"> exposure causes reversible physiological stre</w:t>
      </w:r>
      <w:r>
        <w:rPr>
          <w:rFonts w:ascii="Times New Roman" w:hAnsi="Times New Roman" w:cs="Times New Roman"/>
          <w:sz w:val="28"/>
          <w:szCs w:val="28"/>
        </w:rPr>
        <w:t>ss without immediate lethality. In Table 5</w:t>
      </w:r>
      <w:r w:rsidR="00637A7F">
        <w:rPr>
          <w:rFonts w:ascii="Times New Roman" w:hAnsi="Times New Roman" w:cs="Times New Roman"/>
          <w:sz w:val="28"/>
          <w:szCs w:val="28"/>
        </w:rPr>
        <w:t xml:space="preserve">, representing 50% toxin concentration, the least severe symptoms were recorded. Behavioral changes such as aggression and low consumption were noted by Day 6, with signs of pallor and irregular respiration observed towards Day 8, but all rats remained alive. These findings reinforce the dose-response relationship of </w:t>
      </w:r>
      <w:proofErr w:type="spellStart"/>
      <w:r w:rsidR="00637A7F">
        <w:rPr>
          <w:rFonts w:ascii="Times New Roman" w:hAnsi="Times New Roman" w:cs="Times New Roman"/>
          <w:sz w:val="28"/>
          <w:szCs w:val="28"/>
        </w:rPr>
        <w:t>citrinin</w:t>
      </w:r>
      <w:proofErr w:type="spellEnd"/>
      <w:r w:rsidR="00637A7F">
        <w:rPr>
          <w:rFonts w:ascii="Times New Roman" w:hAnsi="Times New Roman" w:cs="Times New Roman"/>
          <w:sz w:val="28"/>
          <w:szCs w:val="28"/>
        </w:rPr>
        <w:t xml:space="preserve"> toxicity, consistent with research by </w:t>
      </w:r>
      <w:proofErr w:type="spellStart"/>
      <w:r w:rsidR="00637A7F">
        <w:rPr>
          <w:rFonts w:ascii="Times New Roman" w:hAnsi="Times New Roman" w:cs="Times New Roman"/>
          <w:sz w:val="28"/>
          <w:szCs w:val="28"/>
        </w:rPr>
        <w:t>Zöllner</w:t>
      </w:r>
      <w:proofErr w:type="spellEnd"/>
      <w:r w:rsidR="00637A7F">
        <w:rPr>
          <w:rFonts w:ascii="Times New Roman" w:hAnsi="Times New Roman" w:cs="Times New Roman"/>
          <w:sz w:val="28"/>
          <w:szCs w:val="28"/>
        </w:rPr>
        <w:t xml:space="preserve"> and Mayer-Helm (2006), who demonstrated cumulative sub-lethal effects of mycotoxins.</w:t>
      </w:r>
    </w:p>
    <w:p w14:paraId="0DFAD948" w14:textId="608EB425" w:rsidR="00637A7F" w:rsidRDefault="00637A7F"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The</w:t>
      </w:r>
      <w:r w:rsidR="00233D4D">
        <w:rPr>
          <w:rFonts w:ascii="Times New Roman" w:hAnsi="Times New Roman" w:cs="Times New Roman"/>
          <w:sz w:val="28"/>
          <w:szCs w:val="28"/>
        </w:rPr>
        <w:t xml:space="preserve"> post-mortem findings in Table 6</w:t>
      </w:r>
      <w:r>
        <w:rPr>
          <w:rFonts w:ascii="Times New Roman" w:hAnsi="Times New Roman" w:cs="Times New Roman"/>
          <w:sz w:val="28"/>
          <w:szCs w:val="28"/>
        </w:rPr>
        <w:t xml:space="preserve"> provide anatomical evidence supporting the in vivo observations. The rat identified as Red, from the 100% concentration group, exhibited a pale kidney and dark spots on the liver, which are indicators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-induced nephrotoxicity and hepatotoxicity, as also documented by </w:t>
      </w:r>
      <w:proofErr w:type="spellStart"/>
      <w:r>
        <w:rPr>
          <w:rFonts w:ascii="Times New Roman" w:hAnsi="Times New Roman" w:cs="Times New Roman"/>
          <w:sz w:val="28"/>
          <w:szCs w:val="28"/>
        </w:rPr>
        <w:t>Speijers</w:t>
      </w:r>
      <w:proofErr w:type="spellEnd"/>
      <w:r>
        <w:rPr>
          <w:rFonts w:ascii="Times New Roman" w:hAnsi="Times New Roman" w:cs="Times New Roman"/>
          <w:sz w:val="28"/>
          <w:szCs w:val="28"/>
        </w:rPr>
        <w:t xml:space="preserve"> and van </w:t>
      </w:r>
      <w:proofErr w:type="spellStart"/>
      <w:r>
        <w:rPr>
          <w:rFonts w:ascii="Times New Roman" w:hAnsi="Times New Roman" w:cs="Times New Roman"/>
          <w:sz w:val="28"/>
          <w:szCs w:val="28"/>
        </w:rPr>
        <w:t>Egmond</w:t>
      </w:r>
      <w:proofErr w:type="spellEnd"/>
      <w:r>
        <w:rPr>
          <w:rFonts w:ascii="Times New Roman" w:hAnsi="Times New Roman" w:cs="Times New Roman"/>
          <w:sz w:val="28"/>
          <w:szCs w:val="28"/>
        </w:rPr>
        <w:t xml:space="preserve"> (1993). Similarly, the Black rat showed dried blood and tiny whitish intestines, suggesting dehydration and intestinal shrinkage due to systemic toxicity.</w:t>
      </w:r>
    </w:p>
    <w:p w14:paraId="5861F894" w14:textId="14FFFA49" w:rsidR="0046435B" w:rsidRDefault="00C360D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000B70A9">
        <w:rPr>
          <w:rFonts w:ascii="Times New Roman" w:hAnsi="Times New Roman" w:cs="Times New Roman"/>
          <w:sz w:val="28"/>
          <w:szCs w:val="28"/>
        </w:rPr>
        <w:t xml:space="preserve">CONCLUSION </w:t>
      </w:r>
    </w:p>
    <w:p w14:paraId="0AC2863B" w14:textId="77777777" w:rsidR="003363B0" w:rsidRDefault="003363B0"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successfully demonstrated the isolation and identification of </w:t>
      </w:r>
      <w:proofErr w:type="spellStart"/>
      <w:r w:rsidRPr="003363B0">
        <w:rPr>
          <w:rFonts w:ascii="Times New Roman" w:hAnsi="Times New Roman" w:cs="Times New Roman"/>
          <w:i/>
          <w:iCs/>
          <w:sz w:val="28"/>
          <w:szCs w:val="28"/>
        </w:rPr>
        <w:t>Penicillium</w:t>
      </w:r>
      <w:proofErr w:type="spellEnd"/>
      <w:r w:rsidRPr="003363B0">
        <w:rPr>
          <w:rFonts w:ascii="Times New Roman" w:hAnsi="Times New Roman" w:cs="Times New Roman"/>
          <w:i/>
          <w:iCs/>
          <w:sz w:val="28"/>
          <w:szCs w:val="28"/>
        </w:rPr>
        <w:t xml:space="preserve"> </w:t>
      </w:r>
      <w:proofErr w:type="spellStart"/>
      <w:r w:rsidRPr="003363B0">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and the preparation of its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revealing significant dose-dependent toxic effects in rat models. High concentrations induced severe symptoms such as weight loss, behavioral changes, and mortality, while lower doses had minimal impact. These findings align with established research on </w:t>
      </w:r>
      <w:proofErr w:type="spellStart"/>
      <w:r>
        <w:rPr>
          <w:rFonts w:ascii="Times New Roman" w:hAnsi="Times New Roman" w:cs="Times New Roman"/>
          <w:sz w:val="28"/>
          <w:szCs w:val="28"/>
        </w:rPr>
        <w:t>citrinin’s</w:t>
      </w:r>
      <w:proofErr w:type="spellEnd"/>
      <w:r>
        <w:rPr>
          <w:rFonts w:ascii="Times New Roman" w:hAnsi="Times New Roman" w:cs="Times New Roman"/>
          <w:sz w:val="28"/>
          <w:szCs w:val="28"/>
        </w:rPr>
        <w:t xml:space="preserve"> nephrotoxic and neurotoxic effects, emphasizing its potential risk to animal and human health. The study underscores the importance of monitoring fungal contamination in food products and highlights the need for stricter regulations to mitigate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exposure and its associated public health risks.</w:t>
      </w:r>
    </w:p>
    <w:p w14:paraId="63A44AD1" w14:textId="77777777" w:rsidR="003363B0" w:rsidRDefault="003363B0" w:rsidP="00471BB7">
      <w:pPr>
        <w:spacing w:line="480" w:lineRule="auto"/>
        <w:jc w:val="both"/>
        <w:rPr>
          <w:rFonts w:ascii="Times New Roman" w:hAnsi="Times New Roman" w:cs="Times New Roman"/>
          <w:sz w:val="28"/>
          <w:szCs w:val="28"/>
        </w:rPr>
      </w:pPr>
    </w:p>
    <w:p w14:paraId="465D1CAF" w14:textId="77777777" w:rsidR="003363B0" w:rsidRDefault="003363B0" w:rsidP="00471BB7">
      <w:pPr>
        <w:spacing w:line="480" w:lineRule="auto"/>
        <w:jc w:val="both"/>
        <w:rPr>
          <w:rFonts w:ascii="Times New Roman" w:hAnsi="Times New Roman" w:cs="Times New Roman"/>
          <w:sz w:val="28"/>
          <w:szCs w:val="28"/>
        </w:rPr>
      </w:pPr>
    </w:p>
    <w:p w14:paraId="7F72B7EC" w14:textId="77777777" w:rsidR="00736340" w:rsidRDefault="00736340" w:rsidP="00471BB7">
      <w:pPr>
        <w:spacing w:line="480" w:lineRule="auto"/>
        <w:jc w:val="both"/>
        <w:rPr>
          <w:rFonts w:ascii="Times New Roman" w:hAnsi="Times New Roman" w:cs="Times New Roman"/>
          <w:sz w:val="28"/>
          <w:szCs w:val="28"/>
        </w:rPr>
      </w:pPr>
    </w:p>
    <w:p w14:paraId="6F06D1D1" w14:textId="77777777" w:rsidR="00736340" w:rsidRDefault="00736340" w:rsidP="00471BB7">
      <w:pPr>
        <w:spacing w:line="480" w:lineRule="auto"/>
        <w:jc w:val="both"/>
        <w:rPr>
          <w:rFonts w:ascii="Times New Roman" w:hAnsi="Times New Roman" w:cs="Times New Roman"/>
          <w:sz w:val="28"/>
          <w:szCs w:val="28"/>
        </w:rPr>
      </w:pPr>
    </w:p>
    <w:p w14:paraId="73AC2D24" w14:textId="77777777" w:rsidR="00736340" w:rsidRDefault="00736340" w:rsidP="00471BB7">
      <w:pPr>
        <w:spacing w:line="480" w:lineRule="auto"/>
        <w:jc w:val="both"/>
        <w:rPr>
          <w:rFonts w:ascii="Times New Roman" w:hAnsi="Times New Roman" w:cs="Times New Roman"/>
          <w:sz w:val="28"/>
          <w:szCs w:val="28"/>
        </w:rPr>
      </w:pPr>
    </w:p>
    <w:p w14:paraId="2F4CC5C6" w14:textId="77777777" w:rsidR="00736340" w:rsidRDefault="00736340" w:rsidP="00471BB7">
      <w:pPr>
        <w:spacing w:line="480" w:lineRule="auto"/>
        <w:jc w:val="both"/>
        <w:rPr>
          <w:rFonts w:ascii="Times New Roman" w:hAnsi="Times New Roman" w:cs="Times New Roman"/>
          <w:sz w:val="28"/>
          <w:szCs w:val="28"/>
        </w:rPr>
      </w:pPr>
    </w:p>
    <w:p w14:paraId="2F4C14F9" w14:textId="77777777" w:rsidR="00736340" w:rsidRDefault="00736340" w:rsidP="00471BB7">
      <w:pPr>
        <w:spacing w:line="480" w:lineRule="auto"/>
        <w:jc w:val="both"/>
        <w:rPr>
          <w:rFonts w:ascii="Times New Roman" w:hAnsi="Times New Roman" w:cs="Times New Roman"/>
          <w:sz w:val="28"/>
          <w:szCs w:val="28"/>
        </w:rPr>
      </w:pPr>
    </w:p>
    <w:p w14:paraId="65AB1094" w14:textId="77777777" w:rsidR="00736340" w:rsidRDefault="00736340" w:rsidP="00471BB7">
      <w:pPr>
        <w:spacing w:line="480" w:lineRule="auto"/>
        <w:jc w:val="both"/>
        <w:rPr>
          <w:rFonts w:ascii="Times New Roman" w:hAnsi="Times New Roman" w:cs="Times New Roman"/>
          <w:sz w:val="28"/>
          <w:szCs w:val="28"/>
        </w:rPr>
      </w:pPr>
    </w:p>
    <w:p w14:paraId="38238204" w14:textId="77777777" w:rsidR="00A041C0" w:rsidRDefault="00A041C0" w:rsidP="00041E90">
      <w:pPr>
        <w:spacing w:line="480" w:lineRule="auto"/>
        <w:jc w:val="center"/>
        <w:rPr>
          <w:rFonts w:ascii="Times New Roman" w:hAnsi="Times New Roman" w:cs="Times New Roman"/>
          <w:sz w:val="28"/>
          <w:szCs w:val="28"/>
        </w:rPr>
      </w:pPr>
    </w:p>
    <w:p w14:paraId="453FB443" w14:textId="77777777" w:rsidR="00A041C0" w:rsidRDefault="00A041C0" w:rsidP="00041E90">
      <w:pPr>
        <w:spacing w:line="480" w:lineRule="auto"/>
        <w:jc w:val="center"/>
        <w:rPr>
          <w:rFonts w:ascii="Times New Roman" w:hAnsi="Times New Roman" w:cs="Times New Roman"/>
          <w:sz w:val="28"/>
          <w:szCs w:val="28"/>
        </w:rPr>
      </w:pPr>
    </w:p>
    <w:p w14:paraId="37F33BE4" w14:textId="77777777" w:rsidR="00A041C0" w:rsidRDefault="00A041C0" w:rsidP="00041E90">
      <w:pPr>
        <w:spacing w:line="480" w:lineRule="auto"/>
        <w:jc w:val="center"/>
        <w:rPr>
          <w:rFonts w:ascii="Times New Roman" w:hAnsi="Times New Roman" w:cs="Times New Roman"/>
          <w:sz w:val="28"/>
          <w:szCs w:val="28"/>
        </w:rPr>
      </w:pPr>
    </w:p>
    <w:p w14:paraId="094D7399" w14:textId="77777777" w:rsidR="00A041C0" w:rsidRDefault="00A041C0" w:rsidP="00041E90">
      <w:pPr>
        <w:spacing w:line="480" w:lineRule="auto"/>
        <w:jc w:val="center"/>
        <w:rPr>
          <w:rFonts w:ascii="Times New Roman" w:hAnsi="Times New Roman" w:cs="Times New Roman"/>
          <w:sz w:val="28"/>
          <w:szCs w:val="28"/>
        </w:rPr>
      </w:pPr>
    </w:p>
    <w:p w14:paraId="114E51CC" w14:textId="2B2CE5C0" w:rsidR="00041E90" w:rsidRDefault="00942D6A" w:rsidP="00041E90">
      <w:pPr>
        <w:spacing w:line="480" w:lineRule="auto"/>
        <w:jc w:val="center"/>
        <w:rPr>
          <w:rFonts w:ascii="Times New Roman" w:hAnsi="Times New Roman" w:cs="Times New Roman"/>
          <w:sz w:val="28"/>
          <w:szCs w:val="28"/>
        </w:rPr>
      </w:pPr>
      <w:r>
        <w:rPr>
          <w:rFonts w:ascii="Times New Roman" w:hAnsi="Times New Roman" w:cs="Times New Roman"/>
          <w:sz w:val="28"/>
          <w:szCs w:val="28"/>
        </w:rPr>
        <w:t>REFERENCES</w:t>
      </w:r>
    </w:p>
    <w:p w14:paraId="04A4BECD" w14:textId="3F50011A"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Alexopoulo</w:t>
      </w:r>
      <w:proofErr w:type="spellEnd"/>
      <w:r w:rsidR="00233D4D">
        <w:rPr>
          <w:rFonts w:ascii="Times New Roman" w:hAnsi="Times New Roman" w:cs="Times New Roman"/>
          <w:sz w:val="28"/>
          <w:szCs w:val="28"/>
        </w:rPr>
        <w:t>]</w:t>
      </w:r>
      <w:r>
        <w:rPr>
          <w:rFonts w:ascii="Times New Roman" w:hAnsi="Times New Roman" w:cs="Times New Roman"/>
          <w:sz w:val="28"/>
          <w:szCs w:val="28"/>
        </w:rPr>
        <w:t xml:space="preserve">s, S., </w:t>
      </w:r>
      <w:proofErr w:type="spellStart"/>
      <w:r>
        <w:rPr>
          <w:rFonts w:ascii="Times New Roman" w:hAnsi="Times New Roman" w:cs="Times New Roman"/>
          <w:sz w:val="28"/>
          <w:szCs w:val="28"/>
        </w:rPr>
        <w:t>Stamatelopoulou</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Varzakas</w:t>
      </w:r>
      <w:proofErr w:type="spellEnd"/>
      <w:r>
        <w:rPr>
          <w:rFonts w:ascii="Times New Roman" w:hAnsi="Times New Roman" w:cs="Times New Roman"/>
          <w:sz w:val="28"/>
          <w:szCs w:val="28"/>
        </w:rPr>
        <w:t xml:space="preserve">, T. (2020). Advances in occurrence, detection, and detoxification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 potential mycotoxin threat in food safety. Foods, 9(11), 1574. </w:t>
      </w:r>
    </w:p>
    <w:p w14:paraId="3F38811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Bennett, J. W., &amp; </w:t>
      </w:r>
      <w:proofErr w:type="spellStart"/>
      <w:r>
        <w:rPr>
          <w:rFonts w:ascii="Times New Roman" w:hAnsi="Times New Roman" w:cs="Times New Roman"/>
          <w:sz w:val="28"/>
          <w:szCs w:val="28"/>
        </w:rPr>
        <w:t>Klich</w:t>
      </w:r>
      <w:proofErr w:type="spellEnd"/>
      <w:r>
        <w:rPr>
          <w:rFonts w:ascii="Times New Roman" w:hAnsi="Times New Roman" w:cs="Times New Roman"/>
          <w:sz w:val="28"/>
          <w:szCs w:val="28"/>
        </w:rPr>
        <w:t xml:space="preserve">, M. (2019). Mycotoxins. Clinical Microbiology Reviews, 16(3), 497–516. </w:t>
      </w:r>
      <w:hyperlink r:id="rId8" w:history="1">
        <w:r w:rsidRPr="00473F58">
          <w:rPr>
            <w:rStyle w:val="Hyperlink"/>
            <w:rFonts w:ascii="Times New Roman" w:hAnsi="Times New Roman" w:cs="Times New Roman"/>
            <w:sz w:val="28"/>
            <w:szCs w:val="28"/>
          </w:rPr>
          <w:t>https://doi.org/10.1128/CMR.16.3.497-516.2003</w:t>
        </w:r>
      </w:hyperlink>
    </w:p>
    <w:p w14:paraId="75BCEED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Cabanes</w:t>
      </w:r>
      <w:proofErr w:type="spellEnd"/>
      <w:r>
        <w:rPr>
          <w:rFonts w:ascii="Times New Roman" w:hAnsi="Times New Roman" w:cs="Times New Roman"/>
          <w:sz w:val="28"/>
          <w:szCs w:val="28"/>
        </w:rPr>
        <w:t xml:space="preserve">, F. J., </w:t>
      </w:r>
      <w:proofErr w:type="spellStart"/>
      <w:r>
        <w:rPr>
          <w:rFonts w:ascii="Times New Roman" w:hAnsi="Times New Roman" w:cs="Times New Roman"/>
          <w:sz w:val="28"/>
          <w:szCs w:val="28"/>
        </w:rPr>
        <w:t>Bragulat</w:t>
      </w:r>
      <w:proofErr w:type="spellEnd"/>
      <w:r>
        <w:rPr>
          <w:rFonts w:ascii="Times New Roman" w:hAnsi="Times New Roman" w:cs="Times New Roman"/>
          <w:sz w:val="28"/>
          <w:szCs w:val="28"/>
        </w:rPr>
        <w:t xml:space="preserve">, M. R., </w:t>
      </w:r>
      <w:proofErr w:type="spellStart"/>
      <w:r>
        <w:rPr>
          <w:rFonts w:ascii="Times New Roman" w:hAnsi="Times New Roman" w:cs="Times New Roman"/>
          <w:sz w:val="28"/>
          <w:szCs w:val="28"/>
        </w:rPr>
        <w:t>Castellá</w:t>
      </w:r>
      <w:proofErr w:type="spellEnd"/>
      <w:r>
        <w:rPr>
          <w:rFonts w:ascii="Times New Roman" w:hAnsi="Times New Roman" w:cs="Times New Roman"/>
          <w:sz w:val="28"/>
          <w:szCs w:val="28"/>
        </w:rPr>
        <w:t xml:space="preserve">, G., &amp; Martín, R. (2021). Occurrence and significance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species related to food and indoor environments. International Journal of Environmental Research and Public Health, 18(22), 11771. </w:t>
      </w:r>
      <w:hyperlink r:id="rId9" w:history="1">
        <w:r w:rsidRPr="00473F58">
          <w:rPr>
            <w:rStyle w:val="Hyperlink"/>
            <w:rFonts w:ascii="Times New Roman" w:hAnsi="Times New Roman" w:cs="Times New Roman"/>
            <w:sz w:val="28"/>
            <w:szCs w:val="28"/>
          </w:rPr>
          <w:t>https://doi.org/10.3390/ijerph182211771</w:t>
        </w:r>
      </w:hyperlink>
    </w:p>
    <w:p w14:paraId="6C22F994"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Dé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Hoog</w:t>
      </w:r>
      <w:proofErr w:type="spellEnd"/>
      <w:r>
        <w:rPr>
          <w:rFonts w:ascii="Times New Roman" w:hAnsi="Times New Roman" w:cs="Times New Roman"/>
          <w:sz w:val="28"/>
          <w:szCs w:val="28"/>
        </w:rPr>
        <w:t xml:space="preserve">, G. S., </w:t>
      </w:r>
      <w:proofErr w:type="spellStart"/>
      <w:r>
        <w:rPr>
          <w:rFonts w:ascii="Times New Roman" w:hAnsi="Times New Roman" w:cs="Times New Roman"/>
          <w:sz w:val="28"/>
          <w:szCs w:val="28"/>
        </w:rPr>
        <w:t>Guarro</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Gené</w:t>
      </w:r>
      <w:proofErr w:type="spellEnd"/>
      <w:r>
        <w:rPr>
          <w:rFonts w:ascii="Times New Roman" w:hAnsi="Times New Roman" w:cs="Times New Roman"/>
          <w:sz w:val="28"/>
          <w:szCs w:val="28"/>
        </w:rPr>
        <w:t xml:space="preserve">, J., &amp; </w:t>
      </w:r>
      <w:proofErr w:type="spellStart"/>
      <w:r>
        <w:rPr>
          <w:rFonts w:ascii="Times New Roman" w:hAnsi="Times New Roman" w:cs="Times New Roman"/>
          <w:sz w:val="28"/>
          <w:szCs w:val="28"/>
        </w:rPr>
        <w:t>Figueras</w:t>
      </w:r>
      <w:proofErr w:type="spellEnd"/>
      <w:r>
        <w:rPr>
          <w:rFonts w:ascii="Times New Roman" w:hAnsi="Times New Roman" w:cs="Times New Roman"/>
          <w:sz w:val="28"/>
          <w:szCs w:val="28"/>
        </w:rPr>
        <w:t>, M. J. (2021). Atlas of Clinical Fungi (4</w:t>
      </w:r>
      <w:r w:rsidRPr="00724EE7">
        <w:rPr>
          <w:rFonts w:ascii="Times New Roman" w:hAnsi="Times New Roman" w:cs="Times New Roman"/>
          <w:sz w:val="28"/>
          <w:szCs w:val="28"/>
          <w:vertAlign w:val="superscript"/>
        </w:rPr>
        <w:t>th</w:t>
      </w:r>
      <w:r>
        <w:rPr>
          <w:rFonts w:ascii="Times New Roman" w:hAnsi="Times New Roman" w:cs="Times New Roman"/>
          <w:sz w:val="28"/>
          <w:szCs w:val="28"/>
        </w:rPr>
        <w:t xml:space="preserve"> ed.). </w:t>
      </w:r>
      <w:proofErr w:type="spellStart"/>
      <w:r>
        <w:rPr>
          <w:rFonts w:ascii="Times New Roman" w:hAnsi="Times New Roman" w:cs="Times New Roman"/>
          <w:sz w:val="28"/>
          <w:szCs w:val="28"/>
        </w:rPr>
        <w:t>Westerdijk</w:t>
      </w:r>
      <w:proofErr w:type="spellEnd"/>
      <w:r>
        <w:rPr>
          <w:rFonts w:ascii="Times New Roman" w:hAnsi="Times New Roman" w:cs="Times New Roman"/>
          <w:sz w:val="28"/>
          <w:szCs w:val="28"/>
        </w:rPr>
        <w:t xml:space="preserve"> Fungal Biodiversity Institute.</w:t>
      </w:r>
    </w:p>
    <w:p w14:paraId="14CD966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EFSA Panel on Contaminants in the Food Chain (CONTAM). (2019). Risk assessment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in food and feed. EFSA Journal, 17(3), e05656. https://doi.org/10.2903/j.efsa.2019.5656</w:t>
      </w:r>
    </w:p>
    <w:p w14:paraId="2E0EEB9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Fisher, M. C., </w:t>
      </w:r>
      <w:proofErr w:type="spellStart"/>
      <w:r>
        <w:rPr>
          <w:rFonts w:ascii="Times New Roman" w:hAnsi="Times New Roman" w:cs="Times New Roman"/>
          <w:sz w:val="28"/>
          <w:szCs w:val="28"/>
        </w:rPr>
        <w:t>Alastruey-Izquierdo</w:t>
      </w:r>
      <w:proofErr w:type="spellEnd"/>
      <w:r>
        <w:rPr>
          <w:rFonts w:ascii="Times New Roman" w:hAnsi="Times New Roman" w:cs="Times New Roman"/>
          <w:sz w:val="28"/>
          <w:szCs w:val="28"/>
        </w:rPr>
        <w:t xml:space="preserve">, A., Berman, J., </w:t>
      </w:r>
      <w:proofErr w:type="spellStart"/>
      <w:r>
        <w:rPr>
          <w:rFonts w:ascii="Times New Roman" w:hAnsi="Times New Roman" w:cs="Times New Roman"/>
          <w:sz w:val="28"/>
          <w:szCs w:val="28"/>
        </w:rPr>
        <w:t>Bicanic</w:t>
      </w:r>
      <w:proofErr w:type="spellEnd"/>
      <w:r>
        <w:rPr>
          <w:rFonts w:ascii="Times New Roman" w:hAnsi="Times New Roman" w:cs="Times New Roman"/>
          <w:sz w:val="28"/>
          <w:szCs w:val="28"/>
        </w:rPr>
        <w:t xml:space="preserve">, T., </w:t>
      </w:r>
      <w:proofErr w:type="spellStart"/>
      <w:r>
        <w:rPr>
          <w:rFonts w:ascii="Times New Roman" w:hAnsi="Times New Roman" w:cs="Times New Roman"/>
          <w:sz w:val="28"/>
          <w:szCs w:val="28"/>
        </w:rPr>
        <w:t>Bignell</w:t>
      </w:r>
      <w:proofErr w:type="spellEnd"/>
      <w:r>
        <w:rPr>
          <w:rFonts w:ascii="Times New Roman" w:hAnsi="Times New Roman" w:cs="Times New Roman"/>
          <w:sz w:val="28"/>
          <w:szCs w:val="28"/>
        </w:rPr>
        <w:t xml:space="preserve">, E. M., Bowyer, P., &amp; White, T. C. (2020). Tackling the emerging threat of antifungal resistance to human health. Nature Reviews Microbiology, 18(7), 401–412. </w:t>
      </w:r>
      <w:hyperlink r:id="rId10" w:history="1">
        <w:r w:rsidRPr="00473F58">
          <w:rPr>
            <w:rStyle w:val="Hyperlink"/>
            <w:rFonts w:ascii="Times New Roman" w:hAnsi="Times New Roman" w:cs="Times New Roman"/>
            <w:sz w:val="28"/>
            <w:szCs w:val="28"/>
          </w:rPr>
          <w:t>https://doi.org/10.1038/s41579-020-0360-3</w:t>
        </w:r>
      </w:hyperlink>
    </w:p>
    <w:p w14:paraId="0D6FFBD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J. C. (2018). Fungal secondary metabolites as selective agents for biological interactions and their evolution. Fungal Genetics and Biology, 112, 53–55. </w:t>
      </w:r>
      <w:hyperlink r:id="rId11" w:history="1">
        <w:r w:rsidRPr="00473F58">
          <w:rPr>
            <w:rStyle w:val="Hyperlink"/>
            <w:rFonts w:ascii="Times New Roman" w:hAnsi="Times New Roman" w:cs="Times New Roman"/>
            <w:sz w:val="28"/>
            <w:szCs w:val="28"/>
          </w:rPr>
          <w:t>https://doi.org/10.1016/j.fgb.2017.10.002</w:t>
        </w:r>
      </w:hyperlink>
    </w:p>
    <w:p w14:paraId="1C1CF24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J. C., &amp; Samson, R. A. (2018). </w:t>
      </w:r>
      <w:proofErr w:type="spellStart"/>
      <w:r>
        <w:rPr>
          <w:rFonts w:ascii="Times New Roman" w:hAnsi="Times New Roman" w:cs="Times New Roman"/>
          <w:sz w:val="28"/>
          <w:szCs w:val="28"/>
        </w:rPr>
        <w:t>Polyphasic</w:t>
      </w:r>
      <w:proofErr w:type="spellEnd"/>
      <w:r>
        <w:rPr>
          <w:rFonts w:ascii="Times New Roman" w:hAnsi="Times New Roman" w:cs="Times New Roman"/>
          <w:sz w:val="28"/>
          <w:szCs w:val="28"/>
        </w:rPr>
        <w:t xml:space="preserve"> taxonomy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subgenus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A guide to identification of food and air-borne </w:t>
      </w:r>
      <w:proofErr w:type="spellStart"/>
      <w:r>
        <w:rPr>
          <w:rFonts w:ascii="Times New Roman" w:hAnsi="Times New Roman" w:cs="Times New Roman"/>
          <w:sz w:val="28"/>
          <w:szCs w:val="28"/>
        </w:rPr>
        <w:t>terverticillate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penicillia</w:t>
      </w:r>
      <w:proofErr w:type="spellEnd"/>
      <w:r>
        <w:rPr>
          <w:rFonts w:ascii="Times New Roman" w:hAnsi="Times New Roman" w:cs="Times New Roman"/>
          <w:sz w:val="28"/>
          <w:szCs w:val="28"/>
        </w:rPr>
        <w:t xml:space="preserve"> and their mycotoxins. Studies in Mycology, 70(1), 1–260. </w:t>
      </w:r>
      <w:hyperlink r:id="rId12" w:history="1">
        <w:r w:rsidRPr="00473F58">
          <w:rPr>
            <w:rStyle w:val="Hyperlink"/>
            <w:rFonts w:ascii="Times New Roman" w:hAnsi="Times New Roman" w:cs="Times New Roman"/>
            <w:sz w:val="28"/>
            <w:szCs w:val="28"/>
          </w:rPr>
          <w:t>https://doi.org/10.3114/sim.2011.70.01</w:t>
        </w:r>
      </w:hyperlink>
    </w:p>
    <w:p w14:paraId="1D871D6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Gao, L., Zhang, Y., Zhao, Y., &amp; Wang, J. (2022). Advances in mycotoxin detection methods and technologies. Toxins, 14(5), 312. </w:t>
      </w:r>
      <w:hyperlink r:id="rId13" w:history="1">
        <w:r w:rsidRPr="00473F58">
          <w:rPr>
            <w:rStyle w:val="Hyperlink"/>
            <w:rFonts w:ascii="Times New Roman" w:hAnsi="Times New Roman" w:cs="Times New Roman"/>
            <w:sz w:val="28"/>
            <w:szCs w:val="28"/>
          </w:rPr>
          <w:t>https://doi.org/10.3390/toxins14050312</w:t>
        </w:r>
      </w:hyperlink>
    </w:p>
    <w:p w14:paraId="637EE3AF"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Gauther</w:t>
      </w:r>
      <w:proofErr w:type="spellEnd"/>
      <w:r>
        <w:rPr>
          <w:rFonts w:ascii="Times New Roman" w:hAnsi="Times New Roman" w:cs="Times New Roman"/>
          <w:sz w:val="28"/>
          <w:szCs w:val="28"/>
        </w:rPr>
        <w:t xml:space="preserve">, S., Pont, F., Richard, E., &amp; </w:t>
      </w: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xml:space="preserve">, O. (2019). Fungal secondary metabolites as chemical mediators in fungus–insect interactions. Frontiers in Microbiology, 10, 1168. </w:t>
      </w:r>
      <w:hyperlink r:id="rId14" w:history="1">
        <w:r w:rsidRPr="00473F58">
          <w:rPr>
            <w:rStyle w:val="Hyperlink"/>
            <w:rFonts w:ascii="Times New Roman" w:hAnsi="Times New Roman" w:cs="Times New Roman"/>
            <w:sz w:val="28"/>
            <w:szCs w:val="28"/>
          </w:rPr>
          <w:t>https://doi.org/10.3389/fmicb.2019.01168</w:t>
        </w:r>
      </w:hyperlink>
    </w:p>
    <w:p w14:paraId="15F19B6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P., Kang, X., Chen, H., &amp; Xu, J. (2021). The health effects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exposure: What we know so far. Frontiers in Public Health, 9, 652468. </w:t>
      </w:r>
      <w:hyperlink r:id="rId15" w:history="1">
        <w:r w:rsidRPr="00473F58">
          <w:rPr>
            <w:rStyle w:val="Hyperlink"/>
            <w:rFonts w:ascii="Times New Roman" w:hAnsi="Times New Roman" w:cs="Times New Roman"/>
            <w:sz w:val="28"/>
            <w:szCs w:val="28"/>
          </w:rPr>
          <w:t>https://doi.org/10.3389/fpubh.2021.652468</w:t>
        </w:r>
      </w:hyperlink>
    </w:p>
    <w:p w14:paraId="70E458D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Golan, Y., &amp; Pringle, A. (2017). Long-distance dispersal of fungi. Microbiology Spectrum, 5(4), 5-4. </w:t>
      </w:r>
      <w:hyperlink r:id="rId16" w:history="1">
        <w:r w:rsidRPr="00473F58">
          <w:rPr>
            <w:rStyle w:val="Hyperlink"/>
            <w:rFonts w:ascii="Times New Roman" w:hAnsi="Times New Roman" w:cs="Times New Roman"/>
            <w:sz w:val="28"/>
            <w:szCs w:val="28"/>
          </w:rPr>
          <w:t>https://doi.org/10.1128/microbiolspec.FUNK-0047-2016</w:t>
        </w:r>
      </w:hyperlink>
    </w:p>
    <w:p w14:paraId="0330614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Gonçalves</w:t>
      </w:r>
      <w:proofErr w:type="spellEnd"/>
      <w:r>
        <w:rPr>
          <w:rFonts w:ascii="Times New Roman" w:hAnsi="Times New Roman" w:cs="Times New Roman"/>
          <w:sz w:val="28"/>
          <w:szCs w:val="28"/>
        </w:rPr>
        <w:t xml:space="preserve">, S. S., </w:t>
      </w:r>
      <w:proofErr w:type="spellStart"/>
      <w:r>
        <w:rPr>
          <w:rFonts w:ascii="Times New Roman" w:hAnsi="Times New Roman" w:cs="Times New Roman"/>
          <w:sz w:val="28"/>
          <w:szCs w:val="28"/>
        </w:rPr>
        <w:t>Figueiredo-Carvalho</w:t>
      </w:r>
      <w:proofErr w:type="spellEnd"/>
      <w:r>
        <w:rPr>
          <w:rFonts w:ascii="Times New Roman" w:hAnsi="Times New Roman" w:cs="Times New Roman"/>
          <w:sz w:val="28"/>
          <w:szCs w:val="28"/>
        </w:rPr>
        <w:t xml:space="preserve">, M. H., Pinto, P. M., &amp; </w:t>
      </w:r>
      <w:proofErr w:type="spellStart"/>
      <w:r>
        <w:rPr>
          <w:rFonts w:ascii="Times New Roman" w:hAnsi="Times New Roman" w:cs="Times New Roman"/>
          <w:sz w:val="28"/>
          <w:szCs w:val="28"/>
        </w:rPr>
        <w:t>Zancopé</w:t>
      </w:r>
      <w:proofErr w:type="spellEnd"/>
      <w:r>
        <w:rPr>
          <w:rFonts w:ascii="Times New Roman" w:hAnsi="Times New Roman" w:cs="Times New Roman"/>
          <w:sz w:val="28"/>
          <w:szCs w:val="28"/>
        </w:rPr>
        <w:t xml:space="preserve">-Oliveira, R. M. (2021). Emerging pathogens: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Fusarium</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Mucorales</w:t>
      </w:r>
      <w:proofErr w:type="spellEnd"/>
      <w:r>
        <w:rPr>
          <w:rFonts w:ascii="Times New Roman" w:hAnsi="Times New Roman" w:cs="Times New Roman"/>
          <w:sz w:val="28"/>
          <w:szCs w:val="28"/>
        </w:rPr>
        <w:t xml:space="preserve">. Microorganisms, 9(6), 1177. </w:t>
      </w:r>
      <w:hyperlink r:id="rId17" w:history="1">
        <w:r w:rsidRPr="00473F58">
          <w:rPr>
            <w:rStyle w:val="Hyperlink"/>
            <w:rFonts w:ascii="Times New Roman" w:hAnsi="Times New Roman" w:cs="Times New Roman"/>
            <w:sz w:val="28"/>
            <w:szCs w:val="28"/>
          </w:rPr>
          <w:t>https://doi.org/10.3390/microorganisms9061177</w:t>
        </w:r>
      </w:hyperlink>
    </w:p>
    <w:p w14:paraId="7210DDB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Grollman</w:t>
      </w:r>
      <w:proofErr w:type="spellEnd"/>
      <w:r>
        <w:rPr>
          <w:rFonts w:ascii="Times New Roman" w:hAnsi="Times New Roman" w:cs="Times New Roman"/>
          <w:sz w:val="28"/>
          <w:szCs w:val="28"/>
        </w:rPr>
        <w:t xml:space="preserve">, A. P., </w:t>
      </w:r>
      <w:proofErr w:type="spellStart"/>
      <w:r>
        <w:rPr>
          <w:rFonts w:ascii="Times New Roman" w:hAnsi="Times New Roman" w:cs="Times New Roman"/>
          <w:sz w:val="28"/>
          <w:szCs w:val="28"/>
        </w:rPr>
        <w:t>Shibutani</w:t>
      </w:r>
      <w:proofErr w:type="spellEnd"/>
      <w:r>
        <w:rPr>
          <w:rFonts w:ascii="Times New Roman" w:hAnsi="Times New Roman" w:cs="Times New Roman"/>
          <w:sz w:val="28"/>
          <w:szCs w:val="28"/>
        </w:rPr>
        <w:t xml:space="preserve">, S., Moriya, M., Miller, F., Wu, L., Moll, U., &amp; Poirier, M. C. (2017). </w:t>
      </w:r>
      <w:proofErr w:type="spellStart"/>
      <w:r>
        <w:rPr>
          <w:rFonts w:ascii="Times New Roman" w:hAnsi="Times New Roman" w:cs="Times New Roman"/>
          <w:sz w:val="28"/>
          <w:szCs w:val="28"/>
        </w:rPr>
        <w:t>Aristolochic</w:t>
      </w:r>
      <w:proofErr w:type="spellEnd"/>
      <w:r>
        <w:rPr>
          <w:rFonts w:ascii="Times New Roman" w:hAnsi="Times New Roman" w:cs="Times New Roman"/>
          <w:sz w:val="28"/>
          <w:szCs w:val="28"/>
        </w:rPr>
        <w:t xml:space="preserve"> acid and the etiology of endemic (Balkan) nephropathy. Proceedings of the National Academy of Sciences, 111(2), 1301–1306. </w:t>
      </w:r>
      <w:hyperlink r:id="rId18" w:history="1">
        <w:r w:rsidRPr="00766252">
          <w:rPr>
            <w:rStyle w:val="Hyperlink"/>
            <w:rFonts w:ascii="Times New Roman" w:hAnsi="Times New Roman" w:cs="Times New Roman"/>
            <w:sz w:val="28"/>
            <w:szCs w:val="28"/>
          </w:rPr>
          <w:t>https://doi.org/10.1073/pnas.1320997111</w:t>
        </w:r>
      </w:hyperlink>
    </w:p>
    <w:p w14:paraId="0C15EE0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McKimm</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Sartelli</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Dhingra</w:t>
      </w:r>
      <w:proofErr w:type="spellEnd"/>
      <w:r>
        <w:rPr>
          <w:rFonts w:ascii="Times New Roman" w:hAnsi="Times New Roman" w:cs="Times New Roman"/>
          <w:sz w:val="28"/>
          <w:szCs w:val="28"/>
        </w:rPr>
        <w:t xml:space="preserve">, S., &amp; Bakar, M. A. (2021). Fungal infections: A global burden and an emerging crisis. Infection and Drug Resistance, 14, 629–637. </w:t>
      </w:r>
      <w:hyperlink r:id="rId19" w:history="1">
        <w:r w:rsidRPr="00473F58">
          <w:rPr>
            <w:rStyle w:val="Hyperlink"/>
            <w:rFonts w:ascii="Times New Roman" w:hAnsi="Times New Roman" w:cs="Times New Roman"/>
            <w:sz w:val="28"/>
            <w:szCs w:val="28"/>
          </w:rPr>
          <w:t>https://doi.org/10.2147/IDR.S291313</w:t>
        </w:r>
      </w:hyperlink>
    </w:p>
    <w:p w14:paraId="40585BFA"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He, Q., &amp; Cox, R. J. (2019). The molecular steps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biosynthesis in fungi. Fungal Biology Reviews, 33(1), 44–52. </w:t>
      </w:r>
      <w:hyperlink r:id="rId20" w:history="1">
        <w:r w:rsidRPr="00473F58">
          <w:rPr>
            <w:rStyle w:val="Hyperlink"/>
            <w:rFonts w:ascii="Times New Roman" w:hAnsi="Times New Roman" w:cs="Times New Roman"/>
            <w:sz w:val="28"/>
            <w:szCs w:val="28"/>
          </w:rPr>
          <w:t>https://doi.org/10.1016/j.fbr.2018.11.002</w:t>
        </w:r>
      </w:hyperlink>
    </w:p>
    <w:p w14:paraId="18CD67D4" w14:textId="108C0B52"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Heitman</w:t>
      </w:r>
      <w:proofErr w:type="spellEnd"/>
      <w:r>
        <w:rPr>
          <w:rFonts w:ascii="Times New Roman" w:hAnsi="Times New Roman" w:cs="Times New Roman"/>
          <w:sz w:val="28"/>
          <w:szCs w:val="28"/>
        </w:rPr>
        <w:t xml:space="preserve">, J., Carter, D. A., Dyer, P. S., &amp; </w:t>
      </w:r>
      <w:proofErr w:type="spellStart"/>
      <w:r>
        <w:rPr>
          <w:rFonts w:ascii="Times New Roman" w:hAnsi="Times New Roman" w:cs="Times New Roman"/>
          <w:sz w:val="28"/>
          <w:szCs w:val="28"/>
        </w:rPr>
        <w:t>Soll</w:t>
      </w:r>
      <w:proofErr w:type="spellEnd"/>
      <w:r>
        <w:rPr>
          <w:rFonts w:ascii="Times New Roman" w:hAnsi="Times New Roman" w:cs="Times New Roman"/>
          <w:sz w:val="28"/>
          <w:szCs w:val="28"/>
        </w:rPr>
        <w:t xml:space="preserve">, D. R. (2021). Genomics, molecular biology, and epidemiology of fungal infections. Cold Spring Harbor Perspectives in Medicine, 11(2), a038638. </w:t>
      </w:r>
    </w:p>
    <w:p w14:paraId="1B14F9F9" w14:textId="619C06F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Hetherington, A. C., &amp; </w:t>
      </w:r>
      <w:proofErr w:type="spellStart"/>
      <w:r>
        <w:rPr>
          <w:rFonts w:ascii="Times New Roman" w:hAnsi="Times New Roman" w:cs="Times New Roman"/>
          <w:sz w:val="28"/>
          <w:szCs w:val="28"/>
        </w:rPr>
        <w:t>Raistrick</w:t>
      </w:r>
      <w:proofErr w:type="spellEnd"/>
      <w:r>
        <w:rPr>
          <w:rFonts w:ascii="Times New Roman" w:hAnsi="Times New Roman" w:cs="Times New Roman"/>
          <w:sz w:val="28"/>
          <w:szCs w:val="28"/>
        </w:rPr>
        <w:t xml:space="preserve">, H. (1931). Studies in the biochemistry of microorganisms: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 metabolic product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citrinum</w:t>
      </w:r>
      <w:proofErr w:type="spellEnd"/>
      <w:r>
        <w:rPr>
          <w:rFonts w:ascii="Times New Roman" w:hAnsi="Times New Roman" w:cs="Times New Roman"/>
          <w:sz w:val="28"/>
          <w:szCs w:val="28"/>
        </w:rPr>
        <w:t xml:space="preserve"> Thom. Philosophical Transactions of the Royal Society B: Biological Sciences, 220(482–493), 269–295. </w:t>
      </w:r>
    </w:p>
    <w:p w14:paraId="0EC683A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Hibbett</w:t>
      </w:r>
      <w:proofErr w:type="spellEnd"/>
      <w:r>
        <w:rPr>
          <w:rFonts w:ascii="Times New Roman" w:hAnsi="Times New Roman" w:cs="Times New Roman"/>
          <w:sz w:val="28"/>
          <w:szCs w:val="28"/>
        </w:rPr>
        <w:t xml:space="preserve">, D. S., </w:t>
      </w:r>
      <w:proofErr w:type="spellStart"/>
      <w:r>
        <w:rPr>
          <w:rFonts w:ascii="Times New Roman" w:hAnsi="Times New Roman" w:cs="Times New Roman"/>
          <w:sz w:val="28"/>
          <w:szCs w:val="28"/>
        </w:rPr>
        <w:t>Abarenkov</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Kõljalg</w:t>
      </w:r>
      <w:proofErr w:type="spellEnd"/>
      <w:r>
        <w:rPr>
          <w:rFonts w:ascii="Times New Roman" w:hAnsi="Times New Roman" w:cs="Times New Roman"/>
          <w:sz w:val="28"/>
          <w:szCs w:val="28"/>
        </w:rPr>
        <w:t xml:space="preserve">, U., </w:t>
      </w:r>
      <w:proofErr w:type="spellStart"/>
      <w:r>
        <w:rPr>
          <w:rFonts w:ascii="Times New Roman" w:hAnsi="Times New Roman" w:cs="Times New Roman"/>
          <w:sz w:val="28"/>
          <w:szCs w:val="28"/>
        </w:rPr>
        <w:t>Öpik</w:t>
      </w:r>
      <w:proofErr w:type="spellEnd"/>
      <w:r>
        <w:rPr>
          <w:rFonts w:ascii="Times New Roman" w:hAnsi="Times New Roman" w:cs="Times New Roman"/>
          <w:sz w:val="28"/>
          <w:szCs w:val="28"/>
        </w:rPr>
        <w:t xml:space="preserve">, M., Chai, B., Cole, J. R., &amp; Nilsson, R. H. (2018). Sequence-based classification and identification of fungi. </w:t>
      </w:r>
      <w:proofErr w:type="spellStart"/>
      <w:r>
        <w:rPr>
          <w:rFonts w:ascii="Times New Roman" w:hAnsi="Times New Roman" w:cs="Times New Roman"/>
          <w:sz w:val="28"/>
          <w:szCs w:val="28"/>
        </w:rPr>
        <w:t>Mycologia</w:t>
      </w:r>
      <w:proofErr w:type="spellEnd"/>
      <w:r>
        <w:rPr>
          <w:rFonts w:ascii="Times New Roman" w:hAnsi="Times New Roman" w:cs="Times New Roman"/>
          <w:sz w:val="28"/>
          <w:szCs w:val="28"/>
        </w:rPr>
        <w:t xml:space="preserve">, 110(5), 911–930. </w:t>
      </w:r>
      <w:hyperlink r:id="rId21" w:history="1">
        <w:r w:rsidRPr="00473F58">
          <w:rPr>
            <w:rStyle w:val="Hyperlink"/>
            <w:rFonts w:ascii="Times New Roman" w:hAnsi="Times New Roman" w:cs="Times New Roman"/>
            <w:sz w:val="28"/>
            <w:szCs w:val="28"/>
          </w:rPr>
          <w:t>https://doi.org/10.1080/00275514.2018.1491406</w:t>
        </w:r>
      </w:hyperlink>
    </w:p>
    <w:p w14:paraId="70B54800"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Visagie</w:t>
      </w:r>
      <w:proofErr w:type="spellEnd"/>
      <w:r>
        <w:rPr>
          <w:rFonts w:ascii="Times New Roman" w:hAnsi="Times New Roman" w:cs="Times New Roman"/>
          <w:sz w:val="28"/>
          <w:szCs w:val="28"/>
        </w:rPr>
        <w:t xml:space="preserve">, C. M., &amp; Samson, R. A. (2020).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taxonomy in the genomic era. Studies in Mycology, 95, 1–27. </w:t>
      </w:r>
      <w:hyperlink r:id="rId22" w:history="1">
        <w:r w:rsidRPr="00834CCE">
          <w:rPr>
            <w:rStyle w:val="Hyperlink"/>
            <w:rFonts w:ascii="Times New Roman" w:hAnsi="Times New Roman" w:cs="Times New Roman"/>
            <w:sz w:val="28"/>
            <w:szCs w:val="28"/>
          </w:rPr>
          <w:t>https://doi.org/10.1016/j.simyco.2020.05.001</w:t>
        </w:r>
      </w:hyperlink>
    </w:p>
    <w:p w14:paraId="759819E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Liu, J., Wang, Y., Liu, Y., &amp; Yan, H. (2020). Molecular characterization and health impact of fungal toxins. Environmental Research, 189, 109899. </w:t>
      </w:r>
      <w:hyperlink r:id="rId23" w:history="1">
        <w:r w:rsidRPr="00473F58">
          <w:rPr>
            <w:rStyle w:val="Hyperlink"/>
            <w:rFonts w:ascii="Times New Roman" w:hAnsi="Times New Roman" w:cs="Times New Roman"/>
            <w:sz w:val="28"/>
            <w:szCs w:val="28"/>
          </w:rPr>
          <w:t>https://doi.org/10.1016/j.envres.2020.109899</w:t>
        </w:r>
      </w:hyperlink>
    </w:p>
    <w:p w14:paraId="67261D4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Liu, Y., Lou, Z., &amp; Wang, H. (2021). Mycotoxins and human health: Advances in analytical methods for mycotoxin detection. Comprehensive Reviews in Food Science and Food Safety, 20(6), 5661–5680. </w:t>
      </w:r>
      <w:hyperlink r:id="rId24" w:history="1">
        <w:r w:rsidRPr="00473F58">
          <w:rPr>
            <w:rStyle w:val="Hyperlink"/>
            <w:rFonts w:ascii="Times New Roman" w:hAnsi="Times New Roman" w:cs="Times New Roman"/>
            <w:sz w:val="28"/>
            <w:szCs w:val="28"/>
          </w:rPr>
          <w:t>https://doi.org/10.1111/1541-4337.12818</w:t>
        </w:r>
      </w:hyperlink>
    </w:p>
    <w:p w14:paraId="3C3D80A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Manda, G., </w:t>
      </w:r>
      <w:proofErr w:type="spellStart"/>
      <w:r>
        <w:rPr>
          <w:rFonts w:ascii="Times New Roman" w:hAnsi="Times New Roman" w:cs="Times New Roman"/>
          <w:sz w:val="28"/>
          <w:szCs w:val="28"/>
        </w:rPr>
        <w:t>Nechifor</w:t>
      </w:r>
      <w:proofErr w:type="spellEnd"/>
      <w:r>
        <w:rPr>
          <w:rFonts w:ascii="Times New Roman" w:hAnsi="Times New Roman" w:cs="Times New Roman"/>
          <w:sz w:val="28"/>
          <w:szCs w:val="28"/>
        </w:rPr>
        <w:t xml:space="preserve">, M. T., &amp; </w:t>
      </w:r>
      <w:proofErr w:type="spellStart"/>
      <w:r>
        <w:rPr>
          <w:rFonts w:ascii="Times New Roman" w:hAnsi="Times New Roman" w:cs="Times New Roman"/>
          <w:sz w:val="28"/>
          <w:szCs w:val="28"/>
        </w:rPr>
        <w:t>Neagu</w:t>
      </w:r>
      <w:proofErr w:type="spellEnd"/>
      <w:r>
        <w:rPr>
          <w:rFonts w:ascii="Times New Roman" w:hAnsi="Times New Roman" w:cs="Times New Roman"/>
          <w:sz w:val="28"/>
          <w:szCs w:val="28"/>
        </w:rPr>
        <w:t xml:space="preserve">, T. M. (2018). Molecular mechanisms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toxicity: Oxidative stress and mitochondrial failure. Toxicology Reports, 5, 449–456. </w:t>
      </w:r>
      <w:hyperlink r:id="rId25" w:history="1">
        <w:r w:rsidRPr="00794BE7">
          <w:rPr>
            <w:rStyle w:val="Hyperlink"/>
            <w:rFonts w:ascii="Times New Roman" w:hAnsi="Times New Roman" w:cs="Times New Roman"/>
            <w:sz w:val="28"/>
            <w:szCs w:val="28"/>
          </w:rPr>
          <w:t>https://doi.org/10.1016/j.toxrep.2018.03.007</w:t>
        </w:r>
      </w:hyperlink>
    </w:p>
    <w:p w14:paraId="1E7DADC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Rai, M., Ingle, A. P., </w:t>
      </w:r>
      <w:proofErr w:type="spellStart"/>
      <w:r>
        <w:rPr>
          <w:rFonts w:ascii="Times New Roman" w:hAnsi="Times New Roman" w:cs="Times New Roman"/>
          <w:sz w:val="28"/>
          <w:szCs w:val="28"/>
        </w:rPr>
        <w:t>Paralikar</w:t>
      </w:r>
      <w:proofErr w:type="spellEnd"/>
      <w:r>
        <w:rPr>
          <w:rFonts w:ascii="Times New Roman" w:hAnsi="Times New Roman" w:cs="Times New Roman"/>
          <w:sz w:val="28"/>
          <w:szCs w:val="28"/>
        </w:rPr>
        <w:t xml:space="preserve">, P., &amp; dos Santos, C. A. (2023). Emerging fungal threats and strategies for combating fungal diseases. Mycoses, 66(2), 147–162. </w:t>
      </w:r>
      <w:hyperlink r:id="rId26" w:history="1">
        <w:r w:rsidRPr="00473F58">
          <w:rPr>
            <w:rStyle w:val="Hyperlink"/>
            <w:rFonts w:ascii="Times New Roman" w:hAnsi="Times New Roman" w:cs="Times New Roman"/>
            <w:sz w:val="28"/>
            <w:szCs w:val="28"/>
          </w:rPr>
          <w:t>https://doi.org/10.1111/myc.13497</w:t>
        </w:r>
      </w:hyperlink>
    </w:p>
    <w:p w14:paraId="567FC790"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Samson, R. A., </w:t>
      </w:r>
      <w:proofErr w:type="spellStart"/>
      <w:r>
        <w:rPr>
          <w:rFonts w:ascii="Times New Roman" w:hAnsi="Times New Roman" w:cs="Times New Roman"/>
          <w:sz w:val="28"/>
          <w:szCs w:val="28"/>
        </w:rPr>
        <w:t>Visagie</w:t>
      </w:r>
      <w:proofErr w:type="spellEnd"/>
      <w:r>
        <w:rPr>
          <w:rFonts w:ascii="Times New Roman" w:hAnsi="Times New Roman" w:cs="Times New Roman"/>
          <w:sz w:val="28"/>
          <w:szCs w:val="28"/>
        </w:rPr>
        <w:t xml:space="preserve">, C. M.,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J., Hong, S. B., </w:t>
      </w:r>
      <w:proofErr w:type="spellStart"/>
      <w:r>
        <w:rPr>
          <w:rFonts w:ascii="Times New Roman" w:hAnsi="Times New Roman" w:cs="Times New Roman"/>
          <w:sz w:val="28"/>
          <w:szCs w:val="28"/>
        </w:rPr>
        <w:t>Hubka</w:t>
      </w:r>
      <w:proofErr w:type="spellEnd"/>
      <w:r>
        <w:rPr>
          <w:rFonts w:ascii="Times New Roman" w:hAnsi="Times New Roman" w:cs="Times New Roman"/>
          <w:sz w:val="28"/>
          <w:szCs w:val="28"/>
        </w:rPr>
        <w:t xml:space="preserve">, V., </w:t>
      </w:r>
      <w:proofErr w:type="spellStart"/>
      <w:r>
        <w:rPr>
          <w:rFonts w:ascii="Times New Roman" w:hAnsi="Times New Roman" w:cs="Times New Roman"/>
          <w:sz w:val="28"/>
          <w:szCs w:val="28"/>
        </w:rPr>
        <w:t>Klaassen</w:t>
      </w:r>
      <w:proofErr w:type="spellEnd"/>
      <w:r>
        <w:rPr>
          <w:rFonts w:ascii="Times New Roman" w:hAnsi="Times New Roman" w:cs="Times New Roman"/>
          <w:sz w:val="28"/>
          <w:szCs w:val="28"/>
        </w:rPr>
        <w:t xml:space="preserve">, C. H. W., &amp;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J. C. (2020). Phylogeny, identification and nomenclature of the genus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Studies in Mycology, 95, 1–249. </w:t>
      </w:r>
      <w:hyperlink r:id="rId27" w:history="1">
        <w:r w:rsidRPr="00794BE7">
          <w:rPr>
            <w:rStyle w:val="Hyperlink"/>
            <w:rFonts w:ascii="Times New Roman" w:hAnsi="Times New Roman" w:cs="Times New Roman"/>
            <w:sz w:val="28"/>
            <w:szCs w:val="28"/>
          </w:rPr>
          <w:t>https://doi.org/10.1016/j.simyco.2020.01.002</w:t>
        </w:r>
      </w:hyperlink>
    </w:p>
    <w:p w14:paraId="7F17C23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Sharma, C., &amp; Ghosh, A. (2021). Insights into fungal biofilms: A critical appraisal. Microorganisms, 9(3), 659. </w:t>
      </w:r>
      <w:hyperlink r:id="rId28" w:history="1">
        <w:r w:rsidRPr="00473F58">
          <w:rPr>
            <w:rStyle w:val="Hyperlink"/>
            <w:rFonts w:ascii="Times New Roman" w:hAnsi="Times New Roman" w:cs="Times New Roman"/>
            <w:sz w:val="28"/>
            <w:szCs w:val="28"/>
          </w:rPr>
          <w:t>https://doi.org/10.3390/microorganisms9030659</w:t>
        </w:r>
      </w:hyperlink>
    </w:p>
    <w:p w14:paraId="4D82AF3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Shi, J., Liang, Y., Liu, J., &amp; </w:t>
      </w:r>
      <w:proofErr w:type="spellStart"/>
      <w:r>
        <w:rPr>
          <w:rFonts w:ascii="Times New Roman" w:hAnsi="Times New Roman" w:cs="Times New Roman"/>
          <w:sz w:val="28"/>
          <w:szCs w:val="28"/>
        </w:rPr>
        <w:t>Zhong</w:t>
      </w:r>
      <w:proofErr w:type="spellEnd"/>
      <w:r>
        <w:rPr>
          <w:rFonts w:ascii="Times New Roman" w:hAnsi="Times New Roman" w:cs="Times New Roman"/>
          <w:sz w:val="28"/>
          <w:szCs w:val="28"/>
        </w:rPr>
        <w:t xml:space="preserve">, X. (2022). Advances in mycotoxin detection in food and feed. Frontiers in Nutrition, 9, 857216. </w:t>
      </w:r>
      <w:hyperlink r:id="rId29" w:history="1">
        <w:r w:rsidRPr="00473F58">
          <w:rPr>
            <w:rStyle w:val="Hyperlink"/>
            <w:rFonts w:ascii="Times New Roman" w:hAnsi="Times New Roman" w:cs="Times New Roman"/>
            <w:sz w:val="28"/>
            <w:szCs w:val="28"/>
          </w:rPr>
          <w:t>https://doi.org/10.3389/fnut.2022.857216</w:t>
        </w:r>
      </w:hyperlink>
    </w:p>
    <w:p w14:paraId="2987C45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Shinozuka</w:t>
      </w:r>
      <w:proofErr w:type="spellEnd"/>
      <w:r>
        <w:rPr>
          <w:rFonts w:ascii="Times New Roman" w:hAnsi="Times New Roman" w:cs="Times New Roman"/>
          <w:sz w:val="28"/>
          <w:szCs w:val="28"/>
        </w:rPr>
        <w:t xml:space="preserve">, J., Murata, Y., &amp; Seki, K. (2020).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-induced oxidative brain damage in rodents and its potential implications in neurotoxicity. Toxins, 12(6), 387. </w:t>
      </w:r>
      <w:hyperlink r:id="rId30" w:history="1">
        <w:r w:rsidRPr="00794BE7">
          <w:rPr>
            <w:rStyle w:val="Hyperlink"/>
            <w:rFonts w:ascii="Times New Roman" w:hAnsi="Times New Roman" w:cs="Times New Roman"/>
            <w:sz w:val="28"/>
            <w:szCs w:val="28"/>
          </w:rPr>
          <w:t>https://doi.org/10.3390/toxins12060387</w:t>
        </w:r>
      </w:hyperlink>
    </w:p>
    <w:p w14:paraId="588419C4"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Sun, X., Liu, W., &amp; Chen, S. (2022). Emerging detection technologies for mycotoxins. Toxins, 14(3), 170. </w:t>
      </w:r>
      <w:hyperlink r:id="rId31" w:history="1">
        <w:r w:rsidRPr="00473F58">
          <w:rPr>
            <w:rStyle w:val="Hyperlink"/>
            <w:rFonts w:ascii="Times New Roman" w:hAnsi="Times New Roman" w:cs="Times New Roman"/>
            <w:sz w:val="28"/>
            <w:szCs w:val="28"/>
          </w:rPr>
          <w:t>https://doi.org/10.3390/toxins14030170</w:t>
        </w:r>
      </w:hyperlink>
    </w:p>
    <w:p w14:paraId="5EDD5E1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Visagie</w:t>
      </w:r>
      <w:proofErr w:type="spellEnd"/>
      <w:r>
        <w:rPr>
          <w:rFonts w:ascii="Times New Roman" w:hAnsi="Times New Roman" w:cs="Times New Roman"/>
          <w:sz w:val="28"/>
          <w:szCs w:val="28"/>
        </w:rPr>
        <w:t xml:space="preserve">, C. M.,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J., &amp; Samson, R. A. (2017). Current taxonomy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Studies in Mycology, 88, 1–16. </w:t>
      </w:r>
      <w:hyperlink r:id="rId32" w:history="1">
        <w:r w:rsidRPr="00794BE7">
          <w:rPr>
            <w:rStyle w:val="Hyperlink"/>
            <w:rFonts w:ascii="Times New Roman" w:hAnsi="Times New Roman" w:cs="Times New Roman"/>
            <w:sz w:val="28"/>
            <w:szCs w:val="28"/>
          </w:rPr>
          <w:t>https://doi.org/10.1016/j.simyco.2017.07.002</w:t>
        </w:r>
      </w:hyperlink>
    </w:p>
    <w:p w14:paraId="6D6EF1F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Wang, Y., Zhao, C., Zhang, D., Wang, J., &amp; Liu, Y. (2019). Toxic effects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on renal function and oxidative stress in rats. Toxins, 11(8), 453. </w:t>
      </w:r>
      <w:hyperlink r:id="rId33" w:history="1">
        <w:r w:rsidRPr="00794BE7">
          <w:rPr>
            <w:rStyle w:val="Hyperlink"/>
            <w:rFonts w:ascii="Times New Roman" w:hAnsi="Times New Roman" w:cs="Times New Roman"/>
            <w:sz w:val="28"/>
            <w:szCs w:val="28"/>
          </w:rPr>
          <w:t>https://doi.org/10.3390/toxins11080453</w:t>
        </w:r>
      </w:hyperlink>
    </w:p>
    <w:p w14:paraId="5446771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Yang, S., Zhang, Y., &amp; Lin, Y. (2021).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induces neurological and hepatic toxicity in </w:t>
      </w:r>
      <w:proofErr w:type="spellStart"/>
      <w:r>
        <w:rPr>
          <w:rFonts w:ascii="Times New Roman" w:hAnsi="Times New Roman" w:cs="Times New Roman"/>
          <w:sz w:val="28"/>
          <w:szCs w:val="28"/>
        </w:rPr>
        <w:t>Wistar</w:t>
      </w:r>
      <w:proofErr w:type="spellEnd"/>
      <w:r>
        <w:rPr>
          <w:rFonts w:ascii="Times New Roman" w:hAnsi="Times New Roman" w:cs="Times New Roman"/>
          <w:sz w:val="28"/>
          <w:szCs w:val="28"/>
        </w:rPr>
        <w:t xml:space="preserve"> rats via oxidative and inflammatory pathways. Environmental Toxicology and Pharmacology, 88, 103731. </w:t>
      </w:r>
      <w:hyperlink r:id="rId34" w:history="1">
        <w:r w:rsidRPr="00794BE7">
          <w:rPr>
            <w:rStyle w:val="Hyperlink"/>
            <w:rFonts w:ascii="Times New Roman" w:hAnsi="Times New Roman" w:cs="Times New Roman"/>
            <w:sz w:val="28"/>
            <w:szCs w:val="28"/>
          </w:rPr>
          <w:t>https://doi.org/10.1016/j.etap.2021.103731</w:t>
        </w:r>
      </w:hyperlink>
      <w:r>
        <w:rPr>
          <w:rFonts w:ascii="Times New Roman" w:hAnsi="Times New Roman" w:cs="Times New Roman"/>
          <w:sz w:val="28"/>
          <w:szCs w:val="28"/>
        </w:rPr>
        <w:t xml:space="preserve"> </w:t>
      </w:r>
    </w:p>
    <w:p w14:paraId="2E54654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Zhang, X., Zhang, S., Sun, Y., &amp; Zhang, Y. (2022). Molecular identification of pathogenic fungi and detection of mycotoxin production. Mycotoxin Research, 38(3), 195–205. </w:t>
      </w:r>
      <w:hyperlink r:id="rId35" w:history="1">
        <w:r w:rsidRPr="00473F58">
          <w:rPr>
            <w:rStyle w:val="Hyperlink"/>
            <w:rFonts w:ascii="Times New Roman" w:hAnsi="Times New Roman" w:cs="Times New Roman"/>
            <w:sz w:val="28"/>
            <w:szCs w:val="28"/>
          </w:rPr>
          <w:t>https://doi.org/10.1007/s12550-022-00447-2</w:t>
        </w:r>
      </w:hyperlink>
    </w:p>
    <w:p w14:paraId="76BE5B8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Zhang, X., Zhang, S., Wang, J., &amp; Wang, Y. (2018). Insights into fungal pathogenicity: Molecular mechanisms and emerging therapeutic strategies. Fungal Biology Reviews, 32(2), 50–68. </w:t>
      </w:r>
      <w:hyperlink r:id="rId36" w:history="1">
        <w:r w:rsidRPr="00473F58">
          <w:rPr>
            <w:rStyle w:val="Hyperlink"/>
            <w:rFonts w:ascii="Times New Roman" w:hAnsi="Times New Roman" w:cs="Times New Roman"/>
            <w:sz w:val="28"/>
            <w:szCs w:val="28"/>
          </w:rPr>
          <w:t>https://doi.org/10.1016/j.fbr.2017.12.003</w:t>
        </w:r>
      </w:hyperlink>
    </w:p>
    <w:p w14:paraId="7FC9A10E"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Zhou, L., Kong, W., Wang, M., &amp; Luo, Y. (2021). Challenges in controlling fungal pathogens and mycotoxin contamination in food crops. Toxins, 13(2), 102.</w:t>
      </w:r>
    </w:p>
    <w:p w14:paraId="2ADEF24D" w14:textId="77777777" w:rsidR="00736340" w:rsidRDefault="00736340" w:rsidP="00A041C0">
      <w:pPr>
        <w:spacing w:after="0" w:line="480" w:lineRule="auto"/>
        <w:ind w:left="840" w:hangingChars="300" w:hanging="840"/>
        <w:jc w:val="both"/>
        <w:rPr>
          <w:rFonts w:ascii="Times New Roman" w:hAnsi="Times New Roman" w:cs="Times New Roman"/>
          <w:sz w:val="28"/>
          <w:szCs w:val="28"/>
        </w:rPr>
      </w:pPr>
    </w:p>
    <w:p w14:paraId="671726CF" w14:textId="77777777" w:rsidR="00736340" w:rsidRPr="00736340" w:rsidRDefault="00736340" w:rsidP="00A041C0">
      <w:pPr>
        <w:spacing w:after="0" w:line="480" w:lineRule="auto"/>
        <w:ind w:left="840" w:hangingChars="300" w:hanging="840"/>
        <w:jc w:val="both"/>
        <w:rPr>
          <w:rFonts w:ascii="Times New Roman" w:hAnsi="Times New Roman" w:cs="Times New Roman"/>
          <w:sz w:val="28"/>
          <w:szCs w:val="28"/>
        </w:rPr>
      </w:pPr>
    </w:p>
    <w:sectPr w:rsidR="00736340" w:rsidRPr="00736340" w:rsidSect="00F361DB">
      <w:footerReference w:type="even" r:id="rId37"/>
      <w:footerReference w:type="default" r:id="rId38"/>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89F0" w14:textId="77777777" w:rsidR="00BA7735" w:rsidRDefault="00BA7735" w:rsidP="00CE215B">
      <w:pPr>
        <w:spacing w:after="0" w:line="240" w:lineRule="auto"/>
      </w:pPr>
      <w:r>
        <w:separator/>
      </w:r>
    </w:p>
  </w:endnote>
  <w:endnote w:type="continuationSeparator" w:id="0">
    <w:p w14:paraId="2DC56587" w14:textId="77777777" w:rsidR="00BA7735" w:rsidRDefault="00BA7735" w:rsidP="00CE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8456182"/>
      <w:docPartObj>
        <w:docPartGallery w:val="Page Numbers (Bottom of Page)"/>
        <w:docPartUnique/>
      </w:docPartObj>
    </w:sdtPr>
    <w:sdtEndPr>
      <w:rPr>
        <w:rStyle w:val="PageNumber"/>
      </w:rPr>
    </w:sdtEndPr>
    <w:sdtContent>
      <w:p w14:paraId="2586C6A8" w14:textId="4AEDE2B2" w:rsidR="00E831DA" w:rsidRDefault="00E831DA" w:rsidP="009752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049CE9" w14:textId="77777777" w:rsidR="00E831DA" w:rsidRDefault="00E83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4942495"/>
      <w:docPartObj>
        <w:docPartGallery w:val="Page Numbers (Bottom of Page)"/>
        <w:docPartUnique/>
      </w:docPartObj>
    </w:sdtPr>
    <w:sdtEndPr>
      <w:rPr>
        <w:rStyle w:val="PageNumber"/>
      </w:rPr>
    </w:sdtEndPr>
    <w:sdtContent>
      <w:p w14:paraId="418AD4F5" w14:textId="2D8302F0" w:rsidR="00E831DA" w:rsidRDefault="00E831DA" w:rsidP="009752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77DBE">
          <w:rPr>
            <w:rStyle w:val="PageNumber"/>
            <w:noProof/>
          </w:rPr>
          <w:t>40</w:t>
        </w:r>
        <w:r>
          <w:rPr>
            <w:rStyle w:val="PageNumber"/>
          </w:rPr>
          <w:fldChar w:fldCharType="end"/>
        </w:r>
      </w:p>
    </w:sdtContent>
  </w:sdt>
  <w:p w14:paraId="45BE805D" w14:textId="77777777" w:rsidR="00E831DA" w:rsidRDefault="00E83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DF19" w14:textId="77777777" w:rsidR="00BA7735" w:rsidRDefault="00BA7735" w:rsidP="00CE215B">
      <w:pPr>
        <w:spacing w:after="0" w:line="240" w:lineRule="auto"/>
      </w:pPr>
      <w:r>
        <w:separator/>
      </w:r>
    </w:p>
  </w:footnote>
  <w:footnote w:type="continuationSeparator" w:id="0">
    <w:p w14:paraId="2CF039E6" w14:textId="77777777" w:rsidR="00BA7735" w:rsidRDefault="00BA7735" w:rsidP="00CE21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00638"/>
    <w:multiLevelType w:val="hybridMultilevel"/>
    <w:tmpl w:val="60AAD0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E5334"/>
    <w:multiLevelType w:val="multilevel"/>
    <w:tmpl w:val="FFFFFFFF"/>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69D1EA6"/>
    <w:multiLevelType w:val="hybridMultilevel"/>
    <w:tmpl w:val="42DC4E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20632A"/>
    <w:multiLevelType w:val="multilevel"/>
    <w:tmpl w:val="FFFFFFFF"/>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646124AB"/>
    <w:multiLevelType w:val="hybridMultilevel"/>
    <w:tmpl w:val="9F6EA9C6"/>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13AEC"/>
    <w:multiLevelType w:val="hybridMultilevel"/>
    <w:tmpl w:val="BB86AD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CB0796"/>
    <w:multiLevelType w:val="hybridMultilevel"/>
    <w:tmpl w:val="4A40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ED466D6"/>
    <w:multiLevelType w:val="multilevel"/>
    <w:tmpl w:val="DB0CE17E"/>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56051782">
    <w:abstractNumId w:val="6"/>
  </w:num>
  <w:num w:numId="2" w16cid:durableId="1230654265">
    <w:abstractNumId w:val="3"/>
  </w:num>
  <w:num w:numId="3" w16cid:durableId="235675624">
    <w:abstractNumId w:val="2"/>
  </w:num>
  <w:num w:numId="4" w16cid:durableId="1580794863">
    <w:abstractNumId w:val="1"/>
  </w:num>
  <w:num w:numId="5" w16cid:durableId="2066567545">
    <w:abstractNumId w:val="9"/>
  </w:num>
  <w:num w:numId="6" w16cid:durableId="288970990">
    <w:abstractNumId w:val="8"/>
  </w:num>
  <w:num w:numId="7" w16cid:durableId="754865414">
    <w:abstractNumId w:val="4"/>
  </w:num>
  <w:num w:numId="8" w16cid:durableId="953563081">
    <w:abstractNumId w:val="7"/>
  </w:num>
  <w:num w:numId="9" w16cid:durableId="1419709997">
    <w:abstractNumId w:val="5"/>
  </w:num>
  <w:num w:numId="10" w16cid:durableId="2051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F2B"/>
    <w:rsid w:val="000003F4"/>
    <w:rsid w:val="000029FD"/>
    <w:rsid w:val="00003D9F"/>
    <w:rsid w:val="00013293"/>
    <w:rsid w:val="00013A5A"/>
    <w:rsid w:val="0001613E"/>
    <w:rsid w:val="00016CF8"/>
    <w:rsid w:val="000176F2"/>
    <w:rsid w:val="0002344C"/>
    <w:rsid w:val="00031291"/>
    <w:rsid w:val="000342F0"/>
    <w:rsid w:val="0003595A"/>
    <w:rsid w:val="00040AC2"/>
    <w:rsid w:val="00041A4E"/>
    <w:rsid w:val="00041E90"/>
    <w:rsid w:val="00044942"/>
    <w:rsid w:val="00056B23"/>
    <w:rsid w:val="00067A7D"/>
    <w:rsid w:val="0007408E"/>
    <w:rsid w:val="00076C10"/>
    <w:rsid w:val="00077DBE"/>
    <w:rsid w:val="00090988"/>
    <w:rsid w:val="000A0BE7"/>
    <w:rsid w:val="000A14BF"/>
    <w:rsid w:val="000A4831"/>
    <w:rsid w:val="000B4933"/>
    <w:rsid w:val="000B6201"/>
    <w:rsid w:val="000B70A9"/>
    <w:rsid w:val="000C0A20"/>
    <w:rsid w:val="000C174B"/>
    <w:rsid w:val="000C1DCC"/>
    <w:rsid w:val="000E1722"/>
    <w:rsid w:val="000E35A4"/>
    <w:rsid w:val="000F02A0"/>
    <w:rsid w:val="000F4BC8"/>
    <w:rsid w:val="00105CD6"/>
    <w:rsid w:val="00115FF8"/>
    <w:rsid w:val="0013206C"/>
    <w:rsid w:val="0014513E"/>
    <w:rsid w:val="00150934"/>
    <w:rsid w:val="00152CD7"/>
    <w:rsid w:val="001560AA"/>
    <w:rsid w:val="001605B9"/>
    <w:rsid w:val="001723D2"/>
    <w:rsid w:val="001858D7"/>
    <w:rsid w:val="0019277B"/>
    <w:rsid w:val="00193D62"/>
    <w:rsid w:val="00194004"/>
    <w:rsid w:val="001A07E6"/>
    <w:rsid w:val="001A0E7A"/>
    <w:rsid w:val="001A4EE7"/>
    <w:rsid w:val="001A5DB4"/>
    <w:rsid w:val="001C1894"/>
    <w:rsid w:val="001C4B75"/>
    <w:rsid w:val="001E0B98"/>
    <w:rsid w:val="001E2238"/>
    <w:rsid w:val="001F1A67"/>
    <w:rsid w:val="001F4A10"/>
    <w:rsid w:val="00201F4C"/>
    <w:rsid w:val="00203009"/>
    <w:rsid w:val="00204770"/>
    <w:rsid w:val="00212A99"/>
    <w:rsid w:val="00213E72"/>
    <w:rsid w:val="0023122A"/>
    <w:rsid w:val="00233986"/>
    <w:rsid w:val="00233D4D"/>
    <w:rsid w:val="00240320"/>
    <w:rsid w:val="00240399"/>
    <w:rsid w:val="0024741A"/>
    <w:rsid w:val="002530C0"/>
    <w:rsid w:val="00254F84"/>
    <w:rsid w:val="00255B1C"/>
    <w:rsid w:val="00257CF0"/>
    <w:rsid w:val="00261E97"/>
    <w:rsid w:val="00263547"/>
    <w:rsid w:val="0027041C"/>
    <w:rsid w:val="0027231A"/>
    <w:rsid w:val="00277922"/>
    <w:rsid w:val="00277CA5"/>
    <w:rsid w:val="00280582"/>
    <w:rsid w:val="00280905"/>
    <w:rsid w:val="002813D7"/>
    <w:rsid w:val="0028430B"/>
    <w:rsid w:val="00290C31"/>
    <w:rsid w:val="00290EB4"/>
    <w:rsid w:val="002939B5"/>
    <w:rsid w:val="00295DC2"/>
    <w:rsid w:val="002B1EDF"/>
    <w:rsid w:val="002B300C"/>
    <w:rsid w:val="002B4D7C"/>
    <w:rsid w:val="002B6444"/>
    <w:rsid w:val="002C69B6"/>
    <w:rsid w:val="002D0320"/>
    <w:rsid w:val="002D2BA0"/>
    <w:rsid w:val="002D3427"/>
    <w:rsid w:val="002D47B1"/>
    <w:rsid w:val="002D55F0"/>
    <w:rsid w:val="002E318D"/>
    <w:rsid w:val="002E4916"/>
    <w:rsid w:val="002E61D5"/>
    <w:rsid w:val="00306812"/>
    <w:rsid w:val="00315C15"/>
    <w:rsid w:val="00315CB5"/>
    <w:rsid w:val="003162CE"/>
    <w:rsid w:val="003207BD"/>
    <w:rsid w:val="003209BD"/>
    <w:rsid w:val="0032557A"/>
    <w:rsid w:val="0032565D"/>
    <w:rsid w:val="00325771"/>
    <w:rsid w:val="00327CCF"/>
    <w:rsid w:val="00333740"/>
    <w:rsid w:val="003363B0"/>
    <w:rsid w:val="003363C6"/>
    <w:rsid w:val="00346043"/>
    <w:rsid w:val="003460DB"/>
    <w:rsid w:val="00346E8B"/>
    <w:rsid w:val="00350165"/>
    <w:rsid w:val="00351B8A"/>
    <w:rsid w:val="00353339"/>
    <w:rsid w:val="00357CB2"/>
    <w:rsid w:val="00381547"/>
    <w:rsid w:val="00381F23"/>
    <w:rsid w:val="003836E9"/>
    <w:rsid w:val="003840F7"/>
    <w:rsid w:val="003845FB"/>
    <w:rsid w:val="0039034E"/>
    <w:rsid w:val="00395254"/>
    <w:rsid w:val="00396C16"/>
    <w:rsid w:val="0039798E"/>
    <w:rsid w:val="00397B32"/>
    <w:rsid w:val="003A0563"/>
    <w:rsid w:val="003B1D88"/>
    <w:rsid w:val="003C34DE"/>
    <w:rsid w:val="003D40F3"/>
    <w:rsid w:val="003D4395"/>
    <w:rsid w:val="003D6A7F"/>
    <w:rsid w:val="00405F79"/>
    <w:rsid w:val="00406099"/>
    <w:rsid w:val="00407F5D"/>
    <w:rsid w:val="00415918"/>
    <w:rsid w:val="0043056B"/>
    <w:rsid w:val="00430C61"/>
    <w:rsid w:val="0043580D"/>
    <w:rsid w:val="00446AB5"/>
    <w:rsid w:val="00447013"/>
    <w:rsid w:val="00450C4A"/>
    <w:rsid w:val="00451BB1"/>
    <w:rsid w:val="00454925"/>
    <w:rsid w:val="004618A6"/>
    <w:rsid w:val="00462913"/>
    <w:rsid w:val="00463D0B"/>
    <w:rsid w:val="0046435B"/>
    <w:rsid w:val="00471BB7"/>
    <w:rsid w:val="0047516B"/>
    <w:rsid w:val="0047712B"/>
    <w:rsid w:val="00486D48"/>
    <w:rsid w:val="00491AFA"/>
    <w:rsid w:val="00495101"/>
    <w:rsid w:val="004A20C5"/>
    <w:rsid w:val="004A3F21"/>
    <w:rsid w:val="004B1F1D"/>
    <w:rsid w:val="004B5D60"/>
    <w:rsid w:val="004C3249"/>
    <w:rsid w:val="004C5C93"/>
    <w:rsid w:val="004C6C46"/>
    <w:rsid w:val="004D0476"/>
    <w:rsid w:val="004D286D"/>
    <w:rsid w:val="004D47A9"/>
    <w:rsid w:val="004D50A6"/>
    <w:rsid w:val="004D7743"/>
    <w:rsid w:val="004E0044"/>
    <w:rsid w:val="004E14F5"/>
    <w:rsid w:val="004E1841"/>
    <w:rsid w:val="004E3302"/>
    <w:rsid w:val="004E3374"/>
    <w:rsid w:val="004E4B74"/>
    <w:rsid w:val="004E5996"/>
    <w:rsid w:val="004F5BAF"/>
    <w:rsid w:val="004F6A58"/>
    <w:rsid w:val="004F7464"/>
    <w:rsid w:val="00500E20"/>
    <w:rsid w:val="0050235C"/>
    <w:rsid w:val="00507F84"/>
    <w:rsid w:val="00512016"/>
    <w:rsid w:val="005125DA"/>
    <w:rsid w:val="0051523A"/>
    <w:rsid w:val="005166E7"/>
    <w:rsid w:val="00516D7B"/>
    <w:rsid w:val="00525D3F"/>
    <w:rsid w:val="00531ACD"/>
    <w:rsid w:val="00531D2C"/>
    <w:rsid w:val="00532B79"/>
    <w:rsid w:val="005341F0"/>
    <w:rsid w:val="00544460"/>
    <w:rsid w:val="00545781"/>
    <w:rsid w:val="00550090"/>
    <w:rsid w:val="00556838"/>
    <w:rsid w:val="005568BD"/>
    <w:rsid w:val="0056126F"/>
    <w:rsid w:val="005671B3"/>
    <w:rsid w:val="00570ADD"/>
    <w:rsid w:val="00573098"/>
    <w:rsid w:val="00575473"/>
    <w:rsid w:val="005A3771"/>
    <w:rsid w:val="005A63B4"/>
    <w:rsid w:val="005A7E41"/>
    <w:rsid w:val="005B327C"/>
    <w:rsid w:val="005B6C47"/>
    <w:rsid w:val="005C7A45"/>
    <w:rsid w:val="005C7B50"/>
    <w:rsid w:val="005D7EC2"/>
    <w:rsid w:val="005D7FE0"/>
    <w:rsid w:val="005E0085"/>
    <w:rsid w:val="005E3E31"/>
    <w:rsid w:val="005E6C40"/>
    <w:rsid w:val="005F3418"/>
    <w:rsid w:val="005F4B9C"/>
    <w:rsid w:val="00600473"/>
    <w:rsid w:val="00600E9C"/>
    <w:rsid w:val="00602320"/>
    <w:rsid w:val="006025AE"/>
    <w:rsid w:val="00606A40"/>
    <w:rsid w:val="00616F42"/>
    <w:rsid w:val="00624F44"/>
    <w:rsid w:val="00627DE0"/>
    <w:rsid w:val="00631443"/>
    <w:rsid w:val="00634736"/>
    <w:rsid w:val="00636366"/>
    <w:rsid w:val="00636A16"/>
    <w:rsid w:val="00637A7F"/>
    <w:rsid w:val="0064030C"/>
    <w:rsid w:val="00640DE6"/>
    <w:rsid w:val="006446E1"/>
    <w:rsid w:val="00647E4F"/>
    <w:rsid w:val="00650E5F"/>
    <w:rsid w:val="00652866"/>
    <w:rsid w:val="00662A4C"/>
    <w:rsid w:val="0066433F"/>
    <w:rsid w:val="00666736"/>
    <w:rsid w:val="0067383E"/>
    <w:rsid w:val="0068588B"/>
    <w:rsid w:val="00685D51"/>
    <w:rsid w:val="0069290A"/>
    <w:rsid w:val="006971B9"/>
    <w:rsid w:val="006A05BF"/>
    <w:rsid w:val="006A3E66"/>
    <w:rsid w:val="006B021F"/>
    <w:rsid w:val="006B1518"/>
    <w:rsid w:val="006B402D"/>
    <w:rsid w:val="006B6C1A"/>
    <w:rsid w:val="006C1F73"/>
    <w:rsid w:val="006C2BD3"/>
    <w:rsid w:val="006C3C05"/>
    <w:rsid w:val="006D2983"/>
    <w:rsid w:val="006D3DE5"/>
    <w:rsid w:val="006D70BF"/>
    <w:rsid w:val="006D7106"/>
    <w:rsid w:val="006E439D"/>
    <w:rsid w:val="006E4DDD"/>
    <w:rsid w:val="006F0B95"/>
    <w:rsid w:val="006F0E7A"/>
    <w:rsid w:val="006F76DE"/>
    <w:rsid w:val="00701200"/>
    <w:rsid w:val="007020CB"/>
    <w:rsid w:val="00702CE4"/>
    <w:rsid w:val="00702FFD"/>
    <w:rsid w:val="00706513"/>
    <w:rsid w:val="00710167"/>
    <w:rsid w:val="00711358"/>
    <w:rsid w:val="0071241E"/>
    <w:rsid w:val="00714039"/>
    <w:rsid w:val="007154B4"/>
    <w:rsid w:val="00721B11"/>
    <w:rsid w:val="00724EE7"/>
    <w:rsid w:val="0072731D"/>
    <w:rsid w:val="00732628"/>
    <w:rsid w:val="007332D3"/>
    <w:rsid w:val="00736340"/>
    <w:rsid w:val="00744C11"/>
    <w:rsid w:val="00751616"/>
    <w:rsid w:val="00753DC2"/>
    <w:rsid w:val="0076055F"/>
    <w:rsid w:val="00760B73"/>
    <w:rsid w:val="00762D86"/>
    <w:rsid w:val="00764068"/>
    <w:rsid w:val="007669DB"/>
    <w:rsid w:val="00774EED"/>
    <w:rsid w:val="00776CB6"/>
    <w:rsid w:val="00786B70"/>
    <w:rsid w:val="00791B12"/>
    <w:rsid w:val="00796C19"/>
    <w:rsid w:val="00797DB5"/>
    <w:rsid w:val="007A11B4"/>
    <w:rsid w:val="007A1F4F"/>
    <w:rsid w:val="007A5F57"/>
    <w:rsid w:val="007A634A"/>
    <w:rsid w:val="007B03DB"/>
    <w:rsid w:val="007B63A3"/>
    <w:rsid w:val="007C7698"/>
    <w:rsid w:val="007D036F"/>
    <w:rsid w:val="007D0BBF"/>
    <w:rsid w:val="007D1CA9"/>
    <w:rsid w:val="007D2411"/>
    <w:rsid w:val="007D46C1"/>
    <w:rsid w:val="007D48A3"/>
    <w:rsid w:val="007D6138"/>
    <w:rsid w:val="007D6420"/>
    <w:rsid w:val="007E700D"/>
    <w:rsid w:val="007F4FFE"/>
    <w:rsid w:val="007F5069"/>
    <w:rsid w:val="007F527B"/>
    <w:rsid w:val="007F7FAE"/>
    <w:rsid w:val="00807CEB"/>
    <w:rsid w:val="008164C4"/>
    <w:rsid w:val="0082604A"/>
    <w:rsid w:val="0082719D"/>
    <w:rsid w:val="008332B6"/>
    <w:rsid w:val="008333D1"/>
    <w:rsid w:val="008444CC"/>
    <w:rsid w:val="008445CB"/>
    <w:rsid w:val="00850AD5"/>
    <w:rsid w:val="00852888"/>
    <w:rsid w:val="00861340"/>
    <w:rsid w:val="0086780F"/>
    <w:rsid w:val="00867A2B"/>
    <w:rsid w:val="0087616C"/>
    <w:rsid w:val="00885EAE"/>
    <w:rsid w:val="00891E57"/>
    <w:rsid w:val="00894539"/>
    <w:rsid w:val="008A59E4"/>
    <w:rsid w:val="008B5395"/>
    <w:rsid w:val="008B5F2C"/>
    <w:rsid w:val="008B7CEE"/>
    <w:rsid w:val="008C0B69"/>
    <w:rsid w:val="008C5FF9"/>
    <w:rsid w:val="008C7C38"/>
    <w:rsid w:val="008D42B5"/>
    <w:rsid w:val="008D79EB"/>
    <w:rsid w:val="008E3EE2"/>
    <w:rsid w:val="008E6E44"/>
    <w:rsid w:val="008E7DCC"/>
    <w:rsid w:val="008F0058"/>
    <w:rsid w:val="008F0E5B"/>
    <w:rsid w:val="008F4C07"/>
    <w:rsid w:val="00900DDD"/>
    <w:rsid w:val="00903953"/>
    <w:rsid w:val="00911675"/>
    <w:rsid w:val="009131C3"/>
    <w:rsid w:val="009254AF"/>
    <w:rsid w:val="00931C12"/>
    <w:rsid w:val="009348B7"/>
    <w:rsid w:val="00942D6A"/>
    <w:rsid w:val="00945EF5"/>
    <w:rsid w:val="00946C9C"/>
    <w:rsid w:val="009504B7"/>
    <w:rsid w:val="0095319F"/>
    <w:rsid w:val="009535E4"/>
    <w:rsid w:val="00953CD4"/>
    <w:rsid w:val="0095602C"/>
    <w:rsid w:val="00957AC1"/>
    <w:rsid w:val="0096031C"/>
    <w:rsid w:val="0097093A"/>
    <w:rsid w:val="00970C16"/>
    <w:rsid w:val="00970F6F"/>
    <w:rsid w:val="009720BC"/>
    <w:rsid w:val="00974A9A"/>
    <w:rsid w:val="009752C9"/>
    <w:rsid w:val="00986A31"/>
    <w:rsid w:val="00990723"/>
    <w:rsid w:val="00990C08"/>
    <w:rsid w:val="00992673"/>
    <w:rsid w:val="00993445"/>
    <w:rsid w:val="00995F64"/>
    <w:rsid w:val="009978C5"/>
    <w:rsid w:val="009A3666"/>
    <w:rsid w:val="009A4113"/>
    <w:rsid w:val="009A4693"/>
    <w:rsid w:val="009A7027"/>
    <w:rsid w:val="009B350C"/>
    <w:rsid w:val="009C185B"/>
    <w:rsid w:val="009C1DF5"/>
    <w:rsid w:val="009C2DE0"/>
    <w:rsid w:val="009C3E0B"/>
    <w:rsid w:val="009C559B"/>
    <w:rsid w:val="009C6F6D"/>
    <w:rsid w:val="009D1180"/>
    <w:rsid w:val="009D1A79"/>
    <w:rsid w:val="009D3219"/>
    <w:rsid w:val="009D4401"/>
    <w:rsid w:val="009E72A9"/>
    <w:rsid w:val="009F020A"/>
    <w:rsid w:val="009F0AE5"/>
    <w:rsid w:val="009F599F"/>
    <w:rsid w:val="009F7F27"/>
    <w:rsid w:val="00A03519"/>
    <w:rsid w:val="00A04126"/>
    <w:rsid w:val="00A041C0"/>
    <w:rsid w:val="00A04CF4"/>
    <w:rsid w:val="00A06979"/>
    <w:rsid w:val="00A14FB6"/>
    <w:rsid w:val="00A15304"/>
    <w:rsid w:val="00A15331"/>
    <w:rsid w:val="00A1683D"/>
    <w:rsid w:val="00A22839"/>
    <w:rsid w:val="00A23A3C"/>
    <w:rsid w:val="00A24941"/>
    <w:rsid w:val="00A267E2"/>
    <w:rsid w:val="00A444A4"/>
    <w:rsid w:val="00A47051"/>
    <w:rsid w:val="00A527C6"/>
    <w:rsid w:val="00A62CB0"/>
    <w:rsid w:val="00A65F52"/>
    <w:rsid w:val="00A72A90"/>
    <w:rsid w:val="00A758DE"/>
    <w:rsid w:val="00A75C25"/>
    <w:rsid w:val="00A80EB4"/>
    <w:rsid w:val="00A83D19"/>
    <w:rsid w:val="00A85299"/>
    <w:rsid w:val="00A86079"/>
    <w:rsid w:val="00A8609E"/>
    <w:rsid w:val="00A9211D"/>
    <w:rsid w:val="00AA0E3E"/>
    <w:rsid w:val="00AA12BF"/>
    <w:rsid w:val="00AA1F0C"/>
    <w:rsid w:val="00AA28FA"/>
    <w:rsid w:val="00AA31BD"/>
    <w:rsid w:val="00AA6584"/>
    <w:rsid w:val="00AA696B"/>
    <w:rsid w:val="00AB18E1"/>
    <w:rsid w:val="00AC0219"/>
    <w:rsid w:val="00AC2DAE"/>
    <w:rsid w:val="00AC411F"/>
    <w:rsid w:val="00AD0C7C"/>
    <w:rsid w:val="00AD3F26"/>
    <w:rsid w:val="00AD4083"/>
    <w:rsid w:val="00AE6679"/>
    <w:rsid w:val="00AF5ED9"/>
    <w:rsid w:val="00B0300D"/>
    <w:rsid w:val="00B04714"/>
    <w:rsid w:val="00B05677"/>
    <w:rsid w:val="00B0664C"/>
    <w:rsid w:val="00B07892"/>
    <w:rsid w:val="00B12122"/>
    <w:rsid w:val="00B1450A"/>
    <w:rsid w:val="00B156E7"/>
    <w:rsid w:val="00B17B5C"/>
    <w:rsid w:val="00B220E7"/>
    <w:rsid w:val="00B27346"/>
    <w:rsid w:val="00B313CD"/>
    <w:rsid w:val="00B36A07"/>
    <w:rsid w:val="00B37860"/>
    <w:rsid w:val="00B41979"/>
    <w:rsid w:val="00B43573"/>
    <w:rsid w:val="00B44FC1"/>
    <w:rsid w:val="00B461C1"/>
    <w:rsid w:val="00B475B0"/>
    <w:rsid w:val="00B52EDA"/>
    <w:rsid w:val="00B5611F"/>
    <w:rsid w:val="00B6130E"/>
    <w:rsid w:val="00B7356F"/>
    <w:rsid w:val="00B77AC5"/>
    <w:rsid w:val="00B93617"/>
    <w:rsid w:val="00B94DAB"/>
    <w:rsid w:val="00B95AFA"/>
    <w:rsid w:val="00BA2034"/>
    <w:rsid w:val="00BA7735"/>
    <w:rsid w:val="00BA7A00"/>
    <w:rsid w:val="00BB0367"/>
    <w:rsid w:val="00BB4C21"/>
    <w:rsid w:val="00BB7E69"/>
    <w:rsid w:val="00BC2C6C"/>
    <w:rsid w:val="00BC3BDF"/>
    <w:rsid w:val="00BD10ED"/>
    <w:rsid w:val="00BD2A5E"/>
    <w:rsid w:val="00BD5E72"/>
    <w:rsid w:val="00BE2569"/>
    <w:rsid w:val="00BF07CC"/>
    <w:rsid w:val="00C01C38"/>
    <w:rsid w:val="00C01FA7"/>
    <w:rsid w:val="00C04A44"/>
    <w:rsid w:val="00C073E1"/>
    <w:rsid w:val="00C11C7D"/>
    <w:rsid w:val="00C11E7A"/>
    <w:rsid w:val="00C1380B"/>
    <w:rsid w:val="00C14772"/>
    <w:rsid w:val="00C15820"/>
    <w:rsid w:val="00C26599"/>
    <w:rsid w:val="00C314B4"/>
    <w:rsid w:val="00C33750"/>
    <w:rsid w:val="00C33DC8"/>
    <w:rsid w:val="00C340C9"/>
    <w:rsid w:val="00C34562"/>
    <w:rsid w:val="00C35470"/>
    <w:rsid w:val="00C360D4"/>
    <w:rsid w:val="00C44CF9"/>
    <w:rsid w:val="00C50550"/>
    <w:rsid w:val="00C54673"/>
    <w:rsid w:val="00C6388C"/>
    <w:rsid w:val="00C66F65"/>
    <w:rsid w:val="00C6740B"/>
    <w:rsid w:val="00C67466"/>
    <w:rsid w:val="00C67C2F"/>
    <w:rsid w:val="00C74B88"/>
    <w:rsid w:val="00C75178"/>
    <w:rsid w:val="00C879DE"/>
    <w:rsid w:val="00C920DA"/>
    <w:rsid w:val="00C94102"/>
    <w:rsid w:val="00C964D3"/>
    <w:rsid w:val="00CB4ADF"/>
    <w:rsid w:val="00CB568C"/>
    <w:rsid w:val="00CB57F1"/>
    <w:rsid w:val="00CC2093"/>
    <w:rsid w:val="00CC20D3"/>
    <w:rsid w:val="00CD0C74"/>
    <w:rsid w:val="00CD5963"/>
    <w:rsid w:val="00CD77A2"/>
    <w:rsid w:val="00CE215B"/>
    <w:rsid w:val="00CE72EC"/>
    <w:rsid w:val="00CF6E63"/>
    <w:rsid w:val="00D01D28"/>
    <w:rsid w:val="00D0341C"/>
    <w:rsid w:val="00D12EF9"/>
    <w:rsid w:val="00D16B2B"/>
    <w:rsid w:val="00D204C2"/>
    <w:rsid w:val="00D21539"/>
    <w:rsid w:val="00D23A1F"/>
    <w:rsid w:val="00D26006"/>
    <w:rsid w:val="00D34487"/>
    <w:rsid w:val="00D350AE"/>
    <w:rsid w:val="00D41C8C"/>
    <w:rsid w:val="00D42F46"/>
    <w:rsid w:val="00D477C0"/>
    <w:rsid w:val="00D5021D"/>
    <w:rsid w:val="00D55E62"/>
    <w:rsid w:val="00D57A76"/>
    <w:rsid w:val="00D62A45"/>
    <w:rsid w:val="00D70A50"/>
    <w:rsid w:val="00D7316B"/>
    <w:rsid w:val="00D746B7"/>
    <w:rsid w:val="00D751B6"/>
    <w:rsid w:val="00D760A1"/>
    <w:rsid w:val="00D833D4"/>
    <w:rsid w:val="00D83729"/>
    <w:rsid w:val="00D8443C"/>
    <w:rsid w:val="00D95E96"/>
    <w:rsid w:val="00D977FA"/>
    <w:rsid w:val="00DA01E0"/>
    <w:rsid w:val="00DA3678"/>
    <w:rsid w:val="00DA4158"/>
    <w:rsid w:val="00DB1D21"/>
    <w:rsid w:val="00DB1E62"/>
    <w:rsid w:val="00DB710B"/>
    <w:rsid w:val="00DC2494"/>
    <w:rsid w:val="00DC6486"/>
    <w:rsid w:val="00DD3E5C"/>
    <w:rsid w:val="00DE225E"/>
    <w:rsid w:val="00DE2263"/>
    <w:rsid w:val="00DE2B03"/>
    <w:rsid w:val="00DE3086"/>
    <w:rsid w:val="00DE58FF"/>
    <w:rsid w:val="00DF4E83"/>
    <w:rsid w:val="00E01138"/>
    <w:rsid w:val="00E1150A"/>
    <w:rsid w:val="00E129CA"/>
    <w:rsid w:val="00E147FE"/>
    <w:rsid w:val="00E16AF3"/>
    <w:rsid w:val="00E20D0B"/>
    <w:rsid w:val="00E229B1"/>
    <w:rsid w:val="00E309D4"/>
    <w:rsid w:val="00E31755"/>
    <w:rsid w:val="00E325ED"/>
    <w:rsid w:val="00E32675"/>
    <w:rsid w:val="00E43502"/>
    <w:rsid w:val="00E440C0"/>
    <w:rsid w:val="00E45013"/>
    <w:rsid w:val="00E47C02"/>
    <w:rsid w:val="00E500A9"/>
    <w:rsid w:val="00E5195E"/>
    <w:rsid w:val="00E52F4A"/>
    <w:rsid w:val="00E54C7F"/>
    <w:rsid w:val="00E568B3"/>
    <w:rsid w:val="00E60631"/>
    <w:rsid w:val="00E614F4"/>
    <w:rsid w:val="00E64377"/>
    <w:rsid w:val="00E6473F"/>
    <w:rsid w:val="00E64B4B"/>
    <w:rsid w:val="00E70D60"/>
    <w:rsid w:val="00E760D4"/>
    <w:rsid w:val="00E762C7"/>
    <w:rsid w:val="00E831DA"/>
    <w:rsid w:val="00E83C63"/>
    <w:rsid w:val="00E83D60"/>
    <w:rsid w:val="00E84750"/>
    <w:rsid w:val="00E85813"/>
    <w:rsid w:val="00E91EA7"/>
    <w:rsid w:val="00E932B2"/>
    <w:rsid w:val="00EA370A"/>
    <w:rsid w:val="00EA4F2B"/>
    <w:rsid w:val="00EA7F9F"/>
    <w:rsid w:val="00EB4B2C"/>
    <w:rsid w:val="00EB51E5"/>
    <w:rsid w:val="00EB6C1C"/>
    <w:rsid w:val="00ED1C54"/>
    <w:rsid w:val="00ED25A1"/>
    <w:rsid w:val="00ED493B"/>
    <w:rsid w:val="00ED4C48"/>
    <w:rsid w:val="00EE3987"/>
    <w:rsid w:val="00EE417A"/>
    <w:rsid w:val="00EE62AB"/>
    <w:rsid w:val="00EE6F56"/>
    <w:rsid w:val="00EF19B6"/>
    <w:rsid w:val="00EF534B"/>
    <w:rsid w:val="00EF6C29"/>
    <w:rsid w:val="00F005D0"/>
    <w:rsid w:val="00F10186"/>
    <w:rsid w:val="00F13513"/>
    <w:rsid w:val="00F14FAD"/>
    <w:rsid w:val="00F153AE"/>
    <w:rsid w:val="00F2015B"/>
    <w:rsid w:val="00F26EC7"/>
    <w:rsid w:val="00F32218"/>
    <w:rsid w:val="00F3250B"/>
    <w:rsid w:val="00F32610"/>
    <w:rsid w:val="00F341BA"/>
    <w:rsid w:val="00F361DB"/>
    <w:rsid w:val="00F4631D"/>
    <w:rsid w:val="00F5147E"/>
    <w:rsid w:val="00F53636"/>
    <w:rsid w:val="00F564FA"/>
    <w:rsid w:val="00F617BF"/>
    <w:rsid w:val="00F62BFD"/>
    <w:rsid w:val="00F634F1"/>
    <w:rsid w:val="00F63BFD"/>
    <w:rsid w:val="00F747B4"/>
    <w:rsid w:val="00F83DEC"/>
    <w:rsid w:val="00F846A0"/>
    <w:rsid w:val="00F85C81"/>
    <w:rsid w:val="00F871D7"/>
    <w:rsid w:val="00F90EDE"/>
    <w:rsid w:val="00F91DCE"/>
    <w:rsid w:val="00FA0C41"/>
    <w:rsid w:val="00FA3F78"/>
    <w:rsid w:val="00FB0699"/>
    <w:rsid w:val="00FB2CC5"/>
    <w:rsid w:val="00FB7EAA"/>
    <w:rsid w:val="00FC55AC"/>
    <w:rsid w:val="00FC621E"/>
    <w:rsid w:val="00FD26E6"/>
    <w:rsid w:val="00FE2948"/>
    <w:rsid w:val="00FF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02E5"/>
  <w15:docId w15:val="{72BD0E7F-0FA2-744B-8C79-1C94E101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DA"/>
  </w:style>
  <w:style w:type="paragraph" w:styleId="Heading1">
    <w:name w:val="heading 1"/>
    <w:basedOn w:val="Normal"/>
    <w:next w:val="Normal"/>
    <w:link w:val="Heading1Char"/>
    <w:uiPriority w:val="9"/>
    <w:qFormat/>
    <w:rsid w:val="00EA4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F2B"/>
    <w:rPr>
      <w:rFonts w:eastAsiaTheme="majorEastAsia" w:cstheme="majorBidi"/>
      <w:color w:val="272727" w:themeColor="text1" w:themeTint="D8"/>
    </w:rPr>
  </w:style>
  <w:style w:type="paragraph" w:styleId="Title">
    <w:name w:val="Title"/>
    <w:basedOn w:val="Normal"/>
    <w:next w:val="Normal"/>
    <w:link w:val="TitleChar"/>
    <w:uiPriority w:val="10"/>
    <w:qFormat/>
    <w:rsid w:val="00EA4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F2B"/>
    <w:pPr>
      <w:spacing w:before="160"/>
      <w:jc w:val="center"/>
    </w:pPr>
    <w:rPr>
      <w:i/>
      <w:iCs/>
      <w:color w:val="404040" w:themeColor="text1" w:themeTint="BF"/>
    </w:rPr>
  </w:style>
  <w:style w:type="character" w:customStyle="1" w:styleId="QuoteChar">
    <w:name w:val="Quote Char"/>
    <w:basedOn w:val="DefaultParagraphFont"/>
    <w:link w:val="Quote"/>
    <w:uiPriority w:val="29"/>
    <w:rsid w:val="00EA4F2B"/>
    <w:rPr>
      <w:i/>
      <w:iCs/>
      <w:color w:val="404040" w:themeColor="text1" w:themeTint="BF"/>
    </w:rPr>
  </w:style>
  <w:style w:type="paragraph" w:styleId="ListParagraph">
    <w:name w:val="List Paragraph"/>
    <w:basedOn w:val="Normal"/>
    <w:uiPriority w:val="34"/>
    <w:qFormat/>
    <w:rsid w:val="00EA4F2B"/>
    <w:pPr>
      <w:ind w:left="720"/>
      <w:contextualSpacing/>
    </w:pPr>
  </w:style>
  <w:style w:type="character" w:styleId="IntenseEmphasis">
    <w:name w:val="Intense Emphasis"/>
    <w:basedOn w:val="DefaultParagraphFont"/>
    <w:uiPriority w:val="21"/>
    <w:qFormat/>
    <w:rsid w:val="00EA4F2B"/>
    <w:rPr>
      <w:i/>
      <w:iCs/>
      <w:color w:val="0F4761" w:themeColor="accent1" w:themeShade="BF"/>
    </w:rPr>
  </w:style>
  <w:style w:type="paragraph" w:styleId="IntenseQuote">
    <w:name w:val="Intense Quote"/>
    <w:basedOn w:val="Normal"/>
    <w:next w:val="Normal"/>
    <w:link w:val="IntenseQuoteChar"/>
    <w:uiPriority w:val="30"/>
    <w:qFormat/>
    <w:rsid w:val="00EA4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F2B"/>
    <w:rPr>
      <w:i/>
      <w:iCs/>
      <w:color w:val="0F4761" w:themeColor="accent1" w:themeShade="BF"/>
    </w:rPr>
  </w:style>
  <w:style w:type="character" w:styleId="IntenseReference">
    <w:name w:val="Intense Reference"/>
    <w:basedOn w:val="DefaultParagraphFont"/>
    <w:uiPriority w:val="32"/>
    <w:qFormat/>
    <w:rsid w:val="00EA4F2B"/>
    <w:rPr>
      <w:b/>
      <w:bCs/>
      <w:smallCaps/>
      <w:color w:val="0F4761" w:themeColor="accent1" w:themeShade="BF"/>
      <w:spacing w:val="5"/>
    </w:rPr>
  </w:style>
  <w:style w:type="paragraph" w:styleId="Header">
    <w:name w:val="header"/>
    <w:basedOn w:val="Normal"/>
    <w:link w:val="HeaderChar"/>
    <w:uiPriority w:val="99"/>
    <w:unhideWhenUsed/>
    <w:rsid w:val="00CE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5B"/>
  </w:style>
  <w:style w:type="paragraph" w:styleId="Footer">
    <w:name w:val="footer"/>
    <w:basedOn w:val="Normal"/>
    <w:link w:val="FooterChar"/>
    <w:uiPriority w:val="99"/>
    <w:unhideWhenUsed/>
    <w:rsid w:val="00CE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5B"/>
  </w:style>
  <w:style w:type="character" w:styleId="PageNumber">
    <w:name w:val="page number"/>
    <w:basedOn w:val="DefaultParagraphFont"/>
    <w:uiPriority w:val="99"/>
    <w:semiHidden/>
    <w:unhideWhenUsed/>
    <w:rsid w:val="00CE215B"/>
  </w:style>
  <w:style w:type="table" w:styleId="TableGrid">
    <w:name w:val="Table Grid"/>
    <w:basedOn w:val="TableNormal"/>
    <w:uiPriority w:val="39"/>
    <w:rsid w:val="00D83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435B"/>
    <w:rPr>
      <w:color w:val="467886" w:themeColor="hyperlink"/>
      <w:u w:val="single"/>
    </w:rPr>
  </w:style>
  <w:style w:type="character" w:customStyle="1" w:styleId="UnresolvedMention1">
    <w:name w:val="Unresolved Mention1"/>
    <w:basedOn w:val="DefaultParagraphFont"/>
    <w:uiPriority w:val="99"/>
    <w:semiHidden/>
    <w:unhideWhenUsed/>
    <w:rsid w:val="0046435B"/>
    <w:rPr>
      <w:color w:val="605E5C"/>
      <w:shd w:val="clear" w:color="auto" w:fill="E1DFDD"/>
    </w:rPr>
  </w:style>
  <w:style w:type="paragraph" w:styleId="BalloonText">
    <w:name w:val="Balloon Text"/>
    <w:basedOn w:val="Normal"/>
    <w:link w:val="BalloonTextChar"/>
    <w:uiPriority w:val="99"/>
    <w:semiHidden/>
    <w:unhideWhenUsed/>
    <w:rsid w:val="00C96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D3"/>
    <w:rPr>
      <w:rFonts w:ascii="Tahoma" w:hAnsi="Tahoma" w:cs="Tahoma"/>
      <w:sz w:val="16"/>
      <w:szCs w:val="16"/>
    </w:rPr>
  </w:style>
  <w:style w:type="paragraph" w:styleId="NormalWeb">
    <w:name w:val="Normal (Web)"/>
    <w:basedOn w:val="Normal"/>
    <w:uiPriority w:val="99"/>
    <w:unhideWhenUsed/>
    <w:rsid w:val="005B6C47"/>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2402">
      <w:bodyDiv w:val="1"/>
      <w:marLeft w:val="0"/>
      <w:marRight w:val="0"/>
      <w:marTop w:val="0"/>
      <w:marBottom w:val="0"/>
      <w:divBdr>
        <w:top w:val="none" w:sz="0" w:space="0" w:color="auto"/>
        <w:left w:val="none" w:sz="0" w:space="0" w:color="auto"/>
        <w:bottom w:val="none" w:sz="0" w:space="0" w:color="auto"/>
        <w:right w:val="none" w:sz="0" w:space="0" w:color="auto"/>
      </w:divBdr>
    </w:div>
    <w:div w:id="413479001">
      <w:bodyDiv w:val="1"/>
      <w:marLeft w:val="0"/>
      <w:marRight w:val="0"/>
      <w:marTop w:val="0"/>
      <w:marBottom w:val="0"/>
      <w:divBdr>
        <w:top w:val="none" w:sz="0" w:space="0" w:color="auto"/>
        <w:left w:val="none" w:sz="0" w:space="0" w:color="auto"/>
        <w:bottom w:val="none" w:sz="0" w:space="0" w:color="auto"/>
        <w:right w:val="none" w:sz="0" w:space="0" w:color="auto"/>
      </w:divBdr>
    </w:div>
    <w:div w:id="433018420">
      <w:bodyDiv w:val="1"/>
      <w:marLeft w:val="0"/>
      <w:marRight w:val="0"/>
      <w:marTop w:val="0"/>
      <w:marBottom w:val="0"/>
      <w:divBdr>
        <w:top w:val="none" w:sz="0" w:space="0" w:color="auto"/>
        <w:left w:val="none" w:sz="0" w:space="0" w:color="auto"/>
        <w:bottom w:val="none" w:sz="0" w:space="0" w:color="auto"/>
        <w:right w:val="none" w:sz="0" w:space="0" w:color="auto"/>
      </w:divBdr>
    </w:div>
    <w:div w:id="505091695">
      <w:bodyDiv w:val="1"/>
      <w:marLeft w:val="0"/>
      <w:marRight w:val="0"/>
      <w:marTop w:val="0"/>
      <w:marBottom w:val="0"/>
      <w:divBdr>
        <w:top w:val="none" w:sz="0" w:space="0" w:color="auto"/>
        <w:left w:val="none" w:sz="0" w:space="0" w:color="auto"/>
        <w:bottom w:val="none" w:sz="0" w:space="0" w:color="auto"/>
        <w:right w:val="none" w:sz="0" w:space="0" w:color="auto"/>
      </w:divBdr>
    </w:div>
    <w:div w:id="536234250">
      <w:bodyDiv w:val="1"/>
      <w:marLeft w:val="0"/>
      <w:marRight w:val="0"/>
      <w:marTop w:val="0"/>
      <w:marBottom w:val="0"/>
      <w:divBdr>
        <w:top w:val="none" w:sz="0" w:space="0" w:color="auto"/>
        <w:left w:val="none" w:sz="0" w:space="0" w:color="auto"/>
        <w:bottom w:val="none" w:sz="0" w:space="0" w:color="auto"/>
        <w:right w:val="none" w:sz="0" w:space="0" w:color="auto"/>
      </w:divBdr>
    </w:div>
    <w:div w:id="880169055">
      <w:bodyDiv w:val="1"/>
      <w:marLeft w:val="0"/>
      <w:marRight w:val="0"/>
      <w:marTop w:val="0"/>
      <w:marBottom w:val="0"/>
      <w:divBdr>
        <w:top w:val="none" w:sz="0" w:space="0" w:color="auto"/>
        <w:left w:val="none" w:sz="0" w:space="0" w:color="auto"/>
        <w:bottom w:val="none" w:sz="0" w:space="0" w:color="auto"/>
        <w:right w:val="none" w:sz="0" w:space="0" w:color="auto"/>
      </w:divBdr>
    </w:div>
    <w:div w:id="1497303627">
      <w:bodyDiv w:val="1"/>
      <w:marLeft w:val="0"/>
      <w:marRight w:val="0"/>
      <w:marTop w:val="0"/>
      <w:marBottom w:val="0"/>
      <w:divBdr>
        <w:top w:val="none" w:sz="0" w:space="0" w:color="auto"/>
        <w:left w:val="none" w:sz="0" w:space="0" w:color="auto"/>
        <w:bottom w:val="none" w:sz="0" w:space="0" w:color="auto"/>
        <w:right w:val="none" w:sz="0" w:space="0" w:color="auto"/>
      </w:divBdr>
    </w:div>
    <w:div w:id="1564558851">
      <w:bodyDiv w:val="1"/>
      <w:marLeft w:val="0"/>
      <w:marRight w:val="0"/>
      <w:marTop w:val="0"/>
      <w:marBottom w:val="0"/>
      <w:divBdr>
        <w:top w:val="none" w:sz="0" w:space="0" w:color="auto"/>
        <w:left w:val="none" w:sz="0" w:space="0" w:color="auto"/>
        <w:bottom w:val="none" w:sz="0" w:space="0" w:color="auto"/>
        <w:right w:val="none" w:sz="0" w:space="0" w:color="auto"/>
      </w:divBdr>
    </w:div>
    <w:div w:id="1940679737">
      <w:bodyDiv w:val="1"/>
      <w:marLeft w:val="0"/>
      <w:marRight w:val="0"/>
      <w:marTop w:val="0"/>
      <w:marBottom w:val="0"/>
      <w:divBdr>
        <w:top w:val="none" w:sz="0" w:space="0" w:color="auto"/>
        <w:left w:val="none" w:sz="0" w:space="0" w:color="auto"/>
        <w:bottom w:val="none" w:sz="0" w:space="0" w:color="auto"/>
        <w:right w:val="none" w:sz="0" w:space="0" w:color="auto"/>
      </w:divBdr>
    </w:div>
    <w:div w:id="1993559661">
      <w:bodyDiv w:val="1"/>
      <w:marLeft w:val="0"/>
      <w:marRight w:val="0"/>
      <w:marTop w:val="0"/>
      <w:marBottom w:val="0"/>
      <w:divBdr>
        <w:top w:val="none" w:sz="0" w:space="0" w:color="auto"/>
        <w:left w:val="none" w:sz="0" w:space="0" w:color="auto"/>
        <w:bottom w:val="none" w:sz="0" w:space="0" w:color="auto"/>
        <w:right w:val="none" w:sz="0" w:space="0" w:color="auto"/>
      </w:divBdr>
    </w:div>
    <w:div w:id="21053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28/CMR.16.3.497-516.2003" TargetMode="External" /><Relationship Id="rId13" Type="http://schemas.openxmlformats.org/officeDocument/2006/relationships/hyperlink" Target="https://doi.org/10.3390/toxins14050312" TargetMode="External" /><Relationship Id="rId18" Type="http://schemas.openxmlformats.org/officeDocument/2006/relationships/hyperlink" Target="https://doi.org/10.1073/pnas.1320997111" TargetMode="External" /><Relationship Id="rId26" Type="http://schemas.openxmlformats.org/officeDocument/2006/relationships/hyperlink" Target="https://doi.org/10.1111/myc.13497" TargetMode="External" /><Relationship Id="rId39" Type="http://schemas.openxmlformats.org/officeDocument/2006/relationships/fontTable" Target="fontTable.xml" /><Relationship Id="rId3" Type="http://schemas.openxmlformats.org/officeDocument/2006/relationships/settings" Target="settings.xml" /><Relationship Id="rId21" Type="http://schemas.openxmlformats.org/officeDocument/2006/relationships/hyperlink" Target="https://doi.org/10.1080/00275514.2018.1491406" TargetMode="External" /><Relationship Id="rId34" Type="http://schemas.openxmlformats.org/officeDocument/2006/relationships/hyperlink" Target="https://doi.org/10.1016/j.etap.2021.103731" TargetMode="External" /><Relationship Id="rId7" Type="http://schemas.openxmlformats.org/officeDocument/2006/relationships/chart" Target="charts/chart1.xml" /><Relationship Id="rId12" Type="http://schemas.openxmlformats.org/officeDocument/2006/relationships/hyperlink" Target="https://doi.org/10.3114/sim.2011.70.01" TargetMode="External" /><Relationship Id="rId17" Type="http://schemas.openxmlformats.org/officeDocument/2006/relationships/hyperlink" Target="https://doi.org/10.3390/microorganisms9061177" TargetMode="External" /><Relationship Id="rId25" Type="http://schemas.openxmlformats.org/officeDocument/2006/relationships/hyperlink" Target="https://doi.org/10.1016/j.toxrep.2018.03.007" TargetMode="External" /><Relationship Id="rId33" Type="http://schemas.openxmlformats.org/officeDocument/2006/relationships/hyperlink" Target="https://doi.org/10.3390/toxins11080453" TargetMode="External" /><Relationship Id="rId38" Type="http://schemas.openxmlformats.org/officeDocument/2006/relationships/footer" Target="footer2.xml" /><Relationship Id="rId2" Type="http://schemas.openxmlformats.org/officeDocument/2006/relationships/styles" Target="styles.xml" /><Relationship Id="rId16" Type="http://schemas.openxmlformats.org/officeDocument/2006/relationships/hyperlink" Target="https://doi.org/10.1128/microbiolspec.FUNK-0047-2016" TargetMode="External" /><Relationship Id="rId20" Type="http://schemas.openxmlformats.org/officeDocument/2006/relationships/hyperlink" Target="https://doi.org/10.1016/j.fbr.2018.11.002" TargetMode="External" /><Relationship Id="rId29" Type="http://schemas.openxmlformats.org/officeDocument/2006/relationships/hyperlink" Target="https://doi.org/10.3389/fnut.2022.857216"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1016/j.fgb.2017.10.002" TargetMode="External" /><Relationship Id="rId24" Type="http://schemas.openxmlformats.org/officeDocument/2006/relationships/hyperlink" Target="https://doi.org/10.1111/1541-4337.12818" TargetMode="External" /><Relationship Id="rId32" Type="http://schemas.openxmlformats.org/officeDocument/2006/relationships/hyperlink" Target="https://doi.org/10.1016/j.simyco.2017.07.002" TargetMode="External" /><Relationship Id="rId37" Type="http://schemas.openxmlformats.org/officeDocument/2006/relationships/footer" Target="footer1.xml" /><Relationship Id="rId40"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https://doi.org/10.3389/fpubh.2021.652468" TargetMode="External" /><Relationship Id="rId23" Type="http://schemas.openxmlformats.org/officeDocument/2006/relationships/hyperlink" Target="https://doi.org/10.1016/j.envres.2020.109899" TargetMode="External" /><Relationship Id="rId28" Type="http://schemas.openxmlformats.org/officeDocument/2006/relationships/hyperlink" Target="https://doi.org/10.3390/microorganisms9030659" TargetMode="External" /><Relationship Id="rId36" Type="http://schemas.openxmlformats.org/officeDocument/2006/relationships/hyperlink" Target="https://doi.org/10.1016/j.fbr.2017.12.003" TargetMode="External" /><Relationship Id="rId10" Type="http://schemas.openxmlformats.org/officeDocument/2006/relationships/hyperlink" Target="https://doi.org/10.1038/s41579-020-0360-3" TargetMode="External" /><Relationship Id="rId19" Type="http://schemas.openxmlformats.org/officeDocument/2006/relationships/hyperlink" Target="https://doi.org/10.2147/IDR.S291313" TargetMode="External" /><Relationship Id="rId31" Type="http://schemas.openxmlformats.org/officeDocument/2006/relationships/hyperlink" Target="https://doi.org/10.3390/toxins14030170" TargetMode="External" /><Relationship Id="rId4" Type="http://schemas.openxmlformats.org/officeDocument/2006/relationships/webSettings" Target="webSettings.xml" /><Relationship Id="rId9" Type="http://schemas.openxmlformats.org/officeDocument/2006/relationships/hyperlink" Target="https://doi.org/10.3390/ijerph182211771" TargetMode="External" /><Relationship Id="rId14" Type="http://schemas.openxmlformats.org/officeDocument/2006/relationships/hyperlink" Target="https://doi.org/10.3389/fmicb.2019.01168" TargetMode="External" /><Relationship Id="rId22" Type="http://schemas.openxmlformats.org/officeDocument/2006/relationships/hyperlink" Target="https://doi.org/10.1016/j.simyco.2020.05.001" TargetMode="External" /><Relationship Id="rId27" Type="http://schemas.openxmlformats.org/officeDocument/2006/relationships/hyperlink" Target="https://doi.org/10.1016/j.simyco.2020.01.002" TargetMode="External" /><Relationship Id="rId30" Type="http://schemas.openxmlformats.org/officeDocument/2006/relationships/hyperlink" Target="https://doi.org/10.3390/toxins12060387" TargetMode="External" /><Relationship Id="rId35" Type="http://schemas.openxmlformats.org/officeDocument/2006/relationships/hyperlink" Target="https://doi.org/10.1007/s12550-022-00447-2" TargetMode="External" /></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toxin conc. administration</a:t>
            </a:r>
            <a:endParaRPr lang="en-US" sz="1400"/>
          </a:p>
        </c:rich>
      </c:tx>
      <c:layout>
        <c:manualLayout>
          <c:xMode val="edge"/>
          <c:yMode val="edge"/>
          <c:x val="0.13721805875105042"/>
          <c:y val="3.1746031746031744E-2"/>
        </c:manualLayout>
      </c:layout>
      <c:overlay val="0"/>
    </c:title>
    <c:autoTitleDeleted val="0"/>
    <c:plotArea>
      <c:layout>
        <c:manualLayout>
          <c:layoutTarget val="inner"/>
          <c:xMode val="edge"/>
          <c:yMode val="edge"/>
          <c:x val="4.8871885035545591E-2"/>
          <c:y val="0.18270002157874271"/>
          <c:w val="0.91254655711073862"/>
          <c:h val="0.56362029636163324"/>
        </c:manualLayout>
      </c:layout>
      <c:barChart>
        <c:barDir val="col"/>
        <c:grouping val="clustered"/>
        <c:varyColors val="0"/>
        <c:ser>
          <c:idx val="0"/>
          <c:order val="0"/>
          <c:tx>
            <c:strRef>
              <c:f>Sheet1!$B$1</c:f>
              <c:strCache>
                <c:ptCount val="1"/>
                <c:pt idx="0">
                  <c:v>Red</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Sheet1!$B$2:$B$9</c:f>
              <c:numCache>
                <c:formatCode>General</c:formatCode>
                <c:ptCount val="8"/>
                <c:pt idx="0">
                  <c:v>5</c:v>
                </c:pt>
                <c:pt idx="1">
                  <c:v>4.5</c:v>
                </c:pt>
                <c:pt idx="2">
                  <c:v>5</c:v>
                </c:pt>
                <c:pt idx="3">
                  <c:v>4</c:v>
                </c:pt>
                <c:pt idx="4">
                  <c:v>3</c:v>
                </c:pt>
                <c:pt idx="5">
                  <c:v>2</c:v>
                </c:pt>
                <c:pt idx="6">
                  <c:v>1</c:v>
                </c:pt>
                <c:pt idx="7">
                  <c:v>0</c:v>
                </c:pt>
              </c:numCache>
            </c:numRef>
          </c:val>
          <c:extLst>
            <c:ext xmlns:c16="http://schemas.microsoft.com/office/drawing/2014/chart" uri="{C3380CC4-5D6E-409C-BE32-E72D297353CC}">
              <c16:uniqueId val="{00000000-A7AF-7D46-8D6D-99B6B99D0DA9}"/>
            </c:ext>
          </c:extLst>
        </c:ser>
        <c:ser>
          <c:idx val="1"/>
          <c:order val="1"/>
          <c:tx>
            <c:strRef>
              <c:f>Sheet1!$C$1</c:f>
              <c:strCache>
                <c:ptCount val="1"/>
                <c:pt idx="0">
                  <c:v>Blue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Sheet1!$C$2:$C$9</c:f>
              <c:numCache>
                <c:formatCode>General</c:formatCode>
                <c:ptCount val="8"/>
                <c:pt idx="0">
                  <c:v>5</c:v>
                </c:pt>
                <c:pt idx="1">
                  <c:v>4</c:v>
                </c:pt>
                <c:pt idx="2">
                  <c:v>5</c:v>
                </c:pt>
                <c:pt idx="3">
                  <c:v>4.5</c:v>
                </c:pt>
                <c:pt idx="4">
                  <c:v>3.5</c:v>
                </c:pt>
                <c:pt idx="5">
                  <c:v>3</c:v>
                </c:pt>
                <c:pt idx="6">
                  <c:v>1</c:v>
                </c:pt>
                <c:pt idx="7">
                  <c:v>1</c:v>
                </c:pt>
              </c:numCache>
            </c:numRef>
          </c:val>
          <c:extLst>
            <c:ext xmlns:c16="http://schemas.microsoft.com/office/drawing/2014/chart" uri="{C3380CC4-5D6E-409C-BE32-E72D297353CC}">
              <c16:uniqueId val="{00000001-A7AF-7D46-8D6D-99B6B99D0DA9}"/>
            </c:ext>
          </c:extLst>
        </c:ser>
        <c:ser>
          <c:idx val="2"/>
          <c:order val="2"/>
          <c:tx>
            <c:strRef>
              <c:f>Sheet1!$D$1</c:f>
              <c:strCache>
                <c:ptCount val="1"/>
                <c:pt idx="0">
                  <c:v>Green</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Sheet1!$D$2:$D$9</c:f>
              <c:numCache>
                <c:formatCode>General</c:formatCode>
                <c:ptCount val="8"/>
                <c:pt idx="0">
                  <c:v>5</c:v>
                </c:pt>
                <c:pt idx="1">
                  <c:v>5</c:v>
                </c:pt>
                <c:pt idx="2">
                  <c:v>4.5</c:v>
                </c:pt>
                <c:pt idx="3">
                  <c:v>5</c:v>
                </c:pt>
                <c:pt idx="4">
                  <c:v>4</c:v>
                </c:pt>
                <c:pt idx="5">
                  <c:v>3</c:v>
                </c:pt>
                <c:pt idx="6">
                  <c:v>2</c:v>
                </c:pt>
                <c:pt idx="7">
                  <c:v>1</c:v>
                </c:pt>
              </c:numCache>
            </c:numRef>
          </c:val>
          <c:extLst>
            <c:ext xmlns:c16="http://schemas.microsoft.com/office/drawing/2014/chart" uri="{C3380CC4-5D6E-409C-BE32-E72D297353CC}">
              <c16:uniqueId val="{00000002-A7AF-7D46-8D6D-99B6B99D0DA9}"/>
            </c:ext>
          </c:extLst>
        </c:ser>
        <c:ser>
          <c:idx val="3"/>
          <c:order val="3"/>
          <c:tx>
            <c:strRef>
              <c:f>Sheet1!$E$1</c:f>
              <c:strCache>
                <c:ptCount val="1"/>
                <c:pt idx="0">
                  <c:v>Black</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Sheet1!$E$2:$E$9</c:f>
              <c:numCache>
                <c:formatCode>General</c:formatCode>
                <c:ptCount val="8"/>
                <c:pt idx="0">
                  <c:v>5</c:v>
                </c:pt>
                <c:pt idx="1">
                  <c:v>5.5</c:v>
                </c:pt>
                <c:pt idx="2">
                  <c:v>5</c:v>
                </c:pt>
                <c:pt idx="3">
                  <c:v>4.5</c:v>
                </c:pt>
                <c:pt idx="4">
                  <c:v>4</c:v>
                </c:pt>
                <c:pt idx="5">
                  <c:v>3</c:v>
                </c:pt>
                <c:pt idx="6">
                  <c:v>2</c:v>
                </c:pt>
                <c:pt idx="7">
                  <c:v>1</c:v>
                </c:pt>
              </c:numCache>
            </c:numRef>
          </c:val>
          <c:extLst>
            <c:ext xmlns:c16="http://schemas.microsoft.com/office/drawing/2014/chart" uri="{C3380CC4-5D6E-409C-BE32-E72D297353CC}">
              <c16:uniqueId val="{00000003-A7AF-7D46-8D6D-99B6B99D0DA9}"/>
            </c:ext>
          </c:extLst>
        </c:ser>
        <c:ser>
          <c:idx val="4"/>
          <c:order val="4"/>
          <c:tx>
            <c:strRef>
              <c:f>Sheet1!$F$1</c:f>
              <c:strCache>
                <c:ptCount val="1"/>
                <c:pt idx="0">
                  <c:v>Control</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Sheet1!$F$2:$F$9</c:f>
              <c:numCache>
                <c:formatCode>General</c:formatCode>
                <c:ptCount val="8"/>
                <c:pt idx="0">
                  <c:v>5</c:v>
                </c:pt>
                <c:pt idx="1">
                  <c:v>5.5</c:v>
                </c:pt>
                <c:pt idx="2">
                  <c:v>6</c:v>
                </c:pt>
                <c:pt idx="3">
                  <c:v>6</c:v>
                </c:pt>
                <c:pt idx="4">
                  <c:v>6.5</c:v>
                </c:pt>
                <c:pt idx="5">
                  <c:v>6.5</c:v>
                </c:pt>
                <c:pt idx="6">
                  <c:v>7</c:v>
                </c:pt>
                <c:pt idx="7">
                  <c:v>8</c:v>
                </c:pt>
              </c:numCache>
            </c:numRef>
          </c:val>
          <c:extLst>
            <c:ext xmlns:c16="http://schemas.microsoft.com/office/drawing/2014/chart" uri="{C3380CC4-5D6E-409C-BE32-E72D297353CC}">
              <c16:uniqueId val="{00000004-A7AF-7D46-8D6D-99B6B99D0DA9}"/>
            </c:ext>
          </c:extLst>
        </c:ser>
        <c:dLbls>
          <c:showLegendKey val="0"/>
          <c:showVal val="0"/>
          <c:showCatName val="0"/>
          <c:showSerName val="0"/>
          <c:showPercent val="0"/>
          <c:showBubbleSize val="0"/>
        </c:dLbls>
        <c:gapWidth val="145"/>
        <c:overlap val="-15"/>
        <c:axId val="263835648"/>
        <c:axId val="263837184"/>
      </c:barChart>
      <c:catAx>
        <c:axId val="263835648"/>
        <c:scaling>
          <c:orientation val="minMax"/>
        </c:scaling>
        <c:delete val="0"/>
        <c:axPos val="b"/>
        <c:numFmt formatCode="General" sourceLinked="0"/>
        <c:majorTickMark val="none"/>
        <c:minorTickMark val="none"/>
        <c:tickLblPos val="nextTo"/>
        <c:crossAx val="263837184"/>
        <c:crosses val="autoZero"/>
        <c:auto val="1"/>
        <c:lblAlgn val="ctr"/>
        <c:lblOffset val="100"/>
        <c:noMultiLvlLbl val="0"/>
      </c:catAx>
      <c:valAx>
        <c:axId val="263837184"/>
        <c:scaling>
          <c:orientation val="minMax"/>
        </c:scaling>
        <c:delete val="0"/>
        <c:axPos val="l"/>
        <c:majorGridlines/>
        <c:numFmt formatCode="General" sourceLinked="1"/>
        <c:majorTickMark val="none"/>
        <c:minorTickMark val="none"/>
        <c:tickLblPos val="nextTo"/>
        <c:spPr>
          <a:ln w="12700">
            <a:noFill/>
          </a:ln>
        </c:spPr>
        <c:crossAx val="263835648"/>
        <c:crosses val="autoZero"/>
        <c:crossBetween val="between"/>
      </c:valAx>
    </c:plotArea>
    <c:legend>
      <c:legendPos val="b"/>
      <c:legendEntry>
        <c:idx val="4"/>
        <c:delete val="1"/>
      </c:legendEntry>
      <c:layout>
        <c:manualLayout>
          <c:xMode val="edge"/>
          <c:yMode val="edge"/>
          <c:x val="2.3934678446136615E-2"/>
          <c:y val="0.85043820537714343"/>
          <c:w val="0.95676906702331199"/>
          <c:h val="9.622958412518933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9573</Words>
  <Characters>54568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phemmykolas@gmail.com</cp:lastModifiedBy>
  <cp:revision>2</cp:revision>
  <dcterms:created xsi:type="dcterms:W3CDTF">2025-07-12T16:19:00Z</dcterms:created>
  <dcterms:modified xsi:type="dcterms:W3CDTF">2025-07-12T16:19:00Z</dcterms:modified>
</cp:coreProperties>
</file>