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C9B" w:rsidRPr="00EC2D00" w:rsidRDefault="00121C9B" w:rsidP="009605AF">
      <w:pPr>
        <w:spacing w:line="480" w:lineRule="auto"/>
        <w:jc w:val="center"/>
        <w:rPr>
          <w:rFonts w:ascii="Times New Roman" w:hAnsi="Times New Roman" w:cs="Times New Roman"/>
          <w:sz w:val="28"/>
          <w:szCs w:val="28"/>
        </w:rPr>
      </w:pPr>
      <w:bookmarkStart w:id="0" w:name="_GoBack"/>
      <w:bookmarkEnd w:id="0"/>
      <w:r w:rsidRPr="00EC2D00">
        <w:rPr>
          <w:rFonts w:ascii="Times New Roman" w:hAnsi="Times New Roman" w:cs="Times New Roman"/>
          <w:sz w:val="28"/>
          <w:szCs w:val="28"/>
        </w:rPr>
        <w:t>CHAPTER ONE</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Pr="00EC2D00">
        <w:rPr>
          <w:rFonts w:ascii="Times New Roman" w:hAnsi="Times New Roman" w:cs="Times New Roman"/>
          <w:sz w:val="28"/>
          <w:szCs w:val="28"/>
        </w:rPr>
        <w:t>INTRODUCTIO</w:t>
      </w:r>
      <w:r>
        <w:rPr>
          <w:rFonts w:ascii="Times New Roman" w:hAnsi="Times New Roman" w:cs="Times New Roman"/>
          <w:sz w:val="28"/>
          <w:szCs w:val="28"/>
        </w:rPr>
        <w:t>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Fungi, as a kingdom of eukaryotic organisms, occupy a distinctive position in biological classification, set apart from plants, animals, and bacteria by their cellular composition and modes of reproduction. Characterized by their heterotrophic nature, fungi absorb nutrients through the enzymatic degradation of organic matter, playing a crucial role in decomposition and nutrient cycling in ecosystems (Kumar et al., 2021). While some fungi are beneficial used in food production, pharmaceuticals, and biotechnology others are known for their pathogenic and toxigenic potentials. This dichotomy highlights the importance of studying fungi not only for their utility but also for the risks they pose, particularly in the form of mycotoxins. Mycotoxins are secondary metabolites produced by certain fungal species, particularly those belonging to the genera </w:t>
      </w:r>
      <w:r w:rsidRPr="00F16258">
        <w:rPr>
          <w:rFonts w:ascii="Times New Roman" w:hAnsi="Times New Roman" w:cs="Times New Roman"/>
          <w:i/>
          <w:iCs/>
          <w:sz w:val="28"/>
          <w:szCs w:val="28"/>
        </w:rPr>
        <w:t>Aspergillus</w:t>
      </w:r>
      <w:r>
        <w:rPr>
          <w:rFonts w:ascii="Times New Roman" w:hAnsi="Times New Roman" w:cs="Times New Roman"/>
          <w:sz w:val="28"/>
          <w:szCs w:val="28"/>
        </w:rPr>
        <w:t xml:space="preserve">, </w:t>
      </w:r>
      <w:r w:rsidRPr="00F16258">
        <w:rPr>
          <w:rFonts w:ascii="Times New Roman" w:hAnsi="Times New Roman" w:cs="Times New Roman"/>
          <w:i/>
          <w:iCs/>
          <w:sz w:val="28"/>
          <w:szCs w:val="28"/>
        </w:rPr>
        <w:t>Fusarium</w:t>
      </w:r>
      <w:r>
        <w:rPr>
          <w:rFonts w:ascii="Times New Roman" w:hAnsi="Times New Roman" w:cs="Times New Roman"/>
          <w:sz w:val="28"/>
          <w:szCs w:val="28"/>
        </w:rPr>
        <w:t xml:space="preserve">, and </w:t>
      </w:r>
      <w:r w:rsidRPr="00F16258">
        <w:rPr>
          <w:rFonts w:ascii="Times New Roman" w:hAnsi="Times New Roman" w:cs="Times New Roman"/>
          <w:i/>
          <w:iCs/>
          <w:sz w:val="28"/>
          <w:szCs w:val="28"/>
        </w:rPr>
        <w:t>Penicillium</w:t>
      </w:r>
      <w:r>
        <w:rPr>
          <w:rFonts w:ascii="Times New Roman" w:hAnsi="Times New Roman" w:cs="Times New Roman"/>
          <w:sz w:val="28"/>
          <w:szCs w:val="28"/>
        </w:rPr>
        <w:t xml:space="preserve">. Among these, </w:t>
      </w:r>
      <w:r w:rsidRPr="00F16258">
        <w:rPr>
          <w:rFonts w:ascii="Times New Roman" w:hAnsi="Times New Roman" w:cs="Times New Roman"/>
          <w:i/>
          <w:iCs/>
          <w:sz w:val="28"/>
          <w:szCs w:val="28"/>
        </w:rPr>
        <w:t>Penicillium</w:t>
      </w:r>
      <w:r>
        <w:rPr>
          <w:rFonts w:ascii="Times New Roman" w:hAnsi="Times New Roman" w:cs="Times New Roman"/>
          <w:sz w:val="28"/>
          <w:szCs w:val="28"/>
        </w:rPr>
        <w:t xml:space="preserve"> species are especially significant in the context of food spoilage and toxin production. While the genus is historically celebrated for </w:t>
      </w:r>
      <w:r w:rsidRPr="00F16258">
        <w:rPr>
          <w:rFonts w:ascii="Times New Roman" w:hAnsi="Times New Roman" w:cs="Times New Roman"/>
          <w:i/>
          <w:iCs/>
          <w:sz w:val="28"/>
          <w:szCs w:val="28"/>
        </w:rPr>
        <w:t>Penicilliumchrysogenum</w:t>
      </w:r>
      <w:r>
        <w:rPr>
          <w:rFonts w:ascii="Times New Roman" w:hAnsi="Times New Roman" w:cs="Times New Roman"/>
          <w:sz w:val="28"/>
          <w:szCs w:val="28"/>
        </w:rPr>
        <w:t xml:space="preserve">, the source of </w:t>
      </w:r>
      <w:r>
        <w:rPr>
          <w:rFonts w:ascii="Times New Roman" w:hAnsi="Times New Roman" w:cs="Times New Roman"/>
          <w:sz w:val="28"/>
          <w:szCs w:val="28"/>
        </w:rPr>
        <w:lastRenderedPageBreak/>
        <w:t xml:space="preserve">the antibiotic penicillin, it also includes toxigenic species such as </w:t>
      </w:r>
      <w:r w:rsidRPr="00F16258">
        <w:rPr>
          <w:rFonts w:ascii="Times New Roman" w:hAnsi="Times New Roman" w:cs="Times New Roman"/>
          <w:i/>
          <w:iCs/>
          <w:sz w:val="28"/>
          <w:szCs w:val="28"/>
        </w:rPr>
        <w:t>Penicilliumexpansum</w:t>
      </w:r>
      <w:r>
        <w:rPr>
          <w:rFonts w:ascii="Times New Roman" w:hAnsi="Times New Roman" w:cs="Times New Roman"/>
          <w:sz w:val="28"/>
          <w:szCs w:val="28"/>
        </w:rPr>
        <w:t>, which produces patulin a mycotoxin of considerable concern in food safety (Puel et al., 2018).</w:t>
      </w:r>
    </w:p>
    <w:p w:rsidR="00BE21A0" w:rsidRDefault="00BE21A0" w:rsidP="00BE21A0">
      <w:pPr>
        <w:spacing w:line="480" w:lineRule="auto"/>
        <w:jc w:val="both"/>
        <w:rPr>
          <w:rFonts w:ascii="Times New Roman" w:hAnsi="Times New Roman" w:cs="Times New Roman"/>
          <w:sz w:val="28"/>
          <w:szCs w:val="28"/>
        </w:rPr>
      </w:pPr>
      <w:r w:rsidRPr="00077C7B">
        <w:rPr>
          <w:rFonts w:ascii="Times New Roman" w:hAnsi="Times New Roman" w:cs="Times New Roman"/>
          <w:i/>
          <w:iCs/>
          <w:sz w:val="28"/>
          <w:szCs w:val="28"/>
        </w:rPr>
        <w:t>Penicillium expansum</w:t>
      </w:r>
      <w:r>
        <w:rPr>
          <w:rFonts w:ascii="Times New Roman" w:hAnsi="Times New Roman" w:cs="Times New Roman"/>
          <w:sz w:val="28"/>
          <w:szCs w:val="28"/>
        </w:rPr>
        <w:t xml:space="preserve">, a filamentous fungus, is commonly found on decaying fruits, especially apples and pears. Its ability to thrive in post-harvest storage environments allows it to infiltrate fruit-processing chains, leading to widespread contamination of fruit products. The mycotoxin patulin is its principal metabolite of concern. Patulin is a polyketide compound with a characteristic lactone ring that imparts biological activity and toxicity. Structurally, it is a small molecule that remains stable under mild heat and pH conditions, making it resistant to conventional food-processing methods like pasteurization (Drusch &amp; Ragab, 2021). Patulin is not the only toxin associated with </w:t>
      </w:r>
      <w:r w:rsidRPr="00077C7B">
        <w:rPr>
          <w:rFonts w:ascii="Times New Roman" w:hAnsi="Times New Roman" w:cs="Times New Roman"/>
          <w:i/>
          <w:iCs/>
          <w:sz w:val="28"/>
          <w:szCs w:val="28"/>
        </w:rPr>
        <w:t>Penicillium</w:t>
      </w:r>
      <w:r>
        <w:rPr>
          <w:rFonts w:ascii="Times New Roman" w:hAnsi="Times New Roman" w:cs="Times New Roman"/>
          <w:sz w:val="28"/>
          <w:szCs w:val="28"/>
        </w:rPr>
        <w:t xml:space="preserve"> species. Several other secondary metabolites of toxicological interest include citrinin, ochratoxin A, roquefortine C, and mycophenolic acid, produced by various Penicillium strains (Pitt &amp; Hocking, 2009). For example:</w:t>
      </w:r>
    </w:p>
    <w:p w:rsidR="00BE21A0" w:rsidRDefault="00BE21A0" w:rsidP="00BE21A0">
      <w:pPr>
        <w:spacing w:line="480" w:lineRule="auto"/>
        <w:jc w:val="both"/>
        <w:rPr>
          <w:rFonts w:ascii="Times New Roman" w:hAnsi="Times New Roman" w:cs="Times New Roman"/>
          <w:sz w:val="28"/>
          <w:szCs w:val="28"/>
        </w:rPr>
      </w:pPr>
      <w:r w:rsidRPr="00286C68">
        <w:rPr>
          <w:rFonts w:ascii="Times New Roman" w:hAnsi="Times New Roman" w:cs="Times New Roman"/>
          <w:b/>
          <w:bCs/>
          <w:sz w:val="28"/>
          <w:szCs w:val="28"/>
        </w:rPr>
        <w:lastRenderedPageBreak/>
        <w:t>Citrinin</w:t>
      </w:r>
      <w:r>
        <w:rPr>
          <w:rFonts w:ascii="Times New Roman" w:hAnsi="Times New Roman" w:cs="Times New Roman"/>
          <w:sz w:val="28"/>
          <w:szCs w:val="28"/>
        </w:rPr>
        <w:t xml:space="preserve">: Produced by </w:t>
      </w:r>
      <w:r w:rsidRPr="00077C7B">
        <w:rPr>
          <w:rFonts w:ascii="Times New Roman" w:hAnsi="Times New Roman" w:cs="Times New Roman"/>
          <w:i/>
          <w:iCs/>
          <w:sz w:val="28"/>
          <w:szCs w:val="28"/>
        </w:rPr>
        <w:t>Penicilliumcitrinum</w:t>
      </w:r>
      <w:r>
        <w:rPr>
          <w:rFonts w:ascii="Times New Roman" w:hAnsi="Times New Roman" w:cs="Times New Roman"/>
          <w:sz w:val="28"/>
          <w:szCs w:val="28"/>
        </w:rPr>
        <w:t xml:space="preserve"> and occasionally by </w:t>
      </w:r>
      <w:r w:rsidRPr="00286C68">
        <w:rPr>
          <w:rFonts w:ascii="Times New Roman" w:hAnsi="Times New Roman" w:cs="Times New Roman"/>
          <w:i/>
          <w:iCs/>
          <w:sz w:val="28"/>
          <w:szCs w:val="28"/>
        </w:rPr>
        <w:t>Penicillium expansum</w:t>
      </w:r>
      <w:r>
        <w:rPr>
          <w:rFonts w:ascii="Times New Roman" w:hAnsi="Times New Roman" w:cs="Times New Roman"/>
          <w:sz w:val="28"/>
          <w:szCs w:val="28"/>
        </w:rPr>
        <w:t>, this toxin primarily affects kidney function and has been implicated in nephropathy in humans and animals (Flajs &amp; Peraica, 2009).</w:t>
      </w:r>
    </w:p>
    <w:p w:rsidR="00BE21A0" w:rsidRDefault="00BE21A0" w:rsidP="00BE21A0">
      <w:pPr>
        <w:spacing w:line="480" w:lineRule="auto"/>
        <w:jc w:val="both"/>
        <w:rPr>
          <w:rFonts w:ascii="Times New Roman" w:hAnsi="Times New Roman" w:cs="Times New Roman"/>
          <w:sz w:val="28"/>
          <w:szCs w:val="28"/>
        </w:rPr>
      </w:pPr>
      <w:r w:rsidRPr="00BE78A0">
        <w:rPr>
          <w:rFonts w:ascii="Times New Roman" w:hAnsi="Times New Roman" w:cs="Times New Roman"/>
          <w:b/>
          <w:bCs/>
          <w:sz w:val="28"/>
          <w:szCs w:val="28"/>
        </w:rPr>
        <w:t>Ochratoxin A (OTA):</w:t>
      </w:r>
      <w:r>
        <w:rPr>
          <w:rFonts w:ascii="Times New Roman" w:hAnsi="Times New Roman" w:cs="Times New Roman"/>
          <w:sz w:val="28"/>
          <w:szCs w:val="28"/>
        </w:rPr>
        <w:t xml:space="preserve"> Though primarily produced by </w:t>
      </w:r>
      <w:r w:rsidRPr="00286C68">
        <w:rPr>
          <w:rFonts w:ascii="Times New Roman" w:hAnsi="Times New Roman" w:cs="Times New Roman"/>
          <w:i/>
          <w:iCs/>
          <w:sz w:val="28"/>
          <w:szCs w:val="28"/>
        </w:rPr>
        <w:t>Aspergillusochraceus</w:t>
      </w:r>
      <w:r>
        <w:rPr>
          <w:rFonts w:ascii="Times New Roman" w:hAnsi="Times New Roman" w:cs="Times New Roman"/>
          <w:sz w:val="28"/>
          <w:szCs w:val="28"/>
        </w:rPr>
        <w:t xml:space="preserve">, some </w:t>
      </w:r>
      <w:r w:rsidRPr="00286C68">
        <w:rPr>
          <w:rFonts w:ascii="Times New Roman" w:hAnsi="Times New Roman" w:cs="Times New Roman"/>
          <w:i/>
          <w:iCs/>
          <w:sz w:val="28"/>
          <w:szCs w:val="28"/>
        </w:rPr>
        <w:t>Penicillium</w:t>
      </w:r>
      <w:r>
        <w:rPr>
          <w:rFonts w:ascii="Times New Roman" w:hAnsi="Times New Roman" w:cs="Times New Roman"/>
          <w:sz w:val="28"/>
          <w:szCs w:val="28"/>
        </w:rPr>
        <w:t xml:space="preserve"> species also produce OTA, which is nephrotoxic, carcinogenic, and teratogenic. It contaminates cereals, coffee, and dried fruits (Petzinger &amp; Weidenbach, 2021).</w:t>
      </w:r>
    </w:p>
    <w:p w:rsidR="00BE21A0" w:rsidRDefault="00BE21A0" w:rsidP="00BE21A0">
      <w:pPr>
        <w:spacing w:line="480" w:lineRule="auto"/>
        <w:jc w:val="both"/>
        <w:rPr>
          <w:rFonts w:ascii="Times New Roman" w:hAnsi="Times New Roman" w:cs="Times New Roman"/>
          <w:sz w:val="28"/>
          <w:szCs w:val="28"/>
        </w:rPr>
      </w:pPr>
      <w:r w:rsidRPr="00BE78A0">
        <w:rPr>
          <w:rFonts w:ascii="Times New Roman" w:hAnsi="Times New Roman" w:cs="Times New Roman"/>
          <w:b/>
          <w:bCs/>
          <w:sz w:val="28"/>
          <w:szCs w:val="28"/>
        </w:rPr>
        <w:t>Roquefortine C:</w:t>
      </w:r>
      <w:r>
        <w:rPr>
          <w:rFonts w:ascii="Times New Roman" w:hAnsi="Times New Roman" w:cs="Times New Roman"/>
          <w:sz w:val="28"/>
          <w:szCs w:val="28"/>
        </w:rPr>
        <w:t xml:space="preserve"> Found in blue cheese-producing species such as </w:t>
      </w:r>
      <w:r w:rsidRPr="00286C68">
        <w:rPr>
          <w:rFonts w:ascii="Times New Roman" w:hAnsi="Times New Roman" w:cs="Times New Roman"/>
          <w:i/>
          <w:iCs/>
          <w:sz w:val="28"/>
          <w:szCs w:val="28"/>
        </w:rPr>
        <w:t>Penicilliumroqueforti</w:t>
      </w:r>
      <w:r>
        <w:rPr>
          <w:rFonts w:ascii="Times New Roman" w:hAnsi="Times New Roman" w:cs="Times New Roman"/>
          <w:sz w:val="28"/>
          <w:szCs w:val="28"/>
        </w:rPr>
        <w:t>, it has neurotoxic effects at high concentrations, though its presence in food is usually minimal (Frisvad et al., 2004).</w:t>
      </w:r>
    </w:p>
    <w:p w:rsidR="00BE21A0" w:rsidRDefault="00BE21A0" w:rsidP="00BE21A0">
      <w:pPr>
        <w:spacing w:line="480" w:lineRule="auto"/>
        <w:jc w:val="both"/>
        <w:rPr>
          <w:rFonts w:ascii="Times New Roman" w:hAnsi="Times New Roman" w:cs="Times New Roman"/>
          <w:sz w:val="28"/>
          <w:szCs w:val="28"/>
        </w:rPr>
      </w:pPr>
      <w:r w:rsidRPr="00BE78A0">
        <w:rPr>
          <w:rFonts w:ascii="Times New Roman" w:hAnsi="Times New Roman" w:cs="Times New Roman"/>
          <w:b/>
          <w:bCs/>
          <w:sz w:val="28"/>
          <w:szCs w:val="28"/>
        </w:rPr>
        <w:t>Mycophenolic acid</w:t>
      </w:r>
      <w:r>
        <w:rPr>
          <w:rFonts w:ascii="Times New Roman" w:hAnsi="Times New Roman" w:cs="Times New Roman"/>
          <w:sz w:val="28"/>
          <w:szCs w:val="28"/>
        </w:rPr>
        <w:t xml:space="preserve">: An immunosuppressive agent originally isolated from </w:t>
      </w:r>
      <w:r w:rsidRPr="00286C68">
        <w:rPr>
          <w:rFonts w:ascii="Times New Roman" w:hAnsi="Times New Roman" w:cs="Times New Roman"/>
          <w:i/>
          <w:iCs/>
          <w:sz w:val="28"/>
          <w:szCs w:val="28"/>
        </w:rPr>
        <w:t>Penicillium brevicompactum</w:t>
      </w:r>
      <w:r>
        <w:rPr>
          <w:rFonts w:ascii="Times New Roman" w:hAnsi="Times New Roman" w:cs="Times New Roman"/>
          <w:sz w:val="28"/>
          <w:szCs w:val="28"/>
        </w:rPr>
        <w:t xml:space="preserve">, used pharmacologically in transplant medicine, but concerning when found in food products (Tiraboschi et al., 2021). Among these, patulin remains the most prominent due to its association with commonly consumed fruit products. Patulin’s toxicity includes mutagenic, genotoxic, immunotoxic, and gastrointestinal effects. Acute exposure causes symptoms such as nausea, vomiting, and intestinal </w:t>
      </w:r>
      <w:r>
        <w:rPr>
          <w:rFonts w:ascii="Times New Roman" w:hAnsi="Times New Roman" w:cs="Times New Roman"/>
          <w:sz w:val="28"/>
          <w:szCs w:val="28"/>
        </w:rPr>
        <w:lastRenderedPageBreak/>
        <w:t xml:space="preserve">hemorrhaging, while chronic exposure has been linked to immune suppression and neurotoxicity (Pfohl-Leszkowicz &amp; Manderville, 2020). The International Agency for Research on Cancer (IARC) currently classifies patulin in Group 3, meaning it is not classifiable as to its carcinogenicity to humans due to insufficient evidence (IARC, 2017). Nevertheless, the compound’s potential to damage DNA and cellular structures warrants strict monitoring and control. The global regulatory concern about patulin has prompted numerous countries and international bodies, including the World Health Organization (WHO) and Food and Agriculture Organization (FAO), to establish maximum permissible levels in food. The European Commission and United States Food and Drug Administration (FDA) have set maximum limits for patulin in apple products at 50 µg/kg for general products and 10–25 µg/kg for baby foods (Codex Alimentarius, 2020). These standards reflect a precautionary approach grounded in toxicological risk assessment studies conducted over several decades. In the context of scientific studies aimed at evaluating patulin’s potency and toxicological impact, controlled laboratory production of the toxin is essential. The production process typically involves the </w:t>
      </w:r>
      <w:r>
        <w:rPr>
          <w:rFonts w:ascii="Times New Roman" w:hAnsi="Times New Roman" w:cs="Times New Roman"/>
          <w:sz w:val="28"/>
          <w:szCs w:val="28"/>
        </w:rPr>
        <w:lastRenderedPageBreak/>
        <w:t xml:space="preserve">cultivation of </w:t>
      </w:r>
      <w:r w:rsidRPr="007A378C">
        <w:rPr>
          <w:rFonts w:ascii="Times New Roman" w:hAnsi="Times New Roman" w:cs="Times New Roman"/>
          <w:i/>
          <w:iCs/>
          <w:sz w:val="28"/>
          <w:szCs w:val="28"/>
        </w:rPr>
        <w:t>Penicillium expansum</w:t>
      </w:r>
      <w:r>
        <w:rPr>
          <w:rFonts w:ascii="Times New Roman" w:hAnsi="Times New Roman" w:cs="Times New Roman"/>
          <w:sz w:val="28"/>
          <w:szCs w:val="28"/>
        </w:rPr>
        <w:t xml:space="preserve"> under optimized growth conditions that promote secondary metabolite synthesis. Low-cost production strategies have been developed to minimize expenses while maintaining yield and purity.</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1.1 LITERATURE REVIEW</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Early research by Riley and Norred (2018) explored the toxic effects of patulin on rodents, revealing that oral administration led to gastrointestinal disturbances, immunosuppression, and neurotoxicity. A follow-up study by Wang et al. (2020) confirmed these findings, demonstrating that exposure to patulin at high doses caused oxidative stress and cellular apoptosis in rat liver and kidney tissues. Their study further identified a dose-dependent relationship, where higher concentrations of patulin led to significant disruptions in metabolic and inflammatory pathways. In another notable experiment, Wu et al. (2019) administered patulin to mice and observed neurobehavioral changes, indicating that the mycotoxin could affect cognitive functions. The study linked patulin exposure to oxidative damage in the brain, reduced antioxidant enzyme activity, and increased levels of </w:t>
      </w:r>
      <w:r>
        <w:rPr>
          <w:rFonts w:ascii="Times New Roman" w:hAnsi="Times New Roman" w:cs="Times New Roman"/>
          <w:sz w:val="28"/>
          <w:szCs w:val="28"/>
        </w:rPr>
        <w:lastRenderedPageBreak/>
        <w:t xml:space="preserve">pro-inflammatory cytokines. Additionally, studies have investigated the teratogenic and reproductive effects of </w:t>
      </w:r>
      <w:r>
        <w:rPr>
          <w:rFonts w:ascii="Times New Roman" w:hAnsi="Times New Roman" w:cs="Times New Roman"/>
          <w:iCs/>
          <w:sz w:val="28"/>
          <w:szCs w:val="28"/>
        </w:rPr>
        <w:t>patuli</w:t>
      </w:r>
      <w:r>
        <w:rPr>
          <w:rFonts w:ascii="Times New Roman" w:hAnsi="Times New Roman" w:cs="Times New Roman"/>
          <w:i/>
          <w:iCs/>
          <w:sz w:val="28"/>
          <w:szCs w:val="28"/>
        </w:rPr>
        <w:t>n</w:t>
      </w:r>
      <w:r>
        <w:rPr>
          <w:rFonts w:ascii="Times New Roman" w:hAnsi="Times New Roman" w:cs="Times New Roman"/>
          <w:sz w:val="28"/>
          <w:szCs w:val="28"/>
        </w:rPr>
        <w:t xml:space="preserve">. A study by Escobar et al. (2020) exposed pregnant rats to different concentrations of patulin, revealing developmental abnormalities in offspring, including growth retardation and organ malformations. This supports the theory that patulin interferes with fetal development through endocrine disruption and DNA damage mechanisms. Further research by Huang et al. (2022) examined </w:t>
      </w:r>
      <w:r>
        <w:rPr>
          <w:rFonts w:ascii="Times New Roman" w:hAnsi="Times New Roman" w:cs="Times New Roman"/>
          <w:iCs/>
          <w:sz w:val="28"/>
          <w:szCs w:val="28"/>
        </w:rPr>
        <w:t>patulin’s</w:t>
      </w:r>
      <w:r>
        <w:rPr>
          <w:rFonts w:ascii="Times New Roman" w:hAnsi="Times New Roman" w:cs="Times New Roman"/>
          <w:sz w:val="28"/>
          <w:szCs w:val="28"/>
        </w:rPr>
        <w:t xml:space="preserve"> immunotoxic effects, finding that it suppresses immune cell proliferation, increasing susceptibility to infections. Their study suggested that patulin modulates cytokine production, leading to immune system dysregulation. In addition to animal models, in vitro studies using human and animal cell lines have provided insights into </w:t>
      </w:r>
      <w:r>
        <w:rPr>
          <w:rFonts w:ascii="Times New Roman" w:hAnsi="Times New Roman" w:cs="Times New Roman"/>
          <w:iCs/>
          <w:sz w:val="28"/>
          <w:szCs w:val="28"/>
        </w:rPr>
        <w:t>patulin’s</w:t>
      </w:r>
      <w:r>
        <w:rPr>
          <w:rFonts w:ascii="Times New Roman" w:hAnsi="Times New Roman" w:cs="Times New Roman"/>
          <w:sz w:val="28"/>
          <w:szCs w:val="28"/>
        </w:rPr>
        <w:t xml:space="preserve"> toxicity at the cellular level. A study by Li et al. (2020) cultured human liver cells with varying concentrations of </w:t>
      </w:r>
      <w:r>
        <w:rPr>
          <w:rFonts w:ascii="Times New Roman" w:hAnsi="Times New Roman" w:cs="Times New Roman"/>
          <w:iCs/>
          <w:sz w:val="28"/>
          <w:szCs w:val="28"/>
        </w:rPr>
        <w:t>patulin</w:t>
      </w:r>
      <w:r>
        <w:rPr>
          <w:rFonts w:ascii="Times New Roman" w:hAnsi="Times New Roman" w:cs="Times New Roman"/>
          <w:sz w:val="28"/>
          <w:szCs w:val="28"/>
        </w:rPr>
        <w:t xml:space="preserve"> and observed increased apoptosis, mitochondrial dysfunction, and DNA fragmentation. These results suggest that patulin-induced hepatotoxicity may involve mitochondrial-mediated pathways, reinforcing the oxidative stress theory. Furthermore, research by Kim et al. (2019) found that patulin disrupts tight junction proteins in intestinal epithelial cells, </w:t>
      </w:r>
      <w:r>
        <w:rPr>
          <w:rFonts w:ascii="Times New Roman" w:hAnsi="Times New Roman" w:cs="Times New Roman"/>
          <w:sz w:val="28"/>
          <w:szCs w:val="28"/>
        </w:rPr>
        <w:lastRenderedPageBreak/>
        <w:t>leading to increased intestinal permeability and gut inflammation. This supports the growing body of evidence linking patulin exposure to gastrointestinal disorders.</w:t>
      </w:r>
    </w:p>
    <w:p w:rsidR="00BE21A0" w:rsidRDefault="00BE21A0" w:rsidP="00BE21A0">
      <w:pPr>
        <w:pStyle w:val="NormalWeb"/>
        <w:spacing w:line="480" w:lineRule="auto"/>
        <w:jc w:val="both"/>
        <w:rPr>
          <w:sz w:val="28"/>
          <w:szCs w:val="28"/>
        </w:rPr>
      </w:pPr>
      <w:r>
        <w:rPr>
          <w:sz w:val="28"/>
          <w:szCs w:val="28"/>
        </w:rPr>
        <w:t xml:space="preserve">Despite extensive research on patulin, significant gaps remain regarding its biosynthesis, detection, toxicity mechanisms, mitigation strategies and the potency of toxin at different concentration. While studies have established that </w:t>
      </w:r>
      <w:r>
        <w:rPr>
          <w:rStyle w:val="Emphasis"/>
          <w:sz w:val="28"/>
          <w:szCs w:val="28"/>
        </w:rPr>
        <w:t>Penicillium expansum</w:t>
      </w:r>
      <w:r>
        <w:rPr>
          <w:sz w:val="28"/>
          <w:szCs w:val="28"/>
        </w:rPr>
        <w:t xml:space="preserve"> is the primary producer of patulin, recent research suggests that other fungal species, such as </w:t>
      </w:r>
      <w:r>
        <w:rPr>
          <w:rStyle w:val="Emphasis"/>
          <w:sz w:val="28"/>
          <w:szCs w:val="28"/>
        </w:rPr>
        <w:t>Aspergillus</w:t>
      </w:r>
      <w:r>
        <w:rPr>
          <w:sz w:val="28"/>
          <w:szCs w:val="28"/>
        </w:rPr>
        <w:t xml:space="preserve"> and </w:t>
      </w:r>
      <w:r>
        <w:rPr>
          <w:rStyle w:val="Emphasis"/>
          <w:sz w:val="28"/>
          <w:szCs w:val="28"/>
        </w:rPr>
        <w:t>Byssochlamys</w:t>
      </w:r>
      <w:r>
        <w:rPr>
          <w:sz w:val="28"/>
          <w:szCs w:val="28"/>
        </w:rPr>
        <w:t xml:space="preserve">, may also contribute to contamination in specific environmental conditions (Li et al., 2020). However, limited studies have explored their role in patulin production and how environmental factors influence toxin synthesis. Understanding these variations is crucial for improving food safety measures, especially in stored and processed fruits. Another critical research gap involves the precise molecular mechanisms underlying </w:t>
      </w:r>
      <w:r>
        <w:rPr>
          <w:iCs/>
          <w:sz w:val="28"/>
          <w:szCs w:val="28"/>
        </w:rPr>
        <w:t>patulin’s</w:t>
      </w:r>
      <w:r>
        <w:rPr>
          <w:sz w:val="28"/>
          <w:szCs w:val="28"/>
        </w:rPr>
        <w:t xml:space="preserve"> toxicity. Studies have shown that patulin induces oxidative stress and apoptosis in mammalian cells, but the signaling pathways involved remain poorly defined (Zhang et al., 2021). For instance, while patulin has been </w:t>
      </w:r>
      <w:r>
        <w:rPr>
          <w:sz w:val="28"/>
          <w:szCs w:val="28"/>
        </w:rPr>
        <w:lastRenderedPageBreak/>
        <w:t xml:space="preserve">linked to mitochondrial dysfunction, the role of specific mitochondrial proteins in mediating its toxic effects requires further investigation. Additionally, the long-term effects of low-dose patulin exposure remain unclear, particularly regarding chronic diseases such as cancer and neurodegenerative disorders. Epidemiological studies assessing </w:t>
      </w:r>
      <w:r>
        <w:rPr>
          <w:iCs/>
          <w:sz w:val="28"/>
          <w:szCs w:val="28"/>
        </w:rPr>
        <w:t>patulin’s</w:t>
      </w:r>
      <w:r>
        <w:rPr>
          <w:sz w:val="28"/>
          <w:szCs w:val="28"/>
        </w:rPr>
        <w:t xml:space="preserve"> cumulative impact on human health over time are lacking, making it difficult to establish definitive exposure limits. From a regulatory perspective, current patulin detection methods, such as high-performance liquid chromatography (HPLC) and enzyme-linked immunosorbent assays (ELISA), are widely used, but they have limitations in terms of sensitivity, specificity, and cost (Wang et al., 2020). Advanced techniques, such as biosensors and nanotechnology-based detection methods, have shown promise in preliminary studies, but their commercial application remains underdeveloped. More research is needed to validate these technologies for routine food safety assessments. Additionally, the regulatory thresholds for </w:t>
      </w:r>
      <w:r>
        <w:rPr>
          <w:iCs/>
          <w:sz w:val="28"/>
          <w:szCs w:val="28"/>
        </w:rPr>
        <w:t>patulin</w:t>
      </w:r>
      <w:r>
        <w:rPr>
          <w:sz w:val="28"/>
          <w:szCs w:val="28"/>
        </w:rPr>
        <w:t xml:space="preserve"> vary across countries, creating inconsistencies in global food safety standards. A standardized international framework for patulin monitoring is necessary to ensure consumer protection. Although animal studies have </w:t>
      </w:r>
      <w:r>
        <w:rPr>
          <w:sz w:val="28"/>
          <w:szCs w:val="28"/>
        </w:rPr>
        <w:lastRenderedPageBreak/>
        <w:t xml:space="preserve">provided valuable insights into patulin toxicity, most research has focused on acute exposure scenarios rather than chronic, low-dose ingestion, which is more relevant to human consumption patterns. For instance, previous rat studies have demonstrated hepatotoxicity, nephrotoxicity, and neurotoxicity at high doses, but the effects of prolonged exposure to trace amounts remain underexplored (Wu et al., 2019). Furthermore, while oxidative stress and inflammatory responses have been identified as major toxicological pathways, limited research has examined potential adaptive mechanisms in animals or humans that might mitigate patulin’s harmful effects. Another gap in existing research is the lack of comprehensive in vivo studies on the impact of </w:t>
      </w:r>
      <w:r>
        <w:rPr>
          <w:iCs/>
          <w:sz w:val="28"/>
          <w:szCs w:val="28"/>
        </w:rPr>
        <w:t>patulin</w:t>
      </w:r>
      <w:r>
        <w:rPr>
          <w:sz w:val="28"/>
          <w:szCs w:val="28"/>
        </w:rPr>
        <w:t xml:space="preserve"> on the gut microbiome. Recent studies have suggested that mycotoxins can disrupt gut microbial diversity, leading to metabolic disorders and immune dysregulation (Huang et al., 2022). However, few studies have directly investigated how </w:t>
      </w:r>
      <w:r w:rsidRPr="000D51BE">
        <w:rPr>
          <w:iCs/>
          <w:sz w:val="28"/>
          <w:szCs w:val="28"/>
        </w:rPr>
        <w:t>patulin</w:t>
      </w:r>
      <w:r>
        <w:rPr>
          <w:sz w:val="28"/>
          <w:szCs w:val="28"/>
        </w:rPr>
        <w:t xml:space="preserve"> affects the gut microbiota and whether probiotics or dietary interventions could counteract its toxicity. Addressing this gap could open new avenues for developing dietary strategies to reduce </w:t>
      </w:r>
      <w:r w:rsidRPr="000D51BE">
        <w:rPr>
          <w:iCs/>
          <w:sz w:val="28"/>
          <w:szCs w:val="28"/>
        </w:rPr>
        <w:t>patulin’s</w:t>
      </w:r>
      <w:r>
        <w:rPr>
          <w:sz w:val="28"/>
          <w:szCs w:val="28"/>
        </w:rPr>
        <w:t xml:space="preserve"> impact on human health. To bridge these gaps, future research should focus on developing more accurate and cost-effective </w:t>
      </w:r>
      <w:r>
        <w:rPr>
          <w:sz w:val="28"/>
          <w:szCs w:val="28"/>
        </w:rPr>
        <w:lastRenderedPageBreak/>
        <w:t xml:space="preserve">detection methods, particularly rapid on-site testing kits that could be implemented at various points in the food supply chain. Additionally, more studies are needed to assess the combined effects of patulin with other mycotoxins commonly found in food, as co-exposure may lead to synergistic toxic effects that are not well understood (Escobar et al., 2020). Furthermore, given the growing interest in natural and biological methods for controlling fungal contamination, research on the potential use of antifungal compounds, such as plant extracts and microbial biocontrol agents, should be expanded (Kim et al., 2019). Investigating the efficacy and safety of these alternative approaches could provide sustainable solutions for reducing patulin contamination in food products. Overall, addressing these research gaps will enhance our understanding of </w:t>
      </w:r>
      <w:r w:rsidRPr="002C6DEA">
        <w:rPr>
          <w:iCs/>
          <w:sz w:val="28"/>
          <w:szCs w:val="28"/>
        </w:rPr>
        <w:t>patulin’s</w:t>
      </w:r>
      <w:r>
        <w:rPr>
          <w:sz w:val="28"/>
          <w:szCs w:val="28"/>
        </w:rPr>
        <w:t>risks and contribute to the development of more effective prevention and mitigation strategies.</w:t>
      </w:r>
    </w:p>
    <w:p w:rsidR="00BE21A0" w:rsidRDefault="00BE21A0" w:rsidP="00BE21A0">
      <w:pPr>
        <w:pStyle w:val="NormalWeb"/>
        <w:spacing w:line="480" w:lineRule="auto"/>
        <w:jc w:val="both"/>
        <w:rPr>
          <w:sz w:val="28"/>
          <w:szCs w:val="28"/>
        </w:rPr>
      </w:pPr>
      <w:r>
        <w:rPr>
          <w:sz w:val="28"/>
          <w:szCs w:val="28"/>
        </w:rPr>
        <w:t xml:space="preserve">Given the identified research gaps in patulin studies, targeted approaches are necessary to improve our understanding of its biosynthesis, detection, toxicity mechanisms, and mitigation strategies. Addressing these gaps will </w:t>
      </w:r>
      <w:r>
        <w:rPr>
          <w:sz w:val="28"/>
          <w:szCs w:val="28"/>
        </w:rPr>
        <w:lastRenderedPageBreak/>
        <w:t xml:space="preserve">not only enhance food safety but also provide critical insights into the long-term health implications of patulin exposure. Although </w:t>
      </w:r>
      <w:r>
        <w:rPr>
          <w:i/>
          <w:iCs/>
          <w:sz w:val="28"/>
          <w:szCs w:val="28"/>
        </w:rPr>
        <w:t>Penicilliumexpansum</w:t>
      </w:r>
      <w:r>
        <w:rPr>
          <w:sz w:val="28"/>
          <w:szCs w:val="28"/>
        </w:rPr>
        <w:t xml:space="preserve"> is the primary producer of patulin, emerging studies indicate that other fungal species, such as </w:t>
      </w:r>
      <w:r>
        <w:rPr>
          <w:i/>
          <w:iCs/>
          <w:sz w:val="28"/>
          <w:szCs w:val="28"/>
        </w:rPr>
        <w:t>Aspergillus</w:t>
      </w:r>
      <w:r>
        <w:rPr>
          <w:sz w:val="28"/>
          <w:szCs w:val="28"/>
        </w:rPr>
        <w:t xml:space="preserve"> and </w:t>
      </w:r>
      <w:r>
        <w:rPr>
          <w:i/>
          <w:iCs/>
          <w:sz w:val="28"/>
          <w:szCs w:val="28"/>
        </w:rPr>
        <w:t>Byssochlamys</w:t>
      </w:r>
      <w:r>
        <w:rPr>
          <w:sz w:val="28"/>
          <w:szCs w:val="28"/>
        </w:rPr>
        <w:t xml:space="preserve">, may also contribute to contamination in certain environmental conditions (Li et al., 2020). Future research should focus on identifying the specific conditions under which these fungi produce patulin, their impact on food safety, and their potential interaction with other microorganisms. Advanced genomic and metabolomic studies could help elucidate the biosynthetic pathways involved in patulin production in these alternative fungi, allowing for better contamination control strategies. Although patulin-induced oxidative stress and apoptosis in mammalian cells have been documented, the exact signaling pathways and molecular targets remain poorly understood (Zhang et al., 2021). Further research using omics-based approaches, such as transcriptomics and proteomics, could help map the cellular responses to patulin exposure. In particular, studies should focus on identifying key mitochondrial proteins involved in patulin-induced toxicity, as this could provide insights into potential therapeutic interventions to counteract its effects. Additionally, </w:t>
      </w:r>
      <w:r>
        <w:rPr>
          <w:sz w:val="28"/>
          <w:szCs w:val="28"/>
        </w:rPr>
        <w:lastRenderedPageBreak/>
        <w:t xml:space="preserve">while epidemiological studies have established that patulin can cause acute toxicity, little is known about its long-term effects on human health, particularly at low-dose, chronic exposure levels. Future research should conduct long-term cohort studies assessing </w:t>
      </w:r>
      <w:r>
        <w:rPr>
          <w:i/>
          <w:iCs/>
          <w:sz w:val="28"/>
          <w:szCs w:val="28"/>
        </w:rPr>
        <w:t>p</w:t>
      </w:r>
      <w:r>
        <w:rPr>
          <w:sz w:val="28"/>
          <w:szCs w:val="28"/>
        </w:rPr>
        <w:t xml:space="preserve"> role in chronic diseases such as cancer, neurodegenerative disorders, and metabolic diseases. This will help refine safety thresholds and inform regulatory guidelines. Current detection methods, such as high-performance liquid chromatography(HPLC) and enzyme-linked immunosorbent assays(ELISA), are effective but have limitations regarding cost, sensitivity, and accessibility (Wang et al., 2020). Advanced detection techniques, including biosensors, mass spectrometry-based methods, and nanotechnology, have shown promise but require further validation for commercial application. Developing cost-effective, rapid, and portable detection kits for real-time monitoring of patulin in food products would significantly enhance food safety measures. Moreover, global regulatory standards for patulin vary, creating inconsistencies in food safety enforcement. Standardizing international patulin regulations based on updated toxicological data and risk assessments would help protect consumers worldwide. Collaborative efforts between food safety authorities, </w:t>
      </w:r>
      <w:r>
        <w:rPr>
          <w:sz w:val="28"/>
          <w:szCs w:val="28"/>
        </w:rPr>
        <w:lastRenderedPageBreak/>
        <w:t xml:space="preserve">research institutions, and policymakers are needed to achieve this goal. Recent research suggests that mycotoxins can disrupt the gut microbiota, potentially leading to metabolic disorders and immune dysfunction (Huang et al., 2022). However, little is known about </w:t>
      </w:r>
      <w:r w:rsidRPr="00B503E2">
        <w:rPr>
          <w:iCs/>
          <w:sz w:val="28"/>
          <w:szCs w:val="28"/>
        </w:rPr>
        <w:t>patulin’s</w:t>
      </w:r>
      <w:r>
        <w:rPr>
          <w:sz w:val="28"/>
          <w:szCs w:val="28"/>
        </w:rPr>
        <w:t xml:space="preserve">direct effects on gut microbial composition and function. Future studies should employ metagenomic sequencing and microbiome profiling to assess how </w:t>
      </w:r>
      <w:r w:rsidRPr="00B503E2">
        <w:rPr>
          <w:iCs/>
          <w:sz w:val="28"/>
          <w:szCs w:val="28"/>
        </w:rPr>
        <w:t>patulin</w:t>
      </w:r>
      <w:r>
        <w:rPr>
          <w:sz w:val="28"/>
          <w:szCs w:val="28"/>
        </w:rPr>
        <w:t xml:space="preserve"> alters gut microbial diversity, whether certain bacteria can degrade patulin, and whether probiotics or dietary interventions could mitigate its toxicity. This could lead to novel strategies for reducing </w:t>
      </w:r>
      <w:r w:rsidRPr="00B503E2">
        <w:rPr>
          <w:iCs/>
          <w:sz w:val="28"/>
          <w:szCs w:val="28"/>
        </w:rPr>
        <w:t>patulin’s</w:t>
      </w:r>
      <w:r>
        <w:rPr>
          <w:sz w:val="28"/>
          <w:szCs w:val="28"/>
        </w:rPr>
        <w:t xml:space="preserve"> impact on human health. Most animal model studies on patulin have focused on acute high-dose exposure rather than chronic low-dose ingestion, which is more relevant to real-world consumption patterns (Wu et al., 2019). Future studies should adopt long-term, low-dose exposure models to assess the cumulative effects of </w:t>
      </w:r>
      <w:r w:rsidRPr="00B503E2">
        <w:rPr>
          <w:iCs/>
          <w:sz w:val="28"/>
          <w:szCs w:val="28"/>
        </w:rPr>
        <w:t>patulin</w:t>
      </w:r>
      <w:r>
        <w:rPr>
          <w:sz w:val="28"/>
          <w:szCs w:val="28"/>
        </w:rPr>
        <w:t xml:space="preserve"> on organ function, immune responses, and metabolic pathways. These studies should also explore potential adaptive mechanisms that animals or humans may develop in response to prolonged patulin exposure. Additionally, expanding research on the teratogenic and immunotoxic effects of </w:t>
      </w:r>
      <w:r w:rsidRPr="00B503E2">
        <w:rPr>
          <w:iCs/>
          <w:sz w:val="28"/>
          <w:szCs w:val="28"/>
        </w:rPr>
        <w:t>patulin</w:t>
      </w:r>
      <w:r>
        <w:rPr>
          <w:sz w:val="28"/>
          <w:szCs w:val="28"/>
        </w:rPr>
        <w:t xml:space="preserve">in animal models is crucial. Studies should </w:t>
      </w:r>
      <w:r>
        <w:rPr>
          <w:sz w:val="28"/>
          <w:szCs w:val="28"/>
        </w:rPr>
        <w:lastRenderedPageBreak/>
        <w:t>investigate how patulin affects reproductive health, fetal development, and immune system regulation, providing further insight into its risks for vulnerable populations, such as pregnant women and young children. Current mitigation strategies for patulin contamination rely on chemical and physical methods, such as controlled storauiige conditions and pasteurization. However, these methods have limitations in terms of effectiveness and potential food quality degradation. Exploring natural and biological alternatives, such as using plant extracts, microbial biocontrol agents, or enzymatic degradation, could offer sustainable solutions for controlling patulin contamination (Kim et al., 2019). Further research is needed to evaluate the efficacy, safety, and practical application of these alternative approaches.</w:t>
      </w:r>
    </w:p>
    <w:p w:rsidR="00BE21A0" w:rsidRDefault="00BE21A0" w:rsidP="00BE21A0">
      <w:pPr>
        <w:pStyle w:val="NormalWeb"/>
        <w:spacing w:line="480" w:lineRule="auto"/>
        <w:jc w:val="both"/>
        <w:rPr>
          <w:sz w:val="28"/>
          <w:szCs w:val="28"/>
        </w:rPr>
      </w:pPr>
      <w:r>
        <w:rPr>
          <w:sz w:val="28"/>
          <w:szCs w:val="28"/>
        </w:rPr>
        <w:t xml:space="preserve">1.2 STATEMENT OF PROBLEM </w:t>
      </w:r>
    </w:p>
    <w:p w:rsidR="00BE21A0" w:rsidRDefault="00BE21A0" w:rsidP="00BE21A0">
      <w:pPr>
        <w:pStyle w:val="NormalWeb"/>
        <w:numPr>
          <w:ilvl w:val="0"/>
          <w:numId w:val="7"/>
        </w:numPr>
        <w:spacing w:line="480" w:lineRule="auto"/>
        <w:jc w:val="both"/>
        <w:rPr>
          <w:sz w:val="28"/>
          <w:szCs w:val="28"/>
        </w:rPr>
      </w:pPr>
      <w:r>
        <w:rPr>
          <w:sz w:val="28"/>
          <w:szCs w:val="28"/>
        </w:rPr>
        <w:t xml:space="preserve">Despite global awareness of patulin’s toxicological effects such as immunotoxicity, neurotoxicity, and genotoxicity contamination in food chains remains a persistent challenge due to inadequate storage conditions, limited surveillance, and insufficient public awareness. </w:t>
      </w:r>
    </w:p>
    <w:p w:rsidR="00BE21A0" w:rsidRDefault="00BE21A0" w:rsidP="00BE21A0">
      <w:pPr>
        <w:pStyle w:val="NormalWeb"/>
        <w:numPr>
          <w:ilvl w:val="0"/>
          <w:numId w:val="7"/>
        </w:numPr>
        <w:spacing w:line="480" w:lineRule="auto"/>
        <w:jc w:val="both"/>
        <w:rPr>
          <w:sz w:val="28"/>
          <w:szCs w:val="28"/>
        </w:rPr>
      </w:pPr>
      <w:r>
        <w:rPr>
          <w:sz w:val="28"/>
          <w:szCs w:val="28"/>
        </w:rPr>
        <w:lastRenderedPageBreak/>
        <w:t xml:space="preserve">The variation in patulin toxicity at different concentrations and its organ-specific effects in mammals are still under-researched, particularly in vivo studies involving animal models. </w:t>
      </w:r>
    </w:p>
    <w:p w:rsidR="00BE21A0" w:rsidRDefault="00BE21A0" w:rsidP="00BE21A0">
      <w:pPr>
        <w:pStyle w:val="NormalWeb"/>
        <w:numPr>
          <w:ilvl w:val="0"/>
          <w:numId w:val="7"/>
        </w:numPr>
        <w:spacing w:line="480" w:lineRule="auto"/>
        <w:jc w:val="both"/>
        <w:rPr>
          <w:sz w:val="28"/>
          <w:szCs w:val="28"/>
        </w:rPr>
      </w:pPr>
      <w:r>
        <w:rPr>
          <w:sz w:val="28"/>
          <w:szCs w:val="28"/>
        </w:rPr>
        <w:t>This research aim to address the gap in toxicological profiling of patulin by examining its pathological impact at varying concentrations on laboratory animals, thereby providing insights into safe exposure limits and reinforcing the importance of improved food safety protocols.</w:t>
      </w:r>
    </w:p>
    <w:p w:rsidR="00BE21A0" w:rsidRDefault="00BE21A0" w:rsidP="00BE21A0">
      <w:pPr>
        <w:pStyle w:val="NormalWeb"/>
        <w:spacing w:line="480" w:lineRule="auto"/>
        <w:jc w:val="both"/>
        <w:rPr>
          <w:sz w:val="28"/>
          <w:szCs w:val="28"/>
        </w:rPr>
      </w:pPr>
      <w:r>
        <w:rPr>
          <w:sz w:val="28"/>
          <w:szCs w:val="28"/>
        </w:rPr>
        <w:t>1.3 JUSTIFICATION OF THE STUDY</w:t>
      </w:r>
    </w:p>
    <w:p w:rsidR="00BE21A0" w:rsidRPr="00EC2D00" w:rsidRDefault="00BE21A0" w:rsidP="00BE21A0">
      <w:pPr>
        <w:pStyle w:val="NormalWeb"/>
        <w:spacing w:line="480" w:lineRule="auto"/>
        <w:jc w:val="both"/>
        <w:rPr>
          <w:sz w:val="28"/>
          <w:szCs w:val="28"/>
        </w:rPr>
      </w:pPr>
      <w:r w:rsidRPr="000B080D">
        <w:rPr>
          <w:i/>
          <w:iCs/>
          <w:sz w:val="28"/>
          <w:szCs w:val="28"/>
        </w:rPr>
        <w:t>Penicillium expansum</w:t>
      </w:r>
      <w:r>
        <w:rPr>
          <w:sz w:val="28"/>
          <w:szCs w:val="28"/>
        </w:rPr>
        <w:t xml:space="preserve">, the primary producer of patulin, commonly infects apples during post-harvest handling and storage. Although regulatory agencies have established maximum permissible levels for patulin, reports of contamination above safe limits still occur, especially in low-resource settings with weak monitoring systems. Investigating the potency of patulin at varying concentrations in a controlled animal model provides critical insight into its dose-dependent toxicity. This approach allows for a better understanding of how different exposure levels affect physiological </w:t>
      </w:r>
      <w:r>
        <w:rPr>
          <w:sz w:val="28"/>
          <w:szCs w:val="28"/>
        </w:rPr>
        <w:lastRenderedPageBreak/>
        <w:t>functions and organ systems, particularly in mammals. The findings will contribute to the scientific basis for risk assessment and enhance awareness about the dangers of patulin. Moreover, the study may aid in the formulation of more effective control strategies, promote public health safety, and support regulatory compliance in food processing industries.</w:t>
      </w:r>
    </w:p>
    <w:p w:rsidR="00BE21A0" w:rsidRPr="00EC2D0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Pr="00EC2D00">
        <w:rPr>
          <w:rFonts w:ascii="Times New Roman" w:hAnsi="Times New Roman" w:cs="Times New Roman"/>
          <w:sz w:val="28"/>
          <w:szCs w:val="28"/>
        </w:rPr>
        <w:t>AIMS AND OBJECTIVES</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aim to check the potency of </w:t>
      </w:r>
      <w:r w:rsidRPr="00B503E2">
        <w:rPr>
          <w:rFonts w:ascii="Times New Roman" w:hAnsi="Times New Roman" w:cs="Times New Roman"/>
          <w:i/>
          <w:sz w:val="28"/>
          <w:szCs w:val="28"/>
        </w:rPr>
        <w:t>Penicillium</w:t>
      </w:r>
      <w:r>
        <w:rPr>
          <w:rFonts w:ascii="Times New Roman" w:hAnsi="Times New Roman" w:cs="Times New Roman"/>
          <w:sz w:val="28"/>
          <w:szCs w:val="28"/>
        </w:rPr>
        <w:t xml:space="preserve"> patulin toxin at vary degree of concentration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w:t>
      </w:r>
    </w:p>
    <w:p w:rsidR="00BE21A0" w:rsidRPr="004764C4" w:rsidRDefault="00BE21A0" w:rsidP="00BE21A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Pr="004764C4">
        <w:rPr>
          <w:rFonts w:ascii="Times New Roman" w:hAnsi="Times New Roman" w:cs="Times New Roman"/>
          <w:sz w:val="28"/>
          <w:szCs w:val="28"/>
        </w:rPr>
        <w:t xml:space="preserve">solate </w:t>
      </w:r>
      <w:r w:rsidRPr="00AA25DA">
        <w:rPr>
          <w:rFonts w:ascii="Times New Roman" w:hAnsi="Times New Roman" w:cs="Times New Roman"/>
          <w:i/>
          <w:iCs/>
          <w:sz w:val="28"/>
          <w:szCs w:val="28"/>
        </w:rPr>
        <w:t>Penicilliumexpansum</w:t>
      </w:r>
      <w:r w:rsidRPr="004764C4">
        <w:rPr>
          <w:rFonts w:ascii="Times New Roman" w:hAnsi="Times New Roman" w:cs="Times New Roman"/>
          <w:sz w:val="28"/>
          <w:szCs w:val="28"/>
        </w:rPr>
        <w:t xml:space="preserve"> from spoiled apple </w:t>
      </w:r>
    </w:p>
    <w:p w:rsidR="00BE21A0" w:rsidRDefault="00BE21A0" w:rsidP="00BE21A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subject it to toxin production</w:t>
      </w:r>
      <w:r w:rsidRPr="004764C4">
        <w:rPr>
          <w:rFonts w:ascii="Times New Roman" w:hAnsi="Times New Roman" w:cs="Times New Roman"/>
          <w:sz w:val="28"/>
          <w:szCs w:val="28"/>
        </w:rPr>
        <w:t>.</w:t>
      </w:r>
    </w:p>
    <w:p w:rsidR="00BE21A0" w:rsidRPr="004764C4" w:rsidRDefault="00BE21A0" w:rsidP="00BE21A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rsidR="00BE21A0" w:rsidRPr="004764C4" w:rsidRDefault="00BE21A0" w:rsidP="00BE21A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Pr="004764C4">
        <w:rPr>
          <w:rFonts w:ascii="Times New Roman" w:hAnsi="Times New Roman" w:cs="Times New Roman"/>
          <w:sz w:val="28"/>
          <w:szCs w:val="28"/>
        </w:rPr>
        <w:t>valuate the toxic effects on an animal model (rat).</w:t>
      </w:r>
    </w:p>
    <w:p w:rsidR="00BE21A0" w:rsidRPr="00EC2D00" w:rsidRDefault="00BE21A0" w:rsidP="00BE21A0">
      <w:pPr>
        <w:spacing w:line="480" w:lineRule="auto"/>
        <w:jc w:val="both"/>
        <w:rPr>
          <w:rFonts w:ascii="Times New Roman" w:hAnsi="Times New Roman" w:cs="Times New Roman"/>
          <w:sz w:val="28"/>
          <w:szCs w:val="28"/>
        </w:rPr>
      </w:pPr>
    </w:p>
    <w:p w:rsidR="00BE21A0" w:rsidRPr="00EC2D00" w:rsidRDefault="00BE21A0" w:rsidP="00BE21A0">
      <w:pPr>
        <w:spacing w:line="480" w:lineRule="auto"/>
        <w:jc w:val="both"/>
        <w:rPr>
          <w:rFonts w:ascii="Times New Roman" w:hAnsi="Times New Roman" w:cs="Times New Roman"/>
          <w:sz w:val="28"/>
          <w:szCs w:val="28"/>
        </w:rPr>
      </w:pPr>
    </w:p>
    <w:p w:rsidR="00BE21A0" w:rsidRPr="00EC2D00" w:rsidRDefault="00BE21A0" w:rsidP="00BE21A0">
      <w:pPr>
        <w:spacing w:line="480" w:lineRule="auto"/>
        <w:jc w:val="both"/>
        <w:rPr>
          <w:rFonts w:ascii="Times New Roman" w:hAnsi="Times New Roman" w:cs="Times New Roman"/>
          <w:sz w:val="28"/>
          <w:szCs w:val="28"/>
        </w:rPr>
      </w:pPr>
    </w:p>
    <w:p w:rsidR="00BE21A0" w:rsidRDefault="00BE21A0" w:rsidP="00BE21A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TWO</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MATERIALS AND METHOD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Sample Collection and Preparation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Rotten apples were brought from Ipata Market in Ilorin, Kwara State, Nigeria. The apples were first rinsed with clean distilled water to remove any surface dirt or contaminants. Using a clean and sterile scalpel, the visibly decayed parts of the apples were carefully cut out. This was done to prepare the samples for further laboratory testing to find the fungi responsible for the spoilage. This method is commonly used in similar studies to safely isolate fungi from infected fruits (García-Benítez et al., 2020; Ali et al., 2019).</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2.2 Sterilization of Equipment and Environment</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2.3 Media Preparation and Culturing </w:t>
      </w:r>
    </w:p>
    <w:p w:rsidR="00BE21A0" w:rsidRDefault="00BE21A0" w:rsidP="00BE21A0">
      <w:pPr>
        <w:spacing w:line="480" w:lineRule="auto"/>
        <w:ind w:left="3" w:right="117"/>
        <w:jc w:val="both"/>
        <w:rPr>
          <w:rFonts w:ascii="Times New Roman" w:hAnsi="Times New Roman" w:cs="Times New Roman"/>
          <w:sz w:val="28"/>
          <w:szCs w:val="28"/>
        </w:rPr>
      </w:pPr>
      <w:r>
        <w:rPr>
          <w:rFonts w:ascii="Times New Roman" w:hAnsi="Times New Roman" w:cs="Times New Roman"/>
          <w:sz w:val="28"/>
          <w:szCs w:val="28"/>
        </w:rPr>
        <w:t>Potato Dextrose Agar (PDA) and Potato Dextrose Broth (PDB) were prepared following the instructions provided by the manufacturer. After preparation, the media were sterilized using an autoclave at 121°C for 15 minutes. Once the media cooled down, 1 mL of streptomycin was added aseptically to prevent the growth of bacteria. About 250 mL of the sterile PDA was then poured into clean Petri dishes and left to solidify. Using a sterile inoculating loop, a small portion of the decayed apple tissue was taken and placed carefully on the surface of the solidified PDA plates. The inoculated plates were then incubated at room temperature (between 25°C and 28°C) for four days to allow fungal growth (Pitt &amp; Hocking, 2021).</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E21931">
        <w:rPr>
          <w:rFonts w:ascii="Times New Roman" w:hAnsi="Times New Roman" w:cs="Times New Roman"/>
          <w:sz w:val="28"/>
          <w:szCs w:val="28"/>
        </w:rPr>
        <w:t>4</w:t>
      </w:r>
      <w:r>
        <w:rPr>
          <w:rFonts w:ascii="Times New Roman" w:hAnsi="Times New Roman" w:cs="Times New Roman"/>
          <w:sz w:val="28"/>
          <w:szCs w:val="28"/>
        </w:rPr>
        <w:t xml:space="preserve"> Subculturing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Emerging fungal colonies were subcultured onto fresh PDA plates to obtain pure isolates. These were incubated under the same conditions for 4days (Watanabe, 2017).</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BE21A0">
        <w:rPr>
          <w:rFonts w:ascii="Times New Roman" w:hAnsi="Times New Roman" w:cs="Times New Roman"/>
          <w:sz w:val="28"/>
          <w:szCs w:val="28"/>
        </w:rPr>
        <w:t xml:space="preserve"> Characterization and identification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Macroscopic features of colonies were observed after 4 days. For microscopic identification, a small portion of fungal growth was stained with lactophenol cotton blue on a microscope slide, covered with a cover slip, and examined under a microscope to observe spore structures and hyphal arrangements (Cheesbrough, 2018; Pitt &amp; Hocking, 2021).</w:t>
      </w:r>
    </w:p>
    <w:p w:rsidR="00BE21A0" w:rsidRPr="00E21931" w:rsidRDefault="00BE21A0" w:rsidP="00E21931">
      <w:pPr>
        <w:pStyle w:val="ListParagraph"/>
        <w:numPr>
          <w:ilvl w:val="1"/>
          <w:numId w:val="8"/>
        </w:numPr>
        <w:spacing w:line="480" w:lineRule="auto"/>
        <w:jc w:val="both"/>
        <w:rPr>
          <w:rFonts w:ascii="Times New Roman" w:hAnsi="Times New Roman" w:cs="Times New Roman"/>
          <w:sz w:val="28"/>
          <w:szCs w:val="28"/>
        </w:rPr>
      </w:pPr>
      <w:r w:rsidRPr="00E21931">
        <w:rPr>
          <w:rFonts w:ascii="Times New Roman" w:hAnsi="Times New Roman" w:cs="Times New Roman"/>
          <w:sz w:val="28"/>
          <w:szCs w:val="28"/>
        </w:rPr>
        <w:t xml:space="preserve">Toxin Extraction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Pure fungal isolates grown on PDA were transferred into PDB in sterile flasks, placed on a rotary shaker for 3 days to stimulate mycelial growth and secondary metabolite production, then left undisturbed for 5 more days at room temperature to complete patulin biosynthesis (Kabak et al., 2019).</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BE21A0">
        <w:rPr>
          <w:rFonts w:ascii="Times New Roman" w:hAnsi="Times New Roman" w:cs="Times New Roman"/>
          <w:sz w:val="28"/>
          <w:szCs w:val="28"/>
        </w:rPr>
        <w:t xml:space="preserve"> Separation of Biomass </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(fungal biomass) was discarded (Sewram et al., 2019).</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BE21A0">
        <w:rPr>
          <w:rFonts w:ascii="Times New Roman" w:hAnsi="Times New Roman" w:cs="Times New Roman"/>
          <w:sz w:val="28"/>
          <w:szCs w:val="28"/>
        </w:rPr>
        <w:t xml:space="preserve"> Preparation of Patulin Concentrations</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crude toxin filtrate, regarded as the 100% concentration, was diluted using sterile distilled water to obtain lower concentrations of patulin. Each prepared concentration was measured into a sterile test tube as follows:</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patulin filtrate.</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patulin filtrate mixed with 1 mL of sterile distilled water.</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patulin filtrate mixed with 2 mL of sterile distilled water.</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patulin filtrate mixed with 2.5 mL of sterile distilled water. Each mixture was homogenized and labeled accordingly for further use.</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sidR="00BE21A0">
        <w:rPr>
          <w:rFonts w:ascii="Times New Roman" w:hAnsi="Times New Roman" w:cs="Times New Roman"/>
          <w:sz w:val="28"/>
          <w:szCs w:val="28"/>
        </w:rPr>
        <w:t xml:space="preserve"> Experimental Animals and Grouping</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2.10</w:t>
      </w:r>
      <w:r w:rsidR="00BE21A0">
        <w:rPr>
          <w:rFonts w:ascii="Times New Roman" w:hAnsi="Times New Roman" w:cs="Times New Roman"/>
          <w:sz w:val="28"/>
          <w:szCs w:val="28"/>
        </w:rPr>
        <w:t xml:space="preserve"> Identification and Grouping of Experimental Rats</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r w:rsidRPr="006C2EFB">
        <w:rPr>
          <w:rFonts w:ascii="Times New Roman" w:hAnsi="Times New Roman" w:cs="Times New Roman"/>
          <w:i/>
          <w:iCs/>
          <w:sz w:val="28"/>
          <w:szCs w:val="28"/>
        </w:rPr>
        <w:t>Penicillium expansum</w:t>
      </w:r>
      <w:r>
        <w:rPr>
          <w:rFonts w:ascii="Times New Roman" w:hAnsi="Times New Roman" w:cs="Times New Roman"/>
          <w:sz w:val="28"/>
          <w:szCs w:val="28"/>
        </w:rPr>
        <w:t xml:space="preserve"> patulin toxin they received as follows:</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Blue – 100% concentration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 The color marking was maintained throughout the experiment for accurate tracking and observation.</w:t>
      </w:r>
    </w:p>
    <w:p w:rsidR="00BE21A0" w:rsidRDefault="00E21931"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BE21A0">
        <w:rPr>
          <w:rFonts w:ascii="Times New Roman" w:hAnsi="Times New Roman" w:cs="Times New Roman"/>
          <w:sz w:val="28"/>
          <w:szCs w:val="28"/>
        </w:rPr>
        <w:t xml:space="preserve"> Toxin Administration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2.1</w:t>
      </w:r>
      <w:r w:rsidR="00E21931">
        <w:rPr>
          <w:rFonts w:ascii="Times New Roman" w:hAnsi="Times New Roman" w:cs="Times New Roman"/>
          <w:sz w:val="28"/>
          <w:szCs w:val="28"/>
        </w:rPr>
        <w:t>2</w:t>
      </w:r>
      <w:r>
        <w:rPr>
          <w:rFonts w:ascii="Times New Roman" w:hAnsi="Times New Roman" w:cs="Times New Roman"/>
          <w:sz w:val="28"/>
          <w:szCs w:val="28"/>
        </w:rPr>
        <w:t xml:space="preserve"> Dissection and Post-Mortem Examination</w:t>
      </w:r>
    </w:p>
    <w:p w:rsidR="00BE21A0" w:rsidRDefault="00BE21A0" w:rsidP="00BE21A0">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rsidR="00BE21A0" w:rsidRDefault="00BE21A0" w:rsidP="00BE21A0">
      <w:pPr>
        <w:spacing w:line="480" w:lineRule="auto"/>
        <w:jc w:val="both"/>
        <w:rPr>
          <w:rFonts w:ascii="Times New Roman" w:hAnsi="Times New Roman" w:cs="Times New Roman"/>
          <w:sz w:val="28"/>
          <w:szCs w:val="28"/>
        </w:rPr>
      </w:pPr>
    </w:p>
    <w:p w:rsidR="00BE21A0" w:rsidRDefault="00BE21A0" w:rsidP="00BE21A0">
      <w:pPr>
        <w:spacing w:line="480" w:lineRule="auto"/>
        <w:jc w:val="both"/>
        <w:rPr>
          <w:rFonts w:ascii="Times New Roman" w:hAnsi="Times New Roman" w:cs="Times New Roman"/>
          <w:sz w:val="28"/>
          <w:szCs w:val="28"/>
        </w:rPr>
      </w:pPr>
    </w:p>
    <w:p w:rsidR="00BE21A0" w:rsidRDefault="00BE21A0" w:rsidP="00BE21A0">
      <w:pPr>
        <w:spacing w:line="480" w:lineRule="auto"/>
        <w:jc w:val="both"/>
        <w:rPr>
          <w:rFonts w:ascii="Times New Roman" w:hAnsi="Times New Roman" w:cs="Times New Roman"/>
          <w:sz w:val="28"/>
          <w:szCs w:val="28"/>
        </w:rPr>
      </w:pPr>
    </w:p>
    <w:p w:rsidR="00BE21A0" w:rsidRDefault="00BE21A0" w:rsidP="00BE21A0">
      <w:pPr>
        <w:spacing w:line="480" w:lineRule="auto"/>
        <w:jc w:val="both"/>
        <w:rPr>
          <w:rFonts w:ascii="Times New Roman" w:hAnsi="Times New Roman" w:cs="Times New Roman"/>
          <w:sz w:val="28"/>
          <w:szCs w:val="28"/>
        </w:rPr>
      </w:pPr>
    </w:p>
    <w:p w:rsidR="00BE21A0" w:rsidRDefault="00BE21A0" w:rsidP="00BE21A0">
      <w:pPr>
        <w:spacing w:line="480" w:lineRule="auto"/>
        <w:jc w:val="both"/>
        <w:rPr>
          <w:rFonts w:ascii="Times New Roman" w:hAnsi="Times New Roman" w:cs="Times New Roman"/>
          <w:sz w:val="28"/>
          <w:szCs w:val="28"/>
        </w:rPr>
      </w:pPr>
    </w:p>
    <w:p w:rsidR="00E21931" w:rsidRDefault="00E21931" w:rsidP="00BE21A0">
      <w:pPr>
        <w:spacing w:line="480" w:lineRule="auto"/>
        <w:jc w:val="both"/>
        <w:rPr>
          <w:rFonts w:ascii="Times New Roman" w:hAnsi="Times New Roman" w:cs="Times New Roman"/>
          <w:sz w:val="28"/>
          <w:szCs w:val="28"/>
        </w:rPr>
      </w:pPr>
    </w:p>
    <w:p w:rsidR="00E21931" w:rsidRDefault="00E21931" w:rsidP="00BE21A0">
      <w:pPr>
        <w:spacing w:line="480" w:lineRule="auto"/>
        <w:jc w:val="both"/>
        <w:rPr>
          <w:rFonts w:ascii="Times New Roman" w:hAnsi="Times New Roman" w:cs="Times New Roman"/>
          <w:sz w:val="28"/>
          <w:szCs w:val="28"/>
        </w:rPr>
      </w:pPr>
    </w:p>
    <w:p w:rsidR="00E21931" w:rsidRDefault="00E21931" w:rsidP="00BE21A0">
      <w:pPr>
        <w:spacing w:line="480" w:lineRule="auto"/>
        <w:jc w:val="both"/>
        <w:rPr>
          <w:rFonts w:ascii="Times New Roman" w:hAnsi="Times New Roman" w:cs="Times New Roman"/>
          <w:sz w:val="28"/>
          <w:szCs w:val="28"/>
        </w:rPr>
      </w:pPr>
    </w:p>
    <w:p w:rsidR="00E21931" w:rsidRPr="00EC2D00" w:rsidRDefault="00E21931" w:rsidP="00BE21A0">
      <w:pPr>
        <w:spacing w:line="480" w:lineRule="auto"/>
        <w:jc w:val="both"/>
        <w:rPr>
          <w:rFonts w:ascii="Times New Roman" w:hAnsi="Times New Roman" w:cs="Times New Roman"/>
          <w:sz w:val="28"/>
          <w:szCs w:val="28"/>
        </w:rPr>
      </w:pPr>
    </w:p>
    <w:p w:rsidR="00B86E04" w:rsidRDefault="00AF33F9"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THREE</w:t>
      </w:r>
    </w:p>
    <w:p w:rsidR="00B86E04" w:rsidRDefault="00D5797D" w:rsidP="00B86E0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3.0 </w:t>
      </w:r>
      <w:r w:rsidR="00B86E04" w:rsidRPr="00B86E04">
        <w:rPr>
          <w:rFonts w:ascii="Times New Roman" w:hAnsi="Times New Roman" w:cs="Times New Roman"/>
          <w:sz w:val="28"/>
          <w:szCs w:val="28"/>
        </w:rPr>
        <w:t>RESULTS</w:t>
      </w:r>
    </w:p>
    <w:p w:rsidR="00D10ECF" w:rsidRDefault="00D10ECF" w:rsidP="00B86E04">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p>
    <w:p w:rsidR="00D23D7E" w:rsidRDefault="00D5797D" w:rsidP="00D23D7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00D23D7E" w:rsidRPr="00D23D7E">
        <w:rPr>
          <w:rFonts w:ascii="Times New Roman" w:hAnsi="Times New Roman" w:cs="Times New Roman"/>
          <w:sz w:val="28"/>
          <w:szCs w:val="28"/>
        </w:rPr>
        <w:t>Identification of Fungal Isolate after culturing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1D7504" w:rsidTr="00D23D7E">
        <w:tc>
          <w:tcPr>
            <w:tcW w:w="4428" w:type="dxa"/>
          </w:tcPr>
          <w:p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Macroscopic characteristics</w:t>
            </w:r>
          </w:p>
        </w:tc>
        <w:tc>
          <w:tcPr>
            <w:tcW w:w="4428" w:type="dxa"/>
          </w:tcPr>
          <w:p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1D7504" w:rsidTr="00D23D7E">
        <w:tc>
          <w:tcPr>
            <w:tcW w:w="4428" w:type="dxa"/>
          </w:tcPr>
          <w:p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Bluish green</w:t>
            </w:r>
          </w:p>
        </w:tc>
        <w:tc>
          <w:tcPr>
            <w:tcW w:w="4428" w:type="dxa"/>
          </w:tcPr>
          <w:p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B</w:t>
            </w:r>
            <w:r w:rsidRPr="001D7504">
              <w:rPr>
                <w:rFonts w:ascii="Times New Roman" w:hAnsi="Times New Roman" w:cs="Times New Roman"/>
                <w:sz w:val="28"/>
                <w:szCs w:val="28"/>
              </w:rPr>
              <w:t>ranced flask shaped condidia</w:t>
            </w:r>
          </w:p>
        </w:tc>
      </w:tr>
    </w:tbl>
    <w:p w:rsidR="00F73C68" w:rsidRDefault="00F73C68" w:rsidP="001E1763">
      <w:pPr>
        <w:spacing w:line="480" w:lineRule="auto"/>
        <w:jc w:val="both"/>
        <w:rPr>
          <w:rFonts w:ascii="Times New Roman" w:hAnsi="Times New Roman" w:cs="Times New Roman"/>
          <w:sz w:val="28"/>
          <w:szCs w:val="28"/>
        </w:rPr>
      </w:pPr>
    </w:p>
    <w:p w:rsidR="007B78C9" w:rsidRDefault="00F73C68" w:rsidP="00F73C68">
      <w:pPr>
        <w:spacing w:line="480" w:lineRule="auto"/>
        <w:rPr>
          <w:rFonts w:ascii="Times New Roman" w:hAnsi="Times New Roman" w:cs="Times New Roman"/>
          <w:sz w:val="28"/>
          <w:szCs w:val="28"/>
        </w:rPr>
      </w:pPr>
      <w:r>
        <w:rPr>
          <w:noProof/>
        </w:rPr>
        <w:drawing>
          <wp:anchor distT="0" distB="0" distL="114300" distR="114300" simplePos="0" relativeHeight="251653120" behindDoc="0" locked="0" layoutInCell="1" allowOverlap="1">
            <wp:simplePos x="0" y="0"/>
            <wp:positionH relativeFrom="column">
              <wp:posOffset>3147060</wp:posOffset>
            </wp:positionH>
            <wp:positionV relativeFrom="paragraph">
              <wp:posOffset>580390</wp:posOffset>
            </wp:positionV>
            <wp:extent cx="2048510" cy="2015490"/>
            <wp:effectExtent l="0" t="0" r="8890" b="3810"/>
            <wp:wrapTopAndBottom/>
            <wp:docPr id="6" name="Picture 1"/>
            <wp:cNvGraphicFramePr/>
            <a:graphic xmlns:a="http://schemas.openxmlformats.org/drawingml/2006/main">
              <a:graphicData uri="http://schemas.openxmlformats.org/drawingml/2006/picture">
                <pic:pic xmlns:pic="http://schemas.openxmlformats.org/drawingml/2006/picture">
                  <pic:nvPicPr>
                    <pic:cNvPr id="1652139680" name="Picture 1"/>
                    <pic:cNvPicPr/>
                  </pic:nvPicPr>
                  <pic:blipFill rotWithShape="1">
                    <a:blip r:embed="rId7" cstate="print">
                      <a:extLst>
                        <a:ext uri="{28A0092B-C50C-407E-A947-70E740481C1C}">
                          <a14:useLocalDpi xmlns:a14="http://schemas.microsoft.com/office/drawing/2010/main" val="0"/>
                        </a:ext>
                      </a:extLst>
                    </a:blip>
                    <a:srcRect l="2752" t="28818" r="-526" b="22171"/>
                    <a:stretch/>
                  </pic:blipFill>
                  <pic:spPr bwMode="auto">
                    <a:xfrm>
                      <a:off x="0" y="0"/>
                      <a:ext cx="2048510" cy="2015490"/>
                    </a:xfrm>
                    <a:prstGeom prst="rect">
                      <a:avLst/>
                    </a:prstGeom>
                    <a:ln>
                      <a:noFill/>
                    </a:ln>
                    <a:extLst>
                      <a:ext uri="{53640926-AAD7-44D8-BBD7-CCE9431645EC}">
                        <a14:shadowObscured xmlns:a14="http://schemas.microsoft.com/office/drawing/2010/main"/>
                      </a:ext>
                    </a:extLst>
                  </pic:spPr>
                </pic:pic>
              </a:graphicData>
            </a:graphic>
          </wp:anchor>
        </w:drawing>
      </w:r>
      <w:r w:rsidRPr="004867E8">
        <w:rPr>
          <w:rFonts w:ascii="Times New Roman" w:hAnsi="Times New Roman" w:cs="Times New Roman"/>
          <w:noProof/>
          <w:sz w:val="28"/>
          <w:szCs w:val="28"/>
        </w:rPr>
        <w:drawing>
          <wp:anchor distT="0" distB="0" distL="114300" distR="114300" simplePos="0" relativeHeight="251649024" behindDoc="0" locked="0" layoutInCell="1" allowOverlap="1">
            <wp:simplePos x="0" y="0"/>
            <wp:positionH relativeFrom="margin">
              <wp:posOffset>-78740</wp:posOffset>
            </wp:positionH>
            <wp:positionV relativeFrom="paragraph">
              <wp:posOffset>677643</wp:posOffset>
            </wp:positionV>
            <wp:extent cx="1969135" cy="1989455"/>
            <wp:effectExtent l="0" t="0" r="0" b="0"/>
            <wp:wrapTopAndBottom/>
            <wp:docPr id="5" name="Picture 2"/>
            <wp:cNvGraphicFramePr/>
            <a:graphic xmlns:a="http://schemas.openxmlformats.org/drawingml/2006/main">
              <a:graphicData uri="http://schemas.openxmlformats.org/drawingml/2006/picture">
                <pic:pic xmlns:pic="http://schemas.openxmlformats.org/drawingml/2006/picture">
                  <pic:nvPicPr>
                    <pic:cNvPr id="1518025514"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9135" cy="1989455"/>
                    </a:xfrm>
                    <a:prstGeom prst="rect">
                      <a:avLst/>
                    </a:prstGeom>
                  </pic:spPr>
                </pic:pic>
              </a:graphicData>
            </a:graphic>
          </wp:anchor>
        </w:drawing>
      </w:r>
      <w:r w:rsidR="001E1763">
        <w:rPr>
          <w:rFonts w:ascii="Times New Roman" w:hAnsi="Times New Roman" w:cs="Times New Roman"/>
          <w:sz w:val="28"/>
          <w:szCs w:val="28"/>
        </w:rPr>
        <w:t>Figure 1</w:t>
      </w:r>
      <w:r w:rsidR="00D10ECF">
        <w:rPr>
          <w:rFonts w:ascii="Times New Roman" w:hAnsi="Times New Roman" w:cs="Times New Roman"/>
          <w:sz w:val="28"/>
          <w:szCs w:val="28"/>
        </w:rPr>
        <w:t>a</w:t>
      </w:r>
      <w:r w:rsidR="001E1763">
        <w:rPr>
          <w:rFonts w:ascii="Times New Roman" w:hAnsi="Times New Roman" w:cs="Times New Roman"/>
          <w:sz w:val="28"/>
          <w:szCs w:val="28"/>
        </w:rPr>
        <w:t xml:space="preserve">: </w:t>
      </w:r>
      <w:r>
        <w:rPr>
          <w:rFonts w:ascii="Times New Roman" w:hAnsi="Times New Roman" w:cs="Times New Roman"/>
          <w:sz w:val="28"/>
          <w:szCs w:val="28"/>
        </w:rPr>
        <w:t xml:space="preserve">showing colonies </w:t>
      </w:r>
      <w:r w:rsidR="001E1763">
        <w:rPr>
          <w:rFonts w:ascii="Times New Roman" w:hAnsi="Times New Roman" w:cs="Times New Roman"/>
          <w:sz w:val="28"/>
          <w:szCs w:val="28"/>
        </w:rPr>
        <w:t xml:space="preserve">on PDA </w:t>
      </w:r>
      <w:r>
        <w:rPr>
          <w:rFonts w:ascii="Times New Roman" w:hAnsi="Times New Roman" w:cs="Times New Roman"/>
          <w:sz w:val="28"/>
          <w:szCs w:val="28"/>
        </w:rPr>
        <w:t xml:space="preserve">      Figure </w:t>
      </w:r>
      <w:r w:rsidR="00D10ECF">
        <w:rPr>
          <w:rFonts w:ascii="Times New Roman" w:hAnsi="Times New Roman" w:cs="Times New Roman"/>
          <w:sz w:val="28"/>
          <w:szCs w:val="28"/>
        </w:rPr>
        <w:t>1b</w:t>
      </w:r>
      <w:r>
        <w:rPr>
          <w:rFonts w:ascii="Times New Roman" w:hAnsi="Times New Roman" w:cs="Times New Roman"/>
          <w:sz w:val="28"/>
          <w:szCs w:val="28"/>
        </w:rPr>
        <w:t xml:space="preserve">: Showing microscopic view    </w:t>
      </w:r>
    </w:p>
    <w:p w:rsidR="001E1763" w:rsidRDefault="001E1763" w:rsidP="00C52E7C">
      <w:pPr>
        <w:spacing w:line="480" w:lineRule="auto"/>
        <w:jc w:val="both"/>
        <w:rPr>
          <w:rFonts w:ascii="Times New Roman" w:hAnsi="Times New Roman" w:cs="Times New Roman"/>
          <w:sz w:val="28"/>
          <w:szCs w:val="28"/>
        </w:rPr>
      </w:pPr>
    </w:p>
    <w:p w:rsidR="00F73C68" w:rsidRDefault="00F73C68" w:rsidP="00C52E7C">
      <w:pPr>
        <w:spacing w:line="480" w:lineRule="auto"/>
        <w:jc w:val="both"/>
        <w:rPr>
          <w:rFonts w:ascii="Times New Roman" w:hAnsi="Times New Roman" w:cs="Times New Roman"/>
          <w:sz w:val="28"/>
          <w:szCs w:val="28"/>
        </w:rPr>
      </w:pPr>
    </w:p>
    <w:p w:rsidR="00F73C68" w:rsidRDefault="00F73C68" w:rsidP="00C52E7C">
      <w:pPr>
        <w:spacing w:line="480" w:lineRule="auto"/>
        <w:jc w:val="both"/>
        <w:rPr>
          <w:rFonts w:ascii="Times New Roman" w:hAnsi="Times New Roman" w:cs="Times New Roman"/>
          <w:sz w:val="28"/>
          <w:szCs w:val="28"/>
        </w:rPr>
      </w:pPr>
    </w:p>
    <w:p w:rsidR="00D10ECF" w:rsidRDefault="00D10ECF" w:rsidP="00C52E7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TABLE 2</w:t>
      </w:r>
    </w:p>
    <w:p w:rsidR="00A008BE" w:rsidRDefault="00E74A45" w:rsidP="00C52E7C">
      <w:pPr>
        <w:spacing w:line="480" w:lineRule="auto"/>
        <w:jc w:val="both"/>
        <w:rPr>
          <w:rFonts w:ascii="Times New Roman" w:hAnsi="Times New Roman" w:cs="Times New Roman"/>
          <w:iCs/>
          <w:kern w:val="0"/>
          <w:sz w:val="28"/>
          <w:szCs w:val="28"/>
        </w:rPr>
      </w:pPr>
      <w:r>
        <w:rPr>
          <w:rFonts w:ascii="Times New Roman" w:hAnsi="Times New Roman" w:cs="Times New Roman"/>
          <w:sz w:val="28"/>
          <w:szCs w:val="28"/>
        </w:rPr>
        <w:t>3.2</w:t>
      </w:r>
      <w:r w:rsidR="00A008BE">
        <w:rPr>
          <w:rFonts w:ascii="Times New Roman" w:hAnsi="Times New Roman" w:cs="Times New Roman"/>
          <w:iCs/>
          <w:kern w:val="0"/>
          <w:sz w:val="28"/>
          <w:szCs w:val="28"/>
        </w:rPr>
        <w:t>Daily Obse</w:t>
      </w:r>
      <w:r w:rsidR="007B78C9">
        <w:rPr>
          <w:rFonts w:ascii="Times New Roman" w:hAnsi="Times New Roman" w:cs="Times New Roman"/>
          <w:iCs/>
          <w:kern w:val="0"/>
          <w:sz w:val="28"/>
          <w:szCs w:val="28"/>
        </w:rPr>
        <w:t xml:space="preserve">rvation during </w:t>
      </w:r>
      <w:r w:rsidR="00A008BE">
        <w:rPr>
          <w:rFonts w:ascii="Times New Roman" w:hAnsi="Times New Roman" w:cs="Times New Roman"/>
          <w:iCs/>
          <w:kern w:val="0"/>
          <w:sz w:val="28"/>
          <w:szCs w:val="28"/>
        </w:rPr>
        <w:t xml:space="preserve">Toxin Administration </w:t>
      </w:r>
      <w:r w:rsidR="007B78C9">
        <w:rPr>
          <w:rFonts w:ascii="Times New Roman" w:hAnsi="Times New Roman" w:cs="Times New Roman"/>
          <w:iCs/>
          <w:kern w:val="0"/>
          <w:sz w:val="28"/>
          <w:szCs w:val="28"/>
        </w:rPr>
        <w:t>for seven days</w:t>
      </w:r>
    </w:p>
    <w:tbl>
      <w:tblPr>
        <w:tblStyle w:val="TableGrid"/>
        <w:tblW w:w="6055" w:type="pct"/>
        <w:tblInd w:w="-79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82"/>
        <w:gridCol w:w="1493"/>
        <w:gridCol w:w="2166"/>
        <w:gridCol w:w="1898"/>
        <w:gridCol w:w="1626"/>
        <w:gridCol w:w="2160"/>
      </w:tblGrid>
      <w:tr w:rsidR="00F73C68" w:rsidTr="00A355CA">
        <w:trPr>
          <w:trHeight w:val="729"/>
        </w:trPr>
        <w:tc>
          <w:tcPr>
            <w:tcW w:w="644" w:type="pct"/>
            <w:hideMark/>
          </w:tcPr>
          <w:p w:rsidR="00F73C68" w:rsidRDefault="00F73C68" w:rsidP="00A355CA">
            <w:pPr>
              <w:rPr>
                <w:rFonts w:ascii="Times New Roman" w:hAnsi="Times New Roman" w:cs="Times New Roman"/>
                <w:sz w:val="28"/>
                <w:szCs w:val="28"/>
              </w:rPr>
            </w:pPr>
            <w:bookmarkStart w:id="1" w:name="_Hlk202154477"/>
            <w:r>
              <w:rPr>
                <w:rFonts w:ascii="Times New Roman" w:hAnsi="Times New Roman" w:cs="Times New Roman"/>
                <w:sz w:val="28"/>
                <w:szCs w:val="28"/>
              </w:rPr>
              <w:t>Rat ID</w:t>
            </w:r>
          </w:p>
        </w:tc>
        <w:tc>
          <w:tcPr>
            <w:tcW w:w="696" w:type="pct"/>
            <w:hideMark/>
          </w:tcPr>
          <w:p w:rsidR="00F73C68" w:rsidRDefault="00A355CA" w:rsidP="00A355CA">
            <w:pPr>
              <w:jc w:val="center"/>
              <w:rPr>
                <w:rFonts w:ascii="Times New Roman" w:hAnsi="Times New Roman" w:cs="Times New Roman"/>
                <w:sz w:val="28"/>
                <w:szCs w:val="28"/>
              </w:rPr>
            </w:pPr>
            <w:r>
              <w:rPr>
                <w:rFonts w:ascii="Times New Roman" w:hAnsi="Times New Roman" w:cs="Times New Roman"/>
                <w:sz w:val="28"/>
                <w:szCs w:val="28"/>
              </w:rPr>
              <w:t xml:space="preserve">Behavior </w:t>
            </w:r>
          </w:p>
        </w:tc>
        <w:tc>
          <w:tcPr>
            <w:tcW w:w="1010" w:type="pct"/>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Appearance</w:t>
            </w:r>
          </w:p>
          <w:p w:rsidR="00F73C68" w:rsidRDefault="00F73C68" w:rsidP="00A355CA">
            <w:pPr>
              <w:rPr>
                <w:rFonts w:ascii="Times New Roman" w:hAnsi="Times New Roman" w:cs="Times New Roman"/>
                <w:sz w:val="28"/>
                <w:szCs w:val="28"/>
              </w:rPr>
            </w:pP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Feeding</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 xml:space="preserve">Eye </w:t>
            </w:r>
            <w:r w:rsidR="00A355CA">
              <w:rPr>
                <w:rFonts w:ascii="Times New Roman" w:hAnsi="Times New Roman" w:cs="Times New Roman"/>
                <w:sz w:val="28"/>
                <w:szCs w:val="28"/>
              </w:rPr>
              <w:t>/N</w:t>
            </w:r>
            <w:r>
              <w:rPr>
                <w:rFonts w:ascii="Times New Roman" w:hAnsi="Times New Roman" w:cs="Times New Roman"/>
                <w:sz w:val="28"/>
                <w:szCs w:val="28"/>
              </w:rPr>
              <w:t>ose</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Other behavior</w:t>
            </w:r>
          </w:p>
        </w:tc>
      </w:tr>
      <w:tr w:rsidR="00F73C68" w:rsidTr="00A355CA">
        <w:trPr>
          <w:cantSplit/>
          <w:trHeight w:val="484"/>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Pr="00840EA9"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rsidTr="00A355CA">
        <w:trPr>
          <w:cantSplit/>
          <w:trHeight w:val="484"/>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rsidTr="00A355CA">
        <w:trPr>
          <w:cantSplit/>
          <w:trHeight w:val="484"/>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 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Gnawing</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F73C68" w:rsidRDefault="00F73C68" w:rsidP="00A355CA">
            <w:pPr>
              <w:jc w:val="center"/>
              <w:rPr>
                <w:rFonts w:ascii="Times New Roman" w:hAnsi="Times New Roman" w:cs="Times New Roman"/>
                <w:sz w:val="28"/>
                <w:szCs w:val="28"/>
              </w:rPr>
            </w:pPr>
          </w:p>
        </w:tc>
      </w:tr>
      <w:tr w:rsidR="00F73C68" w:rsidTr="00A355CA">
        <w:trPr>
          <w:cantSplit/>
          <w:trHeight w:val="506"/>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 xml:space="preserve">il </w:t>
            </w:r>
          </w:p>
        </w:tc>
      </w:tr>
      <w:tr w:rsidR="00F73C68" w:rsidTr="00A355CA">
        <w:trPr>
          <w:cantSplit/>
          <w:trHeight w:val="484"/>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Sluggish</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p>
        </w:tc>
      </w:tr>
      <w:tr w:rsidR="00F73C68" w:rsidTr="00A355CA">
        <w:trPr>
          <w:cantSplit/>
          <w:trHeight w:val="484"/>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Pale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Ataxic</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Very low</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rsidTr="00A355CA">
        <w:trPr>
          <w:trHeight w:val="547"/>
        </w:trPr>
        <w:tc>
          <w:tcPr>
            <w:tcW w:w="644" w:type="pct"/>
            <w:hideMark/>
          </w:tcPr>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lastRenderedPageBreak/>
              <w:t>Green</w:t>
            </w:r>
          </w:p>
          <w:p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Weak</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Weak</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Pale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Inactive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inactive</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Poor</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Poor</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sunken</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N</w:t>
            </w:r>
            <w:r w:rsidR="00A355CA">
              <w:rPr>
                <w:rFonts w:ascii="Times New Roman" w:hAnsi="Times New Roman" w:cs="Times New Roman"/>
                <w:sz w:val="28"/>
                <w:szCs w:val="28"/>
              </w:rPr>
              <w:t>il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lastRenderedPageBreak/>
              <w:t>Lackluster</w:t>
            </w:r>
          </w:p>
          <w:p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ill</w:t>
            </w:r>
          </w:p>
        </w:tc>
      </w:tr>
      <w:bookmarkEnd w:id="1"/>
    </w:tbl>
    <w:p w:rsidR="00A355CA" w:rsidRDefault="00A355CA" w:rsidP="00EC2D00">
      <w:pPr>
        <w:spacing w:line="480" w:lineRule="auto"/>
        <w:jc w:val="both"/>
        <w:rPr>
          <w:rFonts w:ascii="Times New Roman" w:hAnsi="Times New Roman" w:cs="Times New Roman"/>
          <w:sz w:val="28"/>
          <w:szCs w:val="28"/>
        </w:rPr>
      </w:pPr>
    </w:p>
    <w:p w:rsidR="00D10ECF" w:rsidRDefault="00D10ECF" w:rsidP="00D10ECF">
      <w:pPr>
        <w:spacing w:line="240" w:lineRule="auto"/>
        <w:jc w:val="both"/>
        <w:rPr>
          <w:rFonts w:ascii="Times New Roman" w:hAnsi="Times New Roman" w:cs="Times New Roman"/>
          <w:sz w:val="28"/>
          <w:szCs w:val="28"/>
        </w:rPr>
      </w:pPr>
      <w:r>
        <w:rPr>
          <w:rFonts w:ascii="Times New Roman" w:hAnsi="Times New Roman" w:cs="Times New Roman"/>
          <w:sz w:val="28"/>
          <w:szCs w:val="28"/>
        </w:rPr>
        <w:t>Figure 3: Showing Total Weight Loss After Toxin Exposure</w:t>
      </w:r>
    </w:p>
    <w:p w:rsidR="00950266" w:rsidRDefault="00A355CA" w:rsidP="00950266">
      <w:pPr>
        <w:spacing w:line="240" w:lineRule="auto"/>
        <w:jc w:val="both"/>
        <w:rPr>
          <w:rFonts w:ascii="Times New Roman" w:hAnsi="Times New Roman" w:cs="Times New Roman"/>
          <w:b/>
          <w:sz w:val="28"/>
          <w:szCs w:val="28"/>
        </w:rPr>
      </w:pPr>
      <w:r w:rsidRPr="00A355CA">
        <w:rPr>
          <w:rFonts w:ascii="Times New Roman" w:hAnsi="Times New Roman" w:cs="Times New Roman"/>
          <w:b/>
          <w:sz w:val="28"/>
          <w:szCs w:val="28"/>
        </w:rPr>
        <w:t>Key</w:t>
      </w:r>
      <w:r>
        <w:rPr>
          <w:rFonts w:ascii="Times New Roman" w:hAnsi="Times New Roman" w:cs="Times New Roman"/>
          <w:b/>
          <w:sz w:val="28"/>
          <w:szCs w:val="28"/>
        </w:rPr>
        <w:t xml:space="preserve">: </w:t>
      </w:r>
    </w:p>
    <w:p w:rsidR="00A355CA" w:rsidRPr="00950266" w:rsidRDefault="00A355CA"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Blue</w:t>
      </w:r>
      <w:r w:rsidR="00950266">
        <w:rPr>
          <w:rFonts w:ascii="Times New Roman" w:hAnsi="Times New Roman" w:cs="Times New Roman"/>
          <w:sz w:val="28"/>
          <w:szCs w:val="28"/>
        </w:rPr>
        <w:t xml:space="preserve"> – 100%</w:t>
      </w:r>
    </w:p>
    <w:p w:rsidR="00950266" w:rsidRDefault="00950266"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Red</w:t>
      </w:r>
      <w:r>
        <w:rPr>
          <w:rFonts w:ascii="Times New Roman" w:hAnsi="Times New Roman" w:cs="Times New Roman"/>
          <w:sz w:val="28"/>
          <w:szCs w:val="28"/>
        </w:rPr>
        <w:t xml:space="preserve"> – 80% </w:t>
      </w:r>
    </w:p>
    <w:p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Green – 60%</w:t>
      </w:r>
    </w:p>
    <w:p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Black – 50%</w:t>
      </w:r>
    </w:p>
    <w:p w:rsidR="002D74FB" w:rsidRDefault="002D74FB" w:rsidP="00950266">
      <w:pPr>
        <w:spacing w:line="240" w:lineRule="auto"/>
        <w:jc w:val="both"/>
        <w:rPr>
          <w:rFonts w:ascii="Times New Roman" w:hAnsi="Times New Roman" w:cs="Times New Roman"/>
          <w:sz w:val="28"/>
          <w:szCs w:val="28"/>
        </w:rPr>
      </w:pPr>
    </w:p>
    <w:p w:rsidR="00E61884" w:rsidRDefault="00E61884" w:rsidP="00950266">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196818" cy="3015762"/>
            <wp:effectExtent l="0" t="0" r="1397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2F2F" w:rsidRDefault="007C2F2F" w:rsidP="00950266">
      <w:pPr>
        <w:spacing w:line="240" w:lineRule="auto"/>
        <w:jc w:val="both"/>
        <w:rPr>
          <w:rFonts w:ascii="Times New Roman" w:hAnsi="Times New Roman" w:cs="Times New Roman"/>
          <w:sz w:val="28"/>
          <w:szCs w:val="28"/>
        </w:rPr>
      </w:pPr>
    </w:p>
    <w:p w:rsidR="007C2F2F" w:rsidRDefault="007C2F2F" w:rsidP="00950266">
      <w:pPr>
        <w:spacing w:line="240" w:lineRule="auto"/>
        <w:jc w:val="both"/>
        <w:rPr>
          <w:rFonts w:ascii="Times New Roman" w:hAnsi="Times New Roman" w:cs="Times New Roman"/>
          <w:sz w:val="28"/>
          <w:szCs w:val="28"/>
        </w:rPr>
      </w:pPr>
    </w:p>
    <w:p w:rsidR="007C2F2F" w:rsidRDefault="007C2F2F" w:rsidP="00950266">
      <w:pPr>
        <w:spacing w:line="240" w:lineRule="auto"/>
        <w:jc w:val="both"/>
        <w:rPr>
          <w:rFonts w:ascii="Times New Roman" w:hAnsi="Times New Roman" w:cs="Times New Roman"/>
          <w:sz w:val="28"/>
          <w:szCs w:val="28"/>
        </w:rPr>
      </w:pPr>
    </w:p>
    <w:p w:rsidR="00D10ECF" w:rsidRDefault="00D10ECF" w:rsidP="00D10EC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Figure 4: Showing cumulative frequency chart for seven days of toxin administration</w:t>
      </w:r>
    </w:p>
    <w:p w:rsidR="00174EA6" w:rsidRDefault="00761D0F" w:rsidP="00EC2D00">
      <w:pPr>
        <w:spacing w:line="480" w:lineRule="auto"/>
        <w:jc w:val="both"/>
        <w:rPr>
          <w:rFonts w:ascii="Times New Roman" w:hAnsi="Times New Roman" w:cs="Times New Roman"/>
          <w:sz w:val="28"/>
          <w:szCs w:val="28"/>
        </w:rPr>
      </w:pPr>
      <w:r>
        <w:rPr>
          <w:noProof/>
        </w:rPr>
        <w:drawing>
          <wp:inline distT="0" distB="0" distL="0" distR="0">
            <wp:extent cx="5955957" cy="3052119"/>
            <wp:effectExtent l="0" t="0" r="2603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50266" w:rsidRDefault="00950266" w:rsidP="00EC2D00">
      <w:pPr>
        <w:spacing w:line="480" w:lineRule="auto"/>
        <w:jc w:val="both"/>
        <w:rPr>
          <w:rFonts w:ascii="Times New Roman" w:hAnsi="Times New Roman" w:cs="Times New Roman"/>
          <w:sz w:val="28"/>
          <w:szCs w:val="28"/>
        </w:rPr>
      </w:pPr>
    </w:p>
    <w:p w:rsidR="00950266" w:rsidRDefault="00950266" w:rsidP="00EC2D00">
      <w:pPr>
        <w:spacing w:line="480" w:lineRule="auto"/>
        <w:jc w:val="both"/>
        <w:rPr>
          <w:rFonts w:ascii="Times New Roman" w:hAnsi="Times New Roman" w:cs="Times New Roman"/>
          <w:sz w:val="28"/>
          <w:szCs w:val="28"/>
        </w:rPr>
      </w:pPr>
    </w:p>
    <w:tbl>
      <w:tblPr>
        <w:tblStyle w:val="TableGrid"/>
        <w:tblpPr w:leftFromText="180" w:rightFromText="180" w:vertAnchor="text" w:horzAnchor="margin" w:tblpXSpec="center" w:tblpY="846"/>
        <w:tblW w:w="109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108"/>
        <w:gridCol w:w="3176"/>
        <w:gridCol w:w="2134"/>
        <w:gridCol w:w="2257"/>
      </w:tblGrid>
      <w:tr w:rsidR="00950266" w:rsidTr="00950266">
        <w:trPr>
          <w:trHeight w:val="621"/>
        </w:trPr>
        <w:tc>
          <w:tcPr>
            <w:tcW w:w="1242" w:type="dxa"/>
            <w:tcBorders>
              <w:bottom w:val="single" w:sz="4" w:space="0" w:color="auto"/>
            </w:tcBorders>
          </w:tcPr>
          <w:p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Rat ID </w:t>
            </w:r>
          </w:p>
        </w:tc>
        <w:tc>
          <w:tcPr>
            <w:tcW w:w="2108" w:type="dxa"/>
            <w:tcBorders>
              <w:bottom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Intestine </w:t>
            </w:r>
          </w:p>
        </w:tc>
        <w:tc>
          <w:tcPr>
            <w:tcW w:w="3176" w:type="dxa"/>
            <w:tcBorders>
              <w:bottom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Liver </w:t>
            </w:r>
          </w:p>
        </w:tc>
        <w:tc>
          <w:tcPr>
            <w:tcW w:w="2134" w:type="dxa"/>
            <w:tcBorders>
              <w:bottom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Kidney </w:t>
            </w:r>
          </w:p>
        </w:tc>
        <w:tc>
          <w:tcPr>
            <w:tcW w:w="2257" w:type="dxa"/>
            <w:tcBorders>
              <w:bottom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Heart </w:t>
            </w:r>
          </w:p>
        </w:tc>
      </w:tr>
      <w:tr w:rsidR="00950266" w:rsidTr="00950266">
        <w:trPr>
          <w:trHeight w:val="310"/>
        </w:trPr>
        <w:tc>
          <w:tcPr>
            <w:tcW w:w="1242" w:type="dxa"/>
            <w:tcBorders>
              <w:top w:val="single" w:sz="4" w:space="0" w:color="auto"/>
            </w:tcBorders>
          </w:tcPr>
          <w:p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Blue </w:t>
            </w:r>
          </w:p>
        </w:tc>
        <w:tc>
          <w:tcPr>
            <w:tcW w:w="2108" w:type="dxa"/>
            <w:tcBorders>
              <w:top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c>
          <w:tcPr>
            <w:tcW w:w="3176" w:type="dxa"/>
            <w:tcBorders>
              <w:top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Discoloration.</w:t>
            </w:r>
          </w:p>
        </w:tc>
        <w:tc>
          <w:tcPr>
            <w:tcW w:w="2134" w:type="dxa"/>
            <w:tcBorders>
              <w:top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Borders>
              <w:top w:val="single" w:sz="4" w:space="0" w:color="auto"/>
            </w:tcBorders>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r>
      <w:tr w:rsidR="00950266" w:rsidTr="00950266">
        <w:trPr>
          <w:trHeight w:val="310"/>
        </w:trPr>
        <w:tc>
          <w:tcPr>
            <w:tcW w:w="1242" w:type="dxa"/>
          </w:tcPr>
          <w:p w:rsidR="00950266" w:rsidRDefault="00950266" w:rsidP="00950266">
            <w:pPr>
              <w:rPr>
                <w:rFonts w:ascii="Times New Roman" w:hAnsi="Times New Roman" w:cs="Times New Roman"/>
                <w:sz w:val="28"/>
                <w:szCs w:val="28"/>
              </w:rPr>
            </w:pPr>
            <w:r>
              <w:rPr>
                <w:rFonts w:ascii="Times New Roman" w:hAnsi="Times New Roman" w:cs="Times New Roman"/>
                <w:sz w:val="28"/>
                <w:szCs w:val="28"/>
              </w:rPr>
              <w:t>Red</w:t>
            </w:r>
          </w:p>
        </w:tc>
        <w:tc>
          <w:tcPr>
            <w:tcW w:w="2108"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Bloching</w:t>
            </w:r>
          </w:p>
        </w:tc>
        <w:tc>
          <w:tcPr>
            <w:tcW w:w="3176"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r w:rsidR="00950266" w:rsidTr="00950266">
        <w:trPr>
          <w:trHeight w:val="635"/>
        </w:trPr>
        <w:tc>
          <w:tcPr>
            <w:tcW w:w="1242" w:type="dxa"/>
          </w:tcPr>
          <w:p w:rsidR="00950266" w:rsidRDefault="00950266" w:rsidP="00950266">
            <w:pPr>
              <w:rPr>
                <w:rFonts w:ascii="Times New Roman" w:hAnsi="Times New Roman" w:cs="Times New Roman"/>
                <w:sz w:val="28"/>
                <w:szCs w:val="28"/>
              </w:rPr>
            </w:pPr>
            <w:r>
              <w:rPr>
                <w:rFonts w:ascii="Times New Roman" w:hAnsi="Times New Roman" w:cs="Times New Roman"/>
                <w:sz w:val="28"/>
                <w:szCs w:val="28"/>
              </w:rPr>
              <w:t>Green</w:t>
            </w:r>
          </w:p>
        </w:tc>
        <w:tc>
          <w:tcPr>
            <w:tcW w:w="2108"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Intensely darkened</w:t>
            </w:r>
          </w:p>
        </w:tc>
        <w:tc>
          <w:tcPr>
            <w:tcW w:w="2134"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Enlarged pigment</w:t>
            </w:r>
          </w:p>
        </w:tc>
        <w:tc>
          <w:tcPr>
            <w:tcW w:w="2257"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r>
      <w:tr w:rsidR="00950266" w:rsidTr="00950266">
        <w:trPr>
          <w:trHeight w:val="310"/>
        </w:trPr>
        <w:tc>
          <w:tcPr>
            <w:tcW w:w="1242" w:type="dxa"/>
          </w:tcPr>
          <w:p w:rsidR="00950266" w:rsidRDefault="00950266" w:rsidP="00950266">
            <w:pPr>
              <w:rPr>
                <w:rFonts w:ascii="Times New Roman" w:hAnsi="Times New Roman" w:cs="Times New Roman"/>
                <w:sz w:val="28"/>
                <w:szCs w:val="28"/>
              </w:rPr>
            </w:pPr>
            <w:r>
              <w:rPr>
                <w:rFonts w:ascii="Times New Roman" w:hAnsi="Times New Roman" w:cs="Times New Roman"/>
                <w:sz w:val="28"/>
                <w:szCs w:val="28"/>
              </w:rPr>
              <w:t>Black</w:t>
            </w:r>
          </w:p>
        </w:tc>
        <w:tc>
          <w:tcPr>
            <w:tcW w:w="2108"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bl>
    <w:p w:rsidR="002D74FB" w:rsidRDefault="00D5797D" w:rsidP="002D74FB">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E74A45">
        <w:rPr>
          <w:rFonts w:ascii="Times New Roman" w:hAnsi="Times New Roman" w:cs="Times New Roman"/>
          <w:sz w:val="28"/>
          <w:szCs w:val="28"/>
        </w:rPr>
        <w:t>3</w:t>
      </w:r>
      <w:r w:rsidR="00666C88">
        <w:rPr>
          <w:rFonts w:ascii="Times New Roman" w:hAnsi="Times New Roman" w:cs="Times New Roman"/>
          <w:sz w:val="28"/>
          <w:szCs w:val="28"/>
        </w:rPr>
        <w:t>Post-Mortem Gross Pathological Findings</w:t>
      </w:r>
    </w:p>
    <w:p w:rsidR="00950266" w:rsidRDefault="00950266" w:rsidP="002D74FB">
      <w:pPr>
        <w:spacing w:line="480" w:lineRule="auto"/>
        <w:jc w:val="both"/>
        <w:rPr>
          <w:rFonts w:ascii="Times New Roman" w:hAnsi="Times New Roman" w:cs="Times New Roman"/>
          <w:sz w:val="28"/>
          <w:szCs w:val="28"/>
        </w:rPr>
      </w:pPr>
    </w:p>
    <w:p w:rsidR="00D10ECF" w:rsidRDefault="00D10ECF" w:rsidP="00D10ECF">
      <w:pPr>
        <w:spacing w:line="48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5648" behindDoc="0" locked="0" layoutInCell="1" allowOverlap="1">
            <wp:simplePos x="0" y="0"/>
            <wp:positionH relativeFrom="column">
              <wp:posOffset>4283689</wp:posOffset>
            </wp:positionH>
            <wp:positionV relativeFrom="paragraph">
              <wp:posOffset>795746</wp:posOffset>
            </wp:positionV>
            <wp:extent cx="1494133" cy="2136161"/>
            <wp:effectExtent l="19050" t="0" r="0" b="0"/>
            <wp:wrapNone/>
            <wp:docPr id="1047650489" name="Picture 5"/>
            <wp:cNvGraphicFramePr/>
            <a:graphic xmlns:a="http://schemas.openxmlformats.org/drawingml/2006/main">
              <a:graphicData uri="http://schemas.openxmlformats.org/drawingml/2006/picture">
                <pic:pic xmlns:pic="http://schemas.openxmlformats.org/drawingml/2006/picture">
                  <pic:nvPicPr>
                    <pic:cNvPr id="1047650489"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4133" cy="2136161"/>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71552" behindDoc="0" locked="0" layoutInCell="1" allowOverlap="1">
            <wp:simplePos x="0" y="0"/>
            <wp:positionH relativeFrom="column">
              <wp:posOffset>2654674</wp:posOffset>
            </wp:positionH>
            <wp:positionV relativeFrom="paragraph">
              <wp:posOffset>795746</wp:posOffset>
            </wp:positionV>
            <wp:extent cx="1421738" cy="2043953"/>
            <wp:effectExtent l="19050" t="0" r="7012" b="0"/>
            <wp:wrapNone/>
            <wp:docPr id="165500900" name="Picture 6"/>
            <wp:cNvGraphicFramePr/>
            <a:graphic xmlns:a="http://schemas.openxmlformats.org/drawingml/2006/main">
              <a:graphicData uri="http://schemas.openxmlformats.org/drawingml/2006/picture">
                <pic:pic xmlns:pic="http://schemas.openxmlformats.org/drawingml/2006/picture">
                  <pic:nvPicPr>
                    <pic:cNvPr id="165500900"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1738" cy="2043953"/>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66432" behindDoc="0" locked="0" layoutInCell="1" allowOverlap="1">
            <wp:simplePos x="0" y="0"/>
            <wp:positionH relativeFrom="column">
              <wp:posOffset>1056395</wp:posOffset>
            </wp:positionH>
            <wp:positionV relativeFrom="paragraph">
              <wp:posOffset>795746</wp:posOffset>
            </wp:positionV>
            <wp:extent cx="1494133" cy="2043953"/>
            <wp:effectExtent l="19050" t="0" r="0" b="0"/>
            <wp:wrapNone/>
            <wp:docPr id="2025919904" name="Picture 4"/>
            <wp:cNvGraphicFramePr/>
            <a:graphic xmlns:a="http://schemas.openxmlformats.org/drawingml/2006/main">
              <a:graphicData uri="http://schemas.openxmlformats.org/drawingml/2006/picture">
                <pic:pic xmlns:pic="http://schemas.openxmlformats.org/drawingml/2006/picture">
                  <pic:nvPicPr>
                    <pic:cNvPr id="202591990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4133" cy="2043953"/>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-564937</wp:posOffset>
            </wp:positionH>
            <wp:positionV relativeFrom="paragraph">
              <wp:posOffset>795746</wp:posOffset>
            </wp:positionV>
            <wp:extent cx="1517821" cy="2043953"/>
            <wp:effectExtent l="19050" t="0" r="6179" b="0"/>
            <wp:wrapNone/>
            <wp:docPr id="672434617" name="Picture 3"/>
            <wp:cNvGraphicFramePr/>
            <a:graphic xmlns:a="http://schemas.openxmlformats.org/drawingml/2006/main">
              <a:graphicData uri="http://schemas.openxmlformats.org/drawingml/2006/picture">
                <pic:pic xmlns:pic="http://schemas.openxmlformats.org/drawingml/2006/picture">
                  <pic:nvPicPr>
                    <pic:cNvPr id="672434617"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7821" cy="2043953"/>
                    </a:xfrm>
                    <a:prstGeom prst="rect">
                      <a:avLst/>
                    </a:prstGeom>
                  </pic:spPr>
                </pic:pic>
              </a:graphicData>
            </a:graphic>
          </wp:anchor>
        </w:drawing>
      </w:r>
      <w:r w:rsidR="001E1763">
        <w:rPr>
          <w:rFonts w:ascii="Times New Roman" w:hAnsi="Times New Roman" w:cs="Times New Roman"/>
          <w:sz w:val="28"/>
          <w:szCs w:val="28"/>
        </w:rPr>
        <w:t>Figure 4</w:t>
      </w:r>
      <w:r w:rsidR="00950266">
        <w:rPr>
          <w:rFonts w:ascii="Times New Roman" w:hAnsi="Times New Roman" w:cs="Times New Roman"/>
          <w:sz w:val="28"/>
          <w:szCs w:val="28"/>
        </w:rPr>
        <w:t xml:space="preserve">: </w:t>
      </w:r>
      <w:r w:rsidR="00045B4C">
        <w:rPr>
          <w:rFonts w:ascii="Times New Roman" w:hAnsi="Times New Roman" w:cs="Times New Roman"/>
          <w:sz w:val="28"/>
          <w:szCs w:val="28"/>
        </w:rPr>
        <w:t>Dissected rats showing effects of fungal toxin (</w:t>
      </w:r>
      <w:r w:rsidR="00045B4C" w:rsidRPr="00045B4C">
        <w:rPr>
          <w:rFonts w:ascii="Times New Roman" w:hAnsi="Times New Roman" w:cs="Times New Roman"/>
          <w:i/>
          <w:sz w:val="28"/>
          <w:szCs w:val="28"/>
        </w:rPr>
        <w:t xml:space="preserve">Penicillium </w:t>
      </w:r>
      <w:r>
        <w:rPr>
          <w:rFonts w:ascii="Times New Roman" w:hAnsi="Times New Roman" w:cs="Times New Roman"/>
          <w:sz w:val="28"/>
          <w:szCs w:val="28"/>
        </w:rPr>
        <w:t>patulin) on internal organs</w:t>
      </w:r>
    </w:p>
    <w:p w:rsidR="00D10ECF" w:rsidRDefault="00D10ECF" w:rsidP="00950266">
      <w:pPr>
        <w:spacing w:line="480" w:lineRule="auto"/>
        <w:rPr>
          <w:rFonts w:ascii="Times New Roman" w:hAnsi="Times New Roman" w:cs="Times New Roman"/>
          <w:sz w:val="28"/>
          <w:szCs w:val="28"/>
        </w:rPr>
      </w:pPr>
    </w:p>
    <w:p w:rsidR="00D10ECF" w:rsidRDefault="00D10ECF" w:rsidP="00950266">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p>
    <w:p w:rsidR="00E21931" w:rsidRDefault="00E21931" w:rsidP="00EC2D00">
      <w:pPr>
        <w:spacing w:line="480" w:lineRule="auto"/>
        <w:jc w:val="both"/>
        <w:rPr>
          <w:rFonts w:ascii="Times New Roman" w:hAnsi="Times New Roman" w:cs="Times New Roman"/>
          <w:sz w:val="28"/>
          <w:szCs w:val="28"/>
        </w:rPr>
      </w:pPr>
    </w:p>
    <w:p w:rsidR="00D10ECF" w:rsidRDefault="00D10ECF" w:rsidP="00EC2D00">
      <w:pPr>
        <w:spacing w:line="480" w:lineRule="auto"/>
        <w:jc w:val="both"/>
        <w:rPr>
          <w:rFonts w:ascii="Times New Roman" w:hAnsi="Times New Roman" w:cs="Times New Roman"/>
          <w:sz w:val="28"/>
          <w:szCs w:val="28"/>
        </w:rPr>
      </w:pPr>
    </w:p>
    <w:p w:rsidR="00D10ECF" w:rsidRDefault="00D10ECF" w:rsidP="00EC2D00">
      <w:pPr>
        <w:spacing w:line="480" w:lineRule="auto"/>
        <w:jc w:val="both"/>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D10ECF" w:rsidRDefault="00D10ECF" w:rsidP="00A17BDB">
      <w:pPr>
        <w:spacing w:line="480" w:lineRule="auto"/>
        <w:jc w:val="center"/>
        <w:rPr>
          <w:rFonts w:ascii="Times New Roman" w:hAnsi="Times New Roman" w:cs="Times New Roman"/>
          <w:sz w:val="28"/>
          <w:szCs w:val="28"/>
        </w:rPr>
      </w:pPr>
    </w:p>
    <w:p w:rsidR="00AF33F9" w:rsidRDefault="007305F8"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rsidR="007305F8" w:rsidRPr="00EC2D00" w:rsidRDefault="007305F8"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rsidR="00646CFA" w:rsidRPr="00C879C5" w:rsidRDefault="00C879C5" w:rsidP="00C879C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00E21931">
        <w:rPr>
          <w:rFonts w:ascii="Times New Roman" w:hAnsi="Times New Roman" w:cs="Times New Roman"/>
          <w:sz w:val="28"/>
          <w:szCs w:val="28"/>
        </w:rPr>
        <w:t>Discussion</w:t>
      </w:r>
    </w:p>
    <w:p w:rsidR="00646CFA" w:rsidRDefault="00646CFA"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present study investigated the toxicological impact of </w:t>
      </w:r>
      <w:r w:rsidRPr="0062308E">
        <w:rPr>
          <w:rFonts w:ascii="Times New Roman" w:hAnsi="Times New Roman" w:cs="Times New Roman"/>
          <w:i/>
          <w:iCs/>
          <w:sz w:val="28"/>
          <w:szCs w:val="28"/>
        </w:rPr>
        <w:t>Penicillium expansum</w:t>
      </w:r>
      <w:r>
        <w:rPr>
          <w:rFonts w:ascii="Times New Roman" w:hAnsi="Times New Roman" w:cs="Times New Roman"/>
          <w:sz w:val="28"/>
          <w:szCs w:val="28"/>
        </w:rPr>
        <w:t xml:space="preserve"> patulin toxin on albino rats, combining fungal identification with in vivo experimentation. Observations were systematically recorded, and both macroscopic and microscopic features of the fungal isolate were evaluated, alongside behavioral, physiological, and pathological changes in the rats. The behavioral and physical effects of patulin on the rats over sev</w:t>
      </w:r>
      <w:r w:rsidR="00E21931">
        <w:rPr>
          <w:rFonts w:ascii="Times New Roman" w:hAnsi="Times New Roman" w:cs="Times New Roman"/>
          <w:sz w:val="28"/>
          <w:szCs w:val="28"/>
        </w:rPr>
        <w:t>en days are presented in Table 2</w:t>
      </w:r>
      <w:r>
        <w:rPr>
          <w:rFonts w:ascii="Times New Roman" w:hAnsi="Times New Roman" w:cs="Times New Roman"/>
          <w:sz w:val="28"/>
          <w:szCs w:val="28"/>
        </w:rPr>
        <w:t xml:space="preserve">, supported by the cumulative trends in Figure 3. The effects were clearly dose-dependent, with more severe symptoms in rats exposed to higher concentrations.The blue-coded rat (100% toxin concentration) showed progressive weight loss (from 134g to 124g), increased dullness, fur degradation, and feeding reduction. The rat also developed sunken eyes and signs of dehydration by day 5 and 6. This aligns with Wang et al. (2020) who reported rapid onset of systemic toxicity and reduced food intake in rats exposed to high patulin concentrations. Similar </w:t>
      </w:r>
      <w:r>
        <w:rPr>
          <w:rFonts w:ascii="Times New Roman" w:hAnsi="Times New Roman" w:cs="Times New Roman"/>
          <w:sz w:val="28"/>
          <w:szCs w:val="28"/>
        </w:rPr>
        <w:lastRenderedPageBreak/>
        <w:t>signs were noted in Pfohl-Leszkowicz &amp; Manderville (2020), where patulin induced oxidative stress and neurobehavioral changes in rodents.The red-coded rat (80% concentration) also displayed marked toxicity, including lethargy, sunken eyes, and ataxia. Its weight dropped from 108g to 100g by day 6. These outcomes reflect those of Escobar et al. (2020), who observed neurological impairments and liver stress in rats at medium-dose patulin exposures.In the green-coded rat (60% concentration), weight reduction was milder (139g to 131g), with dullness and fur less shiny observed toward the end of the study. The symptoms were relatively delayed compared to higher doses. Kim et al. (2019) had reported similar subtle yet significant signs of gastrointestinal and hepatic dysfunction at intermediate patulin exposure levels.The black-coded rat (50% concentration) maintained a stable condition throughout. No significant behavioral, ocular, or weight changes were observed, consistent with findings by Moake et al. (2005), who noted that patulin concentrations below regulatory limits often result in negligible short-term toxicity, though chronic effects remain a concern.</w:t>
      </w:r>
      <w:r w:rsidR="00D10ECF">
        <w:rPr>
          <w:rFonts w:ascii="Times New Roman" w:hAnsi="Times New Roman" w:cs="Times New Roman"/>
          <w:sz w:val="28"/>
          <w:szCs w:val="28"/>
        </w:rPr>
        <w:t xml:space="preserve"> </w:t>
      </w:r>
      <w:r>
        <w:rPr>
          <w:rFonts w:ascii="Times New Roman" w:hAnsi="Times New Roman" w:cs="Times New Roman"/>
          <w:sz w:val="28"/>
          <w:szCs w:val="28"/>
        </w:rPr>
        <w:t xml:space="preserve">The post-mortem examination, detailed in Table </w:t>
      </w:r>
      <w:r w:rsidR="000E2E5F">
        <w:rPr>
          <w:rFonts w:ascii="Times New Roman" w:hAnsi="Times New Roman" w:cs="Times New Roman"/>
          <w:sz w:val="28"/>
          <w:szCs w:val="28"/>
        </w:rPr>
        <w:t>3</w:t>
      </w:r>
      <w:r>
        <w:rPr>
          <w:rFonts w:ascii="Times New Roman" w:hAnsi="Times New Roman" w:cs="Times New Roman"/>
          <w:sz w:val="28"/>
          <w:szCs w:val="28"/>
        </w:rPr>
        <w:t xml:space="preserve"> and illustrated in Figure 4, revealed clear organ-level damage correlating with toxin concentration.</w:t>
      </w:r>
      <w:r w:rsidR="00D10ECF">
        <w:rPr>
          <w:rFonts w:ascii="Times New Roman" w:hAnsi="Times New Roman" w:cs="Times New Roman"/>
          <w:sz w:val="28"/>
          <w:szCs w:val="28"/>
        </w:rPr>
        <w:t xml:space="preserve"> </w:t>
      </w:r>
      <w:r>
        <w:rPr>
          <w:rFonts w:ascii="Times New Roman" w:hAnsi="Times New Roman" w:cs="Times New Roman"/>
          <w:sz w:val="28"/>
          <w:szCs w:val="28"/>
        </w:rPr>
        <w:t xml:space="preserve">The 100% </w:t>
      </w:r>
      <w:r>
        <w:rPr>
          <w:rFonts w:ascii="Times New Roman" w:hAnsi="Times New Roman" w:cs="Times New Roman"/>
          <w:sz w:val="28"/>
          <w:szCs w:val="28"/>
        </w:rPr>
        <w:lastRenderedPageBreak/>
        <w:t>patulin rat (Blue) exhibited darkened intestines and heart, and discolored liver, indicating severe systemic toxicity. These findings echo the work of Puel et al. (2018) and Riley &amp; Norred (2018), who found that patulin induces vascular and hepatic degeneration at high doses.The 80% group (Red) presented with intestinal blotching, consistent with mild hemorrhagic enteritis, while major organs like liver, kidney, and heart appeared normal. Such localized damage supports earlier observations by Huang et al. (2022), who emphasized patulin’s direct impact on the intestinal barrier and its pro-inflammatory effects.</w:t>
      </w:r>
      <w:r w:rsidR="00D10ECF">
        <w:rPr>
          <w:rFonts w:ascii="Times New Roman" w:hAnsi="Times New Roman" w:cs="Times New Roman"/>
          <w:sz w:val="28"/>
          <w:szCs w:val="28"/>
        </w:rPr>
        <w:t xml:space="preserve"> </w:t>
      </w:r>
      <w:r>
        <w:rPr>
          <w:rFonts w:ascii="Times New Roman" w:hAnsi="Times New Roman" w:cs="Times New Roman"/>
          <w:sz w:val="28"/>
          <w:szCs w:val="28"/>
        </w:rPr>
        <w:t>The 60% group (Green) had mottled intestines, a deeply pigmented and enlarged kidney, and darkened liver, showing significant internal stress. These findings suggest multi-organ involvement even at submaximal concentrations, in line with the hepatotoxic and nephrotoxic findings of Li et al. (2020).In contrast, the 50% group (Black) had only mild intestinal mottling and no significant abnormalities in liver, kidney, or heart. This suggests that lower doses fall below the acute toxicity threshold, aligning with EFSA (2017) regu</w:t>
      </w:r>
      <w:r w:rsidR="00C879C5">
        <w:rPr>
          <w:rFonts w:ascii="Times New Roman" w:hAnsi="Times New Roman" w:cs="Times New Roman"/>
          <w:sz w:val="28"/>
          <w:szCs w:val="28"/>
        </w:rPr>
        <w:t>latory standards that define 50</w:t>
      </w:r>
      <w:r>
        <w:rPr>
          <w:rFonts w:ascii="Times New Roman" w:hAnsi="Times New Roman" w:cs="Times New Roman"/>
          <w:sz w:val="28"/>
          <w:szCs w:val="28"/>
        </w:rPr>
        <w:t>µg/kg as the safe limit for patulin in food</w:t>
      </w:r>
    </w:p>
    <w:p w:rsidR="00D10ECF" w:rsidRDefault="00D10ECF" w:rsidP="00A17BDB">
      <w:pPr>
        <w:spacing w:line="480" w:lineRule="auto"/>
        <w:jc w:val="both"/>
        <w:rPr>
          <w:rFonts w:ascii="Times New Roman" w:hAnsi="Times New Roman" w:cs="Times New Roman"/>
          <w:sz w:val="28"/>
          <w:szCs w:val="28"/>
        </w:rPr>
      </w:pPr>
    </w:p>
    <w:p w:rsidR="00765FC5" w:rsidRDefault="002B4974" w:rsidP="00A17BD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4.2 CONCLUSION</w:t>
      </w:r>
    </w:p>
    <w:p w:rsidR="00630ADC" w:rsidRDefault="00630ADC"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This study confirms patulin’s toxic effects in albino rats, revealing dose-dependent weight loss, behavioral changes, and organ damage. The results align with previous studies, emphasizing the need for strict monitoring of patulin in food products to safeguard public health and prevent mycotoxin-related complications in humans and animals.</w:t>
      </w:r>
    </w:p>
    <w:p w:rsidR="00765FC5" w:rsidRDefault="00765FC5" w:rsidP="00EC2D00">
      <w:pPr>
        <w:spacing w:line="480" w:lineRule="auto"/>
        <w:jc w:val="both"/>
        <w:rPr>
          <w:rFonts w:ascii="Times New Roman" w:hAnsi="Times New Roman" w:cs="Times New Roman"/>
          <w:sz w:val="28"/>
          <w:szCs w:val="28"/>
        </w:rPr>
      </w:pPr>
    </w:p>
    <w:p w:rsidR="004A2140" w:rsidRDefault="004A2140" w:rsidP="00EC2D00">
      <w:pPr>
        <w:spacing w:line="480" w:lineRule="auto"/>
        <w:jc w:val="both"/>
        <w:rPr>
          <w:rFonts w:ascii="Times New Roman" w:hAnsi="Times New Roman" w:cs="Times New Roman"/>
          <w:sz w:val="28"/>
          <w:szCs w:val="28"/>
        </w:rPr>
      </w:pPr>
    </w:p>
    <w:p w:rsidR="00EA6CE0" w:rsidRDefault="00EA6CE0"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C879C5" w:rsidRDefault="00C879C5" w:rsidP="00843793">
      <w:pPr>
        <w:tabs>
          <w:tab w:val="left" w:pos="3444"/>
        </w:tabs>
        <w:spacing w:line="480" w:lineRule="auto"/>
        <w:jc w:val="both"/>
        <w:rPr>
          <w:rFonts w:ascii="Times New Roman" w:hAnsi="Times New Roman" w:cs="Times New Roman"/>
          <w:sz w:val="28"/>
          <w:szCs w:val="28"/>
        </w:rPr>
      </w:pPr>
    </w:p>
    <w:p w:rsidR="00765FC5" w:rsidRDefault="00436EAF" w:rsidP="00D10ECF">
      <w:pPr>
        <w:spacing w:line="240" w:lineRule="auto"/>
        <w:jc w:val="center"/>
        <w:rPr>
          <w:rFonts w:ascii="Times New Roman" w:hAnsi="Times New Roman" w:cs="Times New Roman"/>
          <w:sz w:val="28"/>
          <w:szCs w:val="28"/>
        </w:rPr>
      </w:pPr>
      <w:r w:rsidRPr="00D10ECF">
        <w:rPr>
          <w:rFonts w:ascii="Times New Roman" w:hAnsi="Times New Roman" w:cs="Times New Roman"/>
          <w:b/>
          <w:sz w:val="28"/>
          <w:szCs w:val="28"/>
        </w:rPr>
        <w:lastRenderedPageBreak/>
        <w:t>REFERENCES</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Alshannaq, A., &amp; Yu, J. H. (2017). Occurrence, toxicity, and analysis of major mycotoxins in food. International Journal of Environmental Research and Public Health, 14(6), 632.</w:t>
      </w:r>
    </w:p>
    <w:p w:rsidR="00BC74E8" w:rsidRDefault="00BC74E8" w:rsidP="00D10ECF">
      <w:pPr>
        <w:spacing w:line="240" w:lineRule="auto"/>
        <w:ind w:left="720" w:hanging="720"/>
        <w:jc w:val="both"/>
        <w:rPr>
          <w:rFonts w:ascii="Times New Roman" w:hAnsi="Times New Roman" w:cs="Times New Roman"/>
          <w:kern w:val="0"/>
          <w:sz w:val="28"/>
          <w:szCs w:val="28"/>
        </w:rPr>
      </w:pPr>
      <w:r>
        <w:rPr>
          <w:rFonts w:ascii="Times New Roman" w:hAnsi="Times New Roman" w:cs="Times New Roman"/>
          <w:kern w:val="0"/>
          <w:sz w:val="28"/>
          <w:szCs w:val="28"/>
        </w:rPr>
        <w:t>Anderson, N. M., Lin, K., &amp; Zhang, B. (2017). Fungal contamination of fruits and its impact on food safety: A review. Food Microbiology, 68, 1-10</w:t>
      </w:r>
    </w:p>
    <w:p w:rsidR="00BC74E8" w:rsidRPr="008B420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Bonfante, P., &amp; Genre, A. (2018). The arbuscular mycorrhizal symbiosis: Origin and evolution of a beneficial plant-fungal interaction. Fungal Biology Reviews, 32(4), 193–205.</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Drusch, S., &amp; Ragab, W. (2021). Stability of patulin in fruit juice processing and storage. Journal of Food Science and Technology, 58(4), 1550-1563.</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Escobar, I. E., Lopes, J. M., Muthukrishnan, G., Smith, H., Hernandez, C., &amp; Dandekar, A. A. (2020). The role of enterotoxins in Staphylococcus aureus pathogenesis and host immune response. Infection and Immunity, 88(10), e00354-20. https://doi.org/10.1128/IAI.00354-20</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Eskola, M., Kos, G., Elliott, C. T., Hajšlová, J., Mayar, S., &amp; Krska, R. (2020). Worldwide contamination of food-crops with mycotoxins: Validity of the widely cited ‘FAO estimate’ of 25%. Critical Reviews in Food Science and Nutrition, 60(16), 2773-2789.</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Flajs, D., &amp; Peraica, M. (2019). Mycotoxins in food: Detection, monitoring, and detoxification. Toxins, 11(6), 328.</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Forneris, L., Ruiz, M. J., &amp; Juan-García, A. (2022). Trichothecenes mycotoxins: Biomonitoring and human exposure. Toxins, 14(5), 337.</w:t>
      </w:r>
    </w:p>
    <w:p w:rsidR="00BC74E8" w:rsidRDefault="00BC74E8" w:rsidP="00D10ECF">
      <w:pPr>
        <w:spacing w:line="240" w:lineRule="auto"/>
        <w:ind w:left="720" w:hanging="720"/>
        <w:jc w:val="both"/>
        <w:rPr>
          <w:rFonts w:ascii="Times New Roman" w:hAnsi="Times New Roman" w:cs="Times New Roman"/>
          <w:kern w:val="0"/>
          <w:sz w:val="28"/>
          <w:szCs w:val="28"/>
        </w:rPr>
      </w:pPr>
      <w:r>
        <w:rPr>
          <w:rFonts w:ascii="Times New Roman" w:hAnsi="Times New Roman" w:cs="Times New Roman"/>
          <w:kern w:val="0"/>
          <w:sz w:val="28"/>
          <w:szCs w:val="28"/>
        </w:rPr>
        <w:t>Gonçalves, M., Wisecaver, J. H., Kominek, J., &amp; Shen, X. X. (2020). Evolution of chitin metabolism pathways in fungi. Genome Biology and Evolution, 12(5), 1017–1035</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Hayes, A. W., Phillips, T. D., Williams, W. L., &amp; Ciegler, A. (1979). Acute toxicity of patulin in mice and rats. Toxicology, 13(1), 91–100. </w:t>
      </w:r>
    </w:p>
    <w:p w:rsidR="00BC74E8" w:rsidRDefault="00BC74E8" w:rsidP="00D10ECF">
      <w:pPr>
        <w:spacing w:line="240" w:lineRule="auto"/>
        <w:ind w:left="720" w:hanging="720"/>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Houbraken, J., Kocsubé, S., Visagie, C. M., Yilmaz, N., &amp; Frisvad, J. C. (2020). Classification of Penicillium and Aspergillus: Historical overview and current status. Studies in Mycology, 95, 5–10</w:t>
      </w:r>
    </w:p>
    <w:p w:rsidR="00BC74E8" w:rsidRPr="00A17BDB"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Huang, Q., Zhao, H., Liu, Y., Wang, X., Chen, Q., &amp; Li, F. (2022). Detection of classical and novel enterotoxins in Staphylococcus aureus from dairy products and molecular typing. Frontiers in Microbiology, 13, 842612. </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kern w:val="0"/>
          <w:sz w:val="28"/>
          <w:szCs w:val="28"/>
        </w:rPr>
        <w:t>Hyde, K. D., Xu, J., Rapior, S., Jeewon, R., &amp; Lumyong, S. (2019). The amazing potential of fungi: 50 ways we can exploit fungi industrially. Fungal Diversity, 97(1), 1–136</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Kim, H. J., Kim, J. Y., Lee, Y. J., Park, J. H., Choi, S. Y., &amp; Oh, D. H. (2019). Occurrence of enterotoxin-producing Staphylococcus aureus in ready-to-eat foods and dairy products in Korea. Food Science and Biotechnology, 28(1), 179–186. </w:t>
      </w:r>
    </w:p>
    <w:p w:rsidR="00BC74E8" w:rsidRDefault="00BC74E8" w:rsidP="00D10ECF">
      <w:pPr>
        <w:spacing w:line="240" w:lineRule="auto"/>
        <w:ind w:left="720" w:hanging="720"/>
        <w:jc w:val="both"/>
        <w:rPr>
          <w:rFonts w:ascii="Times New Roman" w:hAnsi="Times New Roman" w:cs="Times New Roman"/>
          <w:kern w:val="0"/>
          <w:sz w:val="28"/>
          <w:szCs w:val="28"/>
        </w:rPr>
      </w:pPr>
      <w:r>
        <w:rPr>
          <w:rFonts w:ascii="Times New Roman" w:hAnsi="Times New Roman" w:cs="Times New Roman"/>
          <w:kern w:val="0"/>
          <w:sz w:val="28"/>
          <w:szCs w:val="28"/>
        </w:rPr>
        <w:t>Kumar, S., Kaushik, N., Proffitt, E., &amp; Mehrotra, R. (2021). Fungal ecology and diversity in changing environments. Environmental Microbiology Reports, 13(1), 19–35.</w:t>
      </w:r>
    </w:p>
    <w:p w:rsidR="00BC74E8" w:rsidRDefault="00BC74E8" w:rsidP="00D10ECF">
      <w:pPr>
        <w:spacing w:line="240" w:lineRule="auto"/>
        <w:ind w:left="720" w:hanging="720"/>
        <w:jc w:val="both"/>
        <w:rPr>
          <w:rFonts w:ascii="Times New Roman" w:hAnsi="Times New Roman" w:cs="Times New Roman"/>
          <w:kern w:val="0"/>
          <w:sz w:val="28"/>
          <w:szCs w:val="28"/>
        </w:rPr>
      </w:pPr>
      <w:r>
        <w:rPr>
          <w:rFonts w:ascii="Times New Roman" w:hAnsi="Times New Roman" w:cs="Times New Roman"/>
          <w:kern w:val="0"/>
          <w:sz w:val="28"/>
          <w:szCs w:val="28"/>
        </w:rPr>
        <w:t>Li, S., Wang, X., Liu, J., Yang, Y., Zhang, H., &amp; Xu, Y. (2020). Molecular characterization and toxin gene profiling of Staphylococcus aureus isolated from food and clinical samples. Microbial Pathogenesis, 149, 104522</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Longcore, J. E., Pessier, A. P., &amp; Nichols, D. K. (2019). Batrachochytrium dendrobatidis: A fungus linked to global amphibian declines. Journal of Wildlife Diseases, 55(3), 454–469.</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Marin, S., Ramos, A. J., Cano-Sancho, G., &amp; Sanchis, V. (2021). Mycotoxins: Occurrence, toxicology, and exposure assessment. Food and Chemical Toxicology, 157, 112603.</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McKinley, E. R., Carlton, W. W., &amp; Boon, G. D. (1982). Patulin mycotoxicosis in the rat: Toxicology, pathology and clinical pathology. Food and Chemical Toxicology, 20(3), 289–300. </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Moake, M. M., Padilla-Zakour, O. I., &amp; Worobo, R. W. (2020). Food safety implications of patulin in apple juice. Comprehensive Reviews in Food Science and Food Safety, 19(3), 1532-1547.</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Munkvold, G. P., Ariño, A., &amp; Mahuku, G. (2019). Fumonisins and their implications in plant disease and food safety. Toxins, 11(6), 328.</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Naranjo-Ortiz, M. A., &amp; Gabaldón, T. (2019). Fungal evolution: Diversity, taxonomy, and phylogeny of the Fungi. Biological Reviews, 94(6), 2101–2137.</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Petzinger, E., &amp; Weidenbach, A. (2021). Ochratoxin A: Its impact on the human kidney and approaches to reduce its contamination in food. Journal of Toxicology, 2021, 8850476.</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Pfohl-Leszkowicz, A., &amp; Manderville, R. A. (2020). Molecular mechanisms   of patulin toxicity and its impact on DNA integrity. Toxicology Reports, 7, 798-810.</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kern w:val="0"/>
          <w:sz w:val="28"/>
          <w:szCs w:val="28"/>
        </w:rPr>
        <w:t xml:space="preserve">Puel, O., Galtier, P., &amp; Oswald, I. P. (2010). Biosynthesis and toxicological effects of patulin. Toxins, 2(4), 613–631. </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Puel, O., Galtier, P., &amp; Oswald, I. P. (2018). Biosynthesis and toxicological effects of patulin. Toxins, 10(10), 406.</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Riley, L. W., &amp; Norreed, A. T. (2018). Staphylococcus aureus: Pathogenesis, epidemiology, and clinical manifestations. Journal of Clinical Microbiology, 56(4), e00215-18. </w:t>
      </w:r>
      <w:hyperlink r:id="rId15" w:history="1">
        <w:r>
          <w:rPr>
            <w:rStyle w:val="Hyperlink"/>
            <w:rFonts w:ascii="Times New Roman" w:hAnsi="Times New Roman" w:cs="Times New Roman"/>
            <w:sz w:val="28"/>
            <w:szCs w:val="28"/>
          </w:rPr>
          <w:t>https://doi.org/10.1128/JCM.00215-18</w:t>
        </w:r>
      </w:hyperlink>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Smith, M. C., Madec, S., Coton, E., &amp; Hymery, N. (2021). Natural co-occurrence of mycotoxins in foods and feeds and their in vitro combined toxicological effects. Toxins, 13(1), 30</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Spatafora, J. W., Chang, Y., Benny, G. L., Lazarus, K., &amp; Smith, M. E. (2018). A phylum-level phylogenetic classification of fungi. Mycologia, 110(1), 1–12.</w:t>
      </w:r>
    </w:p>
    <w:p w:rsidR="00D10ECF" w:rsidRDefault="00D10ECF" w:rsidP="00D10ECF">
      <w:pPr>
        <w:spacing w:line="240" w:lineRule="auto"/>
        <w:ind w:left="720" w:hanging="720"/>
        <w:jc w:val="both"/>
        <w:rPr>
          <w:rFonts w:ascii="Times New Roman" w:hAnsi="Times New Roman" w:cs="Times New Roman"/>
          <w:sz w:val="28"/>
          <w:szCs w:val="28"/>
        </w:rPr>
      </w:pP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Speijers, G. J. A., Franken, M. A. M., Van Leeuwen, F. X. R., &amp; Van Egmond, H. P. (1986). Subchronic oral toxicity study of patulin in the rat. Rijksinstituut voor Volksgezondheid en Milieuhygiëne, Report no. 618314 001.</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Tannous, J., El Khoury, R., &amp; Atoui, A. (2017). Patulin biosynthesis and regulation in Penicillium expansum: A review. Microorganisms, 5(4), 49.</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Turner, N. W., Subrahmanyam, S., &amp; Piletsky, S. A. (2019). Analytical methods for detection of patulin in food. Analytical and Bioanalytical Chemistry, 411(12), 2531-2545.</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Vanhoutte, I., Audenaert, K., &amp; De Gelder, L. (2017). Biocontrol of patulin-producing Penicillium expansum with antagonistic microorganisms in post-harvest apples. International Journal of Food Microbiology, 246, 31-39.</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Wang, Y., Zhang, X., Chen, L., Liu, Y., Zhao, X., Xu, M., &amp; Li, J. (2020). Prevalence and characterization of enterotoxin genes in Staphylococcus aureus isolates from food samples. Food Control, 113, 107164. </w:t>
      </w:r>
      <w:hyperlink r:id="rId16" w:history="1">
        <w:r>
          <w:rPr>
            <w:rStyle w:val="Hyperlink"/>
            <w:rFonts w:ascii="Times New Roman" w:hAnsi="Times New Roman" w:cs="Times New Roman"/>
            <w:sz w:val="28"/>
            <w:szCs w:val="28"/>
          </w:rPr>
          <w:t>https://doi.org/10.1016/j.foodcont.2020.107164</w:t>
        </w:r>
      </w:hyperlink>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Wu, S., Duan, N., Gu, H., Hao, L., Ye, H., &amp; Wang, Z. (2019). A comprehensive review on Staphylococcus aureus enterotoxins: Production, detection, and regulatory mechanisms. Critical Reviews in Food Science and Nutrition, 59(3), 373–386. </w:t>
      </w:r>
      <w:hyperlink r:id="rId17" w:history="1">
        <w:r>
          <w:rPr>
            <w:rStyle w:val="Hyperlink"/>
            <w:rFonts w:ascii="Times New Roman" w:hAnsi="Times New Roman" w:cs="Times New Roman"/>
            <w:sz w:val="28"/>
            <w:szCs w:val="28"/>
          </w:rPr>
          <w:t>https://doi.org/10.1080/10408398.2017.1372412</w:t>
        </w:r>
      </w:hyperlink>
    </w:p>
    <w:p w:rsidR="00BC74E8" w:rsidRDefault="00BC74E8" w:rsidP="00D10ECF">
      <w:pPr>
        <w:spacing w:line="240" w:lineRule="auto"/>
        <w:ind w:left="720" w:hanging="720"/>
        <w:jc w:val="both"/>
        <w:rPr>
          <w:rFonts w:ascii="Times New Roman" w:hAnsi="Times New Roman" w:cs="Times New Roman"/>
          <w:kern w:val="0"/>
          <w:sz w:val="28"/>
          <w:szCs w:val="28"/>
        </w:rPr>
      </w:pPr>
      <w:r>
        <w:rPr>
          <w:rFonts w:ascii="Times New Roman" w:hAnsi="Times New Roman" w:cs="Times New Roman"/>
          <w:kern w:val="0"/>
          <w:sz w:val="28"/>
          <w:szCs w:val="28"/>
        </w:rPr>
        <w:t>Zain, M. E. (2020). Impact of mycotoxins on humans and animals. Toxicology Research, 9(1), 1–16</w:t>
      </w:r>
    </w:p>
    <w:p w:rsidR="00BC74E8"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Zervakis, G. I., Venturella, G., &amp; Papazi, A. (2019). Edible and medicinal mushrooms: Importance, taxonomy, and production. International Journal of Medicinal Mushrooms, 21(1), 1–16.</w:t>
      </w:r>
    </w:p>
    <w:p w:rsidR="00BC74E8" w:rsidRPr="00EC2D00" w:rsidRDefault="00BC74E8" w:rsidP="00D10EC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K., Zhang, L., Pan, L., &amp; Zhang, W. (2021). A review of mycotoxin detection techniques in food. Food Chemistry, 353, 12944.</w:t>
      </w:r>
    </w:p>
    <w:sectPr w:rsidR="00BC74E8" w:rsidRPr="00EC2D00" w:rsidSect="00BC2C51">
      <w:footerReference w:type="even" r:id="rId18"/>
      <w:footerReference w:type="default" r:id="rId19"/>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DBB" w:rsidRDefault="00616DBB" w:rsidP="002E5FC4">
      <w:pPr>
        <w:spacing w:after="0" w:line="240" w:lineRule="auto"/>
      </w:pPr>
      <w:r>
        <w:separator/>
      </w:r>
    </w:p>
  </w:endnote>
  <w:endnote w:type="continuationSeparator" w:id="0">
    <w:p w:rsidR="00616DBB" w:rsidRDefault="00616DBB" w:rsidP="002E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2558830"/>
      <w:docPartObj>
        <w:docPartGallery w:val="Page Numbers (Bottom of Page)"/>
        <w:docPartUnique/>
      </w:docPartObj>
    </w:sdtPr>
    <w:sdtEndPr>
      <w:rPr>
        <w:rStyle w:val="PageNumber"/>
      </w:rPr>
    </w:sdtEndPr>
    <w:sdtContent>
      <w:p w:rsidR="00445846" w:rsidRDefault="00B55940" w:rsidP="00EF58B5">
        <w:pPr>
          <w:pStyle w:val="Footer"/>
          <w:framePr w:wrap="none" w:vAnchor="text" w:hAnchor="margin" w:xAlign="center" w:y="1"/>
          <w:jc w:val="center"/>
          <w:rPr>
            <w:rStyle w:val="PageNumber"/>
          </w:rPr>
        </w:pPr>
        <w:r>
          <w:rPr>
            <w:rStyle w:val="PageNumber"/>
          </w:rPr>
          <w:fldChar w:fldCharType="begin"/>
        </w:r>
        <w:r w:rsidR="00445846">
          <w:rPr>
            <w:rStyle w:val="PageNumber"/>
          </w:rPr>
          <w:instrText xml:space="preserve"> PAGE </w:instrText>
        </w:r>
        <w:r>
          <w:rPr>
            <w:rStyle w:val="PageNumber"/>
          </w:rPr>
          <w:fldChar w:fldCharType="end"/>
        </w:r>
      </w:p>
    </w:sdtContent>
  </w:sdt>
  <w:p w:rsidR="00445846" w:rsidRDefault="004458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71798499"/>
      <w:docPartObj>
        <w:docPartGallery w:val="Page Numbers (Bottom of Page)"/>
        <w:docPartUnique/>
      </w:docPartObj>
    </w:sdtPr>
    <w:sdtEndPr>
      <w:rPr>
        <w:rStyle w:val="PageNumber"/>
      </w:rPr>
    </w:sdtEndPr>
    <w:sdtContent>
      <w:p w:rsidR="00445846" w:rsidRDefault="00B55940" w:rsidP="00EF58B5">
        <w:pPr>
          <w:pStyle w:val="Footer"/>
          <w:framePr w:wrap="none" w:vAnchor="text" w:hAnchor="margin" w:xAlign="center" w:y="1"/>
          <w:jc w:val="center"/>
          <w:rPr>
            <w:rStyle w:val="PageNumber"/>
          </w:rPr>
        </w:pPr>
        <w:r>
          <w:rPr>
            <w:rStyle w:val="PageNumber"/>
          </w:rPr>
          <w:fldChar w:fldCharType="begin"/>
        </w:r>
        <w:r w:rsidR="00445846">
          <w:rPr>
            <w:rStyle w:val="PageNumber"/>
          </w:rPr>
          <w:instrText xml:space="preserve"> PAGE </w:instrText>
        </w:r>
        <w:r>
          <w:rPr>
            <w:rStyle w:val="PageNumber"/>
          </w:rPr>
          <w:fldChar w:fldCharType="separate"/>
        </w:r>
        <w:r w:rsidR="00EA169C">
          <w:rPr>
            <w:rStyle w:val="PageNumber"/>
            <w:noProof/>
          </w:rPr>
          <w:t>1</w:t>
        </w:r>
        <w:r>
          <w:rPr>
            <w:rStyle w:val="PageNumber"/>
          </w:rPr>
          <w:fldChar w:fldCharType="end"/>
        </w:r>
      </w:p>
    </w:sdtContent>
  </w:sdt>
  <w:p w:rsidR="00445846" w:rsidRDefault="00445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DBB" w:rsidRDefault="00616DBB" w:rsidP="002E5FC4">
      <w:pPr>
        <w:spacing w:after="0" w:line="240" w:lineRule="auto"/>
      </w:pPr>
      <w:r>
        <w:separator/>
      </w:r>
    </w:p>
  </w:footnote>
  <w:footnote w:type="continuationSeparator" w:id="0">
    <w:p w:rsidR="00616DBB" w:rsidRDefault="00616DBB" w:rsidP="002E5F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C0236C"/>
    <w:multiLevelType w:val="multilevel"/>
    <w:tmpl w:val="71ECFD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2CE7473"/>
    <w:multiLevelType w:val="multilevel"/>
    <w:tmpl w:val="FFFFFFFF"/>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3302BBC"/>
    <w:multiLevelType w:val="hybridMultilevel"/>
    <w:tmpl w:val="324879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3E2F7A"/>
    <w:multiLevelType w:val="multilevel"/>
    <w:tmpl w:val="FFFFFFFF"/>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31C4085"/>
    <w:multiLevelType w:val="hybridMultilevel"/>
    <w:tmpl w:val="F924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665713"/>
    <w:multiLevelType w:val="multilevel"/>
    <w:tmpl w:val="81A6439E"/>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7"/>
  </w:num>
  <w:num w:numId="3">
    <w:abstractNumId w:val="5"/>
  </w:num>
  <w:num w:numId="4">
    <w:abstractNumId w:val="2"/>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23"/>
    <w:rsid w:val="00003D9F"/>
    <w:rsid w:val="00004822"/>
    <w:rsid w:val="00004E83"/>
    <w:rsid w:val="00005981"/>
    <w:rsid w:val="00011A25"/>
    <w:rsid w:val="000241C4"/>
    <w:rsid w:val="00027CC7"/>
    <w:rsid w:val="0003132E"/>
    <w:rsid w:val="00040055"/>
    <w:rsid w:val="00045B4C"/>
    <w:rsid w:val="00047153"/>
    <w:rsid w:val="0005752A"/>
    <w:rsid w:val="00066BB7"/>
    <w:rsid w:val="00071256"/>
    <w:rsid w:val="00072A2E"/>
    <w:rsid w:val="00074804"/>
    <w:rsid w:val="000755D1"/>
    <w:rsid w:val="00076FD1"/>
    <w:rsid w:val="00082A8F"/>
    <w:rsid w:val="00084FB3"/>
    <w:rsid w:val="00097D0E"/>
    <w:rsid w:val="000A535D"/>
    <w:rsid w:val="000A5A90"/>
    <w:rsid w:val="000B6227"/>
    <w:rsid w:val="000C0B9E"/>
    <w:rsid w:val="000C314B"/>
    <w:rsid w:val="000C3337"/>
    <w:rsid w:val="000C533E"/>
    <w:rsid w:val="000C5FA3"/>
    <w:rsid w:val="000D51BE"/>
    <w:rsid w:val="000D5440"/>
    <w:rsid w:val="000D721A"/>
    <w:rsid w:val="000D735C"/>
    <w:rsid w:val="000D7877"/>
    <w:rsid w:val="000E2E5F"/>
    <w:rsid w:val="000E692D"/>
    <w:rsid w:val="000F5E92"/>
    <w:rsid w:val="001010C0"/>
    <w:rsid w:val="00104CF3"/>
    <w:rsid w:val="00111C7A"/>
    <w:rsid w:val="00112507"/>
    <w:rsid w:val="001174DD"/>
    <w:rsid w:val="00117B77"/>
    <w:rsid w:val="001207AC"/>
    <w:rsid w:val="00121C9B"/>
    <w:rsid w:val="001277B7"/>
    <w:rsid w:val="001313CA"/>
    <w:rsid w:val="00133C6D"/>
    <w:rsid w:val="00135076"/>
    <w:rsid w:val="00141925"/>
    <w:rsid w:val="00143EB9"/>
    <w:rsid w:val="00157948"/>
    <w:rsid w:val="00160E22"/>
    <w:rsid w:val="0016573D"/>
    <w:rsid w:val="001743F8"/>
    <w:rsid w:val="00174EA6"/>
    <w:rsid w:val="00176712"/>
    <w:rsid w:val="00187BEF"/>
    <w:rsid w:val="001951F3"/>
    <w:rsid w:val="00196592"/>
    <w:rsid w:val="001A0E0C"/>
    <w:rsid w:val="001A1B76"/>
    <w:rsid w:val="001A75A8"/>
    <w:rsid w:val="001C23FB"/>
    <w:rsid w:val="001D5BEC"/>
    <w:rsid w:val="001D6275"/>
    <w:rsid w:val="001D7504"/>
    <w:rsid w:val="001E0221"/>
    <w:rsid w:val="001E1763"/>
    <w:rsid w:val="001E3AEA"/>
    <w:rsid w:val="001E7E7F"/>
    <w:rsid w:val="001F1440"/>
    <w:rsid w:val="001F40F2"/>
    <w:rsid w:val="002010CB"/>
    <w:rsid w:val="00201CDF"/>
    <w:rsid w:val="00205C62"/>
    <w:rsid w:val="0020780F"/>
    <w:rsid w:val="00211D16"/>
    <w:rsid w:val="00212857"/>
    <w:rsid w:val="00214A31"/>
    <w:rsid w:val="00241396"/>
    <w:rsid w:val="00241E4A"/>
    <w:rsid w:val="00250452"/>
    <w:rsid w:val="002553D9"/>
    <w:rsid w:val="0025665D"/>
    <w:rsid w:val="00256AC9"/>
    <w:rsid w:val="00295AF5"/>
    <w:rsid w:val="002A35EE"/>
    <w:rsid w:val="002A6EEB"/>
    <w:rsid w:val="002A7575"/>
    <w:rsid w:val="002B1454"/>
    <w:rsid w:val="002B4974"/>
    <w:rsid w:val="002C2E5E"/>
    <w:rsid w:val="002C6DEA"/>
    <w:rsid w:val="002D588B"/>
    <w:rsid w:val="002D6523"/>
    <w:rsid w:val="002D74FB"/>
    <w:rsid w:val="002E4E49"/>
    <w:rsid w:val="002E5FC4"/>
    <w:rsid w:val="002F3D0E"/>
    <w:rsid w:val="002F3E61"/>
    <w:rsid w:val="0030310B"/>
    <w:rsid w:val="00304E4E"/>
    <w:rsid w:val="00313552"/>
    <w:rsid w:val="00321745"/>
    <w:rsid w:val="00323AD1"/>
    <w:rsid w:val="00324883"/>
    <w:rsid w:val="00332C91"/>
    <w:rsid w:val="00336BD9"/>
    <w:rsid w:val="003376A7"/>
    <w:rsid w:val="00343D82"/>
    <w:rsid w:val="003500A0"/>
    <w:rsid w:val="003518FD"/>
    <w:rsid w:val="00353571"/>
    <w:rsid w:val="00353E01"/>
    <w:rsid w:val="00354D0A"/>
    <w:rsid w:val="00364561"/>
    <w:rsid w:val="003648E3"/>
    <w:rsid w:val="003650F3"/>
    <w:rsid w:val="0036644D"/>
    <w:rsid w:val="0036778F"/>
    <w:rsid w:val="003677E6"/>
    <w:rsid w:val="00367F25"/>
    <w:rsid w:val="00370A3C"/>
    <w:rsid w:val="003727D8"/>
    <w:rsid w:val="003729C7"/>
    <w:rsid w:val="00375830"/>
    <w:rsid w:val="003950D3"/>
    <w:rsid w:val="003A3259"/>
    <w:rsid w:val="003A5010"/>
    <w:rsid w:val="003B0FEB"/>
    <w:rsid w:val="003B649E"/>
    <w:rsid w:val="003B7FF0"/>
    <w:rsid w:val="003D10FF"/>
    <w:rsid w:val="003D35A2"/>
    <w:rsid w:val="003D4152"/>
    <w:rsid w:val="003D4B95"/>
    <w:rsid w:val="003D571A"/>
    <w:rsid w:val="003D5F6A"/>
    <w:rsid w:val="003D6FA8"/>
    <w:rsid w:val="003E27B0"/>
    <w:rsid w:val="003E5C16"/>
    <w:rsid w:val="003F1BE8"/>
    <w:rsid w:val="003F626E"/>
    <w:rsid w:val="00405194"/>
    <w:rsid w:val="004061E3"/>
    <w:rsid w:val="00406517"/>
    <w:rsid w:val="00410757"/>
    <w:rsid w:val="00412F8E"/>
    <w:rsid w:val="00414BFF"/>
    <w:rsid w:val="004153B5"/>
    <w:rsid w:val="004223DC"/>
    <w:rsid w:val="00422D22"/>
    <w:rsid w:val="004262E8"/>
    <w:rsid w:val="00433B53"/>
    <w:rsid w:val="0043473F"/>
    <w:rsid w:val="004352F9"/>
    <w:rsid w:val="00436EAF"/>
    <w:rsid w:val="0043748F"/>
    <w:rsid w:val="00440E58"/>
    <w:rsid w:val="00441168"/>
    <w:rsid w:val="004439BC"/>
    <w:rsid w:val="00445846"/>
    <w:rsid w:val="00445AC2"/>
    <w:rsid w:val="004603DE"/>
    <w:rsid w:val="00464628"/>
    <w:rsid w:val="004753CA"/>
    <w:rsid w:val="004764C4"/>
    <w:rsid w:val="00476602"/>
    <w:rsid w:val="004803ED"/>
    <w:rsid w:val="00480E79"/>
    <w:rsid w:val="004867E8"/>
    <w:rsid w:val="0048734A"/>
    <w:rsid w:val="0049560D"/>
    <w:rsid w:val="004A2140"/>
    <w:rsid w:val="004B12DE"/>
    <w:rsid w:val="004B4937"/>
    <w:rsid w:val="004B4C85"/>
    <w:rsid w:val="004C00E4"/>
    <w:rsid w:val="004D3700"/>
    <w:rsid w:val="004D3EDD"/>
    <w:rsid w:val="004D587A"/>
    <w:rsid w:val="004D7CFF"/>
    <w:rsid w:val="004E2360"/>
    <w:rsid w:val="004E36BD"/>
    <w:rsid w:val="004E5421"/>
    <w:rsid w:val="004E5A04"/>
    <w:rsid w:val="004F0C57"/>
    <w:rsid w:val="004F1295"/>
    <w:rsid w:val="004F1E77"/>
    <w:rsid w:val="004F45B0"/>
    <w:rsid w:val="005025BB"/>
    <w:rsid w:val="00504695"/>
    <w:rsid w:val="0051327A"/>
    <w:rsid w:val="005154C8"/>
    <w:rsid w:val="005266F1"/>
    <w:rsid w:val="00535050"/>
    <w:rsid w:val="005378DA"/>
    <w:rsid w:val="005447A8"/>
    <w:rsid w:val="00550C77"/>
    <w:rsid w:val="00550D8F"/>
    <w:rsid w:val="00554C8E"/>
    <w:rsid w:val="00554E1D"/>
    <w:rsid w:val="00556463"/>
    <w:rsid w:val="00561F91"/>
    <w:rsid w:val="005638C6"/>
    <w:rsid w:val="005719A4"/>
    <w:rsid w:val="00584A88"/>
    <w:rsid w:val="00594DCF"/>
    <w:rsid w:val="005A746C"/>
    <w:rsid w:val="005B2958"/>
    <w:rsid w:val="005B51F5"/>
    <w:rsid w:val="005C01C4"/>
    <w:rsid w:val="005C5C18"/>
    <w:rsid w:val="005D6672"/>
    <w:rsid w:val="005E13B8"/>
    <w:rsid w:val="005E1D0E"/>
    <w:rsid w:val="005E32A6"/>
    <w:rsid w:val="005E3C46"/>
    <w:rsid w:val="005E47D5"/>
    <w:rsid w:val="005F2908"/>
    <w:rsid w:val="006031EE"/>
    <w:rsid w:val="00606391"/>
    <w:rsid w:val="006133B1"/>
    <w:rsid w:val="00614D43"/>
    <w:rsid w:val="00616DBB"/>
    <w:rsid w:val="006210E2"/>
    <w:rsid w:val="00622485"/>
    <w:rsid w:val="0062308E"/>
    <w:rsid w:val="00623703"/>
    <w:rsid w:val="0062748F"/>
    <w:rsid w:val="006301BD"/>
    <w:rsid w:val="00630ADC"/>
    <w:rsid w:val="00631281"/>
    <w:rsid w:val="0063152A"/>
    <w:rsid w:val="00635A41"/>
    <w:rsid w:val="00641824"/>
    <w:rsid w:val="0064497A"/>
    <w:rsid w:val="00646CFA"/>
    <w:rsid w:val="00647617"/>
    <w:rsid w:val="006559DD"/>
    <w:rsid w:val="00655C54"/>
    <w:rsid w:val="00661403"/>
    <w:rsid w:val="00666C88"/>
    <w:rsid w:val="00667D87"/>
    <w:rsid w:val="00674EBB"/>
    <w:rsid w:val="00675A61"/>
    <w:rsid w:val="006769AE"/>
    <w:rsid w:val="00681EA9"/>
    <w:rsid w:val="00682023"/>
    <w:rsid w:val="00682196"/>
    <w:rsid w:val="006835E2"/>
    <w:rsid w:val="0069019E"/>
    <w:rsid w:val="006A176E"/>
    <w:rsid w:val="006A3F16"/>
    <w:rsid w:val="006A7516"/>
    <w:rsid w:val="006B39C2"/>
    <w:rsid w:val="006C04CD"/>
    <w:rsid w:val="006C2EFB"/>
    <w:rsid w:val="006C3D86"/>
    <w:rsid w:val="006D5523"/>
    <w:rsid w:val="006E031C"/>
    <w:rsid w:val="006E1FF0"/>
    <w:rsid w:val="006E499D"/>
    <w:rsid w:val="006F1114"/>
    <w:rsid w:val="006F4A83"/>
    <w:rsid w:val="007027FB"/>
    <w:rsid w:val="00711647"/>
    <w:rsid w:val="00721746"/>
    <w:rsid w:val="00723FE3"/>
    <w:rsid w:val="00724BC6"/>
    <w:rsid w:val="00726E69"/>
    <w:rsid w:val="007305F8"/>
    <w:rsid w:val="0073586C"/>
    <w:rsid w:val="00736CF0"/>
    <w:rsid w:val="00744D84"/>
    <w:rsid w:val="007451D8"/>
    <w:rsid w:val="00752277"/>
    <w:rsid w:val="00761D0F"/>
    <w:rsid w:val="00763FC5"/>
    <w:rsid w:val="00764A87"/>
    <w:rsid w:val="00765FC5"/>
    <w:rsid w:val="00777316"/>
    <w:rsid w:val="0078187D"/>
    <w:rsid w:val="00787668"/>
    <w:rsid w:val="00787928"/>
    <w:rsid w:val="00790233"/>
    <w:rsid w:val="007930AB"/>
    <w:rsid w:val="007968CA"/>
    <w:rsid w:val="007A2DA8"/>
    <w:rsid w:val="007A4342"/>
    <w:rsid w:val="007A6AEC"/>
    <w:rsid w:val="007B78C9"/>
    <w:rsid w:val="007C2F2F"/>
    <w:rsid w:val="007C610F"/>
    <w:rsid w:val="007E3C0F"/>
    <w:rsid w:val="007E79A9"/>
    <w:rsid w:val="007E7C2F"/>
    <w:rsid w:val="007F0676"/>
    <w:rsid w:val="0080015E"/>
    <w:rsid w:val="008073CA"/>
    <w:rsid w:val="0081517C"/>
    <w:rsid w:val="008168BA"/>
    <w:rsid w:val="00821E0B"/>
    <w:rsid w:val="00837C99"/>
    <w:rsid w:val="00837E57"/>
    <w:rsid w:val="00840EA9"/>
    <w:rsid w:val="00842D25"/>
    <w:rsid w:val="00843793"/>
    <w:rsid w:val="008437E5"/>
    <w:rsid w:val="00845E8C"/>
    <w:rsid w:val="008508F4"/>
    <w:rsid w:val="00854F4A"/>
    <w:rsid w:val="00856AEE"/>
    <w:rsid w:val="008664A0"/>
    <w:rsid w:val="00876188"/>
    <w:rsid w:val="00892FF5"/>
    <w:rsid w:val="0089452D"/>
    <w:rsid w:val="008A3DB5"/>
    <w:rsid w:val="008A4F6F"/>
    <w:rsid w:val="008B4208"/>
    <w:rsid w:val="008B5723"/>
    <w:rsid w:val="008B59DF"/>
    <w:rsid w:val="008B7629"/>
    <w:rsid w:val="008C2619"/>
    <w:rsid w:val="008C6222"/>
    <w:rsid w:val="008D08EA"/>
    <w:rsid w:val="008D1170"/>
    <w:rsid w:val="008D564A"/>
    <w:rsid w:val="008E22C0"/>
    <w:rsid w:val="008E4F05"/>
    <w:rsid w:val="008F4B23"/>
    <w:rsid w:val="00912DF1"/>
    <w:rsid w:val="00914254"/>
    <w:rsid w:val="00914565"/>
    <w:rsid w:val="0092351F"/>
    <w:rsid w:val="009275E9"/>
    <w:rsid w:val="00931623"/>
    <w:rsid w:val="00941723"/>
    <w:rsid w:val="00942661"/>
    <w:rsid w:val="00942C2D"/>
    <w:rsid w:val="00950266"/>
    <w:rsid w:val="00950648"/>
    <w:rsid w:val="009605AF"/>
    <w:rsid w:val="00960605"/>
    <w:rsid w:val="0096795A"/>
    <w:rsid w:val="0097047F"/>
    <w:rsid w:val="00972FE5"/>
    <w:rsid w:val="00973B40"/>
    <w:rsid w:val="00983D5F"/>
    <w:rsid w:val="00985CA5"/>
    <w:rsid w:val="00986C23"/>
    <w:rsid w:val="0098766F"/>
    <w:rsid w:val="00993780"/>
    <w:rsid w:val="00995507"/>
    <w:rsid w:val="009A01C7"/>
    <w:rsid w:val="009A2DA6"/>
    <w:rsid w:val="009A2F90"/>
    <w:rsid w:val="009A4469"/>
    <w:rsid w:val="009B7BEB"/>
    <w:rsid w:val="009C4367"/>
    <w:rsid w:val="009C76C3"/>
    <w:rsid w:val="009D5146"/>
    <w:rsid w:val="009E373A"/>
    <w:rsid w:val="009E4C69"/>
    <w:rsid w:val="009E4FEA"/>
    <w:rsid w:val="009F1B78"/>
    <w:rsid w:val="009F4EDE"/>
    <w:rsid w:val="00A008BE"/>
    <w:rsid w:val="00A06D70"/>
    <w:rsid w:val="00A17250"/>
    <w:rsid w:val="00A17BDB"/>
    <w:rsid w:val="00A2608F"/>
    <w:rsid w:val="00A355CA"/>
    <w:rsid w:val="00A4651D"/>
    <w:rsid w:val="00A51913"/>
    <w:rsid w:val="00A5605D"/>
    <w:rsid w:val="00A61FBB"/>
    <w:rsid w:val="00A6531D"/>
    <w:rsid w:val="00A909A6"/>
    <w:rsid w:val="00A91804"/>
    <w:rsid w:val="00AA0E3E"/>
    <w:rsid w:val="00AA25DA"/>
    <w:rsid w:val="00AA7556"/>
    <w:rsid w:val="00AB1920"/>
    <w:rsid w:val="00AB1A61"/>
    <w:rsid w:val="00AB6E77"/>
    <w:rsid w:val="00AC1068"/>
    <w:rsid w:val="00AD4B9C"/>
    <w:rsid w:val="00AD5E19"/>
    <w:rsid w:val="00AD6496"/>
    <w:rsid w:val="00AE3221"/>
    <w:rsid w:val="00AE4A2D"/>
    <w:rsid w:val="00AE5812"/>
    <w:rsid w:val="00AF04A6"/>
    <w:rsid w:val="00AF32F9"/>
    <w:rsid w:val="00AF33F9"/>
    <w:rsid w:val="00B04D29"/>
    <w:rsid w:val="00B04F8A"/>
    <w:rsid w:val="00B06D67"/>
    <w:rsid w:val="00B0710A"/>
    <w:rsid w:val="00B23F37"/>
    <w:rsid w:val="00B2469F"/>
    <w:rsid w:val="00B26EFD"/>
    <w:rsid w:val="00B3468D"/>
    <w:rsid w:val="00B44541"/>
    <w:rsid w:val="00B45E9C"/>
    <w:rsid w:val="00B46C30"/>
    <w:rsid w:val="00B503E2"/>
    <w:rsid w:val="00B55940"/>
    <w:rsid w:val="00B57887"/>
    <w:rsid w:val="00B57D0E"/>
    <w:rsid w:val="00B604BE"/>
    <w:rsid w:val="00B628AB"/>
    <w:rsid w:val="00B63DFD"/>
    <w:rsid w:val="00B67CF3"/>
    <w:rsid w:val="00B70FBA"/>
    <w:rsid w:val="00B75C4D"/>
    <w:rsid w:val="00B75E33"/>
    <w:rsid w:val="00B77BC6"/>
    <w:rsid w:val="00B80C1B"/>
    <w:rsid w:val="00B82A74"/>
    <w:rsid w:val="00B848AC"/>
    <w:rsid w:val="00B86E04"/>
    <w:rsid w:val="00B944FF"/>
    <w:rsid w:val="00B9467A"/>
    <w:rsid w:val="00BA7698"/>
    <w:rsid w:val="00BB02FA"/>
    <w:rsid w:val="00BB2280"/>
    <w:rsid w:val="00BC2C51"/>
    <w:rsid w:val="00BC3A17"/>
    <w:rsid w:val="00BC4CA3"/>
    <w:rsid w:val="00BC74E8"/>
    <w:rsid w:val="00BD4761"/>
    <w:rsid w:val="00BD5EEB"/>
    <w:rsid w:val="00BD611A"/>
    <w:rsid w:val="00BE21A0"/>
    <w:rsid w:val="00BF147D"/>
    <w:rsid w:val="00BF7BF8"/>
    <w:rsid w:val="00C018F2"/>
    <w:rsid w:val="00C01E7B"/>
    <w:rsid w:val="00C058AC"/>
    <w:rsid w:val="00C068C8"/>
    <w:rsid w:val="00C07244"/>
    <w:rsid w:val="00C134D0"/>
    <w:rsid w:val="00C17B33"/>
    <w:rsid w:val="00C25893"/>
    <w:rsid w:val="00C26050"/>
    <w:rsid w:val="00C3006A"/>
    <w:rsid w:val="00C36354"/>
    <w:rsid w:val="00C405D6"/>
    <w:rsid w:val="00C43906"/>
    <w:rsid w:val="00C52E7C"/>
    <w:rsid w:val="00C712CC"/>
    <w:rsid w:val="00C73C19"/>
    <w:rsid w:val="00C73D15"/>
    <w:rsid w:val="00C75899"/>
    <w:rsid w:val="00C879C5"/>
    <w:rsid w:val="00C906A7"/>
    <w:rsid w:val="00C90F43"/>
    <w:rsid w:val="00C93408"/>
    <w:rsid w:val="00C97D44"/>
    <w:rsid w:val="00CA19A9"/>
    <w:rsid w:val="00CA1F80"/>
    <w:rsid w:val="00CB52D6"/>
    <w:rsid w:val="00CC0403"/>
    <w:rsid w:val="00CC12BD"/>
    <w:rsid w:val="00CC5BFF"/>
    <w:rsid w:val="00CC629D"/>
    <w:rsid w:val="00CD1CF2"/>
    <w:rsid w:val="00CD2E09"/>
    <w:rsid w:val="00CD6325"/>
    <w:rsid w:val="00CE042C"/>
    <w:rsid w:val="00CE7292"/>
    <w:rsid w:val="00CE7904"/>
    <w:rsid w:val="00CF175D"/>
    <w:rsid w:val="00CF2922"/>
    <w:rsid w:val="00CF502C"/>
    <w:rsid w:val="00D01CD0"/>
    <w:rsid w:val="00D02640"/>
    <w:rsid w:val="00D10ECF"/>
    <w:rsid w:val="00D22727"/>
    <w:rsid w:val="00D22CB8"/>
    <w:rsid w:val="00D23D7E"/>
    <w:rsid w:val="00D25DC4"/>
    <w:rsid w:val="00D343F8"/>
    <w:rsid w:val="00D35EFC"/>
    <w:rsid w:val="00D3673B"/>
    <w:rsid w:val="00D3739B"/>
    <w:rsid w:val="00D417DF"/>
    <w:rsid w:val="00D45009"/>
    <w:rsid w:val="00D457AC"/>
    <w:rsid w:val="00D4656C"/>
    <w:rsid w:val="00D50390"/>
    <w:rsid w:val="00D517B0"/>
    <w:rsid w:val="00D53156"/>
    <w:rsid w:val="00D55B4F"/>
    <w:rsid w:val="00D5797D"/>
    <w:rsid w:val="00D6105C"/>
    <w:rsid w:val="00D63CA7"/>
    <w:rsid w:val="00D71D4F"/>
    <w:rsid w:val="00D82BC6"/>
    <w:rsid w:val="00DA426E"/>
    <w:rsid w:val="00DB19E7"/>
    <w:rsid w:val="00DB7564"/>
    <w:rsid w:val="00DC4A0A"/>
    <w:rsid w:val="00DC5C93"/>
    <w:rsid w:val="00DD0DE3"/>
    <w:rsid w:val="00DD3B97"/>
    <w:rsid w:val="00DD4A3B"/>
    <w:rsid w:val="00DE267C"/>
    <w:rsid w:val="00DE668D"/>
    <w:rsid w:val="00DF29A0"/>
    <w:rsid w:val="00DF4724"/>
    <w:rsid w:val="00DF57FF"/>
    <w:rsid w:val="00E047DF"/>
    <w:rsid w:val="00E04CFA"/>
    <w:rsid w:val="00E05E27"/>
    <w:rsid w:val="00E210C9"/>
    <w:rsid w:val="00E21931"/>
    <w:rsid w:val="00E21BCA"/>
    <w:rsid w:val="00E220AF"/>
    <w:rsid w:val="00E244C7"/>
    <w:rsid w:val="00E325ED"/>
    <w:rsid w:val="00E34A21"/>
    <w:rsid w:val="00E34FC4"/>
    <w:rsid w:val="00E46C45"/>
    <w:rsid w:val="00E47A8E"/>
    <w:rsid w:val="00E50BCE"/>
    <w:rsid w:val="00E521F2"/>
    <w:rsid w:val="00E54FE7"/>
    <w:rsid w:val="00E554A2"/>
    <w:rsid w:val="00E5644A"/>
    <w:rsid w:val="00E61884"/>
    <w:rsid w:val="00E74A45"/>
    <w:rsid w:val="00E75667"/>
    <w:rsid w:val="00E762C7"/>
    <w:rsid w:val="00E76B39"/>
    <w:rsid w:val="00E8060F"/>
    <w:rsid w:val="00E84260"/>
    <w:rsid w:val="00E96356"/>
    <w:rsid w:val="00EA0B67"/>
    <w:rsid w:val="00EA169C"/>
    <w:rsid w:val="00EA3561"/>
    <w:rsid w:val="00EA3FBC"/>
    <w:rsid w:val="00EA6CE0"/>
    <w:rsid w:val="00EA79D4"/>
    <w:rsid w:val="00EB3CE0"/>
    <w:rsid w:val="00EB4026"/>
    <w:rsid w:val="00EB4A03"/>
    <w:rsid w:val="00EB614C"/>
    <w:rsid w:val="00EC095A"/>
    <w:rsid w:val="00EC2B57"/>
    <w:rsid w:val="00EC2D00"/>
    <w:rsid w:val="00EC6122"/>
    <w:rsid w:val="00EC6298"/>
    <w:rsid w:val="00ED3C13"/>
    <w:rsid w:val="00EE375B"/>
    <w:rsid w:val="00EE3FD5"/>
    <w:rsid w:val="00EE52F6"/>
    <w:rsid w:val="00EE6DF2"/>
    <w:rsid w:val="00EF19A5"/>
    <w:rsid w:val="00EF2B14"/>
    <w:rsid w:val="00EF3172"/>
    <w:rsid w:val="00EF4CF7"/>
    <w:rsid w:val="00EF58B5"/>
    <w:rsid w:val="00EF6CF7"/>
    <w:rsid w:val="00F02016"/>
    <w:rsid w:val="00F02088"/>
    <w:rsid w:val="00F10359"/>
    <w:rsid w:val="00F1397D"/>
    <w:rsid w:val="00F16CFF"/>
    <w:rsid w:val="00F2050C"/>
    <w:rsid w:val="00F218EE"/>
    <w:rsid w:val="00F219C9"/>
    <w:rsid w:val="00F237A2"/>
    <w:rsid w:val="00F33E27"/>
    <w:rsid w:val="00F34B05"/>
    <w:rsid w:val="00F66CF3"/>
    <w:rsid w:val="00F73C68"/>
    <w:rsid w:val="00F73EFE"/>
    <w:rsid w:val="00F74F4A"/>
    <w:rsid w:val="00F7651B"/>
    <w:rsid w:val="00F779F7"/>
    <w:rsid w:val="00F8113A"/>
    <w:rsid w:val="00F81934"/>
    <w:rsid w:val="00F81F7C"/>
    <w:rsid w:val="00F853ED"/>
    <w:rsid w:val="00F902D2"/>
    <w:rsid w:val="00F906C8"/>
    <w:rsid w:val="00F91C93"/>
    <w:rsid w:val="00F9333C"/>
    <w:rsid w:val="00F97FB8"/>
    <w:rsid w:val="00FA7CF6"/>
    <w:rsid w:val="00FC3656"/>
    <w:rsid w:val="00FC3D13"/>
    <w:rsid w:val="00FC4366"/>
    <w:rsid w:val="00FC58F1"/>
    <w:rsid w:val="00FC68DD"/>
    <w:rsid w:val="00FD03F2"/>
    <w:rsid w:val="00FD0690"/>
    <w:rsid w:val="00FD4A75"/>
    <w:rsid w:val="00FE29B7"/>
    <w:rsid w:val="00FE2E06"/>
    <w:rsid w:val="00FF33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40AA4-E2A6-44DC-B7C5-6D7DEDD3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940"/>
  </w:style>
  <w:style w:type="paragraph" w:styleId="Heading1">
    <w:name w:val="heading 1"/>
    <w:basedOn w:val="Normal"/>
    <w:next w:val="Normal"/>
    <w:link w:val="Heading1Char"/>
    <w:uiPriority w:val="9"/>
    <w:qFormat/>
    <w:rsid w:val="00931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1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23"/>
    <w:rPr>
      <w:rFonts w:eastAsiaTheme="majorEastAsia" w:cstheme="majorBidi"/>
      <w:color w:val="272727" w:themeColor="text1" w:themeTint="D8"/>
    </w:rPr>
  </w:style>
  <w:style w:type="paragraph" w:styleId="Title">
    <w:name w:val="Title"/>
    <w:basedOn w:val="Normal"/>
    <w:next w:val="Normal"/>
    <w:link w:val="TitleChar"/>
    <w:uiPriority w:val="10"/>
    <w:qFormat/>
    <w:rsid w:val="0093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623"/>
    <w:pPr>
      <w:spacing w:before="160"/>
      <w:jc w:val="center"/>
    </w:pPr>
    <w:rPr>
      <w:i/>
      <w:iCs/>
      <w:color w:val="404040" w:themeColor="text1" w:themeTint="BF"/>
    </w:rPr>
  </w:style>
  <w:style w:type="character" w:customStyle="1" w:styleId="QuoteChar">
    <w:name w:val="Quote Char"/>
    <w:basedOn w:val="DefaultParagraphFont"/>
    <w:link w:val="Quote"/>
    <w:uiPriority w:val="29"/>
    <w:rsid w:val="00931623"/>
    <w:rPr>
      <w:i/>
      <w:iCs/>
      <w:color w:val="404040" w:themeColor="text1" w:themeTint="BF"/>
    </w:rPr>
  </w:style>
  <w:style w:type="paragraph" w:styleId="ListParagraph">
    <w:name w:val="List Paragraph"/>
    <w:basedOn w:val="Normal"/>
    <w:uiPriority w:val="34"/>
    <w:qFormat/>
    <w:rsid w:val="00931623"/>
    <w:pPr>
      <w:ind w:left="720"/>
      <w:contextualSpacing/>
    </w:pPr>
  </w:style>
  <w:style w:type="character" w:styleId="IntenseEmphasis">
    <w:name w:val="Intense Emphasis"/>
    <w:basedOn w:val="DefaultParagraphFont"/>
    <w:uiPriority w:val="21"/>
    <w:qFormat/>
    <w:rsid w:val="00931623"/>
    <w:rPr>
      <w:i/>
      <w:iCs/>
      <w:color w:val="0F4761" w:themeColor="accent1" w:themeShade="BF"/>
    </w:rPr>
  </w:style>
  <w:style w:type="paragraph" w:styleId="IntenseQuote">
    <w:name w:val="Intense Quote"/>
    <w:basedOn w:val="Normal"/>
    <w:next w:val="Normal"/>
    <w:link w:val="IntenseQuoteChar"/>
    <w:uiPriority w:val="30"/>
    <w:qFormat/>
    <w:rsid w:val="00931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23"/>
    <w:rPr>
      <w:i/>
      <w:iCs/>
      <w:color w:val="0F4761" w:themeColor="accent1" w:themeShade="BF"/>
    </w:rPr>
  </w:style>
  <w:style w:type="character" w:styleId="IntenseReference">
    <w:name w:val="Intense Reference"/>
    <w:basedOn w:val="DefaultParagraphFont"/>
    <w:uiPriority w:val="32"/>
    <w:qFormat/>
    <w:rsid w:val="00931623"/>
    <w:rPr>
      <w:b/>
      <w:bCs/>
      <w:smallCaps/>
      <w:color w:val="0F4761" w:themeColor="accent1" w:themeShade="BF"/>
      <w:spacing w:val="5"/>
    </w:rPr>
  </w:style>
  <w:style w:type="paragraph" w:styleId="Header">
    <w:name w:val="header"/>
    <w:basedOn w:val="Normal"/>
    <w:link w:val="HeaderChar"/>
    <w:uiPriority w:val="99"/>
    <w:unhideWhenUsed/>
    <w:rsid w:val="002E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FC4"/>
  </w:style>
  <w:style w:type="paragraph" w:styleId="Footer">
    <w:name w:val="footer"/>
    <w:basedOn w:val="Normal"/>
    <w:link w:val="FooterChar"/>
    <w:uiPriority w:val="99"/>
    <w:unhideWhenUsed/>
    <w:rsid w:val="002E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C4"/>
  </w:style>
  <w:style w:type="character" w:styleId="PageNumber">
    <w:name w:val="page number"/>
    <w:basedOn w:val="DefaultParagraphFont"/>
    <w:uiPriority w:val="99"/>
    <w:semiHidden/>
    <w:unhideWhenUsed/>
    <w:rsid w:val="002E5FC4"/>
  </w:style>
  <w:style w:type="character" w:styleId="Strong">
    <w:name w:val="Strong"/>
    <w:basedOn w:val="DefaultParagraphFont"/>
    <w:uiPriority w:val="22"/>
    <w:qFormat/>
    <w:rsid w:val="007451D8"/>
    <w:rPr>
      <w:b/>
      <w:bCs/>
    </w:rPr>
  </w:style>
  <w:style w:type="paragraph" w:styleId="NormalWeb">
    <w:name w:val="Normal (Web)"/>
    <w:basedOn w:val="Normal"/>
    <w:uiPriority w:val="99"/>
    <w:unhideWhenUsed/>
    <w:rsid w:val="007451D8"/>
    <w:pPr>
      <w:spacing w:before="100" w:beforeAutospacing="1" w:after="100" w:afterAutospacing="1" w:line="240" w:lineRule="auto"/>
    </w:pPr>
    <w:rPr>
      <w:rFonts w:ascii="Times New Roman" w:hAnsi="Times New Roman" w:cs="Times New Roman"/>
      <w:kern w:val="0"/>
    </w:rPr>
  </w:style>
  <w:style w:type="character" w:styleId="Emphasis">
    <w:name w:val="Emphasis"/>
    <w:basedOn w:val="DefaultParagraphFont"/>
    <w:uiPriority w:val="20"/>
    <w:qFormat/>
    <w:rsid w:val="007451D8"/>
    <w:rPr>
      <w:i/>
      <w:iCs/>
    </w:rPr>
  </w:style>
  <w:style w:type="table" w:styleId="TableGrid">
    <w:name w:val="Table Grid"/>
    <w:basedOn w:val="TableNormal"/>
    <w:uiPriority w:val="39"/>
    <w:rsid w:val="004B4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5FC5"/>
    <w:rPr>
      <w:color w:val="467886" w:themeColor="hyperlink"/>
      <w:u w:val="single"/>
    </w:rPr>
  </w:style>
  <w:style w:type="character" w:customStyle="1" w:styleId="UnresolvedMention1">
    <w:name w:val="Unresolved Mention1"/>
    <w:basedOn w:val="DefaultParagraphFont"/>
    <w:uiPriority w:val="99"/>
    <w:semiHidden/>
    <w:unhideWhenUsed/>
    <w:rsid w:val="00765FC5"/>
    <w:rPr>
      <w:color w:val="605E5C"/>
      <w:shd w:val="clear" w:color="auto" w:fill="E1DFDD"/>
    </w:rPr>
  </w:style>
  <w:style w:type="paragraph" w:styleId="BalloonText">
    <w:name w:val="Balloon Text"/>
    <w:basedOn w:val="Normal"/>
    <w:link w:val="BalloonTextChar"/>
    <w:uiPriority w:val="99"/>
    <w:semiHidden/>
    <w:unhideWhenUsed/>
    <w:rsid w:val="00683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2633">
      <w:bodyDiv w:val="1"/>
      <w:marLeft w:val="0"/>
      <w:marRight w:val="0"/>
      <w:marTop w:val="0"/>
      <w:marBottom w:val="0"/>
      <w:divBdr>
        <w:top w:val="none" w:sz="0" w:space="0" w:color="auto"/>
        <w:left w:val="none" w:sz="0" w:space="0" w:color="auto"/>
        <w:bottom w:val="none" w:sz="0" w:space="0" w:color="auto"/>
        <w:right w:val="none" w:sz="0" w:space="0" w:color="auto"/>
      </w:divBdr>
    </w:div>
    <w:div w:id="116997497">
      <w:bodyDiv w:val="1"/>
      <w:marLeft w:val="0"/>
      <w:marRight w:val="0"/>
      <w:marTop w:val="0"/>
      <w:marBottom w:val="0"/>
      <w:divBdr>
        <w:top w:val="none" w:sz="0" w:space="0" w:color="auto"/>
        <w:left w:val="none" w:sz="0" w:space="0" w:color="auto"/>
        <w:bottom w:val="none" w:sz="0" w:space="0" w:color="auto"/>
        <w:right w:val="none" w:sz="0" w:space="0" w:color="auto"/>
      </w:divBdr>
    </w:div>
    <w:div w:id="148249373">
      <w:bodyDiv w:val="1"/>
      <w:marLeft w:val="0"/>
      <w:marRight w:val="0"/>
      <w:marTop w:val="0"/>
      <w:marBottom w:val="0"/>
      <w:divBdr>
        <w:top w:val="none" w:sz="0" w:space="0" w:color="auto"/>
        <w:left w:val="none" w:sz="0" w:space="0" w:color="auto"/>
        <w:bottom w:val="none" w:sz="0" w:space="0" w:color="auto"/>
        <w:right w:val="none" w:sz="0" w:space="0" w:color="auto"/>
      </w:divBdr>
    </w:div>
    <w:div w:id="214202399">
      <w:bodyDiv w:val="1"/>
      <w:marLeft w:val="0"/>
      <w:marRight w:val="0"/>
      <w:marTop w:val="0"/>
      <w:marBottom w:val="0"/>
      <w:divBdr>
        <w:top w:val="none" w:sz="0" w:space="0" w:color="auto"/>
        <w:left w:val="none" w:sz="0" w:space="0" w:color="auto"/>
        <w:bottom w:val="none" w:sz="0" w:space="0" w:color="auto"/>
        <w:right w:val="none" w:sz="0" w:space="0" w:color="auto"/>
      </w:divBdr>
    </w:div>
    <w:div w:id="266088570">
      <w:bodyDiv w:val="1"/>
      <w:marLeft w:val="0"/>
      <w:marRight w:val="0"/>
      <w:marTop w:val="0"/>
      <w:marBottom w:val="0"/>
      <w:divBdr>
        <w:top w:val="none" w:sz="0" w:space="0" w:color="auto"/>
        <w:left w:val="none" w:sz="0" w:space="0" w:color="auto"/>
        <w:bottom w:val="none" w:sz="0" w:space="0" w:color="auto"/>
        <w:right w:val="none" w:sz="0" w:space="0" w:color="auto"/>
      </w:divBdr>
    </w:div>
    <w:div w:id="396511207">
      <w:bodyDiv w:val="1"/>
      <w:marLeft w:val="0"/>
      <w:marRight w:val="0"/>
      <w:marTop w:val="0"/>
      <w:marBottom w:val="0"/>
      <w:divBdr>
        <w:top w:val="none" w:sz="0" w:space="0" w:color="auto"/>
        <w:left w:val="none" w:sz="0" w:space="0" w:color="auto"/>
        <w:bottom w:val="none" w:sz="0" w:space="0" w:color="auto"/>
        <w:right w:val="none" w:sz="0" w:space="0" w:color="auto"/>
      </w:divBdr>
    </w:div>
    <w:div w:id="413820023">
      <w:bodyDiv w:val="1"/>
      <w:marLeft w:val="0"/>
      <w:marRight w:val="0"/>
      <w:marTop w:val="0"/>
      <w:marBottom w:val="0"/>
      <w:divBdr>
        <w:top w:val="none" w:sz="0" w:space="0" w:color="auto"/>
        <w:left w:val="none" w:sz="0" w:space="0" w:color="auto"/>
        <w:bottom w:val="none" w:sz="0" w:space="0" w:color="auto"/>
        <w:right w:val="none" w:sz="0" w:space="0" w:color="auto"/>
      </w:divBdr>
    </w:div>
    <w:div w:id="427624577">
      <w:bodyDiv w:val="1"/>
      <w:marLeft w:val="0"/>
      <w:marRight w:val="0"/>
      <w:marTop w:val="0"/>
      <w:marBottom w:val="0"/>
      <w:divBdr>
        <w:top w:val="none" w:sz="0" w:space="0" w:color="auto"/>
        <w:left w:val="none" w:sz="0" w:space="0" w:color="auto"/>
        <w:bottom w:val="none" w:sz="0" w:space="0" w:color="auto"/>
        <w:right w:val="none" w:sz="0" w:space="0" w:color="auto"/>
      </w:divBdr>
    </w:div>
    <w:div w:id="618489104">
      <w:bodyDiv w:val="1"/>
      <w:marLeft w:val="0"/>
      <w:marRight w:val="0"/>
      <w:marTop w:val="0"/>
      <w:marBottom w:val="0"/>
      <w:divBdr>
        <w:top w:val="none" w:sz="0" w:space="0" w:color="auto"/>
        <w:left w:val="none" w:sz="0" w:space="0" w:color="auto"/>
        <w:bottom w:val="none" w:sz="0" w:space="0" w:color="auto"/>
        <w:right w:val="none" w:sz="0" w:space="0" w:color="auto"/>
      </w:divBdr>
    </w:div>
    <w:div w:id="678698649">
      <w:bodyDiv w:val="1"/>
      <w:marLeft w:val="0"/>
      <w:marRight w:val="0"/>
      <w:marTop w:val="0"/>
      <w:marBottom w:val="0"/>
      <w:divBdr>
        <w:top w:val="none" w:sz="0" w:space="0" w:color="auto"/>
        <w:left w:val="none" w:sz="0" w:space="0" w:color="auto"/>
        <w:bottom w:val="none" w:sz="0" w:space="0" w:color="auto"/>
        <w:right w:val="none" w:sz="0" w:space="0" w:color="auto"/>
      </w:divBdr>
    </w:div>
    <w:div w:id="802580259">
      <w:bodyDiv w:val="1"/>
      <w:marLeft w:val="0"/>
      <w:marRight w:val="0"/>
      <w:marTop w:val="0"/>
      <w:marBottom w:val="0"/>
      <w:divBdr>
        <w:top w:val="none" w:sz="0" w:space="0" w:color="auto"/>
        <w:left w:val="none" w:sz="0" w:space="0" w:color="auto"/>
        <w:bottom w:val="none" w:sz="0" w:space="0" w:color="auto"/>
        <w:right w:val="none" w:sz="0" w:space="0" w:color="auto"/>
      </w:divBdr>
    </w:div>
    <w:div w:id="824050472">
      <w:bodyDiv w:val="1"/>
      <w:marLeft w:val="0"/>
      <w:marRight w:val="0"/>
      <w:marTop w:val="0"/>
      <w:marBottom w:val="0"/>
      <w:divBdr>
        <w:top w:val="none" w:sz="0" w:space="0" w:color="auto"/>
        <w:left w:val="none" w:sz="0" w:space="0" w:color="auto"/>
        <w:bottom w:val="none" w:sz="0" w:space="0" w:color="auto"/>
        <w:right w:val="none" w:sz="0" w:space="0" w:color="auto"/>
      </w:divBdr>
    </w:div>
    <w:div w:id="850291639">
      <w:bodyDiv w:val="1"/>
      <w:marLeft w:val="0"/>
      <w:marRight w:val="0"/>
      <w:marTop w:val="0"/>
      <w:marBottom w:val="0"/>
      <w:divBdr>
        <w:top w:val="none" w:sz="0" w:space="0" w:color="auto"/>
        <w:left w:val="none" w:sz="0" w:space="0" w:color="auto"/>
        <w:bottom w:val="none" w:sz="0" w:space="0" w:color="auto"/>
        <w:right w:val="none" w:sz="0" w:space="0" w:color="auto"/>
      </w:divBdr>
    </w:div>
    <w:div w:id="950090915">
      <w:bodyDiv w:val="1"/>
      <w:marLeft w:val="0"/>
      <w:marRight w:val="0"/>
      <w:marTop w:val="0"/>
      <w:marBottom w:val="0"/>
      <w:divBdr>
        <w:top w:val="none" w:sz="0" w:space="0" w:color="auto"/>
        <w:left w:val="none" w:sz="0" w:space="0" w:color="auto"/>
        <w:bottom w:val="none" w:sz="0" w:space="0" w:color="auto"/>
        <w:right w:val="none" w:sz="0" w:space="0" w:color="auto"/>
      </w:divBdr>
    </w:div>
    <w:div w:id="961767789">
      <w:bodyDiv w:val="1"/>
      <w:marLeft w:val="0"/>
      <w:marRight w:val="0"/>
      <w:marTop w:val="0"/>
      <w:marBottom w:val="0"/>
      <w:divBdr>
        <w:top w:val="none" w:sz="0" w:space="0" w:color="auto"/>
        <w:left w:val="none" w:sz="0" w:space="0" w:color="auto"/>
        <w:bottom w:val="none" w:sz="0" w:space="0" w:color="auto"/>
        <w:right w:val="none" w:sz="0" w:space="0" w:color="auto"/>
      </w:divBdr>
    </w:div>
    <w:div w:id="981497663">
      <w:bodyDiv w:val="1"/>
      <w:marLeft w:val="0"/>
      <w:marRight w:val="0"/>
      <w:marTop w:val="0"/>
      <w:marBottom w:val="0"/>
      <w:divBdr>
        <w:top w:val="none" w:sz="0" w:space="0" w:color="auto"/>
        <w:left w:val="none" w:sz="0" w:space="0" w:color="auto"/>
        <w:bottom w:val="none" w:sz="0" w:space="0" w:color="auto"/>
        <w:right w:val="none" w:sz="0" w:space="0" w:color="auto"/>
      </w:divBdr>
    </w:div>
    <w:div w:id="995571671">
      <w:bodyDiv w:val="1"/>
      <w:marLeft w:val="0"/>
      <w:marRight w:val="0"/>
      <w:marTop w:val="0"/>
      <w:marBottom w:val="0"/>
      <w:divBdr>
        <w:top w:val="none" w:sz="0" w:space="0" w:color="auto"/>
        <w:left w:val="none" w:sz="0" w:space="0" w:color="auto"/>
        <w:bottom w:val="none" w:sz="0" w:space="0" w:color="auto"/>
        <w:right w:val="none" w:sz="0" w:space="0" w:color="auto"/>
      </w:divBdr>
    </w:div>
    <w:div w:id="1010644985">
      <w:bodyDiv w:val="1"/>
      <w:marLeft w:val="0"/>
      <w:marRight w:val="0"/>
      <w:marTop w:val="0"/>
      <w:marBottom w:val="0"/>
      <w:divBdr>
        <w:top w:val="none" w:sz="0" w:space="0" w:color="auto"/>
        <w:left w:val="none" w:sz="0" w:space="0" w:color="auto"/>
        <w:bottom w:val="none" w:sz="0" w:space="0" w:color="auto"/>
        <w:right w:val="none" w:sz="0" w:space="0" w:color="auto"/>
      </w:divBdr>
    </w:div>
    <w:div w:id="1073501717">
      <w:bodyDiv w:val="1"/>
      <w:marLeft w:val="0"/>
      <w:marRight w:val="0"/>
      <w:marTop w:val="0"/>
      <w:marBottom w:val="0"/>
      <w:divBdr>
        <w:top w:val="none" w:sz="0" w:space="0" w:color="auto"/>
        <w:left w:val="none" w:sz="0" w:space="0" w:color="auto"/>
        <w:bottom w:val="none" w:sz="0" w:space="0" w:color="auto"/>
        <w:right w:val="none" w:sz="0" w:space="0" w:color="auto"/>
      </w:divBdr>
    </w:div>
    <w:div w:id="1350329920">
      <w:bodyDiv w:val="1"/>
      <w:marLeft w:val="0"/>
      <w:marRight w:val="0"/>
      <w:marTop w:val="0"/>
      <w:marBottom w:val="0"/>
      <w:divBdr>
        <w:top w:val="none" w:sz="0" w:space="0" w:color="auto"/>
        <w:left w:val="none" w:sz="0" w:space="0" w:color="auto"/>
        <w:bottom w:val="none" w:sz="0" w:space="0" w:color="auto"/>
        <w:right w:val="none" w:sz="0" w:space="0" w:color="auto"/>
      </w:divBdr>
    </w:div>
    <w:div w:id="1397585618">
      <w:bodyDiv w:val="1"/>
      <w:marLeft w:val="0"/>
      <w:marRight w:val="0"/>
      <w:marTop w:val="0"/>
      <w:marBottom w:val="0"/>
      <w:divBdr>
        <w:top w:val="none" w:sz="0" w:space="0" w:color="auto"/>
        <w:left w:val="none" w:sz="0" w:space="0" w:color="auto"/>
        <w:bottom w:val="none" w:sz="0" w:space="0" w:color="auto"/>
        <w:right w:val="none" w:sz="0" w:space="0" w:color="auto"/>
      </w:divBdr>
    </w:div>
    <w:div w:id="1457482203">
      <w:bodyDiv w:val="1"/>
      <w:marLeft w:val="0"/>
      <w:marRight w:val="0"/>
      <w:marTop w:val="0"/>
      <w:marBottom w:val="0"/>
      <w:divBdr>
        <w:top w:val="none" w:sz="0" w:space="0" w:color="auto"/>
        <w:left w:val="none" w:sz="0" w:space="0" w:color="auto"/>
        <w:bottom w:val="none" w:sz="0" w:space="0" w:color="auto"/>
        <w:right w:val="none" w:sz="0" w:space="0" w:color="auto"/>
      </w:divBdr>
    </w:div>
    <w:div w:id="1477801947">
      <w:bodyDiv w:val="1"/>
      <w:marLeft w:val="0"/>
      <w:marRight w:val="0"/>
      <w:marTop w:val="0"/>
      <w:marBottom w:val="0"/>
      <w:divBdr>
        <w:top w:val="none" w:sz="0" w:space="0" w:color="auto"/>
        <w:left w:val="none" w:sz="0" w:space="0" w:color="auto"/>
        <w:bottom w:val="none" w:sz="0" w:space="0" w:color="auto"/>
        <w:right w:val="none" w:sz="0" w:space="0" w:color="auto"/>
      </w:divBdr>
    </w:div>
    <w:div w:id="1487428424">
      <w:bodyDiv w:val="1"/>
      <w:marLeft w:val="0"/>
      <w:marRight w:val="0"/>
      <w:marTop w:val="0"/>
      <w:marBottom w:val="0"/>
      <w:divBdr>
        <w:top w:val="none" w:sz="0" w:space="0" w:color="auto"/>
        <w:left w:val="none" w:sz="0" w:space="0" w:color="auto"/>
        <w:bottom w:val="none" w:sz="0" w:space="0" w:color="auto"/>
        <w:right w:val="none" w:sz="0" w:space="0" w:color="auto"/>
      </w:divBdr>
    </w:div>
    <w:div w:id="1497960002">
      <w:bodyDiv w:val="1"/>
      <w:marLeft w:val="0"/>
      <w:marRight w:val="0"/>
      <w:marTop w:val="0"/>
      <w:marBottom w:val="0"/>
      <w:divBdr>
        <w:top w:val="none" w:sz="0" w:space="0" w:color="auto"/>
        <w:left w:val="none" w:sz="0" w:space="0" w:color="auto"/>
        <w:bottom w:val="none" w:sz="0" w:space="0" w:color="auto"/>
        <w:right w:val="none" w:sz="0" w:space="0" w:color="auto"/>
      </w:divBdr>
    </w:div>
    <w:div w:id="1627810383">
      <w:bodyDiv w:val="1"/>
      <w:marLeft w:val="0"/>
      <w:marRight w:val="0"/>
      <w:marTop w:val="0"/>
      <w:marBottom w:val="0"/>
      <w:divBdr>
        <w:top w:val="none" w:sz="0" w:space="0" w:color="auto"/>
        <w:left w:val="none" w:sz="0" w:space="0" w:color="auto"/>
        <w:bottom w:val="none" w:sz="0" w:space="0" w:color="auto"/>
        <w:right w:val="none" w:sz="0" w:space="0" w:color="auto"/>
      </w:divBdr>
    </w:div>
    <w:div w:id="1663777568">
      <w:bodyDiv w:val="1"/>
      <w:marLeft w:val="0"/>
      <w:marRight w:val="0"/>
      <w:marTop w:val="0"/>
      <w:marBottom w:val="0"/>
      <w:divBdr>
        <w:top w:val="none" w:sz="0" w:space="0" w:color="auto"/>
        <w:left w:val="none" w:sz="0" w:space="0" w:color="auto"/>
        <w:bottom w:val="none" w:sz="0" w:space="0" w:color="auto"/>
        <w:right w:val="none" w:sz="0" w:space="0" w:color="auto"/>
      </w:divBdr>
    </w:div>
    <w:div w:id="1758208616">
      <w:bodyDiv w:val="1"/>
      <w:marLeft w:val="0"/>
      <w:marRight w:val="0"/>
      <w:marTop w:val="0"/>
      <w:marBottom w:val="0"/>
      <w:divBdr>
        <w:top w:val="none" w:sz="0" w:space="0" w:color="auto"/>
        <w:left w:val="none" w:sz="0" w:space="0" w:color="auto"/>
        <w:bottom w:val="none" w:sz="0" w:space="0" w:color="auto"/>
        <w:right w:val="none" w:sz="0" w:space="0" w:color="auto"/>
      </w:divBdr>
    </w:div>
    <w:div w:id="1804540023">
      <w:bodyDiv w:val="1"/>
      <w:marLeft w:val="0"/>
      <w:marRight w:val="0"/>
      <w:marTop w:val="0"/>
      <w:marBottom w:val="0"/>
      <w:divBdr>
        <w:top w:val="none" w:sz="0" w:space="0" w:color="auto"/>
        <w:left w:val="none" w:sz="0" w:space="0" w:color="auto"/>
        <w:bottom w:val="none" w:sz="0" w:space="0" w:color="auto"/>
        <w:right w:val="none" w:sz="0" w:space="0" w:color="auto"/>
      </w:divBdr>
    </w:div>
    <w:div w:id="1813524722">
      <w:bodyDiv w:val="1"/>
      <w:marLeft w:val="0"/>
      <w:marRight w:val="0"/>
      <w:marTop w:val="0"/>
      <w:marBottom w:val="0"/>
      <w:divBdr>
        <w:top w:val="none" w:sz="0" w:space="0" w:color="auto"/>
        <w:left w:val="none" w:sz="0" w:space="0" w:color="auto"/>
        <w:bottom w:val="none" w:sz="0" w:space="0" w:color="auto"/>
        <w:right w:val="none" w:sz="0" w:space="0" w:color="auto"/>
      </w:divBdr>
    </w:div>
    <w:div w:id="1852528049">
      <w:bodyDiv w:val="1"/>
      <w:marLeft w:val="0"/>
      <w:marRight w:val="0"/>
      <w:marTop w:val="0"/>
      <w:marBottom w:val="0"/>
      <w:divBdr>
        <w:top w:val="none" w:sz="0" w:space="0" w:color="auto"/>
        <w:left w:val="none" w:sz="0" w:space="0" w:color="auto"/>
        <w:bottom w:val="none" w:sz="0" w:space="0" w:color="auto"/>
        <w:right w:val="none" w:sz="0" w:space="0" w:color="auto"/>
      </w:divBdr>
    </w:div>
    <w:div w:id="18858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doi.org/10.1080/10408398.2017.1372412" TargetMode="External"/><Relationship Id="rId2" Type="http://schemas.openxmlformats.org/officeDocument/2006/relationships/styles" Target="styles.xml"/><Relationship Id="rId16" Type="http://schemas.openxmlformats.org/officeDocument/2006/relationships/hyperlink" Target="https://doi.org/10.1016/j.foodcont.2020.10716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doi.org/10.1128/JCM.00215-18" TargetMode="Externa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134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574-4EC0-9A9B-16382C1909EA}"/>
                </c:ext>
                <c:ext xmlns:c15="http://schemas.microsoft.com/office/drawing/2012/chart" uri="{CE6537A1-D6FC-4f65-9D91-7224C49458BB}"/>
              </c:extLst>
            </c:dLbl>
            <c:dLbl>
              <c:idx val="1"/>
              <c:tx>
                <c:rich>
                  <a:bodyPr/>
                  <a:lstStyle/>
                  <a:p>
                    <a:r>
                      <a:rPr lang="en-US"/>
                      <a:t>134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574-4EC0-9A9B-16382C1909EA}"/>
                </c:ext>
                <c:ext xmlns:c15="http://schemas.microsoft.com/office/drawing/2012/chart" uri="{CE6537A1-D6FC-4f65-9D91-7224C49458BB}"/>
              </c:extLst>
            </c:dLbl>
            <c:dLbl>
              <c:idx val="2"/>
              <c:tx>
                <c:rich>
                  <a:bodyPr/>
                  <a:lstStyle/>
                  <a:p>
                    <a:r>
                      <a:rPr lang="en-US"/>
                      <a:t>132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8574-4EC0-9A9B-16382C1909EA}"/>
                </c:ext>
                <c:ext xmlns:c15="http://schemas.microsoft.com/office/drawing/2012/chart" uri="{CE6537A1-D6FC-4f65-9D91-7224C49458BB}"/>
              </c:extLst>
            </c:dLbl>
            <c:dLbl>
              <c:idx val="3"/>
              <c:tx>
                <c:rich>
                  <a:bodyPr/>
                  <a:lstStyle/>
                  <a:p>
                    <a:r>
                      <a:rPr lang="en-US"/>
                      <a:t>130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8574-4EC0-9A9B-16382C1909EA}"/>
                </c:ext>
                <c:ext xmlns:c15="http://schemas.microsoft.com/office/drawing/2012/chart" uri="{CE6537A1-D6FC-4f65-9D91-7224C49458BB}"/>
              </c:extLst>
            </c:dLbl>
            <c:dLbl>
              <c:idx val="4"/>
              <c:tx>
                <c:rich>
                  <a:bodyPr/>
                  <a:lstStyle/>
                  <a:p>
                    <a:r>
                      <a:rPr lang="en-US"/>
                      <a:t>128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8574-4EC0-9A9B-16382C1909EA}"/>
                </c:ext>
                <c:ext xmlns:c15="http://schemas.microsoft.com/office/drawing/2012/chart" uri="{CE6537A1-D6FC-4f65-9D91-7224C49458BB}"/>
              </c:extLst>
            </c:dLbl>
            <c:dLbl>
              <c:idx val="5"/>
              <c:tx>
                <c:rich>
                  <a:bodyPr/>
                  <a:lstStyle/>
                  <a:p>
                    <a:r>
                      <a:rPr lang="en-US"/>
                      <a:t>126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8574-4EC0-9A9B-16382C1909EA}"/>
                </c:ext>
                <c:ext xmlns:c15="http://schemas.microsoft.com/office/drawing/2012/chart" uri="{CE6537A1-D6FC-4f65-9D91-7224C49458BB}"/>
              </c:extLst>
            </c:dLbl>
            <c:dLbl>
              <c:idx val="6"/>
              <c:tx>
                <c:rich>
                  <a:bodyPr/>
                  <a:lstStyle/>
                  <a:p>
                    <a:r>
                      <a:rPr lang="en-US"/>
                      <a:t>124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3-8574-4EC0-9A9B-16382C1909E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4.0999999999999996</c:v>
                </c:pt>
                <c:pt idx="1">
                  <c:v>4.0999999999999996</c:v>
                </c:pt>
                <c:pt idx="2">
                  <c:v>3.9</c:v>
                </c:pt>
                <c:pt idx="3">
                  <c:v>3.7</c:v>
                </c:pt>
                <c:pt idx="4">
                  <c:v>3.5</c:v>
                </c:pt>
                <c:pt idx="5">
                  <c:v>3</c:v>
                </c:pt>
                <c:pt idx="6">
                  <c:v>2.75</c:v>
                </c:pt>
              </c:numCache>
            </c:numRef>
          </c:val>
          <c:extLst xmlns:c16r2="http://schemas.microsoft.com/office/drawing/2015/06/chart">
            <c:ext xmlns:c16="http://schemas.microsoft.com/office/drawing/2014/chart" uri="{C3380CC4-5D6E-409C-BE32-E72D297353CC}">
              <c16:uniqueId val="{00000002-8574-4EC0-9A9B-16382C1909EA}"/>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108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574-4EC0-9A9B-16382C1909EA}"/>
                </c:ext>
                <c:ext xmlns:c15="http://schemas.microsoft.com/office/drawing/2012/chart" uri="{CE6537A1-D6FC-4f65-9D91-7224C49458BB}"/>
              </c:extLst>
            </c:dLbl>
            <c:dLbl>
              <c:idx val="1"/>
              <c:tx>
                <c:rich>
                  <a:bodyPr/>
                  <a:lstStyle/>
                  <a:p>
                    <a:r>
                      <a:rPr lang="en-US"/>
                      <a:t>108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574-4EC0-9A9B-16382C1909EA}"/>
                </c:ext>
                <c:ext xmlns:c15="http://schemas.microsoft.com/office/drawing/2012/chart" uri="{CE6537A1-D6FC-4f65-9D91-7224C49458BB}"/>
              </c:extLst>
            </c:dLbl>
            <c:dLbl>
              <c:idx val="2"/>
              <c:tx>
                <c:rich>
                  <a:bodyPr/>
                  <a:lstStyle/>
                  <a:p>
                    <a:r>
                      <a:rPr lang="en-US"/>
                      <a:t>107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574-4EC0-9A9B-16382C1909EA}"/>
                </c:ext>
                <c:ext xmlns:c15="http://schemas.microsoft.com/office/drawing/2012/chart" uri="{CE6537A1-D6FC-4f65-9D91-7224C49458BB}"/>
              </c:extLst>
            </c:dLbl>
            <c:dLbl>
              <c:idx val="3"/>
              <c:tx>
                <c:rich>
                  <a:bodyPr/>
                  <a:lstStyle/>
                  <a:p>
                    <a:r>
                      <a:rPr lang="en-US"/>
                      <a:t>106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8574-4EC0-9A9B-16382C1909EA}"/>
                </c:ext>
                <c:ext xmlns:c15="http://schemas.microsoft.com/office/drawing/2012/chart" uri="{CE6537A1-D6FC-4f65-9D91-7224C49458BB}"/>
              </c:extLst>
            </c:dLbl>
            <c:dLbl>
              <c:idx val="4"/>
              <c:tx>
                <c:rich>
                  <a:bodyPr/>
                  <a:lstStyle/>
                  <a:p>
                    <a:r>
                      <a:rPr lang="en-US"/>
                      <a:t>104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8574-4EC0-9A9B-16382C1909EA}"/>
                </c:ext>
                <c:ext xmlns:c15="http://schemas.microsoft.com/office/drawing/2012/chart" uri="{CE6537A1-D6FC-4f65-9D91-7224C49458BB}"/>
              </c:extLst>
            </c:dLbl>
            <c:dLbl>
              <c:idx val="5"/>
              <c:tx>
                <c:rich>
                  <a:bodyPr/>
                  <a:lstStyle/>
                  <a:p>
                    <a:r>
                      <a:rPr lang="en-US"/>
                      <a:t>102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8574-4EC0-9A9B-16382C1909EA}"/>
                </c:ext>
                <c:ext xmlns:c15="http://schemas.microsoft.com/office/drawing/2012/chart" uri="{CE6537A1-D6FC-4f65-9D91-7224C49458BB}"/>
              </c:extLst>
            </c:dLbl>
            <c:dLbl>
              <c:idx val="6"/>
              <c:tx>
                <c:rich>
                  <a:bodyPr/>
                  <a:lstStyle/>
                  <a:p>
                    <a:r>
                      <a:rPr lang="en-US"/>
                      <a:t>100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8574-4EC0-9A9B-16382C1909E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2.9</c:v>
                </c:pt>
                <c:pt idx="1">
                  <c:v>2.9</c:v>
                </c:pt>
                <c:pt idx="2">
                  <c:v>2.75</c:v>
                </c:pt>
                <c:pt idx="3">
                  <c:v>2.68</c:v>
                </c:pt>
                <c:pt idx="4">
                  <c:v>2.5499999999999998</c:v>
                </c:pt>
                <c:pt idx="5">
                  <c:v>2.25</c:v>
                </c:pt>
                <c:pt idx="6">
                  <c:v>2</c:v>
                </c:pt>
              </c:numCache>
            </c:numRef>
          </c:val>
          <c:extLst xmlns:c16r2="http://schemas.microsoft.com/office/drawing/2015/06/chart">
            <c:ext xmlns:c16="http://schemas.microsoft.com/office/drawing/2014/chart" uri="{C3380CC4-5D6E-409C-BE32-E72D297353CC}">
              <c16:uniqueId val="{00000006-8574-4EC0-9A9B-16382C1909EA}"/>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139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574-4EC0-9A9B-16382C1909EA}"/>
                </c:ext>
                <c:ext xmlns:c15="http://schemas.microsoft.com/office/drawing/2012/chart" uri="{CE6537A1-D6FC-4f65-9D91-7224C49458BB}"/>
              </c:extLst>
            </c:dLbl>
            <c:dLbl>
              <c:idx val="1"/>
              <c:tx>
                <c:rich>
                  <a:bodyPr/>
                  <a:lstStyle/>
                  <a:p>
                    <a:r>
                      <a:rPr lang="en-US"/>
                      <a:t>139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574-4EC0-9A9B-16382C1909EA}"/>
                </c:ext>
                <c:ext xmlns:c15="http://schemas.microsoft.com/office/drawing/2012/chart" uri="{CE6537A1-D6FC-4f65-9D91-7224C49458BB}"/>
              </c:extLst>
            </c:dLbl>
            <c:dLbl>
              <c:idx val="2"/>
              <c:tx>
                <c:rich>
                  <a:bodyPr/>
                  <a:lstStyle/>
                  <a:p>
                    <a:r>
                      <a:rPr lang="en-US"/>
                      <a:t>138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8574-4EC0-9A9B-16382C1909EA}"/>
                </c:ext>
                <c:ext xmlns:c15="http://schemas.microsoft.com/office/drawing/2012/chart" uri="{CE6537A1-D6FC-4f65-9D91-7224C49458BB}"/>
              </c:extLst>
            </c:dLbl>
            <c:dLbl>
              <c:idx val="3"/>
              <c:tx>
                <c:rich>
                  <a:bodyPr/>
                  <a:lstStyle/>
                  <a:p>
                    <a:r>
                      <a:rPr lang="en-US"/>
                      <a:t>137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8574-4EC0-9A9B-16382C1909EA}"/>
                </c:ext>
                <c:ext xmlns:c15="http://schemas.microsoft.com/office/drawing/2012/chart" uri="{CE6537A1-D6FC-4f65-9D91-7224C49458BB}"/>
              </c:extLst>
            </c:dLbl>
            <c:dLbl>
              <c:idx val="4"/>
              <c:tx>
                <c:rich>
                  <a:bodyPr/>
                  <a:lstStyle/>
                  <a:p>
                    <a:r>
                      <a:rPr lang="en-US"/>
                      <a:t>135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8574-4EC0-9A9B-16382C1909EA}"/>
                </c:ext>
                <c:ext xmlns:c15="http://schemas.microsoft.com/office/drawing/2012/chart" uri="{CE6537A1-D6FC-4f65-9D91-7224C49458BB}"/>
              </c:extLst>
            </c:dLbl>
            <c:dLbl>
              <c:idx val="5"/>
              <c:tx>
                <c:rich>
                  <a:bodyPr/>
                  <a:lstStyle/>
                  <a:p>
                    <a:r>
                      <a:rPr lang="en-US"/>
                      <a:t>133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8574-4EC0-9A9B-16382C1909EA}"/>
                </c:ext>
                <c:ext xmlns:c15="http://schemas.microsoft.com/office/drawing/2012/chart" uri="{CE6537A1-D6FC-4f65-9D91-7224C49458BB}"/>
              </c:extLst>
            </c:dLbl>
            <c:dLbl>
              <c:idx val="6"/>
              <c:tx>
                <c:rich>
                  <a:bodyPr/>
                  <a:lstStyle/>
                  <a:p>
                    <a:r>
                      <a:rPr lang="en-US"/>
                      <a:t>131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5-8574-4EC0-9A9B-16382C1909E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4.5999999999999996</c:v>
                </c:pt>
                <c:pt idx="1">
                  <c:v>4.5999999999999996</c:v>
                </c:pt>
                <c:pt idx="2">
                  <c:v>4.5</c:v>
                </c:pt>
                <c:pt idx="3">
                  <c:v>4.4800000000000004</c:v>
                </c:pt>
                <c:pt idx="4">
                  <c:v>4</c:v>
                </c:pt>
                <c:pt idx="5">
                  <c:v>3.8</c:v>
                </c:pt>
                <c:pt idx="6">
                  <c:v>3.5</c:v>
                </c:pt>
              </c:numCache>
            </c:numRef>
          </c:val>
          <c:extLst xmlns:c16r2="http://schemas.microsoft.com/office/drawing/2015/06/chart">
            <c:ext xmlns:c16="http://schemas.microsoft.com/office/drawing/2014/chart" uri="{C3380CC4-5D6E-409C-BE32-E72D297353CC}">
              <c16:uniqueId val="{0000000B-8574-4EC0-9A9B-16382C1909EA}"/>
            </c:ext>
          </c:extLst>
        </c:ser>
        <c:ser>
          <c:idx val="3"/>
          <c:order val="3"/>
          <c:tx>
            <c:strRef>
              <c:f>Sheet1!$E$1</c:f>
              <c:strCache>
                <c:ptCount val="1"/>
                <c:pt idx="0">
                  <c:v>black</c:v>
                </c:pt>
              </c:strCache>
            </c:strRef>
          </c:tx>
          <c:spPr>
            <a:solidFill>
              <a:schemeClr val="accent4"/>
            </a:solidFill>
            <a:ln>
              <a:noFill/>
            </a:ln>
            <a:effectLst/>
          </c:spPr>
          <c:invertIfNegative val="0"/>
          <c:dLbls>
            <c:dLbl>
              <c:idx val="0"/>
              <c:tx>
                <c:rich>
                  <a:bodyPr/>
                  <a:lstStyle/>
                  <a:p>
                    <a:r>
                      <a:rPr lang="en-US"/>
                      <a:t>125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8574-4EC0-9A9B-16382C1909EA}"/>
                </c:ext>
                <c:ext xmlns:c15="http://schemas.microsoft.com/office/drawing/2012/chart" uri="{CE6537A1-D6FC-4f65-9D91-7224C49458BB}"/>
              </c:extLst>
            </c:dLbl>
            <c:dLbl>
              <c:idx val="1"/>
              <c:tx>
                <c:rich>
                  <a:bodyPr/>
                  <a:lstStyle/>
                  <a:p>
                    <a:r>
                      <a:rPr lang="en-US"/>
                      <a:t>125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8574-4EC0-9A9B-16382C1909EA}"/>
                </c:ext>
                <c:ext xmlns:c15="http://schemas.microsoft.com/office/drawing/2012/chart" uri="{CE6537A1-D6FC-4f65-9D91-7224C49458BB}"/>
              </c:extLst>
            </c:dLbl>
            <c:dLbl>
              <c:idx val="2"/>
              <c:tx>
                <c:rich>
                  <a:bodyPr/>
                  <a:lstStyle/>
                  <a:p>
                    <a:r>
                      <a:rPr lang="en-US"/>
                      <a:t>125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8574-4EC0-9A9B-16382C1909EA}"/>
                </c:ext>
                <c:ext xmlns:c15="http://schemas.microsoft.com/office/drawing/2012/chart" uri="{CE6537A1-D6FC-4f65-9D91-7224C49458BB}"/>
              </c:extLst>
            </c:dLbl>
            <c:dLbl>
              <c:idx val="3"/>
              <c:tx>
                <c:rich>
                  <a:bodyPr/>
                  <a:lstStyle/>
                  <a:p>
                    <a:r>
                      <a:rPr lang="en-US"/>
                      <a:t>124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8574-4EC0-9A9B-16382C1909EA}"/>
                </c:ext>
                <c:ext xmlns:c15="http://schemas.microsoft.com/office/drawing/2012/chart" uri="{CE6537A1-D6FC-4f65-9D91-7224C49458BB}"/>
              </c:extLst>
            </c:dLbl>
            <c:dLbl>
              <c:idx val="4"/>
              <c:tx>
                <c:rich>
                  <a:bodyPr/>
                  <a:lstStyle/>
                  <a:p>
                    <a:r>
                      <a:rPr lang="en-US"/>
                      <a:t>123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8574-4EC0-9A9B-16382C1909EA}"/>
                </c:ext>
                <c:ext xmlns:c15="http://schemas.microsoft.com/office/drawing/2012/chart" uri="{CE6537A1-D6FC-4f65-9D91-7224C49458BB}"/>
              </c:extLst>
            </c:dLbl>
            <c:dLbl>
              <c:idx val="5"/>
              <c:tx>
                <c:rich>
                  <a:bodyPr/>
                  <a:lstStyle/>
                  <a:p>
                    <a:r>
                      <a:rPr lang="en-US"/>
                      <a:t>122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8574-4EC0-9A9B-16382C1909EA}"/>
                </c:ext>
                <c:ext xmlns:c15="http://schemas.microsoft.com/office/drawing/2012/chart" uri="{CE6537A1-D6FC-4f65-9D91-7224C49458BB}"/>
              </c:extLst>
            </c:dLbl>
            <c:dLbl>
              <c:idx val="6"/>
              <c:tx>
                <c:rich>
                  <a:bodyPr/>
                  <a:lstStyle/>
                  <a:p>
                    <a:r>
                      <a:rPr lang="en-US"/>
                      <a:t>121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8574-4EC0-9A9B-16382C1909E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3.6</c:v>
                </c:pt>
                <c:pt idx="1">
                  <c:v>3.6</c:v>
                </c:pt>
                <c:pt idx="2">
                  <c:v>3.6</c:v>
                </c:pt>
                <c:pt idx="3">
                  <c:v>3.58</c:v>
                </c:pt>
                <c:pt idx="4">
                  <c:v>3.56</c:v>
                </c:pt>
                <c:pt idx="5">
                  <c:v>3.5</c:v>
                </c:pt>
                <c:pt idx="6">
                  <c:v>3.2</c:v>
                </c:pt>
              </c:numCache>
            </c:numRef>
          </c:val>
          <c:extLst xmlns:c16r2="http://schemas.microsoft.com/office/drawing/2015/06/chart">
            <c:ext xmlns:c16="http://schemas.microsoft.com/office/drawing/2014/chart" uri="{C3380CC4-5D6E-409C-BE32-E72D297353CC}">
              <c16:uniqueId val="{0000000C-8574-4EC0-9A9B-16382C1909EA}"/>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8574-4EC0-9A9B-16382C1909EA}"/>
                </c:ext>
                <c:ext xmlns:c15="http://schemas.microsoft.com/office/drawing/2012/chart" uri="{CE6537A1-D6FC-4f65-9D91-7224C49458BB}"/>
              </c:extLst>
            </c:dLbl>
            <c:dLbl>
              <c:idx val="1"/>
              <c:tx>
                <c:rich>
                  <a:bodyPr/>
                  <a:lstStyle/>
                  <a:p>
                    <a:r>
                      <a:rPr lang="en-US"/>
                      <a:t>152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8574-4EC0-9A9B-16382C1909EA}"/>
                </c:ext>
                <c:ext xmlns:c15="http://schemas.microsoft.com/office/drawing/2012/chart" uri="{CE6537A1-D6FC-4f65-9D91-7224C49458BB}"/>
              </c:extLst>
            </c:dLbl>
            <c:dLbl>
              <c:idx val="2"/>
              <c:tx>
                <c:rich>
                  <a:bodyPr/>
                  <a:lstStyle/>
                  <a:p>
                    <a:r>
                      <a:rPr lang="en-US"/>
                      <a:t>157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8574-4EC0-9A9B-16382C1909EA}"/>
                </c:ext>
                <c:ext xmlns:c15="http://schemas.microsoft.com/office/drawing/2012/chart" uri="{CE6537A1-D6FC-4f65-9D91-7224C49458BB}"/>
              </c:extLst>
            </c:dLbl>
            <c:dLbl>
              <c:idx val="3"/>
              <c:tx>
                <c:rich>
                  <a:bodyPr/>
                  <a:lstStyle/>
                  <a:p>
                    <a:r>
                      <a:rPr lang="en-US"/>
                      <a:t>160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8574-4EC0-9A9B-16382C1909EA}"/>
                </c:ext>
                <c:ext xmlns:c15="http://schemas.microsoft.com/office/drawing/2012/chart" uri="{CE6537A1-D6FC-4f65-9D91-7224C49458BB}"/>
              </c:extLst>
            </c:dLbl>
            <c:dLbl>
              <c:idx val="4"/>
              <c:tx>
                <c:rich>
                  <a:bodyPr/>
                  <a:lstStyle/>
                  <a:p>
                    <a:r>
                      <a:rPr lang="en-US"/>
                      <a:t>160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8574-4EC0-9A9B-16382C1909EA}"/>
                </c:ext>
                <c:ext xmlns:c15="http://schemas.microsoft.com/office/drawing/2012/chart" uri="{CE6537A1-D6FC-4f65-9D91-7224C49458BB}"/>
              </c:extLst>
            </c:dLbl>
            <c:dLbl>
              <c:idx val="5"/>
              <c:tx>
                <c:rich>
                  <a:bodyPr/>
                  <a:lstStyle/>
                  <a:p>
                    <a:r>
                      <a:rPr lang="en-US"/>
                      <a:t>162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8574-4EC0-9A9B-16382C1909EA}"/>
                </c:ext>
                <c:ext xmlns:c15="http://schemas.microsoft.com/office/drawing/2012/chart" uri="{CE6537A1-D6FC-4f65-9D91-7224C49458BB}"/>
              </c:extLst>
            </c:dLbl>
            <c:dLbl>
              <c:idx val="6"/>
              <c:tx>
                <c:rich>
                  <a:bodyPr/>
                  <a:lstStyle/>
                  <a:p>
                    <a:r>
                      <a:rPr lang="en-US"/>
                      <a:t>163.5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8574-4EC0-9A9B-16382C1909E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5</c:v>
                </c:pt>
                <c:pt idx="1">
                  <c:v>5.2</c:v>
                </c:pt>
                <c:pt idx="2">
                  <c:v>5.5</c:v>
                </c:pt>
                <c:pt idx="3">
                  <c:v>6</c:v>
                </c:pt>
                <c:pt idx="4">
                  <c:v>6</c:v>
                </c:pt>
                <c:pt idx="5">
                  <c:v>6.35</c:v>
                </c:pt>
                <c:pt idx="6">
                  <c:v>6.3599999999999994</c:v>
                </c:pt>
              </c:numCache>
            </c:numRef>
          </c:val>
          <c:extLst xmlns:c16r2="http://schemas.microsoft.com/office/drawing/2015/06/chart">
            <c:ext xmlns:c16="http://schemas.microsoft.com/office/drawing/2014/chart" uri="{C3380CC4-5D6E-409C-BE32-E72D297353CC}">
              <c16:uniqueId val="{00000011-8574-4EC0-9A9B-16382C1909EA}"/>
            </c:ext>
          </c:extLst>
        </c:ser>
        <c:dLbls>
          <c:showLegendKey val="0"/>
          <c:showVal val="1"/>
          <c:showCatName val="0"/>
          <c:showSerName val="0"/>
          <c:showPercent val="0"/>
          <c:showBubbleSize val="0"/>
        </c:dLbls>
        <c:gapWidth val="219"/>
        <c:overlap val="-27"/>
        <c:axId val="356377032"/>
        <c:axId val="356377816"/>
      </c:barChart>
      <c:catAx>
        <c:axId val="356377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377816"/>
        <c:crosses val="autoZero"/>
        <c:auto val="1"/>
        <c:lblAlgn val="ctr"/>
        <c:lblOffset val="100"/>
        <c:noMultiLvlLbl val="0"/>
      </c:catAx>
      <c:valAx>
        <c:axId val="356377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377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effectLst/>
                <a:latin typeface="Calibri" pitchFamily="34" charset="0"/>
                <a:cs typeface="Calibri" pitchFamily="34" charset="0"/>
              </a:rPr>
              <a:t>Cumulative frequency chart of toxin conc. administered</a:t>
            </a:r>
            <a:r>
              <a:rPr lang="en-US" baseline="0">
                <a:latin typeface="Calibri" pitchFamily="34" charset="0"/>
                <a:cs typeface="Calibri" pitchFamily="34" charset="0"/>
              </a:rPr>
              <a:t> </a:t>
            </a:r>
            <a:endParaRPr lang="en-US">
              <a:latin typeface="Calibri" pitchFamily="34" charset="0"/>
              <a:cs typeface="Calibri" pitchFamily="34" charset="0"/>
            </a:endParaRPr>
          </a:p>
        </c:rich>
      </c:tx>
      <c:layout>
        <c:manualLayout>
          <c:xMode val="edge"/>
          <c:yMode val="edge"/>
          <c:x val="0.17588480883327048"/>
          <c:y val="1.1816193206575125E-6"/>
        </c:manualLayout>
      </c:layout>
      <c:overlay val="0"/>
    </c:title>
    <c:autoTitleDeleted val="0"/>
    <c:plotArea>
      <c:layout>
        <c:manualLayout>
          <c:layoutTarget val="inner"/>
          <c:xMode val="edge"/>
          <c:yMode val="edge"/>
          <c:x val="6.070793234179063E-2"/>
          <c:y val="0.16656761654793154"/>
          <c:w val="0.92077354913969089"/>
          <c:h val="0.39558242719660053"/>
        </c:manualLayout>
      </c:layout>
      <c:barChart>
        <c:barDir val="col"/>
        <c:grouping val="clustered"/>
        <c:varyColors val="0"/>
        <c:ser>
          <c:idx val="0"/>
          <c:order val="0"/>
          <c:tx>
            <c:strRef>
              <c:f>Sheet1!$B$1</c:f>
              <c:strCache>
                <c:ptCount val="1"/>
                <c:pt idx="0">
                  <c:v>Blue</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1</c:v>
                </c:pt>
                <c:pt idx="1">
                  <c:v>1</c:v>
                </c:pt>
                <c:pt idx="2">
                  <c:v>4</c:v>
                </c:pt>
                <c:pt idx="3">
                  <c:v>5</c:v>
                </c:pt>
                <c:pt idx="4">
                  <c:v>5</c:v>
                </c:pt>
                <c:pt idx="5">
                  <c:v>6</c:v>
                </c:pt>
                <c:pt idx="6">
                  <c:v>6</c:v>
                </c:pt>
              </c:numCache>
            </c:numRef>
          </c:val>
          <c:extLst xmlns:c16r2="http://schemas.microsoft.com/office/drawing/2015/06/chart">
            <c:ext xmlns:c16="http://schemas.microsoft.com/office/drawing/2014/chart" uri="{C3380CC4-5D6E-409C-BE32-E72D297353CC}">
              <c16:uniqueId val="{00000000-6FB1-0246-856E-6E7A3AAFFEAE}"/>
            </c:ext>
          </c:extLst>
        </c:ser>
        <c:ser>
          <c:idx val="1"/>
          <c:order val="1"/>
          <c:tx>
            <c:strRef>
              <c:f>Sheet1!$C$1</c:f>
              <c:strCache>
                <c:ptCount val="1"/>
                <c:pt idx="0">
                  <c:v>Red</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1</c:v>
                </c:pt>
                <c:pt idx="1">
                  <c:v>1</c:v>
                </c:pt>
                <c:pt idx="2">
                  <c:v>3</c:v>
                </c:pt>
                <c:pt idx="3">
                  <c:v>4</c:v>
                </c:pt>
                <c:pt idx="4">
                  <c:v>4.5</c:v>
                </c:pt>
                <c:pt idx="5">
                  <c:v>5.5</c:v>
                </c:pt>
                <c:pt idx="6">
                  <c:v>5.5</c:v>
                </c:pt>
              </c:numCache>
            </c:numRef>
          </c:val>
          <c:extLst xmlns:c16r2="http://schemas.microsoft.com/office/drawing/2015/06/chart">
            <c:ext xmlns:c16="http://schemas.microsoft.com/office/drawing/2014/chart" uri="{C3380CC4-5D6E-409C-BE32-E72D297353CC}">
              <c16:uniqueId val="{00000001-6FB1-0246-856E-6E7A3AAFFEAE}"/>
            </c:ext>
          </c:extLst>
        </c:ser>
        <c:ser>
          <c:idx val="2"/>
          <c:order val="2"/>
          <c:tx>
            <c:strRef>
              <c:f>Sheet1!$D$1</c:f>
              <c:strCache>
                <c:ptCount val="1"/>
                <c:pt idx="0">
                  <c:v>Green</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1</c:v>
                </c:pt>
                <c:pt idx="1">
                  <c:v>1</c:v>
                </c:pt>
                <c:pt idx="2">
                  <c:v>2</c:v>
                </c:pt>
                <c:pt idx="3">
                  <c:v>3</c:v>
                </c:pt>
                <c:pt idx="4">
                  <c:v>4</c:v>
                </c:pt>
                <c:pt idx="5">
                  <c:v>5</c:v>
                </c:pt>
                <c:pt idx="6">
                  <c:v>5.5</c:v>
                </c:pt>
              </c:numCache>
            </c:numRef>
          </c:val>
          <c:extLst xmlns:c16r2="http://schemas.microsoft.com/office/drawing/2015/06/chart">
            <c:ext xmlns:c16="http://schemas.microsoft.com/office/drawing/2014/chart" uri="{C3380CC4-5D6E-409C-BE32-E72D297353CC}">
              <c16:uniqueId val="{00000002-6FB1-0246-856E-6E7A3AAFFEAE}"/>
            </c:ext>
          </c:extLst>
        </c:ser>
        <c:ser>
          <c:idx val="3"/>
          <c:order val="3"/>
          <c:tx>
            <c:strRef>
              <c:f>Sheet1!$E$1</c:f>
              <c:strCache>
                <c:ptCount val="1"/>
                <c:pt idx="0">
                  <c:v>Black</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1</c:v>
                </c:pt>
                <c:pt idx="1">
                  <c:v>1</c:v>
                </c:pt>
                <c:pt idx="2">
                  <c:v>2</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03-6FB1-0246-856E-6E7A3AAFFEAE}"/>
            </c:ext>
          </c:extLst>
        </c:ser>
        <c:ser>
          <c:idx val="4"/>
          <c:order val="4"/>
          <c:tx>
            <c:strRef>
              <c:f>Sheet1!$F$1</c:f>
              <c:strCache>
                <c:ptCount val="1"/>
                <c:pt idx="0">
                  <c:v>Control</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1</c:v>
                </c:pt>
                <c:pt idx="1">
                  <c:v>1</c:v>
                </c:pt>
                <c:pt idx="2">
                  <c:v>1</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04-6FB1-0246-856E-6E7A3AAFFEAE}"/>
            </c:ext>
          </c:extLst>
        </c:ser>
        <c:dLbls>
          <c:showLegendKey val="0"/>
          <c:showVal val="0"/>
          <c:showCatName val="0"/>
          <c:showSerName val="0"/>
          <c:showPercent val="0"/>
          <c:showBubbleSize val="0"/>
        </c:dLbls>
        <c:gapWidth val="305"/>
        <c:overlap val="-25"/>
        <c:axId val="356382128"/>
        <c:axId val="347750856"/>
      </c:barChart>
      <c:catAx>
        <c:axId val="356382128"/>
        <c:scaling>
          <c:orientation val="minMax"/>
        </c:scaling>
        <c:delete val="0"/>
        <c:axPos val="b"/>
        <c:numFmt formatCode="General" sourceLinked="0"/>
        <c:majorTickMark val="none"/>
        <c:minorTickMark val="none"/>
        <c:tickLblPos val="nextTo"/>
        <c:crossAx val="347750856"/>
        <c:crosses val="autoZero"/>
        <c:auto val="1"/>
        <c:lblAlgn val="ctr"/>
        <c:lblOffset val="100"/>
        <c:noMultiLvlLbl val="0"/>
      </c:catAx>
      <c:valAx>
        <c:axId val="347750856"/>
        <c:scaling>
          <c:orientation val="minMax"/>
        </c:scaling>
        <c:delete val="0"/>
        <c:axPos val="l"/>
        <c:majorGridlines/>
        <c:numFmt formatCode="General" sourceLinked="1"/>
        <c:majorTickMark val="none"/>
        <c:minorTickMark val="none"/>
        <c:tickLblPos val="nextTo"/>
        <c:spPr>
          <a:ln w="12700">
            <a:noFill/>
          </a:ln>
        </c:spPr>
        <c:crossAx val="356382128"/>
        <c:crosses val="autoZero"/>
        <c:crossBetween val="between"/>
      </c:valAx>
    </c:plotArea>
    <c:legend>
      <c:legendPos val="b"/>
      <c:layout>
        <c:manualLayout>
          <c:xMode val="edge"/>
          <c:yMode val="edge"/>
          <c:x val="0.11427949110527851"/>
          <c:y val="0.66814898137732781"/>
          <c:w val="0.86171861329833777"/>
          <c:h val="0.1453430821147357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5543</Words>
  <Characters>31599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Microsoft account</cp:lastModifiedBy>
  <cp:revision>2</cp:revision>
  <dcterms:created xsi:type="dcterms:W3CDTF">2025-07-12T15:48:00Z</dcterms:created>
  <dcterms:modified xsi:type="dcterms:W3CDTF">2025-07-12T15:48:00Z</dcterms:modified>
</cp:coreProperties>
</file>