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5675B9B" w14:textId="4AAB6922" w:rsidR="003A2267" w:rsidRPr="003A2267" w:rsidRDefault="003A2267" w:rsidP="003A2267">
      <w:pPr>
        <w:jc w:val="center"/>
        <w:rPr>
          <w:rFonts w:ascii="Times New Roman" w:hAnsi="Times New Roman" w:cs="Times New Roman"/>
          <w:b/>
          <w:sz w:val="28"/>
          <w:szCs w:val="28"/>
        </w:rPr>
      </w:pPr>
      <w:r w:rsidRPr="003A2267">
        <w:rPr>
          <w:rFonts w:ascii="Times New Roman" w:hAnsi="Times New Roman" w:cs="Times New Roman"/>
          <w:b/>
          <w:sz w:val="28"/>
          <w:szCs w:val="28"/>
        </w:rPr>
        <w:t>ASAOLU OLUWATOSIN VICTORIA</w:t>
      </w:r>
    </w:p>
    <w:p w14:paraId="22059673" w14:textId="1DCDADEA" w:rsidR="003A2267" w:rsidRDefault="003A2267" w:rsidP="003A2267">
      <w:pPr>
        <w:jc w:val="center"/>
        <w:rPr>
          <w:rFonts w:ascii="Times New Roman" w:hAnsi="Times New Roman" w:cs="Times New Roman"/>
          <w:b/>
          <w:sz w:val="28"/>
          <w:szCs w:val="28"/>
        </w:rPr>
      </w:pPr>
      <w:bookmarkStart w:id="1" w:name="_GoBack"/>
      <w:r w:rsidRPr="003A2267">
        <w:rPr>
          <w:rFonts w:ascii="Times New Roman" w:hAnsi="Times New Roman" w:cs="Times New Roman"/>
          <w:b/>
          <w:sz w:val="28"/>
          <w:szCs w:val="28"/>
        </w:rPr>
        <w:t>HND/23/SLT/FT/0755</w:t>
      </w:r>
    </w:p>
    <w:bookmarkEnd w:id="1"/>
    <w:p w14:paraId="7695BD53" w14:textId="77777777" w:rsidR="003A2267" w:rsidRDefault="003A2267" w:rsidP="003A2267">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75472F7D"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3A2267" w:rsidRPr="003A2267">
        <w:rPr>
          <w:rFonts w:ascii="Times New Roman" w:hAnsi="Times New Roman" w:cs="Times New Roman"/>
          <w:b/>
          <w:sz w:val="28"/>
          <w:szCs w:val="28"/>
        </w:rPr>
        <w:t>ASAOLU OLUWATOSIN VICTORIA</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B63396">
        <w:rPr>
          <w:rFonts w:ascii="Times New Roman" w:hAnsi="Times New Roman" w:cs="Times New Roman"/>
          <w:b/>
          <w:bCs/>
          <w:sz w:val="28"/>
          <w:szCs w:val="28"/>
        </w:rPr>
        <w:t>HND/23/SLT/FT/0</w:t>
      </w:r>
      <w:r w:rsidR="003A2267">
        <w:rPr>
          <w:rFonts w:ascii="Times New Roman" w:hAnsi="Times New Roman" w:cs="Times New Roman"/>
          <w:b/>
          <w:bCs/>
          <w:sz w:val="28"/>
          <w:szCs w:val="28"/>
        </w:rPr>
        <w:t>755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4D23F48" w14:textId="02591273" w:rsidR="003237FA" w:rsidRPr="003237FA" w:rsidRDefault="00C46923" w:rsidP="003237F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05571D93" w:rsidR="00C46923" w:rsidRPr="00B34BAE" w:rsidRDefault="003A2267" w:rsidP="003237FA">
      <w:pPr>
        <w:spacing w:line="480" w:lineRule="auto"/>
        <w:jc w:val="both"/>
        <w:rPr>
          <w:rFonts w:ascii="Times New Roman" w:hAnsi="Times New Roman" w:cs="Times New Roman"/>
          <w:sz w:val="28"/>
          <w:szCs w:val="28"/>
        </w:rPr>
      </w:pPr>
      <w:r w:rsidRPr="003A2267">
        <w:rPr>
          <w:rFonts w:ascii="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be all the glory.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595CB216" w:rsidR="004F458B" w:rsidRPr="00F56B1E" w:rsidRDefault="003A2267" w:rsidP="003A2267">
      <w:pPr>
        <w:spacing w:line="360" w:lineRule="auto"/>
        <w:jc w:val="both"/>
        <w:rPr>
          <w:rFonts w:ascii="Times New Roman" w:hAnsi="Times New Roman" w:cs="Times New Roman"/>
          <w:sz w:val="28"/>
          <w:szCs w:val="28"/>
        </w:rPr>
      </w:pPr>
      <w:r w:rsidRPr="003A2267">
        <w:rPr>
          <w:rFonts w:ascii="Times New Roman" w:hAnsi="Times New Roman" w:cs="Times New Roman"/>
          <w:sz w:val="28"/>
          <w:szCs w:val="28"/>
        </w:rPr>
        <w:t>First and foremost, I give all thanks to God Almighty for His unfailing love, mercy, and wisdom throughout the course of this project and my academ</w:t>
      </w:r>
      <w:r>
        <w:rPr>
          <w:rFonts w:ascii="Times New Roman" w:hAnsi="Times New Roman" w:cs="Times New Roman"/>
          <w:sz w:val="28"/>
          <w:szCs w:val="28"/>
        </w:rPr>
        <w:t xml:space="preserve">ic journey. </w:t>
      </w:r>
      <w:r w:rsidRPr="003A2267">
        <w:rPr>
          <w:rFonts w:ascii="Times New Roman" w:hAnsi="Times New Roman" w:cs="Times New Roman"/>
          <w:sz w:val="28"/>
          <w:szCs w:val="28"/>
        </w:rPr>
        <w:t>I extend my heartfelt gratitude to my wonderful parents, Mr. and Mrs. ASAOLU, for their unwavering support, encouragement, and prayers. Your love has been my greatest motivation and also to my guardians, Mr. and Mrs. USMAN for their support an</w:t>
      </w:r>
      <w:r>
        <w:rPr>
          <w:rFonts w:ascii="Times New Roman" w:hAnsi="Times New Roman" w:cs="Times New Roman"/>
          <w:sz w:val="28"/>
          <w:szCs w:val="28"/>
        </w:rPr>
        <w:t xml:space="preserve">d encouragement as well. </w:t>
      </w:r>
      <w:r w:rsidRPr="003A2267">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w:t>
      </w:r>
      <w:r w:rsidRPr="003A2267">
        <w:rPr>
          <w:rFonts w:ascii="Times New Roman" w:hAnsi="Times New Roman" w:cs="Times New Roman"/>
          <w:sz w:val="28"/>
          <w:szCs w:val="28"/>
        </w:rPr>
        <w:t>Thank you all.</w:t>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8B114B">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8B114B">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C3E7" w14:textId="77777777" w:rsidR="008B114B" w:rsidRDefault="008B114B" w:rsidP="005C6E31">
      <w:pPr>
        <w:spacing w:after="0" w:line="240" w:lineRule="auto"/>
      </w:pPr>
      <w:r>
        <w:separator/>
      </w:r>
    </w:p>
  </w:endnote>
  <w:endnote w:type="continuationSeparator" w:id="0">
    <w:p w14:paraId="6CD0E226" w14:textId="77777777" w:rsidR="008B114B" w:rsidRDefault="008B114B"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3A2267">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EE3F5" w14:textId="77777777" w:rsidR="008B114B" w:rsidRDefault="008B114B" w:rsidP="005C6E31">
      <w:pPr>
        <w:spacing w:after="0" w:line="240" w:lineRule="auto"/>
      </w:pPr>
      <w:r>
        <w:separator/>
      </w:r>
    </w:p>
  </w:footnote>
  <w:footnote w:type="continuationSeparator" w:id="0">
    <w:p w14:paraId="22B161E2" w14:textId="77777777" w:rsidR="008B114B" w:rsidRDefault="008B114B"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7FA"/>
    <w:rsid w:val="00323F17"/>
    <w:rsid w:val="0039767F"/>
    <w:rsid w:val="003A2267"/>
    <w:rsid w:val="004A50E0"/>
    <w:rsid w:val="004F458B"/>
    <w:rsid w:val="005B6FAC"/>
    <w:rsid w:val="005C6E31"/>
    <w:rsid w:val="005F2265"/>
    <w:rsid w:val="00632464"/>
    <w:rsid w:val="00645FF4"/>
    <w:rsid w:val="006B44C2"/>
    <w:rsid w:val="006C1B64"/>
    <w:rsid w:val="006E08E1"/>
    <w:rsid w:val="0078606D"/>
    <w:rsid w:val="00792A5D"/>
    <w:rsid w:val="007A5C16"/>
    <w:rsid w:val="0089797A"/>
    <w:rsid w:val="008B114B"/>
    <w:rsid w:val="008E05E5"/>
    <w:rsid w:val="00962829"/>
    <w:rsid w:val="00964A76"/>
    <w:rsid w:val="00A34ACE"/>
    <w:rsid w:val="00B34BAE"/>
    <w:rsid w:val="00B52347"/>
    <w:rsid w:val="00B56CCE"/>
    <w:rsid w:val="00B63396"/>
    <w:rsid w:val="00C134B5"/>
    <w:rsid w:val="00C44239"/>
    <w:rsid w:val="00C46923"/>
    <w:rsid w:val="00C77AD7"/>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C716-405C-4F68-91C7-A56690F4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4655</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2025-07-12T15:37:00Z</dcterms:created>
  <dcterms:modified xsi:type="dcterms:W3CDTF">2025-07-12T15:37:00Z</dcterms:modified>
</cp:coreProperties>
</file>