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Pr>
          <w:rFonts w:ascii="Times New Roman" w:hAnsi="Times New Roman" w:cs="Times New Roman"/>
          <w:b/>
          <w:sz w:val="28"/>
          <w:szCs w:val="28"/>
        </w:rPr>
        <w:t>CALOTROPIS PROCERA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F60C46" w:rsidRPr="00F60C46" w:rsidRDefault="00F60C46" w:rsidP="00F60C46">
      <w:pPr>
        <w:jc w:val="center"/>
        <w:rPr>
          <w:rFonts w:ascii="Times New Roman" w:hAnsi="Times New Roman" w:cs="Times New Roman"/>
          <w:b/>
          <w:sz w:val="28"/>
          <w:szCs w:val="28"/>
        </w:rPr>
      </w:pPr>
      <w:r w:rsidRPr="00F60C46">
        <w:rPr>
          <w:rFonts w:ascii="Times New Roman" w:hAnsi="Times New Roman" w:cs="Times New Roman"/>
          <w:b/>
          <w:sz w:val="28"/>
          <w:szCs w:val="28"/>
        </w:rPr>
        <w:t xml:space="preserve">ISHOLA RUQOYAT BUKOLA </w:t>
      </w:r>
    </w:p>
    <w:p w:rsidR="00331D47" w:rsidRDefault="00F60C46" w:rsidP="00F60C46">
      <w:pPr>
        <w:jc w:val="center"/>
        <w:rPr>
          <w:rFonts w:ascii="Times New Roman" w:hAnsi="Times New Roman" w:cs="Times New Roman"/>
          <w:b/>
          <w:sz w:val="28"/>
          <w:szCs w:val="28"/>
        </w:rPr>
      </w:pPr>
      <w:r w:rsidRPr="00F60C46">
        <w:rPr>
          <w:rFonts w:ascii="Times New Roman" w:hAnsi="Times New Roman" w:cs="Times New Roman"/>
          <w:b/>
          <w:sz w:val="28"/>
          <w:szCs w:val="28"/>
        </w:rPr>
        <w:t>HND/23/SLT/FT/0454</w:t>
      </w:r>
    </w:p>
    <w:p w:rsidR="00531202" w:rsidRDefault="00531202" w:rsidP="00331D47">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531202" w:rsidRDefault="00531202" w:rsidP="00531202">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531202" w:rsidRDefault="00531202" w:rsidP="005312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CE4FE5" w:rsidRPr="00F60C46">
        <w:rPr>
          <w:rFonts w:ascii="Times New Roman" w:hAnsi="Times New Roman" w:cs="Times New Roman"/>
          <w:b/>
          <w:sz w:val="28"/>
          <w:szCs w:val="28"/>
        </w:rPr>
        <w:t>ISHOLA RUQOYAT BUKOLA</w:t>
      </w:r>
      <w:r w:rsidR="00DF28FE" w:rsidRPr="00DF28FE">
        <w:rPr>
          <w:rFonts w:ascii="Times New Roman" w:hAnsi="Times New Roman" w:cs="Times New Roman"/>
          <w:b/>
          <w:sz w:val="28"/>
          <w:szCs w:val="28"/>
        </w:rPr>
        <w:t xml:space="preserve"> </w:t>
      </w:r>
      <w:r w:rsidR="00331D47">
        <w:rPr>
          <w:rFonts w:ascii="Times New Roman" w:hAnsi="Times New Roman" w:cs="Times New Roman"/>
          <w:b/>
          <w:sz w:val="28"/>
          <w:szCs w:val="28"/>
        </w:rPr>
        <w:t xml:space="preserve"> </w:t>
      </w:r>
      <w:r w:rsidR="00331D47" w:rsidRPr="00331D47">
        <w:rPr>
          <w:rFonts w:ascii="Times New Roman" w:hAnsi="Times New Roman" w:cs="Times New Roman"/>
          <w:sz w:val="28"/>
          <w:szCs w:val="28"/>
        </w:rPr>
        <w:t>with matric no</w:t>
      </w:r>
      <w:r w:rsidR="00331D47">
        <w:rPr>
          <w:rFonts w:ascii="Times New Roman" w:hAnsi="Times New Roman" w:cs="Times New Roman"/>
          <w:b/>
          <w:sz w:val="28"/>
          <w:szCs w:val="28"/>
        </w:rPr>
        <w:t xml:space="preserve"> </w:t>
      </w:r>
      <w:bookmarkStart w:id="0" w:name="_GoBack"/>
      <w:r w:rsidR="00CE4FE5">
        <w:rPr>
          <w:rFonts w:ascii="Times New Roman" w:hAnsi="Times New Roman" w:cs="Times New Roman"/>
          <w:b/>
          <w:sz w:val="28"/>
          <w:szCs w:val="28"/>
        </w:rPr>
        <w:t>HND/23/SLT/FT/0454</w:t>
      </w:r>
      <w:r w:rsidR="00331D47">
        <w:rPr>
          <w:rFonts w:ascii="Times New Roman" w:hAnsi="Times New Roman" w:cs="Times New Roman"/>
          <w:b/>
          <w:sz w:val="28"/>
          <w:szCs w:val="28"/>
        </w:rPr>
        <w:t xml:space="preserve"> </w:t>
      </w:r>
      <w:r>
        <w:rPr>
          <w:rFonts w:ascii="Times New Roman" w:hAnsi="Times New Roman" w:cs="Times New Roman"/>
          <w:b/>
          <w:sz w:val="28"/>
          <w:szCs w:val="28"/>
        </w:rPr>
        <w:t xml:space="preserve"> </w:t>
      </w:r>
      <w:bookmarkEnd w:id="0"/>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rsidR="00531202" w:rsidRDefault="00531202" w:rsidP="00531202">
      <w:pPr>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MRS. ABDULKADRI </w:t>
      </w:r>
      <w:r>
        <w:rPr>
          <w:rFonts w:ascii="Times New Roman" w:hAnsi="Times New Roman" w:cs="Times New Roman"/>
          <w:b/>
          <w:bCs/>
          <w:sz w:val="28"/>
          <w:szCs w:val="28"/>
        </w:rPr>
        <w:tab/>
      </w:r>
      <w:r w:rsidR="00FD0443">
        <w:rPr>
          <w:rFonts w:ascii="Times New Roman" w:hAnsi="Times New Roman" w:cs="Times New Roman"/>
          <w:b/>
          <w:bCs/>
          <w:sz w:val="28"/>
          <w:szCs w:val="28"/>
        </w:rPr>
        <w:t>H. 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Pr="00DF28FE" w:rsidRDefault="00531202" w:rsidP="00DF28FE">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331D47" w:rsidRPr="00331D47" w:rsidRDefault="00531202" w:rsidP="00331D47">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531202" w:rsidRDefault="00CE4FE5" w:rsidP="00331D47">
      <w:pPr>
        <w:spacing w:line="480" w:lineRule="auto"/>
        <w:jc w:val="both"/>
        <w:rPr>
          <w:rFonts w:ascii="Times New Roman" w:eastAsia="Times New Roman" w:hAnsi="Times New Roman" w:cs="Times New Roman"/>
          <w:sz w:val="28"/>
          <w:szCs w:val="28"/>
        </w:rPr>
      </w:pPr>
      <w:r w:rsidRPr="00CE4FE5">
        <w:rPr>
          <w:rFonts w:ascii="Times New Roman" w:hAnsi="Times New Roman" w:cs="Times New Roman"/>
          <w:sz w:val="28"/>
          <w:szCs w:val="28"/>
        </w:rPr>
        <w:t xml:space="preserve">  I dedicate this project to Almighty Allah, the most gracious,the most merciful for the completion of this work and for guiding me through my Higher National Diploma program.</w:t>
      </w:r>
      <w:r w:rsidR="00531202">
        <w:rPr>
          <w:rFonts w:ascii="Times New Roman" w:eastAsia="Times New Roman" w:hAnsi="Times New Roman" w:cs="Times New Roman"/>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D30C73" w:rsidRDefault="00CE4FE5" w:rsidP="00CE4FE5">
      <w:pPr>
        <w:spacing w:line="360" w:lineRule="auto"/>
        <w:jc w:val="both"/>
        <w:rPr>
          <w:rFonts w:ascii="Times New Roman" w:hAnsi="Times New Roman" w:cs="Times New Roman"/>
          <w:sz w:val="28"/>
          <w:szCs w:val="28"/>
        </w:rPr>
      </w:pPr>
      <w:r w:rsidRPr="00CE4FE5">
        <w:rPr>
          <w:rFonts w:ascii="Times New Roman" w:hAnsi="Times New Roman" w:cs="Times New Roman"/>
          <w:sz w:val="28"/>
          <w:szCs w:val="28"/>
        </w:rPr>
        <w:t xml:space="preserve">I would also love to dedicate this project to my loving , caring and supportive parent (MR AND MRS .ISHOLA) for their love , care and support towards </w:t>
      </w:r>
      <w:r>
        <w:rPr>
          <w:rFonts w:ascii="Times New Roman" w:hAnsi="Times New Roman" w:cs="Times New Roman"/>
          <w:sz w:val="28"/>
          <w:szCs w:val="28"/>
        </w:rPr>
        <w:t xml:space="preserve">my Education.   ACKNOWLEDGMENT. </w:t>
      </w:r>
      <w:r w:rsidRPr="00CE4FE5">
        <w:rPr>
          <w:rFonts w:ascii="Times New Roman" w:hAnsi="Times New Roman" w:cs="Times New Roman"/>
          <w:sz w:val="28"/>
          <w:szCs w:val="28"/>
        </w:rPr>
        <w:t>To Almighty Allah above I give thanks and adoration for his protection, provision,wisdom,knowledge and understanding and infuriate mercy that saw me throughout my stay in the school.</w:t>
      </w:r>
      <w:r>
        <w:rPr>
          <w:rFonts w:ascii="Times New Roman" w:hAnsi="Times New Roman" w:cs="Times New Roman"/>
          <w:sz w:val="28"/>
          <w:szCs w:val="28"/>
        </w:rPr>
        <w:t xml:space="preserve"> </w:t>
      </w:r>
      <w:r w:rsidRPr="00CE4FE5">
        <w:rPr>
          <w:rFonts w:ascii="Times New Roman" w:hAnsi="Times New Roman" w:cs="Times New Roman"/>
          <w:sz w:val="28"/>
          <w:szCs w:val="28"/>
        </w:rPr>
        <w:t xml:space="preserve"> </w:t>
      </w:r>
      <w:r w:rsidRPr="00CE4FE5">
        <w:rPr>
          <w:rFonts w:ascii="Times New Roman" w:hAnsi="Times New Roman" w:cs="Times New Roman"/>
          <w:sz w:val="28"/>
          <w:szCs w:val="28"/>
        </w:rPr>
        <w:t>My profound gratitude to my able supervisor (MRS AbdulKadir HT)for her assistance,encouragement and contribution,soaring time to correct and guide.</w:t>
      </w:r>
      <w:r>
        <w:rPr>
          <w:rFonts w:ascii="Times New Roman" w:hAnsi="Times New Roman" w:cs="Times New Roman"/>
          <w:sz w:val="28"/>
          <w:szCs w:val="28"/>
        </w:rPr>
        <w:t xml:space="preserve"> </w:t>
      </w:r>
      <w:r w:rsidRPr="00CE4FE5">
        <w:rPr>
          <w:rFonts w:ascii="Times New Roman" w:hAnsi="Times New Roman" w:cs="Times New Roman"/>
          <w:sz w:val="28"/>
          <w:szCs w:val="28"/>
        </w:rPr>
        <w:t xml:space="preserve"> </w:t>
      </w:r>
      <w:r w:rsidRPr="00CE4FE5">
        <w:rPr>
          <w:rFonts w:ascii="Times New Roman" w:hAnsi="Times New Roman" w:cs="Times New Roman"/>
          <w:sz w:val="28"/>
          <w:szCs w:val="28"/>
        </w:rPr>
        <w:t>The Head of Department (HOD),MR Usman and to my HOU (Mrs Ahmed T) for their knowledge imparted on me during the course of study.  Allah will continue to favour your ways sir/Ma (AMEN).</w:t>
      </w:r>
      <w:r>
        <w:rPr>
          <w:rFonts w:ascii="Times New Roman" w:hAnsi="Times New Roman" w:cs="Times New Roman"/>
          <w:sz w:val="28"/>
          <w:szCs w:val="28"/>
        </w:rPr>
        <w:t xml:space="preserve"> </w:t>
      </w:r>
      <w:r w:rsidRPr="00CE4FE5">
        <w:rPr>
          <w:rFonts w:ascii="Times New Roman" w:hAnsi="Times New Roman" w:cs="Times New Roman"/>
          <w:sz w:val="28"/>
          <w:szCs w:val="28"/>
        </w:rPr>
        <w:t xml:space="preserve"> </w:t>
      </w:r>
      <w:r w:rsidRPr="00CE4FE5">
        <w:rPr>
          <w:rFonts w:ascii="Times New Roman" w:hAnsi="Times New Roman" w:cs="Times New Roman"/>
          <w:sz w:val="28"/>
          <w:szCs w:val="28"/>
        </w:rPr>
        <w:t>However my special thanks to my lovely parents (Mr. and Mrs. ISHOLA) for their financial,Guidance,Advice,Encouragement and prayers. I really appreciate you Sir &amp; Ma.</w:t>
      </w:r>
      <w:r>
        <w:rPr>
          <w:rFonts w:ascii="Times New Roman" w:hAnsi="Times New Roman" w:cs="Times New Roman"/>
          <w:sz w:val="28"/>
          <w:szCs w:val="28"/>
        </w:rPr>
        <w:t xml:space="preserve"> </w:t>
      </w:r>
      <w:r w:rsidRPr="00CE4FE5">
        <w:rPr>
          <w:rFonts w:ascii="Times New Roman" w:hAnsi="Times New Roman" w:cs="Times New Roman"/>
          <w:sz w:val="28"/>
          <w:szCs w:val="28"/>
        </w:rPr>
        <w:t xml:space="preserve"> </w:t>
      </w:r>
      <w:r w:rsidRPr="00CE4FE5">
        <w:rPr>
          <w:rFonts w:ascii="Times New Roman" w:hAnsi="Times New Roman" w:cs="Times New Roman"/>
          <w:sz w:val="28"/>
          <w:szCs w:val="28"/>
        </w:rPr>
        <w:t>ADORABLE DAD, I love you soo much and Mummy my vehicle of honor you shall r</w:t>
      </w:r>
      <w:r>
        <w:rPr>
          <w:rFonts w:ascii="Times New Roman" w:hAnsi="Times New Roman" w:cs="Times New Roman"/>
          <w:sz w:val="28"/>
          <w:szCs w:val="28"/>
        </w:rPr>
        <w:t xml:space="preserve">eap the fruits of your labour. </w:t>
      </w:r>
      <w:r w:rsidRPr="00CE4FE5">
        <w:rPr>
          <w:rFonts w:ascii="Times New Roman" w:hAnsi="Times New Roman" w:cs="Times New Roman"/>
          <w:sz w:val="28"/>
          <w:szCs w:val="28"/>
        </w:rPr>
        <w:t>My gratitude also goes to my siblings Rosheedah,Nvestor M12,Arike,Jubril  for their love, support and advice may God bless you abundantly . More so I Appreciate those that stood firm by me when I need them the most (Rhy Gold and  ATANDA ) and my friends ,  Thanks so much ,may Almighty Allah show you more blessings,may you never lack good things in your life (ALLAHUMO AMEEN).</w:t>
      </w:r>
      <w:r w:rsidR="00D30C73">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D30C73"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E308B6">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lastRenderedPageBreak/>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Ethanolic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Table 3 Comparative Antimicrobial Activity of Aqueous and Ethanolic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lastRenderedPageBreak/>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8"/>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sidRPr="00531202">
        <w:rPr>
          <w:rFonts w:ascii="Times New Roman" w:hAnsi="Times New Roman" w:cs="Times New Roman"/>
          <w:i/>
          <w:iCs/>
          <w:sz w:val="28"/>
          <w:szCs w:val="28"/>
        </w:rPr>
        <w:t>Calotropis procera</w:t>
      </w:r>
      <w:r w:rsidRPr="00531202">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lastRenderedPageBreak/>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D30C73">
        <w:rPr>
          <w:rStyle w:val="Emphasis"/>
          <w:color w:val="000000" w:themeColor="text1"/>
          <w:sz w:val="28"/>
          <w:szCs w:val="28"/>
        </w:rPr>
        <w:t>C. procera</w:t>
      </w:r>
      <w:r w:rsidRPr="00D30C73">
        <w:rPr>
          <w:color w:val="000000" w:themeColor="text1"/>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D30C73">
        <w:rPr>
          <w:rStyle w:val="Emphasis"/>
          <w:color w:val="000000" w:themeColor="text1"/>
          <w:sz w:val="28"/>
          <w:szCs w:val="28"/>
        </w:rPr>
        <w:t>Calotropis procera</w:t>
      </w:r>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immunocompromised individuals. Opportunistic fungi like </w:t>
      </w:r>
      <w:r w:rsidRPr="00D30C73">
        <w:rPr>
          <w:rStyle w:val="Emphasis"/>
          <w:color w:val="000000" w:themeColor="text1"/>
          <w:sz w:val="28"/>
          <w:szCs w:val="28"/>
        </w:rPr>
        <w:t>Candida albicans</w:t>
      </w:r>
      <w:r w:rsidRPr="00D30C73">
        <w:rPr>
          <w:color w:val="000000" w:themeColor="text1"/>
          <w:sz w:val="28"/>
          <w:szCs w:val="28"/>
        </w:rPr>
        <w:t xml:space="preserve">, </w:t>
      </w:r>
      <w:r w:rsidRPr="00D30C73">
        <w:rPr>
          <w:rStyle w:val="Emphasis"/>
          <w:color w:val="000000" w:themeColor="text1"/>
          <w:sz w:val="28"/>
          <w:szCs w:val="28"/>
        </w:rPr>
        <w:lastRenderedPageBreak/>
        <w:t>Aspergillus fumigatus</w:t>
      </w:r>
      <w:r w:rsidRPr="00D30C73">
        <w:rPr>
          <w:color w:val="000000" w:themeColor="text1"/>
          <w:sz w:val="28"/>
          <w:szCs w:val="28"/>
        </w:rPr>
        <w:t xml:space="preserve">, and </w:t>
      </w:r>
      <w:r w:rsidRPr="00D30C73">
        <w:rPr>
          <w:rStyle w:val="Emphasis"/>
          <w:color w:val="000000" w:themeColor="text1"/>
          <w:sz w:val="28"/>
          <w:szCs w:val="28"/>
        </w:rPr>
        <w:t>Cryptococcus neoformans</w:t>
      </w:r>
      <w:r w:rsidRPr="00D30C73">
        <w:rPr>
          <w:color w:val="000000" w:themeColor="text1"/>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D30C73">
        <w:rPr>
          <w:rStyle w:val="Emphasis"/>
          <w:color w:val="000000" w:themeColor="text1"/>
          <w:sz w:val="28"/>
          <w:szCs w:val="28"/>
        </w:rPr>
        <w:t>Calotropis procera</w:t>
      </w:r>
      <w:r w:rsidRPr="00D30C73">
        <w:rPr>
          <w:color w:val="000000" w:themeColor="text1"/>
          <w:sz w:val="28"/>
          <w:szCs w:val="28"/>
        </w:rPr>
        <w:t xml:space="preserve"> stands out due to its ethnopharmacological background and the presence of compounds that inhibit fungal growth by disrupting cell wall integrity and metabolic pathways (Eze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r w:rsidRPr="00D30C73">
        <w:rPr>
          <w:rStyle w:val="Emphasis"/>
          <w:color w:val="000000" w:themeColor="text1"/>
          <w:sz w:val="28"/>
          <w:szCs w:val="28"/>
        </w:rPr>
        <w:t>Calotropis procera</w:t>
      </w:r>
      <w:r w:rsidRPr="00D30C73">
        <w:rPr>
          <w:color w:val="000000" w:themeColor="text1"/>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sidRPr="00D30C73">
        <w:rPr>
          <w:rStyle w:val="Emphasis"/>
          <w:color w:val="000000" w:themeColor="text1"/>
          <w:sz w:val="28"/>
          <w:szCs w:val="28"/>
        </w:rPr>
        <w:t>C. procera</w:t>
      </w:r>
      <w:r w:rsidRPr="00D30C73">
        <w:rPr>
          <w:color w:val="000000" w:themeColor="text1"/>
          <w:sz w:val="28"/>
          <w:szCs w:val="28"/>
        </w:rPr>
        <w:t xml:space="preserve"> have shown inhibitory zones comparable to standard antifungal drugs such as </w:t>
      </w:r>
      <w:r w:rsidRPr="00D30C73">
        <w:rPr>
          <w:color w:val="000000" w:themeColor="text1"/>
          <w:sz w:val="28"/>
          <w:szCs w:val="28"/>
        </w:rPr>
        <w:lastRenderedPageBreak/>
        <w:t xml:space="preserve">ketoconazole and fluconazole. For instance, a study by Musa et al. (2021) demonstrated that ethanolic leaf extract of </w:t>
      </w:r>
      <w:r w:rsidRPr="00D30C73">
        <w:rPr>
          <w:rStyle w:val="Emphasis"/>
          <w:color w:val="000000" w:themeColor="text1"/>
          <w:sz w:val="28"/>
          <w:szCs w:val="28"/>
        </w:rPr>
        <w:t>Calotropis procera</w:t>
      </w:r>
      <w:r w:rsidRPr="00D30C73">
        <w:rPr>
          <w:color w:val="000000" w:themeColor="text1"/>
          <w:sz w:val="28"/>
          <w:szCs w:val="28"/>
        </w:rPr>
        <w:t xml:space="preserve"> exhibited strong antifungal activity against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Trichophyton mentagrophytes</w:t>
      </w:r>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C. procera</w:t>
      </w:r>
      <w:r w:rsidRPr="00D30C73">
        <w:rPr>
          <w:color w:val="000000" w:themeColor="text1"/>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lastRenderedPageBreak/>
        <w:t xml:space="preserve">Geographically, </w:t>
      </w:r>
      <w:r w:rsidRPr="00D30C73">
        <w:rPr>
          <w:rStyle w:val="Emphasis"/>
          <w:color w:val="000000" w:themeColor="text1"/>
          <w:sz w:val="28"/>
          <w:szCs w:val="28"/>
        </w:rPr>
        <w:t>Calotropis procera</w:t>
      </w:r>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D30C73">
        <w:rPr>
          <w:rStyle w:val="Emphasis"/>
          <w:color w:val="000000" w:themeColor="text1"/>
          <w:sz w:val="28"/>
          <w:szCs w:val="28"/>
        </w:rPr>
        <w:t>C. procera</w:t>
      </w:r>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C. procera</w:t>
      </w:r>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C. procera</w:t>
      </w:r>
      <w:r w:rsidRPr="00D30C73">
        <w:rPr>
          <w:color w:val="000000" w:themeColor="text1"/>
          <w:sz w:val="28"/>
          <w:szCs w:val="28"/>
        </w:rPr>
        <w:t xml:space="preserve"> extract with clove or garlic extract has been shown to produce improved antifungal outcomes against dermatophytes </w:t>
      </w:r>
      <w:r w:rsidRPr="00D30C73">
        <w:rPr>
          <w:color w:val="000000" w:themeColor="text1"/>
          <w:sz w:val="28"/>
          <w:szCs w:val="28"/>
        </w:rPr>
        <w:lastRenderedPageBreak/>
        <w:t xml:space="preserve">(Ibrahim et al., 2022). Additionally, nanoparticles synthesized using </w:t>
      </w:r>
      <w:r w:rsidRPr="00D30C73">
        <w:rPr>
          <w:rStyle w:val="Emphasis"/>
          <w:color w:val="000000" w:themeColor="text1"/>
          <w:sz w:val="28"/>
          <w:szCs w:val="28"/>
        </w:rPr>
        <w:t>Calotropis procera</w:t>
      </w:r>
      <w:r w:rsidRPr="00D30C73">
        <w:rPr>
          <w:color w:val="000000" w:themeColor="text1"/>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C. procera</w:t>
      </w:r>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holds substantial promise as a natural antifungal agent. Its wide distribution, low cultivation cost, rich phytochemical profile, and </w:t>
      </w:r>
      <w:r w:rsidRPr="00D30C73">
        <w:rPr>
          <w:color w:val="000000" w:themeColor="text1"/>
          <w:sz w:val="28"/>
          <w:szCs w:val="28"/>
        </w:rPr>
        <w:lastRenderedPageBreak/>
        <w:t xml:space="preserve">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C. procera</w:t>
      </w:r>
      <w:r w:rsidRPr="00D30C73">
        <w:rPr>
          <w:color w:val="000000" w:themeColor="text1"/>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C. procera</w:t>
      </w:r>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r w:rsidRPr="00D30C73">
        <w:rPr>
          <w:rStyle w:val="Emphasis"/>
          <w:color w:val="000000" w:themeColor="text1"/>
          <w:sz w:val="28"/>
          <w:szCs w:val="28"/>
        </w:rPr>
        <w:t>Calotropis procera</w:t>
      </w:r>
      <w:r w:rsidRPr="00D30C73">
        <w:rPr>
          <w:color w:val="000000" w:themeColor="text1"/>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C. procera</w:t>
      </w:r>
      <w:r w:rsidRPr="00D30C73">
        <w:rPr>
          <w:color w:val="000000" w:themeColor="text1"/>
          <w:sz w:val="28"/>
          <w:szCs w:val="28"/>
        </w:rPr>
        <w:t xml:space="preserve"> could be an effective natural </w:t>
      </w:r>
      <w:r w:rsidRPr="00D30C73">
        <w:rPr>
          <w:color w:val="000000" w:themeColor="text1"/>
          <w:sz w:val="28"/>
          <w:szCs w:val="28"/>
        </w:rPr>
        <w:lastRenderedPageBreak/>
        <w:t>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Ogundele et al. (2023), the antifungal efficacy of </w:t>
      </w:r>
      <w:r w:rsidRPr="00D30C73">
        <w:rPr>
          <w:rStyle w:val="Emphasis"/>
          <w:color w:val="000000" w:themeColor="text1"/>
          <w:sz w:val="28"/>
          <w:szCs w:val="28"/>
        </w:rPr>
        <w:t>C. procera</w:t>
      </w:r>
      <w:r w:rsidRPr="00D30C73">
        <w:rPr>
          <w:color w:val="000000" w:themeColor="text1"/>
          <w:sz w:val="28"/>
          <w:szCs w:val="28"/>
        </w:rPr>
        <w:t xml:space="preserve"> leaf extracts prepared with ethanol, methanol, and water was evaluated against </w:t>
      </w:r>
      <w:r w:rsidRPr="00D30C73">
        <w:rPr>
          <w:rStyle w:val="Emphasis"/>
          <w:color w:val="000000" w:themeColor="text1"/>
          <w:sz w:val="28"/>
          <w:szCs w:val="28"/>
        </w:rPr>
        <w:t>Aspergillus niger</w:t>
      </w:r>
      <w:r w:rsidRPr="00D30C73">
        <w:rPr>
          <w:color w:val="000000" w:themeColor="text1"/>
          <w:sz w:val="28"/>
          <w:szCs w:val="28"/>
        </w:rPr>
        <w:t xml:space="preserve"> and </w:t>
      </w:r>
      <w:r w:rsidRPr="00D30C73">
        <w:rPr>
          <w:rStyle w:val="Emphasis"/>
          <w:color w:val="000000" w:themeColor="text1"/>
          <w:sz w:val="28"/>
          <w:szCs w:val="28"/>
        </w:rPr>
        <w:t>Candida albicans</w:t>
      </w:r>
      <w:r w:rsidRPr="00D30C73">
        <w:rPr>
          <w:color w:val="000000" w:themeColor="text1"/>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D30C73">
        <w:rPr>
          <w:rStyle w:val="Emphasis"/>
          <w:color w:val="000000" w:themeColor="text1"/>
          <w:sz w:val="28"/>
          <w:szCs w:val="28"/>
        </w:rPr>
        <w:t>Calotropis procera</w:t>
      </w:r>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ethanolic leaf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such as </w:t>
      </w:r>
      <w:r w:rsidRPr="00D30C73">
        <w:rPr>
          <w:rStyle w:val="Emphasis"/>
          <w:color w:val="000000" w:themeColor="text1"/>
          <w:sz w:val="28"/>
          <w:szCs w:val="28"/>
        </w:rPr>
        <w:t>Trichophyton mentagrophytes</w:t>
      </w:r>
      <w:r w:rsidRPr="00D30C73">
        <w:rPr>
          <w:color w:val="000000" w:themeColor="text1"/>
          <w:sz w:val="28"/>
          <w:szCs w:val="28"/>
        </w:rPr>
        <w:t xml:space="preserve"> and </w:t>
      </w:r>
      <w:r w:rsidRPr="00D30C73">
        <w:rPr>
          <w:rStyle w:val="Emphasis"/>
          <w:color w:val="000000" w:themeColor="text1"/>
          <w:sz w:val="28"/>
          <w:szCs w:val="28"/>
        </w:rPr>
        <w:t>Microsporum gypseum</w:t>
      </w:r>
      <w:r w:rsidRPr="00D30C73">
        <w:rPr>
          <w:color w:val="000000" w:themeColor="text1"/>
          <w:sz w:val="28"/>
          <w:szCs w:val="28"/>
        </w:rPr>
        <w:t xml:space="preserve">. Their results showed significant inhibition of fungal growth, with activity comparable to standard antifungal </w:t>
      </w:r>
      <w:r w:rsidRPr="00D30C73">
        <w:rPr>
          <w:color w:val="000000" w:themeColor="text1"/>
          <w:sz w:val="28"/>
          <w:szCs w:val="28"/>
        </w:rPr>
        <w:lastRenderedPageBreak/>
        <w:t xml:space="preserve">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C. procera</w:t>
      </w:r>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r w:rsidRPr="00D30C73">
        <w:rPr>
          <w:rStyle w:val="Emphasis"/>
          <w:color w:val="000000" w:themeColor="text1"/>
          <w:sz w:val="28"/>
          <w:szCs w:val="28"/>
        </w:rPr>
        <w:t>Calotropis procera</w:t>
      </w:r>
      <w:r w:rsidRPr="00D30C73">
        <w:rPr>
          <w:color w:val="000000" w:themeColor="text1"/>
          <w:sz w:val="28"/>
          <w:szCs w:val="28"/>
        </w:rPr>
        <w:t xml:space="preserve"> with clove (</w:t>
      </w:r>
      <w:r w:rsidRPr="00D30C73">
        <w:rPr>
          <w:rStyle w:val="Emphasis"/>
          <w:color w:val="000000" w:themeColor="text1"/>
          <w:sz w:val="28"/>
          <w:szCs w:val="28"/>
        </w:rPr>
        <w:t>Syzygium aromaticum</w:t>
      </w:r>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Aspergillus fumigatus</w:t>
      </w:r>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C. procera</w:t>
      </w:r>
      <w:r w:rsidRPr="00D30C73">
        <w:rPr>
          <w:color w:val="000000" w:themeColor="text1"/>
          <w:sz w:val="28"/>
          <w:szCs w:val="28"/>
        </w:rPr>
        <w:t xml:space="preserve"> could be more effective when used in polyherbal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r w:rsidRPr="00D30C73">
        <w:rPr>
          <w:rStyle w:val="Emphasis"/>
          <w:color w:val="000000" w:themeColor="text1"/>
          <w:sz w:val="28"/>
          <w:szCs w:val="28"/>
        </w:rPr>
        <w:t>Calotropis procera</w:t>
      </w:r>
      <w:r w:rsidRPr="00D30C73">
        <w:rPr>
          <w:color w:val="000000" w:themeColor="text1"/>
          <w:sz w:val="28"/>
          <w:szCs w:val="28"/>
        </w:rPr>
        <w:t xml:space="preserve"> as a reducing agent for the synthesis of silver </w:t>
      </w:r>
      <w:r w:rsidRPr="00D30C73">
        <w:rPr>
          <w:color w:val="000000" w:themeColor="text1"/>
          <w:sz w:val="28"/>
          <w:szCs w:val="28"/>
        </w:rPr>
        <w:lastRenderedPageBreak/>
        <w:t xml:space="preserve">nanoparticles. Lawal et al. (2024) reported the synthesis of silver nanoparticles using ethanolic leaf extract of </w:t>
      </w:r>
      <w:r w:rsidRPr="00D30C73">
        <w:rPr>
          <w:rStyle w:val="Emphasis"/>
          <w:color w:val="000000" w:themeColor="text1"/>
          <w:sz w:val="28"/>
          <w:szCs w:val="28"/>
        </w:rPr>
        <w:t>C. procera</w:t>
      </w:r>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Candida albicans</w:t>
      </w:r>
      <w:r w:rsidRPr="00D30C73">
        <w:rPr>
          <w:color w:val="000000" w:themeColor="text1"/>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C. procera</w:t>
      </w:r>
      <w:r w:rsidRPr="00D30C73">
        <w:rPr>
          <w:color w:val="000000" w:themeColor="text1"/>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C. procera</w:t>
      </w:r>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lastRenderedPageBreak/>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immunocompromised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r w:rsidRPr="00D30C73">
        <w:rPr>
          <w:rStyle w:val="Emphasis"/>
          <w:color w:val="000000" w:themeColor="text1"/>
          <w:sz w:val="28"/>
          <w:szCs w:val="28"/>
        </w:rPr>
        <w:t>Aspergillus</w:t>
      </w:r>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lastRenderedPageBreak/>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r w:rsidRPr="00D30C73">
        <w:rPr>
          <w:rStyle w:val="Emphasis"/>
          <w:color w:val="000000" w:themeColor="text1"/>
          <w:sz w:val="28"/>
          <w:szCs w:val="28"/>
        </w:rPr>
        <w:t>Calotropis procera</w:t>
      </w:r>
      <w:r w:rsidRPr="00D30C73">
        <w:rPr>
          <w:color w:val="000000" w:themeColor="text1"/>
          <w:sz w:val="28"/>
          <w:szCs w:val="28"/>
        </w:rPr>
        <w:t xml:space="preserve"> (Bombom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r w:rsidRPr="00D30C73">
        <w:rPr>
          <w:rFonts w:ascii="Times New Roman" w:hAnsi="Times New Roman" w:cs="Times New Roman"/>
          <w:i/>
          <w:color w:val="000000" w:themeColor="text1"/>
          <w:sz w:val="28"/>
          <w:szCs w:val="28"/>
        </w:rPr>
        <w:t>Calotropis procera</w:t>
      </w:r>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lastRenderedPageBreak/>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lastRenderedPageBreak/>
        <w:t>2.3 Sterilization of Glasswares</w:t>
      </w:r>
      <w:bookmarkEnd w:id="11"/>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lastRenderedPageBreak/>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cork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w:t>
      </w:r>
      <w:r w:rsidRPr="00D30C73">
        <w:rPr>
          <w:rFonts w:ascii="Times New Roman" w:eastAsia="Times New Roman" w:hAnsi="Times New Roman" w:cs="Times New Roman"/>
          <w:color w:val="000000" w:themeColor="text1"/>
          <w:sz w:val="28"/>
          <w:szCs w:val="28"/>
        </w:rPr>
        <w:lastRenderedPageBreak/>
        <w:t>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lastRenderedPageBreak/>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ethanolic extracts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(Bombom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lastRenderedPageBreak/>
        <w:t xml:space="preserve">3.2: 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3.3: Comparative Antimicrobial Activity of Aqueous and Ethanolic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Ethanolic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lastRenderedPageBreak/>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(Bombom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ethanolic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C. procera</w:t>
      </w:r>
      <w:r w:rsidRPr="00D30C73">
        <w:rPr>
          <w:color w:val="000000" w:themeColor="text1"/>
          <w:sz w:val="28"/>
          <w:szCs w:val="28"/>
        </w:rPr>
        <w:t xml:space="preserve">. This observation aligns with the work of Ogundele et al. (2023), who reported that ethanolic extracts of </w:t>
      </w:r>
      <w:r w:rsidRPr="00D30C73">
        <w:rPr>
          <w:rStyle w:val="Emphasis"/>
          <w:rFonts w:eastAsiaTheme="majorEastAsia"/>
          <w:color w:val="000000" w:themeColor="text1"/>
          <w:sz w:val="28"/>
          <w:szCs w:val="28"/>
        </w:rPr>
        <w:t>C. procera</w:t>
      </w:r>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phenolics in </w:t>
      </w:r>
      <w:r w:rsidRPr="00D30C73">
        <w:rPr>
          <w:color w:val="000000" w:themeColor="text1"/>
          <w:sz w:val="28"/>
          <w:szCs w:val="28"/>
        </w:rPr>
        <w:lastRenderedPageBreak/>
        <w:t>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demonstrated significant antimicrobial activity against </w:t>
      </w:r>
      <w:r w:rsidRPr="00D30C73">
        <w:rPr>
          <w:rStyle w:val="Emphasis"/>
          <w:rFonts w:eastAsiaTheme="majorEastAsia"/>
          <w:color w:val="000000" w:themeColor="text1"/>
          <w:sz w:val="28"/>
          <w:szCs w:val="28"/>
        </w:rPr>
        <w:t>Trichophyton mentagrophytes</w:t>
      </w:r>
      <w:r w:rsidRPr="00D30C73">
        <w:rPr>
          <w:color w:val="000000" w:themeColor="text1"/>
          <w:sz w:val="28"/>
          <w:szCs w:val="28"/>
        </w:rPr>
        <w:t xml:space="preserve"> and </w:t>
      </w:r>
      <w:r w:rsidRPr="00D30C73">
        <w:rPr>
          <w:rStyle w:val="Emphasis"/>
          <w:rFonts w:eastAsiaTheme="majorEastAsia"/>
          <w:color w:val="000000" w:themeColor="text1"/>
          <w:sz w:val="28"/>
          <w:szCs w:val="28"/>
        </w:rPr>
        <w:t>Candida albicans</w:t>
      </w:r>
      <w:r w:rsidRPr="00D30C73">
        <w:rPr>
          <w:color w:val="000000" w:themeColor="text1"/>
          <w:sz w:val="28"/>
          <w:szCs w:val="28"/>
        </w:rPr>
        <w:t>. These pathogens were notably inhibited by the plant's secondary metabolites, particularly terpenoids and saponins, which may be responsible for the antimicrobial mechanism through membrane lysis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for the aqueous extract. Nonetheless, the activity still indicates the presence of water-</w:t>
      </w:r>
      <w:r w:rsidRPr="00D30C73">
        <w:rPr>
          <w:color w:val="000000" w:themeColor="text1"/>
          <w:sz w:val="28"/>
          <w:szCs w:val="28"/>
        </w:rPr>
        <w:lastRenderedPageBreak/>
        <w:t xml:space="preserve">soluble antimicrobial compounds in </w:t>
      </w:r>
      <w:r w:rsidRPr="00D30C73">
        <w:rPr>
          <w:rStyle w:val="Emphasis"/>
          <w:rFonts w:eastAsiaTheme="majorEastAsia"/>
          <w:color w:val="000000" w:themeColor="text1"/>
          <w:sz w:val="28"/>
          <w:szCs w:val="28"/>
        </w:rPr>
        <w:t>C. procera</w:t>
      </w:r>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C. procera</w:t>
      </w:r>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ethanolic extract suggests that </w:t>
      </w:r>
      <w:r w:rsidRPr="00D30C73">
        <w:rPr>
          <w:rStyle w:val="Emphasis"/>
          <w:rFonts w:eastAsiaTheme="majorEastAsia"/>
          <w:color w:val="000000" w:themeColor="text1"/>
          <w:sz w:val="28"/>
          <w:szCs w:val="28"/>
        </w:rPr>
        <w:t>C. procera</w:t>
      </w:r>
      <w:r w:rsidRPr="00D30C73">
        <w:rPr>
          <w:color w:val="000000" w:themeColor="text1"/>
          <w:sz w:val="28"/>
          <w:szCs w:val="28"/>
        </w:rPr>
        <w:t xml:space="preserve"> may have broad-spectrum antimicrobial potential, especially if formulated synergistically or processed into nanoparticle-based delivery systems, as reported by Lawal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lastRenderedPageBreak/>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r w:rsidRPr="00D30C73">
        <w:rPr>
          <w:rStyle w:val="Emphasis"/>
          <w:color w:val="000000" w:themeColor="text1"/>
          <w:sz w:val="28"/>
          <w:szCs w:val="28"/>
        </w:rPr>
        <w:t>Calotropis procera</w:t>
      </w:r>
      <w:r w:rsidRPr="00D30C73">
        <w:rPr>
          <w:color w:val="000000" w:themeColor="text1"/>
          <w:sz w:val="28"/>
          <w:szCs w:val="28"/>
        </w:rPr>
        <w:t xml:space="preserve"> (Bombom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C. procera</w:t>
      </w:r>
      <w:r w:rsidRPr="00D30C73">
        <w:rPr>
          <w:color w:val="000000" w:themeColor="text1"/>
          <w:sz w:val="28"/>
          <w:szCs w:val="28"/>
        </w:rPr>
        <w:t xml:space="preserve"> contains phytochemicals such as flavonoids, tannins, saponins, and alkaloids that can act as natural antimicrobial agents. These findings support the traditional use of </w:t>
      </w:r>
      <w:r w:rsidRPr="00D30C73">
        <w:rPr>
          <w:rStyle w:val="Emphasis"/>
          <w:color w:val="000000" w:themeColor="text1"/>
          <w:sz w:val="28"/>
          <w:szCs w:val="28"/>
        </w:rPr>
        <w:t>C. procera</w:t>
      </w:r>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lastRenderedPageBreak/>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Abdullahi, M. I., Usman, H., &amp; Yelwa, M. (2021). </w:t>
      </w:r>
      <w:r w:rsidRPr="00D30C73">
        <w:rPr>
          <w:rFonts w:ascii="Times New Roman" w:eastAsia="Times New Roman" w:hAnsi="Times New Roman" w:cs="Times New Roman"/>
          <w:i/>
          <w:iCs/>
          <w:color w:val="000000" w:themeColor="text1"/>
          <w:sz w:val="28"/>
          <w:szCs w:val="28"/>
        </w:rPr>
        <w:t>Phytochemical and antimicrobial activity of Calotropis procera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Ayoade, J. A., Kareem, K. T., &amp; Olowolafe, T. A. (2020). </w:t>
      </w:r>
      <w:r w:rsidRPr="00D30C73">
        <w:rPr>
          <w:rFonts w:ascii="Times New Roman" w:eastAsia="Times New Roman" w:hAnsi="Times New Roman" w:cs="Times New Roman"/>
          <w:i/>
          <w:iCs/>
          <w:color w:val="000000" w:themeColor="text1"/>
          <w:sz w:val="28"/>
          <w:szCs w:val="28"/>
        </w:rPr>
        <w:t>Evaluation of antifungal activity of Calotropis procera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Sulaiman, A. M., &amp; Rabiu, B. (2021). </w:t>
      </w:r>
      <w:r w:rsidRPr="00D30C73">
        <w:rPr>
          <w:rFonts w:ascii="Times New Roman" w:eastAsia="Times New Roman" w:hAnsi="Times New Roman" w:cs="Times New Roman"/>
          <w:i/>
          <w:iCs/>
          <w:color w:val="000000" w:themeColor="text1"/>
          <w:sz w:val="28"/>
          <w:szCs w:val="28"/>
        </w:rPr>
        <w:t>Ethnobotanical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Chikere, C. B., Umeh, R. E., &amp; Okeke,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Eze, P. C., Ani, J. C., &amp; Odoemelam, E. O. (2023). </w:t>
      </w:r>
      <w:r w:rsidRPr="00D30C73">
        <w:rPr>
          <w:rFonts w:ascii="Times New Roman" w:eastAsia="Times New Roman" w:hAnsi="Times New Roman" w:cs="Times New Roman"/>
          <w:i/>
          <w:iCs/>
          <w:color w:val="000000" w:themeColor="text1"/>
          <w:sz w:val="28"/>
          <w:szCs w:val="28"/>
        </w:rPr>
        <w:t>Comparative antimicrobial activity of Calotropis procera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Ibrahim, A. M., Danjuma, A. K., &amp; Haruna, H. (2022). </w:t>
      </w:r>
      <w:r w:rsidRPr="00D30C73">
        <w:rPr>
          <w:rFonts w:ascii="Times New Roman" w:eastAsia="Times New Roman" w:hAnsi="Times New Roman" w:cs="Times New Roman"/>
          <w:i/>
          <w:iCs/>
          <w:color w:val="000000" w:themeColor="text1"/>
          <w:sz w:val="28"/>
          <w:szCs w:val="28"/>
        </w:rPr>
        <w:t>Synergistic antifungal effect of Calotropis procera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Synergistic antifungal effect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Danjuma, A. K., &amp; Haruna, H. (2022). Synergistic antifungal effect of </w:t>
      </w:r>
      <w:r w:rsidRPr="00D30C73">
        <w:rPr>
          <w:rStyle w:val="Emphasis"/>
          <w:color w:val="000000" w:themeColor="text1"/>
          <w:sz w:val="28"/>
          <w:szCs w:val="28"/>
        </w:rPr>
        <w:t>Calotropis procera</w:t>
      </w:r>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w:t>
      </w:r>
      <w:r w:rsidRPr="00D30C73">
        <w:rPr>
          <w:rFonts w:ascii="Times New Roman" w:eastAsia="Times New Roman" w:hAnsi="Times New Roman" w:cs="Times New Roman"/>
          <w:i/>
          <w:iCs/>
          <w:color w:val="000000" w:themeColor="text1"/>
          <w:sz w:val="28"/>
          <w:szCs w:val="28"/>
        </w:rPr>
        <w:t>Phytochemical screening and biological activity of Calotropis procera extracts</w:t>
      </w:r>
      <w:r w:rsidRPr="00D30C73">
        <w:rPr>
          <w:rFonts w:ascii="Times New Roman" w:eastAsia="Times New Roman" w:hAnsi="Times New Roman" w:cs="Times New Roman"/>
          <w:color w:val="000000" w:themeColor="text1"/>
          <w:sz w:val="28"/>
          <w:szCs w:val="28"/>
        </w:rPr>
        <w:t>. Journal of Pharmacognosy and Phytochemistry,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Phytochemical screening and biological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Journal of Pharmacognosy and Phytochemistry</w:t>
      </w:r>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Kazeem, M. I., Oyetunde, T. T., &amp; Shoyombo, A. J. (2023). Phytochemical screening and biological activity of </w:t>
      </w:r>
      <w:r w:rsidRPr="00D30C73">
        <w:rPr>
          <w:rStyle w:val="Emphasis"/>
          <w:color w:val="000000" w:themeColor="text1"/>
          <w:sz w:val="28"/>
          <w:szCs w:val="28"/>
        </w:rPr>
        <w:t>Calotropis procera</w:t>
      </w:r>
      <w:r w:rsidRPr="00D30C73">
        <w:rPr>
          <w:color w:val="000000" w:themeColor="text1"/>
          <w:sz w:val="28"/>
          <w:szCs w:val="28"/>
        </w:rPr>
        <w:t xml:space="preserve"> extracts. </w:t>
      </w:r>
      <w:r w:rsidRPr="00D30C73">
        <w:rPr>
          <w:rStyle w:val="Emphasis"/>
          <w:color w:val="000000" w:themeColor="text1"/>
          <w:sz w:val="28"/>
          <w:szCs w:val="28"/>
        </w:rPr>
        <w:t>Journal of Pharmacognosy and Phytochemistry</w:t>
      </w:r>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w:t>
      </w:r>
      <w:r w:rsidRPr="00D30C73">
        <w:rPr>
          <w:rFonts w:ascii="Times New Roman" w:eastAsia="Times New Roman" w:hAnsi="Times New Roman" w:cs="Times New Roman"/>
          <w:i/>
          <w:iCs/>
          <w:color w:val="000000" w:themeColor="text1"/>
          <w:sz w:val="28"/>
          <w:szCs w:val="28"/>
        </w:rPr>
        <w:t>Green synthesis of silver nanoparticles using Calotropis procera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Green synthesis of silver nanoparticles using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Lawal, A. F., Musa, A. K., &amp; Adedayo, A. A. (2024). Green synthesis of silver nanoparticles using </w:t>
      </w:r>
      <w:r w:rsidRPr="00D30C73">
        <w:rPr>
          <w:rStyle w:val="Emphasis"/>
          <w:color w:val="000000" w:themeColor="text1"/>
          <w:sz w:val="28"/>
          <w:szCs w:val="28"/>
        </w:rPr>
        <w:t>Calotropis procera</w:t>
      </w:r>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Adegoke, A. A., &amp; Tijani, A. A. (2021). Evaluation of antifungal activity of ethanolic extract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on dermatophytes.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Musa, A. R., Adegoke, A. A., &amp; Tijani, A. A. (2021). Evaluation of antifungal activity of ethanolic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w:t>
      </w:r>
      <w:r w:rsidRPr="00D30C73">
        <w:rPr>
          <w:rFonts w:ascii="Times New Roman" w:eastAsia="Times New Roman" w:hAnsi="Times New Roman" w:cs="Times New Roman"/>
          <w:i/>
          <w:iCs/>
          <w:color w:val="000000" w:themeColor="text1"/>
          <w:sz w:val="28"/>
          <w:szCs w:val="28"/>
        </w:rPr>
        <w:t>Effect of different solvents on antifungal activity of Calotropis procera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Effect of different solvents on antifungal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Ogundele, O. S., Ogunlana, E. O., &amp; Adebayo, O. J. (2023). Effect of different solvents on antifungal activity of </w:t>
      </w:r>
      <w:r w:rsidRPr="00D30C73">
        <w:rPr>
          <w:rStyle w:val="Emphasis"/>
          <w:color w:val="000000" w:themeColor="text1"/>
          <w:sz w:val="28"/>
          <w:szCs w:val="28"/>
        </w:rPr>
        <w:t>Calotropis procera</w:t>
      </w:r>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Okonkwo, C. C., Iwu, C. D., &amp; Eke, I. E. (2020). </w:t>
      </w:r>
      <w:r w:rsidRPr="00D30C73">
        <w:rPr>
          <w:rFonts w:ascii="Times New Roman" w:eastAsia="Times New Roman" w:hAnsi="Times New Roman" w:cs="Times New Roman"/>
          <w:i/>
          <w:iCs/>
          <w:color w:val="000000" w:themeColor="text1"/>
          <w:sz w:val="28"/>
          <w:szCs w:val="28"/>
        </w:rPr>
        <w:t>Phytochemical constituents and antimicrobial activity of Calotropis procera</w:t>
      </w:r>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Suleiman, A. A., Danlami, M. A., &amp; Okereke,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w:t>
      </w:r>
      <w:r w:rsidRPr="00D30C73">
        <w:rPr>
          <w:rFonts w:ascii="Times New Roman" w:eastAsia="Times New Roman" w:hAnsi="Times New Roman" w:cs="Times New Roman"/>
          <w:i/>
          <w:iCs/>
          <w:color w:val="000000" w:themeColor="text1"/>
          <w:sz w:val="28"/>
          <w:szCs w:val="28"/>
        </w:rPr>
        <w:t>Toxicological evaluation of Calotropis procera leaf extract in Wistar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Toxicological evaluation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in Wistar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8B6" w:rsidRDefault="00E308B6" w:rsidP="00A561EC">
      <w:pPr>
        <w:spacing w:after="0" w:line="240" w:lineRule="auto"/>
      </w:pPr>
      <w:r>
        <w:separator/>
      </w:r>
    </w:p>
  </w:endnote>
  <w:endnote w:type="continuationSeparator" w:id="0">
    <w:p w:rsidR="00E308B6" w:rsidRDefault="00E308B6"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A561EC" w:rsidRDefault="00A561EC">
        <w:pPr>
          <w:pStyle w:val="Footer"/>
          <w:jc w:val="center"/>
        </w:pPr>
        <w:r>
          <w:fldChar w:fldCharType="begin"/>
        </w:r>
        <w:r>
          <w:instrText xml:space="preserve"> PAGE   \* MERGEFORMAT </w:instrText>
        </w:r>
        <w:r>
          <w:fldChar w:fldCharType="separate"/>
        </w:r>
        <w:r w:rsidR="00CE4FE5">
          <w:rPr>
            <w:noProof/>
          </w:rPr>
          <w:t>ii</w:t>
        </w:r>
        <w:r>
          <w:rPr>
            <w:noProof/>
          </w:rPr>
          <w:fldChar w:fldCharType="end"/>
        </w:r>
      </w:p>
    </w:sdtContent>
  </w:sdt>
  <w:p w:rsidR="00A561EC" w:rsidRDefault="00A5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8B6" w:rsidRDefault="00E308B6" w:rsidP="00A561EC">
      <w:pPr>
        <w:spacing w:after="0" w:line="240" w:lineRule="auto"/>
      </w:pPr>
      <w:r>
        <w:separator/>
      </w:r>
    </w:p>
  </w:footnote>
  <w:footnote w:type="continuationSeparator" w:id="0">
    <w:p w:rsidR="00E308B6" w:rsidRDefault="00E308B6"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107089"/>
    <w:rsid w:val="001151F8"/>
    <w:rsid w:val="00172098"/>
    <w:rsid w:val="00191234"/>
    <w:rsid w:val="00280381"/>
    <w:rsid w:val="002B0BB5"/>
    <w:rsid w:val="00331D47"/>
    <w:rsid w:val="00531202"/>
    <w:rsid w:val="00645FF4"/>
    <w:rsid w:val="00701FA4"/>
    <w:rsid w:val="0078606D"/>
    <w:rsid w:val="007A5C16"/>
    <w:rsid w:val="007D1476"/>
    <w:rsid w:val="008E05E5"/>
    <w:rsid w:val="0098466D"/>
    <w:rsid w:val="00A561EC"/>
    <w:rsid w:val="00B52347"/>
    <w:rsid w:val="00C77AD7"/>
    <w:rsid w:val="00CE4FE5"/>
    <w:rsid w:val="00D30C73"/>
    <w:rsid w:val="00D415F8"/>
    <w:rsid w:val="00DA0F41"/>
    <w:rsid w:val="00DF28FE"/>
    <w:rsid w:val="00E308B6"/>
    <w:rsid w:val="00E6797D"/>
    <w:rsid w:val="00E71726"/>
    <w:rsid w:val="00EE5127"/>
    <w:rsid w:val="00F57D6E"/>
    <w:rsid w:val="00F60C46"/>
    <w:rsid w:val="00FB3D52"/>
    <w:rsid w:val="00FD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AB676-F691-479E-B487-C4D9C3A6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4823</Words>
  <Characters>27493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2025-07-12T14:57:00Z</dcterms:created>
  <dcterms:modified xsi:type="dcterms:W3CDTF">2025-07-12T14:57:00Z</dcterms:modified>
</cp:coreProperties>
</file>