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footer3.xml" ContentType="application/vnd.openxmlformats-officedocument.wordprocessingml.footer+xml"/>
  <Override PartName="/word/document.xml" ContentType="application/vnd.openxmlformats-officedocument.wordprocessingml.document.main+xml"/>
  <Override PartName="/customXml/itemProps1.xml" ContentType="application/vnd.openxmlformats-officedocument.customXmlProperties+xml"/>
  <Override PartName="/word/footer2.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szCs w:val="24"/>
        </w:rPr>
      </w:pPr>
      <w:r>
        <w:rPr>
          <w:rFonts w:ascii="Times New Roman" w:cs="Times New Roman" w:hAnsi="Times New Roman"/>
          <w:noProof/>
          <w:szCs w:val="24"/>
        </w:rPr>
        <w:drawing>
          <wp:inline distL="0" distT="0" distB="0" distR="0">
            <wp:extent cx="1371600" cy="1298575"/>
            <wp:effectExtent l="0" t="0" r="0" b="0"/>
            <wp:docPr id="1026" name="Picture 1" descr="C:\Users\The Jupiter\Downloads\kwara poly logo.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 cstate="print"/>
                    <a:srcRect l="-9332" t="-10011" r="-7814" b="-8333"/>
                    <a:stretch/>
                  </pic:blipFill>
                  <pic:spPr>
                    <a:xfrm rot="0">
                      <a:off x="0" y="0"/>
                      <a:ext cx="1371600" cy="1298575"/>
                    </a:xfrm>
                    <a:prstGeom prst="rect"/>
                    <a:ln>
                      <a:noFill/>
                    </a:ln>
                  </pic:spPr>
                </pic:pic>
              </a:graphicData>
            </a:graphic>
          </wp:inline>
        </w:drawing>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PROJECT RESEARCH WORK</w:t>
      </w:r>
    </w:p>
    <w:p>
      <w:pPr>
        <w:pStyle w:val="style0"/>
        <w:tabs>
          <w:tab w:val="center" w:leader="none" w:pos="4153"/>
          <w:tab w:val="right" w:leader="none" w:pos="8307"/>
        </w:tabs>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ON</w:t>
      </w:r>
    </w:p>
    <w:p>
      <w:pPr>
        <w:pStyle w:val="style0"/>
        <w:spacing w:before="240"/>
        <w:ind w:right="4"/>
        <w:jc w:val="center"/>
        <w:rPr>
          <w:rFonts w:ascii="Times New Roman" w:cs="Times New Roman" w:hAnsi="Times New Roman"/>
          <w:b/>
          <w:i/>
          <w:sz w:val="28"/>
          <w:szCs w:val="28"/>
        </w:rPr>
      </w:pPr>
      <w:r>
        <w:rPr>
          <w:rFonts w:ascii="Times New Roman" w:cs="Times New Roman" w:hAnsi="Times New Roman"/>
          <w:b/>
          <w:sz w:val="28"/>
          <w:szCs w:val="28"/>
        </w:rPr>
        <w:t>ANTIBACTERIAL EFFICACY OF</w:t>
      </w:r>
      <w:r>
        <w:rPr>
          <w:rFonts w:ascii="Times New Roman" w:cs="Times New Roman" w:hAnsi="Times New Roman"/>
          <w:b/>
          <w:sz w:val="28"/>
          <w:szCs w:val="28"/>
        </w:rPr>
        <w:t xml:space="preserve"> BLUE GUM</w:t>
      </w:r>
      <w:r>
        <w:rPr>
          <w:rFonts w:ascii="Times New Roman" w:cs="Times New Roman" w:hAnsi="Times New Roman"/>
          <w:b/>
          <w:sz w:val="28"/>
          <w:szCs w:val="28"/>
        </w:rPr>
        <w:t xml:space="preserve"> </w:t>
      </w:r>
      <w:r>
        <w:rPr>
          <w:rFonts w:ascii="Times New Roman" w:cs="Times New Roman" w:hAnsi="Times New Roman"/>
          <w:b/>
          <w:sz w:val="28"/>
          <w:szCs w:val="28"/>
        </w:rPr>
        <w:t>(</w:t>
      </w:r>
      <w:r>
        <w:rPr>
          <w:rFonts w:ascii="Times New Roman" w:cs="Times New Roman" w:hAnsi="Times New Roman"/>
          <w:b/>
          <w:sz w:val="28"/>
          <w:szCs w:val="28"/>
        </w:rPr>
        <w:t>EUCALYPTUS GLOBULUS</w:t>
      </w:r>
      <w:r>
        <w:rPr>
          <w:rFonts w:ascii="Times New Roman" w:cs="Times New Roman" w:hAnsi="Times New Roman"/>
          <w:b/>
          <w:sz w:val="28"/>
          <w:szCs w:val="28"/>
        </w:rPr>
        <w:t>)</w:t>
      </w:r>
      <w:r>
        <w:rPr>
          <w:rFonts w:ascii="Times New Roman" w:cs="Times New Roman" w:hAnsi="Times New Roman"/>
          <w:b/>
          <w:sz w:val="28"/>
          <w:szCs w:val="28"/>
        </w:rPr>
        <w:t xml:space="preserve"> ON METHICILLIN RESISTANT </w:t>
      </w:r>
      <w:r>
        <w:rPr>
          <w:rFonts w:ascii="Times New Roman" w:cs="Times New Roman" w:hAnsi="Times New Roman"/>
          <w:b/>
          <w:i/>
          <w:sz w:val="28"/>
          <w:szCs w:val="28"/>
        </w:rPr>
        <w:t>S</w:t>
      </w:r>
      <w:r>
        <w:rPr>
          <w:rFonts w:ascii="Times New Roman" w:cs="Times New Roman" w:hAnsi="Times New Roman"/>
          <w:b/>
          <w:i/>
          <w:sz w:val="28"/>
          <w:szCs w:val="28"/>
        </w:rPr>
        <w:t>taphylococcus</w:t>
      </w:r>
      <w:r>
        <w:rPr>
          <w:rFonts w:ascii="Times New Roman" w:cs="Times New Roman" w:hAnsi="Times New Roman"/>
          <w:b/>
          <w:i/>
          <w:sz w:val="28"/>
          <w:szCs w:val="28"/>
        </w:rPr>
        <w:t xml:space="preserve"> </w:t>
      </w:r>
      <w:r>
        <w:rPr>
          <w:rFonts w:ascii="Times New Roman" w:cs="Times New Roman" w:hAnsi="Times New Roman"/>
          <w:b/>
          <w:i/>
          <w:sz w:val="28"/>
          <w:szCs w:val="28"/>
        </w:rPr>
        <w:t>aureus</w:t>
      </w:r>
      <w:r>
        <w:rPr>
          <w:rFonts w:ascii="Times New Roman" w:cs="Times New Roman" w:hAnsi="Times New Roman"/>
          <w:b/>
          <w:sz w:val="28"/>
          <w:szCs w:val="28"/>
        </w:rPr>
        <w:t xml:space="preserve"> </w:t>
      </w:r>
      <w:r>
        <w:rPr>
          <w:rFonts w:ascii="Times New Roman" w:cs="Times New Roman" w:hAnsi="Times New Roman"/>
          <w:b/>
          <w:sz w:val="28"/>
          <w:szCs w:val="28"/>
        </w:rPr>
        <w:t>AND E</w:t>
      </w:r>
      <w:r>
        <w:rPr>
          <w:rFonts w:ascii="Times New Roman" w:cs="Times New Roman" w:hAnsi="Times New Roman"/>
          <w:b/>
          <w:i/>
          <w:sz w:val="28"/>
          <w:szCs w:val="28"/>
        </w:rPr>
        <w:t xml:space="preserve">scherichia coli </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rPr>
        <w:t>BY</w:t>
      </w:r>
    </w:p>
    <w:p>
      <w:pPr>
        <w:pStyle w:val="style0"/>
        <w:spacing w:before="240"/>
        <w:ind w:right="4"/>
        <w:jc w:val="center"/>
        <w:rPr>
          <w:rFonts w:ascii="Times New Roman" w:cs="Times New Roman" w:hAnsi="Times New Roman"/>
          <w:b/>
          <w:bCs/>
          <w:sz w:val="28"/>
          <w:szCs w:val="28"/>
        </w:rPr>
      </w:pPr>
      <w:r>
        <w:rPr>
          <w:rFonts w:ascii="Times New Roman" w:cs="Times New Roman" w:hAnsi="Times New Roman"/>
          <w:b/>
          <w:bCs/>
          <w:sz w:val="28"/>
          <w:szCs w:val="28"/>
          <w:lang w:val="en-US"/>
        </w:rPr>
        <w:t>OLAGBEMI DEBORAH AYOMIDE</w:t>
      </w:r>
      <w:r>
        <w:rPr>
          <w:rFonts w:ascii="Times New Roman" w:cs="Times New Roman" w:hAnsi="Times New Roman"/>
          <w:b/>
          <w:bCs/>
          <w:sz w:val="28"/>
          <w:szCs w:val="28"/>
        </w:rPr>
        <w:t xml:space="preserve"> </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HND/23/SLT/FT/</w:t>
      </w:r>
      <w:r>
        <w:rPr>
          <w:rFonts w:ascii="Times New Roman" w:cs="Times New Roman" w:hAnsi="Times New Roman"/>
          <w:b/>
          <w:bCs/>
          <w:sz w:val="28"/>
          <w:szCs w:val="28"/>
          <w:lang w:val="en-US"/>
        </w:rPr>
        <w:t>1248</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SUPERVISED BY</w:t>
      </w:r>
      <w:r>
        <w:rPr>
          <w:rFonts w:ascii="Times New Roman" w:cs="Times New Roman" w:hAnsi="Times New Roman"/>
          <w:b/>
          <w:bCs/>
          <w:sz w:val="28"/>
          <w:szCs w:val="28"/>
        </w:rPr>
        <w:t xml:space="preserve">: </w:t>
      </w:r>
      <w:r>
        <w:rPr>
          <w:rFonts w:ascii="Times New Roman" w:cs="Times New Roman" w:hAnsi="Times New Roman"/>
          <w:b/>
          <w:bCs/>
          <w:sz w:val="28"/>
          <w:szCs w:val="28"/>
        </w:rPr>
        <w:t>DAGBA IB</w:t>
      </w:r>
      <w:r>
        <w:rPr>
          <w:rFonts w:ascii="Times New Roman" w:cs="Times New Roman" w:hAnsi="Times New Roman"/>
          <w:b/>
          <w:bCs/>
          <w:sz w:val="28"/>
          <w:szCs w:val="28"/>
        </w:rPr>
        <w:t xml:space="preserve"> (MRS.)</w:t>
      </w:r>
    </w:p>
    <w:p>
      <w:pPr>
        <w:pStyle w:val="style0"/>
        <w:spacing w:before="240" w:after="0" w:lineRule="auto" w:line="360"/>
        <w:ind w:right="4"/>
        <w:jc w:val="center"/>
        <w:rPr>
          <w:rFonts w:ascii="Times New Roman" w:cs="Times New Roman" w:hAnsi="Times New Roman"/>
          <w:b/>
          <w:bCs/>
          <w:sz w:val="28"/>
          <w:szCs w:val="28"/>
        </w:rPr>
      </w:pPr>
      <w:r>
        <w:rPr>
          <w:rFonts w:ascii="Times New Roman" w:cs="Times New Roman" w:hAnsi="Times New Roman"/>
          <w:b/>
          <w:bCs/>
          <w:sz w:val="28"/>
          <w:szCs w:val="28"/>
        </w:rPr>
        <w:t xml:space="preserve">SUBMITTED </w:t>
      </w:r>
      <w:r>
        <w:rPr>
          <w:rFonts w:ascii="Times New Roman" w:cs="Times New Roman" w:hAnsi="Times New Roman"/>
          <w:b/>
          <w:bCs/>
          <w:sz w:val="28"/>
          <w:szCs w:val="28"/>
        </w:rPr>
        <w:t>TO</w:t>
      </w:r>
      <w:r>
        <w:rPr>
          <w:rFonts w:ascii="Times New Roman" w:cs="Times New Roman" w:hAnsi="Times New Roman"/>
          <w:b/>
          <w:bCs/>
          <w:sz w:val="28"/>
          <w:szCs w:val="28"/>
        </w:rPr>
        <w:t>:</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THE DEPARTMENT OF SCIENCE LABORATORY TECHNOLOGY, INSTITUTE OF APPLIED SCIENCES (IAS),</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KWARA STATE POLYTECHNIC, ILORIN</w:t>
      </w:r>
    </w:p>
    <w:p>
      <w:pPr>
        <w:pStyle w:val="style0"/>
        <w:spacing w:before="240" w:lineRule="auto" w:line="360"/>
        <w:ind w:left="720" w:right="4"/>
        <w:jc w:val="center"/>
        <w:rPr>
          <w:rFonts w:ascii="Times New Roman" w:cs="Times New Roman" w:hAnsi="Times New Roman"/>
          <w:b/>
          <w:bCs/>
          <w:sz w:val="28"/>
          <w:szCs w:val="28"/>
        </w:rPr>
      </w:pPr>
      <w:r>
        <w:rPr>
          <w:rFonts w:ascii="Times New Roman" w:cs="Times New Roman" w:hAnsi="Times New Roman"/>
          <w:b/>
          <w:bCs/>
          <w:sz w:val="28"/>
          <w:szCs w:val="28"/>
        </w:rPr>
        <w:t>IN PARTIAL FULFILMENT OF THE REQUIREMENT FOR THE HIGHER NATIONAL DIPLOMA (HND) SCIENCE LABORATORY TECHNOLOGY (MICROBIOLOGY OPTION)</w:t>
      </w:r>
    </w:p>
    <w:p>
      <w:pPr>
        <w:pStyle w:val="style0"/>
        <w:spacing w:before="240" w:lineRule="auto" w:line="360"/>
        <w:jc w:val="right"/>
        <w:rPr>
          <w:rFonts w:ascii="Times New Roman" w:cs="Times New Roman" w:hAnsi="Times New Roman"/>
          <w:b/>
          <w:sz w:val="28"/>
          <w:szCs w:val="28"/>
        </w:rPr>
      </w:pPr>
      <w:r>
        <w:rPr>
          <w:rFonts w:ascii="Times New Roman" w:cs="Times New Roman" w:hAnsi="Times New Roman"/>
          <w:b/>
          <w:sz w:val="28"/>
          <w:szCs w:val="28"/>
        </w:rPr>
        <w:t>JULY,</w:t>
      </w:r>
      <w:r>
        <w:rPr>
          <w:rFonts w:ascii="Times New Roman" w:cs="Times New Roman" w:hAnsi="Times New Roman"/>
          <w:b/>
          <w:sz w:val="28"/>
          <w:szCs w:val="28"/>
        </w:rPr>
        <w:t xml:space="preserve"> 2025</w:t>
      </w:r>
    </w:p>
    <w:p>
      <w:pPr>
        <w:pStyle w:val="style0"/>
        <w:spacing w:before="240"/>
        <w:ind w:right="27"/>
        <w:rPr>
          <w:rFonts w:ascii="Times New Roman" w:cs="Times New Roman" w:hAnsi="Times New Roman"/>
          <w:b/>
          <w:bCs/>
          <w:sz w:val="28"/>
          <w:szCs w:val="28"/>
        </w:rPr>
      </w:pPr>
    </w:p>
    <w:bookmarkStart w:id="0" w:name="_Toc203100984"/>
    <w:bookmarkStart w:id="1" w:name="_Toc203146280"/>
    <w:p>
      <w:pPr>
        <w:pStyle w:val="style1"/>
        <w:spacing w:lineRule="auto" w:line="480"/>
        <w:jc w:val="center"/>
        <w:rPr>
          <w:rFonts w:cs="Times New Roman" w:eastAsia="Times New Roman"/>
          <w:b w:val="false"/>
          <w:color w:val="auto"/>
          <w:sz w:val="28"/>
          <w:szCs w:val="28"/>
        </w:rPr>
      </w:pPr>
      <w:r>
        <w:rPr>
          <w:rFonts w:cs="Times New Roman" w:eastAsia="Times New Roman"/>
          <w:color w:val="auto"/>
          <w:sz w:val="28"/>
          <w:szCs w:val="28"/>
        </w:rPr>
        <w:t>CERTIFICATION</w:t>
      </w:r>
      <w:bookmarkEnd w:id="0"/>
      <w:bookmarkEnd w:id="1"/>
    </w:p>
    <w:p>
      <w:pPr>
        <w:pStyle w:val="style0"/>
        <w:spacing w:lineRule="auto" w:line="480"/>
        <w:ind w:right="27" w:firstLine="720"/>
        <w:jc w:val="both"/>
        <w:rPr>
          <w:rFonts w:ascii="Times New Roman" w:cs="Times New Roman" w:hAnsi="Times New Roman"/>
          <w:sz w:val="24"/>
          <w:szCs w:val="24"/>
        </w:rPr>
      </w:pPr>
      <w:r>
        <w:rPr>
          <w:rFonts w:ascii="Times New Roman" w:cs="Times New Roman" w:hAnsi="Times New Roman"/>
          <w:sz w:val="24"/>
          <w:szCs w:val="24"/>
        </w:rPr>
        <w:t xml:space="preserve">This is to certify that this Project report was written by </w:t>
      </w:r>
      <w:r>
        <w:rPr>
          <w:rFonts w:ascii="Times New Roman" w:cs="Times New Roman" w:hAnsi="Times New Roman"/>
          <w:sz w:val="24"/>
          <w:szCs w:val="24"/>
          <w:lang w:val="en-US"/>
        </w:rPr>
        <w:t xml:space="preserve">OLAGBEMI DEBORAH AYOMIDE </w:t>
      </w:r>
      <w:r>
        <w:rPr>
          <w:rFonts w:ascii="Times New Roman" w:cs="Times New Roman" w:hAnsi="Times New Roman"/>
          <w:sz w:val="24"/>
          <w:szCs w:val="24"/>
        </w:rPr>
        <w:t xml:space="preserve"> </w:t>
      </w:r>
      <w:r>
        <w:rPr>
          <w:rFonts w:ascii="Times New Roman" w:cs="Times New Roman" w:hAnsi="Times New Roman"/>
          <w:sz w:val="24"/>
          <w:szCs w:val="24"/>
        </w:rPr>
        <w:t xml:space="preserve">with matric number </w:t>
      </w:r>
      <w:r>
        <w:rPr>
          <w:rFonts w:ascii="Times New Roman" w:cs="Times New Roman" w:hAnsi="Times New Roman"/>
          <w:sz w:val="24"/>
          <w:szCs w:val="24"/>
        </w:rPr>
        <w:t>HND/23/SLT/FT/</w:t>
      </w:r>
      <w:r>
        <w:rPr>
          <w:rFonts w:ascii="Times New Roman" w:cs="Times New Roman" w:hAnsi="Times New Roman"/>
          <w:sz w:val="24"/>
          <w:szCs w:val="24"/>
          <w:lang w:val="en-US"/>
        </w:rPr>
        <w:t>1248</w:t>
      </w:r>
      <w:r>
        <w:rPr>
          <w:rFonts w:ascii="Times New Roman" w:cs="Times New Roman" w:hAnsi="Times New Roman"/>
          <w:sz w:val="24"/>
          <w:szCs w:val="24"/>
        </w:rPr>
        <w:t xml:space="preserve"> and submitted to the Department of Science Laboratory Technology (S.L.T), Microbiology Unit, Institute of Applied Sciences (IAS), Kwara State Polytechnic, and has been read and approved as a partial fulfillment for the award of Higher National Diploma (HND) in Science Laboratory Technology.</w:t>
      </w:r>
    </w:p>
    <w:p>
      <w:pPr>
        <w:pStyle w:val="style0"/>
        <w:rPr>
          <w:rFonts w:ascii="Times New Roman" w:cs="Times New Roman" w:hAnsi="Times New Roman"/>
          <w:sz w:val="24"/>
          <w:szCs w:val="24"/>
        </w:rPr>
      </w:pPr>
    </w:p>
    <w:p>
      <w:pPr>
        <w:pStyle w:val="style0"/>
        <w:spacing w:after="0"/>
        <w:rPr>
          <w:rFonts w:ascii="Times New Roman" w:cs="Times New Roman" w:hAnsi="Times New Roman"/>
          <w:sz w:val="28"/>
          <w:szCs w:val="28"/>
        </w:rPr>
      </w:pPr>
      <w:r>
        <w:rPr>
          <w:rFonts w:ascii="Times New Roman" w:cs="Times New Roman" w:hAnsi="Times New Roman"/>
          <w:noProof/>
          <w:sz w:val="28"/>
          <w:szCs w:val="28"/>
        </w:rPr>
        <mc:AlternateContent>
          <mc:Choice Requires="wps">
            <w:drawing>
              <wp:anchor distT="0" distB="0" distL="0" distR="0" simplePos="false" relativeHeight="4" behindDoc="false" locked="false" layoutInCell="true" allowOverlap="true">
                <wp:simplePos x="0" y="0"/>
                <wp:positionH relativeFrom="column">
                  <wp:posOffset>3809999</wp:posOffset>
                </wp:positionH>
                <wp:positionV relativeFrom="paragraph">
                  <wp:posOffset>182880</wp:posOffset>
                </wp:positionV>
                <wp:extent cx="2057400" cy="9525"/>
                <wp:effectExtent l="9525" t="5715" r="9525" b="13334"/>
                <wp:wrapNone/>
                <wp:docPr id="1027" name="AutoShap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v:path arrowok="t" fillok="f" o:connecttype="none"/>
                <o:lock v:ext="edit" shapetype="t"/>
              </v:shapetype>
              <v:shape id="1027" type="#_x0000_t32" filled="f" style="position:absolute;margin-left:300.0pt;margin-top:14.4pt;width:162.0pt;height:0.75pt;z-index:4;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8"/>
          <w:szCs w:val="28"/>
        </w:rPr>
        <mc:AlternateContent>
          <mc:Choice Requires="wps">
            <w:drawing>
              <wp:anchor distT="0" distB="0" distL="0" distR="0" simplePos="false" relativeHeight="2" behindDoc="false" locked="false" layoutInCell="true" allowOverlap="true">
                <wp:simplePos x="0" y="0"/>
                <wp:positionH relativeFrom="column">
                  <wp:posOffset>85725</wp:posOffset>
                </wp:positionH>
                <wp:positionV relativeFrom="paragraph">
                  <wp:posOffset>182880</wp:posOffset>
                </wp:positionV>
                <wp:extent cx="2057400" cy="0"/>
                <wp:effectExtent l="9525" t="5715" r="9525" b="13334"/>
                <wp:wrapNone/>
                <wp:docPr id="1028" name="AutoShape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57400" cy="0"/>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8" type="#_x0000_t32" filled="f" style="position:absolute;margin-left:6.75pt;margin-top:14.4pt;width:162.0pt;height:0.0pt;z-index:2;mso-position-horizontal-relative:text;mso-position-vertical-relative:text;mso-width-percent:0;mso-height-percent:0;mso-width-relative:page;mso-height-relative:page;mso-wrap-distance-left:0.0pt;mso-wrap-distance-right:0.0pt;visibility:visible;">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DAGBA IB</w:t>
      </w:r>
      <w:r>
        <w:rPr>
          <w:rFonts w:ascii="Times New Roman" w:cs="Times New Roman" w:hAnsi="Times New Roman"/>
          <w:sz w:val="26"/>
          <w:szCs w:val="26"/>
        </w:rPr>
        <w:t xml:space="preserve"> </w:t>
      </w:r>
      <w:r>
        <w:rPr>
          <w:rFonts w:ascii="Times New Roman" w:cs="Times New Roman" w:hAnsi="Times New Roman"/>
          <w:sz w:val="26"/>
          <w:szCs w:val="26"/>
        </w:rPr>
        <w:t xml:space="preserve">( </w:t>
      </w:r>
      <w:r>
        <w:rPr>
          <w:rFonts w:ascii="Times New Roman" w:cs="Times New Roman" w:hAnsi="Times New Roman"/>
          <w:sz w:val="26"/>
          <w:szCs w:val="26"/>
        </w:rPr>
        <w:t>MRS</w:t>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DATE</w:t>
      </w:r>
    </w:p>
    <w:p>
      <w:pPr>
        <w:pStyle w:val="style0"/>
        <w:spacing w:after="0"/>
        <w:ind w:firstLine="284"/>
        <w:rPr>
          <w:rFonts w:ascii="Times New Roman" w:cs="Times New Roman" w:hAnsi="Times New Roman"/>
          <w:sz w:val="26"/>
          <w:szCs w:val="26"/>
        </w:rPr>
      </w:pPr>
      <w:r>
        <w:rPr>
          <w:rFonts w:ascii="Times New Roman" w:cs="Times New Roman" w:hAnsi="Times New Roman"/>
          <w:sz w:val="26"/>
          <w:szCs w:val="26"/>
        </w:rPr>
        <w:t xml:space="preserve">    (Project Supervisor)</w:t>
      </w:r>
    </w:p>
    <w:p>
      <w:pPr>
        <w:pStyle w:val="style0"/>
        <w:spacing w:after="0"/>
        <w:ind w:firstLine="284"/>
        <w:rPr>
          <w:rFonts w:ascii="Times New Roman" w:cs="Times New Roman" w:hAnsi="Times New Roman"/>
          <w:sz w:val="26"/>
          <w:szCs w:val="26"/>
        </w:rPr>
      </w:pPr>
    </w:p>
    <w:p>
      <w:pPr>
        <w:pStyle w:val="style0"/>
        <w:rPr>
          <w:rFonts w:ascii="Times New Roman" w:cs="Times New Roman" w:hAnsi="Times New Roman"/>
          <w:sz w:val="26"/>
          <w:szCs w:val="26"/>
        </w:rPr>
      </w:pPr>
    </w:p>
    <w:p>
      <w:pPr>
        <w:pStyle w:val="style0"/>
        <w:spacing w:after="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3" behindDoc="false" locked="false" layoutInCell="true" allowOverlap="true">
                <wp:simplePos x="0" y="0"/>
                <wp:positionH relativeFrom="column">
                  <wp:posOffset>3809999</wp:posOffset>
                </wp:positionH>
                <wp:positionV relativeFrom="paragraph">
                  <wp:posOffset>186055</wp:posOffset>
                </wp:positionV>
                <wp:extent cx="2057400" cy="9525"/>
                <wp:effectExtent l="9525" t="7620" r="9525" b="11430"/>
                <wp:wrapNone/>
                <wp:docPr id="1029" name="AutoShape 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29" type="#_x0000_t32" filled="f" style="position:absolute;margin-left:300.0pt;margin-top:14.65pt;width:162.0pt;height:0.75pt;z-index:3;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5" behindDoc="false" locked="false" layoutInCell="true" allowOverlap="true">
                <wp:simplePos x="0" y="0"/>
                <wp:positionH relativeFrom="column">
                  <wp:posOffset>28575</wp:posOffset>
                </wp:positionH>
                <wp:positionV relativeFrom="paragraph">
                  <wp:posOffset>144780</wp:posOffset>
                </wp:positionV>
                <wp:extent cx="2057400" cy="9525"/>
                <wp:effectExtent l="9525" t="13970" r="9525" b="5080"/>
                <wp:wrapNone/>
                <wp:docPr id="1030" name="AutoShape 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0" type="#_x0000_t32" filled="f" style="position:absolute;margin-left:2.25pt;margin-top:11.4pt;width:162.0pt;height:0.75pt;z-index:5;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MISS AHMED T.</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Unit)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noProof/>
          <w:sz w:val="26"/>
          <w:szCs w:val="26"/>
        </w:rPr>
        <mc:AlternateContent>
          <mc:Choice Requires="wps">
            <w:drawing>
              <wp:anchor distT="0" distB="0" distL="0" distR="0" simplePos="false" relativeHeight="7" behindDoc="false" locked="false" layoutInCell="true" allowOverlap="true">
                <wp:simplePos x="0" y="0"/>
                <wp:positionH relativeFrom="column">
                  <wp:posOffset>3857625</wp:posOffset>
                </wp:positionH>
                <wp:positionV relativeFrom="paragraph">
                  <wp:posOffset>299085</wp:posOffset>
                </wp:positionV>
                <wp:extent cx="2057400" cy="9525"/>
                <wp:effectExtent l="9525" t="9525" r="9525" b="9525"/>
                <wp:wrapNone/>
                <wp:docPr id="1031" name="AutoShape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1" type="#_x0000_t32" filled="f" style="position:absolute;margin-left:303.75pt;margin-top:23.55pt;width:162.0pt;height:0.75pt;z-index:7;mso-position-horizontal-relative:text;mso-position-vertical-relative:text;mso-width-percent:0;mso-height-percent:0;mso-width-relative:page;mso-height-relative:page;mso-wrap-distance-left:0.0pt;mso-wrap-distance-right:0.0pt;visibility:visible;flip:y;">
                <v:fill/>
              </v:shape>
            </w:pict>
          </mc:Fallback>
        </mc:AlternateContent>
      </w:r>
      <w:r>
        <w:rPr>
          <w:rFonts w:ascii="Times New Roman" w:cs="Times New Roman" w:hAnsi="Times New Roman"/>
          <w:noProof/>
          <w:sz w:val="26"/>
          <w:szCs w:val="26"/>
        </w:rPr>
        <mc:AlternateContent>
          <mc:Choice Requires="wps">
            <w:drawing>
              <wp:anchor distT="0" distB="0" distL="0" distR="0" simplePos="false" relativeHeight="6" behindDoc="false" locked="false" layoutInCell="true" allowOverlap="true">
                <wp:simplePos x="0" y="0"/>
                <wp:positionH relativeFrom="column">
                  <wp:posOffset>85725</wp:posOffset>
                </wp:positionH>
                <wp:positionV relativeFrom="paragraph">
                  <wp:posOffset>299085</wp:posOffset>
                </wp:positionV>
                <wp:extent cx="2057400" cy="9525"/>
                <wp:effectExtent l="9525" t="9525" r="9525" b="9525"/>
                <wp:wrapNone/>
                <wp:docPr id="1032" name="AutoShape 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flipV="1">
                          <a:off x="0" y="0"/>
                          <a:ext cx="2057400" cy="9525"/>
                        </a:xfrm>
                        <a:prstGeom prst="straightConnector1"/>
                        <a:ln cmpd="sng" cap="flat" w="9525">
                          <a:solidFill>
                            <a:srgbClr val="000000"/>
                          </a:solidFill>
                          <a:prstDash val="solid"/>
                          <a:round/>
                          <a:headEnd len="med" w="med" type="none"/>
                          <a:tailEnd len="med" w="med" type="none"/>
                        </a:ln>
                      </wps:spPr>
                      <wps:bodyPr>
                        <a:prstTxWarp prst="textNoShape"/>
                      </wps:bodyPr>
                    </wps:wsp>
                  </a:graphicData>
                </a:graphic>
                <wp14:sizeRelH relativeFrom="page">
                  <wp14:pctWidth>0</wp14:pctWidth>
                </wp14:sizeRelH>
                <wp14:sizeRelV relativeFrom="page">
                  <wp14:pctHeight>0</wp14:pctHeight>
                </wp14:sizeRelV>
              </wp:anchor>
            </w:drawing>
          </mc:Choice>
          <mc:Fallback>
            <w:pict>
              <v:shape id="1032" type="#_x0000_t32" filled="f" style="position:absolute;margin-left:6.75pt;margin-top:23.55pt;width:162.0pt;height:0.75pt;z-index:6;mso-position-horizontal-relative:text;mso-position-vertical-relative:text;mso-width-percent:0;mso-height-percent:0;mso-width-relative:page;mso-height-relative:page;mso-wrap-distance-left:0.0pt;mso-wrap-distance-right:0.0pt;visibility:visible;flip:y;">
                <v:fill/>
              </v:shape>
            </w:pict>
          </mc:Fallback>
        </mc:AlternateContent>
      </w:r>
    </w:p>
    <w:p>
      <w:pPr>
        <w:pStyle w:val="style0"/>
        <w:rPr>
          <w:rFonts w:ascii="Times New Roman" w:cs="Times New Roman" w:hAnsi="Times New Roman"/>
          <w:sz w:val="26"/>
          <w:szCs w:val="26"/>
        </w:rPr>
      </w:pPr>
    </w:p>
    <w:p>
      <w:pPr>
        <w:pStyle w:val="style0"/>
        <w:rPr>
          <w:rFonts w:ascii="Times New Roman" w:cs="Times New Roman" w:hAnsi="Times New Roman"/>
          <w:sz w:val="26"/>
          <w:szCs w:val="26"/>
        </w:rPr>
      </w:pPr>
      <w:r>
        <w:rPr>
          <w:rFonts w:ascii="Times New Roman" w:cs="Times New Roman" w:hAnsi="Times New Roman"/>
          <w:sz w:val="26"/>
          <w:szCs w:val="26"/>
        </w:rPr>
        <w:t xml:space="preserve">     DR. USMAN</w:t>
      </w:r>
      <w:r>
        <w:rPr>
          <w:rFonts w:ascii="Times New Roman" w:cs="Times New Roman" w:hAnsi="Times New Roman"/>
          <w:sz w:val="26"/>
          <w:szCs w:val="26"/>
        </w:rPr>
        <w:t xml:space="preserve"> ABDULKAREEM</w:t>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ab/>
      </w:r>
      <w:r>
        <w:rPr>
          <w:rFonts w:ascii="Times New Roman" w:cs="Times New Roman" w:hAnsi="Times New Roman"/>
          <w:sz w:val="26"/>
          <w:szCs w:val="26"/>
        </w:rPr>
        <w:t xml:space="preserve">     </w:t>
      </w:r>
      <w:r>
        <w:rPr>
          <w:rFonts w:ascii="Times New Roman" w:cs="Times New Roman" w:hAnsi="Times New Roman"/>
          <w:sz w:val="26"/>
          <w:szCs w:val="26"/>
        </w:rPr>
        <w:t>DATE</w:t>
      </w:r>
    </w:p>
    <w:p>
      <w:pPr>
        <w:pStyle w:val="style0"/>
        <w:spacing w:after="0"/>
        <w:rPr>
          <w:rFonts w:ascii="Times New Roman" w:cs="Times New Roman" w:hAnsi="Times New Roman"/>
          <w:sz w:val="26"/>
          <w:szCs w:val="26"/>
        </w:rPr>
      </w:pPr>
      <w:r>
        <w:rPr>
          <w:rFonts w:ascii="Times New Roman" w:cs="Times New Roman" w:hAnsi="Times New Roman"/>
          <w:sz w:val="26"/>
          <w:szCs w:val="26"/>
        </w:rPr>
        <w:t xml:space="preserve">       (Head of Department)</w:t>
      </w:r>
    </w:p>
    <w:p>
      <w:pPr>
        <w:pStyle w:val="style0"/>
        <w:spacing w:after="0"/>
        <w:rPr>
          <w:rFonts w:ascii="Times New Roman" w:cs="Times New Roman" w:hAnsi="Times New Roman"/>
          <w:sz w:val="26"/>
          <w:szCs w:val="26"/>
        </w:rPr>
      </w:pPr>
    </w:p>
    <w:p>
      <w:pPr>
        <w:pStyle w:val="style0"/>
        <w:rPr>
          <w:rFonts w:ascii="Times New Roman" w:cs="Times New Roman" w:hAnsi="Times New Roman"/>
          <w:sz w:val="26"/>
          <w:szCs w:val="26"/>
        </w:rPr>
      </w:pPr>
    </w:p>
    <w:bookmarkStart w:id="2" w:name="_Toc203100985"/>
    <w:p>
      <w:pPr>
        <w:pStyle w:val="style1"/>
        <w:spacing w:lineRule="auto" w:line="480"/>
        <w:rPr>
          <w:rFonts w:cs="Times New Roman" w:eastAsia="Times New Roman"/>
          <w:color w:val="auto"/>
          <w:szCs w:val="24"/>
        </w:rPr>
      </w:pPr>
    </w:p>
    <w:p>
      <w:pPr>
        <w:pStyle w:val="style1"/>
        <w:spacing w:lineRule="auto" w:line="480"/>
        <w:jc w:val="center"/>
        <w:rPr>
          <w:rFonts w:cs="Times New Roman" w:eastAsia="Times New Roman"/>
          <w:color w:val="auto"/>
          <w:szCs w:val="24"/>
        </w:rPr>
      </w:pPr>
    </w:p>
    <w:p>
      <w:pPr>
        <w:pStyle w:val="style0"/>
        <w:rPr/>
      </w:pPr>
    </w:p>
    <w:p>
      <w:pPr>
        <w:pStyle w:val="style0"/>
        <w:rPr/>
      </w:pPr>
    </w:p>
    <w:bookmarkStart w:id="3" w:name="_Toc203146281"/>
    <w:p>
      <w:pPr>
        <w:pStyle w:val="style1"/>
        <w:spacing w:lineRule="auto" w:line="480"/>
        <w:jc w:val="center"/>
        <w:rPr>
          <w:b w:val="false"/>
        </w:rPr>
      </w:pPr>
      <w:r>
        <w:rPr>
          <w:rFonts w:cs="Times New Roman" w:eastAsia="Times New Roman"/>
          <w:color w:val="auto"/>
          <w:szCs w:val="24"/>
        </w:rPr>
        <w:t>DEDICATION</w:t>
      </w:r>
      <w:bookmarkEnd w:id="2"/>
      <w:bookmarkEnd w:id="3"/>
    </w:p>
    <w:p>
      <w:pPr>
        <w:pStyle w:val="style0"/>
        <w:spacing w:lineRule="auto" w:line="360"/>
        <w:ind w:right="27"/>
        <w:rPr>
          <w:rFonts w:ascii="Times New Roman" w:cs="Times New Roman" w:hAnsi="Times New Roman"/>
          <w:sz w:val="28"/>
          <w:szCs w:val="28"/>
        </w:rPr>
      </w:pPr>
      <w:r>
        <w:rPr>
          <w:rFonts w:ascii="Times New Roman" w:cs="Times New Roman" w:hAnsi="Times New Roman"/>
          <w:sz w:val="28"/>
          <w:szCs w:val="28"/>
          <w:lang w:val="en-US"/>
        </w:rPr>
        <w:t>I dedicate this project to almighty God for he is the one that makes this programme completion and also to my mum ,my late dad and my siblings.</w:t>
      </w:r>
    </w:p>
    <w:p>
      <w:pPr>
        <w:pStyle w:val="style0"/>
        <w:spacing w:lineRule="auto" w:line="360"/>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p>
      <w:pPr>
        <w:pStyle w:val="style0"/>
        <w:spacing w:lineRule="auto" w:line="360"/>
        <w:jc w:val="center"/>
        <w:rPr>
          <w:rFonts w:ascii="Times New Roman" w:cs="Times New Roman" w:hAnsi="Times New Roman"/>
          <w:b/>
          <w:sz w:val="26"/>
          <w:szCs w:val="26"/>
        </w:rPr>
      </w:pPr>
    </w:p>
    <w:bookmarkStart w:id="4" w:name="_Toc203100986"/>
    <w:bookmarkStart w:id="5" w:name="_Toc203146282"/>
    <w:p>
      <w:pPr>
        <w:pStyle w:val="style1"/>
        <w:spacing w:lineRule="auto" w:line="480"/>
        <w:jc w:val="left"/>
        <w:rPr>
          <w:rFonts w:cs="Times New Roman" w:eastAsia="Times New Roman"/>
          <w:color w:val="auto"/>
          <w:szCs w:val="24"/>
          <w:lang w:val="en-US"/>
        </w:rPr>
      </w:pPr>
    </w:p>
    <w:p>
      <w:pPr>
        <w:pStyle w:val="style1"/>
        <w:spacing w:lineRule="auto" w:line="480"/>
        <w:jc w:val="left"/>
        <w:rPr>
          <w:rFonts w:cs="Times New Roman" w:eastAsia="Times New Roman"/>
          <w:color w:val="auto"/>
          <w:szCs w:val="24"/>
          <w:lang w:val="en-US"/>
        </w:rPr>
      </w:pPr>
    </w:p>
    <w:p>
      <w:pPr>
        <w:pStyle w:val="style1"/>
        <w:spacing w:lineRule="auto" w:line="480"/>
        <w:jc w:val="left"/>
        <w:rPr>
          <w:rFonts w:cs="Times New Roman" w:eastAsia="Times New Roman"/>
          <w:b w:val="false"/>
          <w:color w:val="auto"/>
          <w:szCs w:val="24"/>
        </w:rPr>
      </w:pPr>
      <w:r>
        <w:rPr>
          <w:rFonts w:cs="Times New Roman" w:eastAsia="Times New Roman"/>
          <w:color w:val="auto"/>
          <w:szCs w:val="24"/>
          <w:lang w:val="en-US"/>
        </w:rPr>
        <w:t xml:space="preserve">                                                      </w:t>
      </w:r>
      <w:bookmarkEnd w:id="4"/>
      <w:bookmarkEnd w:id="5"/>
      <w:r>
        <w:rPr>
          <w:rFonts w:ascii="Times New Roman" w:cs="Times New Roman" w:eastAsia="Times New Roman" w:hAnsi="Times New Roman" w:hint="default"/>
          <w:b/>
          <w:bCs/>
          <w:i w:val="false"/>
          <w:iCs w:val="false"/>
          <w:color w:val="auto"/>
          <w:sz w:val="24"/>
          <w:szCs w:val="24"/>
          <w:highlight w:val="none"/>
          <w:vertAlign w:val="baseline"/>
          <w:em w:val="none"/>
          <w:lang w:val="en-US" w:eastAsia="en-US"/>
        </w:rPr>
        <w:t>ACKNOWLEDGEMENT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First and foremost I express my sincere gratitude to the almighty God for granting me the strength, wisdom and preservance to successfully complete this project report.</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I am deeply grateful to my supervisor, dagba IB (mrs) for her valuable guidance, constructive feedback, the consistent support throughout the course of this project </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Her mentorship has grately enriched my academic journey</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I also extend my heartfelt appreciation to my beloved mom and my late dad </w:t>
      </w:r>
      <w:r>
        <w:rPr>
          <w:rFonts w:ascii="Times New Roman" w:cs="Times New Roman" w:eastAsia="Times New Roman" w:hAnsi="Times New Roman"/>
          <w:b/>
          <w:bCs/>
          <w:sz w:val="24"/>
          <w:szCs w:val="24"/>
          <w:lang w:val="en-US"/>
        </w:rPr>
        <w:t>MR. &amp; MRS. OLAGBEMI</w:t>
      </w:r>
      <w:r>
        <w:rPr>
          <w:rFonts w:ascii="Times New Roman" w:cs="Times New Roman" w:eastAsia="Times New Roman" w:hAnsi="Times New Roman"/>
          <w:sz w:val="24"/>
          <w:szCs w:val="24"/>
          <w:lang w:val="en-US"/>
        </w:rPr>
        <w:t xml:space="preserve"> for their unwavering love, encouragement and moral support their sacrifices and prayers have been the foundation of my success. Thank you Buntubantin,</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lang w:val="en-US"/>
        </w:rPr>
        <w:t xml:space="preserve">To my lovely friend </w:t>
      </w:r>
      <w:r>
        <w:rPr>
          <w:rFonts w:ascii="Times New Roman" w:cs="Times New Roman" w:eastAsia="Times New Roman" w:hAnsi="Times New Roman"/>
          <w:b/>
          <w:bCs/>
          <w:sz w:val="24"/>
          <w:szCs w:val="24"/>
          <w:lang w:val="en-US"/>
        </w:rPr>
        <w:t xml:space="preserve">ADEJUYIGBE AYOMIDE VICTOR </w:t>
      </w:r>
      <w:r>
        <w:rPr>
          <w:rFonts w:ascii="Times New Roman" w:cs="Times New Roman" w:eastAsia="Times New Roman" w:hAnsi="Times New Roman"/>
          <w:sz w:val="24"/>
          <w:szCs w:val="24"/>
          <w:lang w:val="en-US"/>
        </w:rPr>
        <w:t xml:space="preserve">thanks for always being there. A big thank you to </w:t>
      </w:r>
      <w:r>
        <w:rPr>
          <w:rFonts w:ascii="Times New Roman" w:cs="Times New Roman" w:eastAsia="Times New Roman" w:hAnsi="Times New Roman"/>
          <w:b/>
          <w:bCs/>
          <w:sz w:val="24"/>
          <w:szCs w:val="24"/>
          <w:lang w:val="en-US"/>
        </w:rPr>
        <w:t>AFFOLAYAN OLUWAFEMI SAMUEL (Venmo)</w:t>
      </w:r>
      <w:r>
        <w:rPr>
          <w:rFonts w:ascii="Times New Roman" w:cs="Times New Roman" w:eastAsia="Times New Roman" w:hAnsi="Times New Roman"/>
          <w:sz w:val="24"/>
          <w:szCs w:val="24"/>
          <w:lang w:val="en-US"/>
        </w:rPr>
        <w:t xml:space="preserve"> for being supportive.To all my lecturers, extracare unisex salon staffs and All my friends that contributed directly or  indirectly to the completion of this work I say thank you</w:t>
      </w: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both"/>
        <w:rPr>
          <w:rFonts w:ascii="Times New Roman" w:cs="Times New Roman" w:eastAsia="Times New Roman" w:hAnsi="Times New Roman"/>
          <w:sz w:val="24"/>
          <w:szCs w:val="24"/>
        </w:rPr>
      </w:pPr>
    </w:p>
    <w:p>
      <w:pPr>
        <w:pStyle w:val="style0"/>
        <w:spacing w:after="0" w:lineRule="auto" w:line="480"/>
        <w:jc w:val="center"/>
        <w:rPr>
          <w:rFonts w:ascii="Times New Roman" w:cs="Times New Roman" w:hAnsi="Times New Roman"/>
          <w:b/>
          <w:sz w:val="24"/>
          <w:szCs w:val="24"/>
        </w:rPr>
      </w:pPr>
    </w:p>
    <w:p>
      <w:pPr>
        <w:pStyle w:val="style94"/>
        <w:jc w:val="center"/>
        <w:rPr>
          <w:b/>
        </w:rPr>
      </w:pPr>
    </w:p>
    <w:p>
      <w:pPr>
        <w:pStyle w:val="style94"/>
        <w:jc w:val="center"/>
        <w:rPr>
          <w:b/>
        </w:rPr>
      </w:pPr>
    </w:p>
    <w:p>
      <w:pPr>
        <w:pStyle w:val="style94"/>
        <w:jc w:val="center"/>
        <w:rPr>
          <w:b/>
        </w:rPr>
      </w:pPr>
    </w:p>
    <w:p>
      <w:pPr>
        <w:pStyle w:val="style94"/>
        <w:jc w:val="center"/>
        <w:rPr>
          <w:b/>
        </w:rPr>
      </w:pPr>
    </w:p>
    <w:p>
      <w:pPr>
        <w:pStyle w:val="style266"/>
        <w:spacing w:lineRule="auto" w:line="480"/>
        <w:jc w:val="center"/>
        <w:rPr>
          <w:rFonts w:ascii="Times New Roman" w:cs="Times New Roman" w:eastAsia="Times New Roman" w:hAnsi="Times New Roman"/>
          <w:b/>
          <w:color w:val="auto"/>
          <w:sz w:val="24"/>
          <w:szCs w:val="24"/>
        </w:rPr>
      </w:pPr>
      <w:r>
        <w:rPr>
          <w:rFonts w:ascii="Times New Roman" w:cs="Times New Roman" w:eastAsia="Times New Roman" w:hAnsi="Times New Roman"/>
          <w:b/>
          <w:color w:val="auto"/>
          <w:sz w:val="24"/>
          <w:szCs w:val="24"/>
        </w:rPr>
        <w:t>TABLE OF CONTENTS</w:t>
      </w:r>
    </w:p>
    <w:p>
      <w:pPr>
        <w:pStyle w:val="style19"/>
        <w:tabs>
          <w:tab w:val="right" w:leader="none" w:pos="9350"/>
        </w:tabs>
        <w:rPr>
          <w:rFonts w:ascii="Times New Roman" w:cs="Times New Roman" w:eastAsia="宋体" w:hAnsi="Times New Roman"/>
          <w:noProof/>
          <w:sz w:val="24"/>
          <w:szCs w:val="24"/>
        </w:rPr>
      </w:pPr>
      <w:r>
        <w:rPr>
          <w:rFonts w:ascii="Times New Roman" w:cs="Times New Roman" w:hAnsi="Times New Roman"/>
          <w:sz w:val="24"/>
          <w:szCs w:val="24"/>
        </w:rPr>
        <w:t>TITLE PAGE</w:t>
      </w:r>
      <w:r>
        <w:rPr>
          <w:rFonts w:ascii="Times New Roman" w:cs="Times New Roman" w:hAnsi="Times New Roman"/>
          <w:sz w:val="24"/>
          <w:szCs w:val="24"/>
        </w:rPr>
        <w:tab/>
      </w:r>
      <w:r>
        <w:rPr>
          <w:rFonts w:ascii="Times New Roman" w:cs="Times New Roman" w:hAnsi="Times New Roman"/>
          <w:sz w:val="24"/>
          <w:szCs w:val="24"/>
        </w:rPr>
        <w:t>i</w:t>
      </w:r>
      <w:bookmarkStart w:id="6" w:name="_GoBack"/>
      <w:bookmarkEnd w:id="6"/>
      <w:r>
        <w:rPr>
          <w:rFonts w:ascii="Times New Roman" w:cs="Times New Roman" w:hAnsi="Times New Roman"/>
          <w:sz w:val="24"/>
          <w:szCs w:val="24"/>
        </w:rPr>
        <w:br/>
      </w:r>
      <w:r>
        <w:rPr>
          <w:rFonts w:ascii="Times New Roman" w:cs="Times New Roman" w:hAnsi="Times New Roman"/>
          <w:sz w:val="24"/>
          <w:szCs w:val="24"/>
        </w:rPr>
        <w:fldChar w:fldCharType="begin"/>
      </w:r>
      <w:r>
        <w:rPr>
          <w:rFonts w:ascii="Times New Roman" w:cs="Times New Roman" w:hAnsi="Times New Roman"/>
          <w:sz w:val="24"/>
          <w:szCs w:val="24"/>
        </w:rPr>
        <w:instrText xml:space="preserve"> TOC \o "1-3" \h \z \u </w:instrText>
      </w:r>
      <w:r>
        <w:rPr>
          <w:rFonts w:ascii="Times New Roman" w:cs="Times New Roman" w:hAnsi="Times New Roman"/>
          <w:sz w:val="24"/>
          <w:szCs w:val="24"/>
        </w:rPr>
        <w:fldChar w:fldCharType="separate"/>
      </w:r>
      <w:r>
        <w:rPr/>
        <w:fldChar w:fldCharType="begin"/>
      </w:r>
      <w:r>
        <w:instrText xml:space="preserve"> HYPERLINK \l "_Toc203146280" </w:instrText>
      </w:r>
      <w:r>
        <w:rPr/>
        <w:fldChar w:fldCharType="separate"/>
      </w:r>
      <w:r>
        <w:rPr>
          <w:rStyle w:val="style85"/>
          <w:rFonts w:ascii="Times New Roman" w:cs="Times New Roman" w:eastAsia="Times New Roman" w:hAnsi="Times New Roman"/>
          <w:noProof/>
          <w:sz w:val="24"/>
          <w:szCs w:val="24"/>
        </w:rPr>
        <w:t>CERTIFICATION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"_Toc203146281" </w:instrText>
      </w:r>
      <w:r>
        <w:rPr/>
        <w:fldChar w:fldCharType="separate"/>
      </w:r>
      <w:r>
        <w:rPr>
          <w:rStyle w:val="style85"/>
          <w:rFonts w:ascii="Times New Roman" w:cs="Times New Roman" w:eastAsia="Times New Roman" w:hAnsi="Times New Roman"/>
          <w:noProof/>
          <w:sz w:val="24"/>
          <w:szCs w:val="24"/>
        </w:rPr>
        <w:t>DEDICATION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"_Toc203146282" </w:instrText>
      </w:r>
      <w:r>
        <w:rPr/>
        <w:fldChar w:fldCharType="separate"/>
      </w:r>
      <w:r>
        <w:rPr>
          <w:rStyle w:val="style85"/>
          <w:rFonts w:ascii="Times New Roman" w:cs="Times New Roman" w:eastAsia="Times New Roman" w:hAnsi="Times New Roman"/>
          <w:noProof/>
          <w:sz w:val="24"/>
          <w:szCs w:val="24"/>
        </w:rPr>
        <w:t>ACKNOWLEDGEMENT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iv</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"_Toc203146283" </w:instrText>
      </w:r>
      <w:r>
        <w:rPr/>
        <w:fldChar w:fldCharType="separate"/>
      </w:r>
      <w:r>
        <w:rPr>
          <w:rStyle w:val="style85"/>
          <w:rFonts w:ascii="Times New Roman" w:cs="Times New Roman" w:hAnsi="Times New Roman"/>
          <w:noProof/>
          <w:sz w:val="24"/>
          <w:szCs w:val="24"/>
        </w:rPr>
        <w:t>ABSTRACT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vii</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"_Toc203146284" </w:instrText>
      </w:r>
      <w:r>
        <w:rPr/>
        <w:fldChar w:fldCharType="separate"/>
      </w:r>
      <w:r>
        <w:rPr>
          <w:rStyle w:val="style85"/>
          <w:rFonts w:ascii="Times New Roman" w:cs="Times New Roman" w:hAnsi="Times New Roman"/>
          <w:noProof/>
          <w:sz w:val="24"/>
          <w:szCs w:val="24"/>
        </w:rPr>
        <w:t>CHAPTER ONE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"_Toc203146285" </w:instrText>
      </w:r>
      <w:r>
        <w:rPr/>
        <w:fldChar w:fldCharType="separate"/>
      </w:r>
      <w:r>
        <w:rPr>
          <w:rStyle w:val="style85"/>
          <w:rFonts w:ascii="Times New Roman" w:cs="Times New Roman" w:hAnsi="Times New Roman"/>
          <w:noProof/>
          <w:sz w:val="24"/>
          <w:szCs w:val="24"/>
        </w:rPr>
        <w:t>INTRODUCTION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"_Toc203146286" </w:instrText>
      </w:r>
      <w:r>
        <w:rPr/>
        <w:fldChar w:fldCharType="separate"/>
      </w:r>
      <w:r>
        <w:rPr>
          <w:rStyle w:val="style85"/>
          <w:rFonts w:ascii="Times New Roman" w:cs="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Background to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"_Toc203146287"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Statement of Problem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"_Toc203146288" </w:instrText>
      </w:r>
      <w:r>
        <w:rPr/>
        <w:fldChar w:fldCharType="separate"/>
      </w:r>
      <w:r>
        <w:rPr>
          <w:rStyle w:val="style85"/>
          <w:rFonts w:ascii="Times New Roman" w:cs="Times New Roman" w:eastAsia="Times New Roman" w:hAnsi="Times New Roman"/>
          <w:noProof/>
          <w:sz w:val="24"/>
          <w:szCs w:val="24"/>
        </w:rPr>
        <w:t>1.1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Justification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10</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"_Toc203146289" </w:instrText>
      </w:r>
      <w:r>
        <w:rPr/>
        <w:fldChar w:fldCharType="separate"/>
      </w:r>
      <w:r>
        <w:rPr>
          <w:rStyle w:val="style85"/>
          <w:rFonts w:ascii="Times New Roman" w:cs="Times New Roman" w:eastAsia="Times New Roman" w:hAnsi="Times New Roman"/>
          <w:noProof/>
          <w:sz w:val="24"/>
          <w:szCs w:val="24"/>
        </w:rPr>
        <w:t>1.3</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Aim and Objectives of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_Toc203146289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"_Toc203146290" </w:instrText>
      </w:r>
      <w:r>
        <w:rPr/>
        <w:fldChar w:fldCharType="separate"/>
      </w:r>
      <w:r>
        <w:rPr>
          <w:rStyle w:val="style85"/>
          <w:rFonts w:ascii="Times New Roman" w:cs="Times New Roman" w:hAnsi="Times New Roman"/>
          <w:noProof/>
          <w:sz w:val="24"/>
          <w:szCs w:val="24"/>
        </w:rPr>
        <w:t>1.3.1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Aim of the Study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"_Toc203146291" </w:instrText>
      </w:r>
      <w:r>
        <w:rPr/>
        <w:fldChar w:fldCharType="separate"/>
      </w:r>
      <w:r>
        <w:rPr>
          <w:rStyle w:val="style85"/>
          <w:rFonts w:ascii="Times New Roman" w:cs="Times New Roman" w:hAnsi="Times New Roman"/>
          <w:noProof/>
          <w:sz w:val="24"/>
          <w:szCs w:val="24"/>
        </w:rPr>
        <w:t>1.3.2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Specific Objectives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"_Toc203146292" </w:instrText>
      </w:r>
      <w:r>
        <w:rPr/>
        <w:fldChar w:fldCharType="separate"/>
      </w:r>
      <w:r>
        <w:rPr>
          <w:rStyle w:val="style85"/>
          <w:rFonts w:ascii="Times New Roman" w:cs="Times New Roman" w:hAnsi="Times New Roman"/>
          <w:noProof/>
          <w:sz w:val="24"/>
          <w:szCs w:val="24"/>
        </w:rPr>
        <w:t>CHAPTER TWO</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"_Toc203146293" </w:instrText>
      </w:r>
      <w:r>
        <w:rPr/>
        <w:fldChar w:fldCharType="separate"/>
      </w:r>
      <w:r>
        <w:rPr>
          <w:rStyle w:val="style85"/>
          <w:rFonts w:ascii="Times New Roman" w:cs="Times New Roman" w:hAnsi="Times New Roman"/>
          <w:noProof/>
          <w:sz w:val="24"/>
          <w:szCs w:val="24"/>
        </w:rPr>
        <w:t>LITERATURE REVIEW</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"_Toc203146294" </w:instrText>
      </w:r>
      <w:r>
        <w:rPr/>
        <w:fldChar w:fldCharType="separate"/>
      </w:r>
      <w:r>
        <w:rPr>
          <w:rStyle w:val="style85"/>
          <w:rFonts w:ascii="Times New Roman" w:cs="Times New Roman" w:hAnsi="Times New Roman"/>
          <w:noProof/>
          <w:sz w:val="24"/>
          <w:szCs w:val="24"/>
        </w:rPr>
        <w:t>2.1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12</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"_Toc203146295" </w:instrText>
      </w:r>
      <w:r>
        <w:rPr/>
        <w:fldChar w:fldCharType="separate"/>
      </w:r>
      <w:r>
        <w:rPr>
          <w:rStyle w:val="style85"/>
          <w:rFonts w:ascii="Times New Roman" w:cs="Times New Roman" w:hAnsi="Times New Roman"/>
          <w:noProof/>
          <w:sz w:val="24"/>
          <w:szCs w:val="24"/>
        </w:rPr>
        <w:t>2.1.1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Types of Antibacterial Agents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"_Toc203146296" </w:instrText>
      </w:r>
      <w:r>
        <w:rPr/>
        <w:fldChar w:fldCharType="separate"/>
      </w:r>
      <w:r>
        <w:rPr>
          <w:rStyle w:val="style85"/>
          <w:rFonts w:ascii="Times New Roman" w:cs="Times New Roman" w:hAnsi="Times New Roman"/>
          <w:noProof/>
          <w:sz w:val="24"/>
          <w:szCs w:val="24"/>
        </w:rPr>
        <w:t>2.1.2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Spectrum of Activity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"_Toc203146297" </w:instrText>
      </w:r>
      <w:r>
        <w:rPr/>
        <w:fldChar w:fldCharType="separate"/>
      </w:r>
      <w:r>
        <w:rPr>
          <w:rStyle w:val="style85"/>
          <w:rFonts w:ascii="Times New Roman" w:cs="Times New Roman" w:hAnsi="Times New Roman"/>
          <w:noProof/>
          <w:sz w:val="24"/>
          <w:szCs w:val="24"/>
        </w:rPr>
        <w:t>2.1.3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"_Toc203146298" </w:instrText>
      </w:r>
      <w:r>
        <w:rPr/>
        <w:fldChar w:fldCharType="separate"/>
      </w:r>
      <w:r>
        <w:rPr>
          <w:rStyle w:val="style85"/>
          <w:rFonts w:ascii="Times New Roman" w:cs="Times New Roman" w:hAnsi="Times New Roman"/>
          <w:noProof/>
          <w:sz w:val="24"/>
          <w:szCs w:val="24"/>
        </w:rPr>
        <w:t>2.1.4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Combination Therapy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16</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"_Toc203146299" </w:instrText>
      </w:r>
      <w:r>
        <w:rPr/>
        <w:fldChar w:fldCharType="separate"/>
      </w:r>
      <w:r>
        <w:rPr>
          <w:rStyle w:val="style85"/>
          <w:rFonts w:ascii="Times New Roman" w:cs="Times New Roman" w:hAnsi="Times New Roman"/>
          <w:noProof/>
          <w:sz w:val="24"/>
          <w:szCs w:val="24"/>
        </w:rPr>
        <w:t>2.2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Overview of Eucalyptus globulus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_Toc203146299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"_Toc203146300" </w:instrText>
      </w:r>
      <w:r>
        <w:rPr/>
        <w:fldChar w:fldCharType="separate"/>
      </w:r>
      <w:r>
        <w:rPr>
          <w:rStyle w:val="style85"/>
          <w:rFonts w:ascii="Times New Roman" w:cs="Times New Roman" w:hAnsi="Times New Roman"/>
          <w:noProof/>
          <w:sz w:val="24"/>
          <w:szCs w:val="24"/>
        </w:rPr>
        <w:t>2.3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 xml:space="preserve">Methicillin -Resistant Staphylococcus </w:t>
      </w:r>
      <w:r>
        <w:rPr>
          <w:rStyle w:val="style85"/>
          <w:rFonts w:ascii="Times New Roman" w:cs="Times New Roman" w:hAnsi="Times New Roman"/>
          <w:i/>
          <w:noProof/>
          <w:sz w:val="24"/>
          <w:szCs w:val="24"/>
        </w:rPr>
        <w:t>aureus</w:t>
      </w:r>
      <w:r>
        <w:rPr>
          <w:rStyle w:val="style85"/>
          <w:rFonts w:ascii="Times New Roman" w:cs="Times New Roman" w:hAnsi="Times New Roman"/>
          <w:noProof/>
          <w:sz w:val="24"/>
          <w:szCs w:val="24"/>
        </w:rPr>
        <w:t xml:space="preserve"> (MRSA)</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"_Toc203146301" </w:instrText>
      </w:r>
      <w:r>
        <w:rPr/>
        <w:fldChar w:fldCharType="separate"/>
      </w:r>
      <w:r>
        <w:rPr>
          <w:rStyle w:val="style85"/>
          <w:rFonts w:ascii="Times New Roman" w:cs="Times New Roman" w:hAnsi="Times New Roman"/>
          <w:noProof/>
          <w:sz w:val="24"/>
          <w:szCs w:val="24"/>
        </w:rPr>
        <w:t>2.3.1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Mechanisms of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"_Toc203146302" </w:instrText>
      </w:r>
      <w:r>
        <w:rPr/>
        <w:fldChar w:fldCharType="separate"/>
      </w:r>
      <w:r>
        <w:rPr>
          <w:rStyle w:val="style85"/>
          <w:rFonts w:ascii="Times New Roman" w:cs="Times New Roman" w:hAnsi="Times New Roman"/>
          <w:noProof/>
          <w:sz w:val="24"/>
          <w:szCs w:val="24"/>
        </w:rPr>
        <w:t>2.3.2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Epidemiology and Clinical Impact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"_Toc203146303" </w:instrText>
      </w:r>
      <w:r>
        <w:rPr/>
        <w:fldChar w:fldCharType="separate"/>
      </w:r>
      <w:r>
        <w:rPr>
          <w:rStyle w:val="style85"/>
          <w:rFonts w:ascii="Times New Roman" w:cs="Times New Roman" w:hAnsi="Times New Roman"/>
          <w:noProof/>
          <w:sz w:val="24"/>
          <w:szCs w:val="24"/>
        </w:rPr>
        <w:t>2.4</w:t>
      </w:r>
      <w:r>
        <w:rPr>
          <w:rFonts w:ascii="Times New Roman" w:cs="Times New Roman" w:eastAsia="宋体" w:hAnsi="Times New Roman"/>
          <w:noProof/>
          <w:sz w:val="24"/>
          <w:szCs w:val="24"/>
        </w:rPr>
        <w:tab/>
      </w:r>
      <w:r>
        <w:rPr>
          <w:rStyle w:val="style85"/>
          <w:rFonts w:ascii="Times New Roman" w:cs="Times New Roman" w:hAnsi="Times New Roman"/>
          <w:i/>
          <w:noProof/>
          <w:sz w:val="24"/>
          <w:szCs w:val="24"/>
        </w:rPr>
        <w:t>Escherichia coli</w:t>
      </w:r>
      <w:r>
        <w:rPr>
          <w:rStyle w:val="style85"/>
          <w:rFonts w:ascii="Times New Roman" w:cs="Times New Roman" w:hAnsi="Times New Roman"/>
          <w:noProof/>
          <w:sz w:val="24"/>
          <w:szCs w:val="24"/>
        </w:rPr>
        <w:t xml:space="preserve"> Infections and 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"_Toc203146304" </w:instrText>
      </w:r>
      <w:r>
        <w:rPr/>
        <w:fldChar w:fldCharType="separate"/>
      </w:r>
      <w:r>
        <w:rPr>
          <w:rStyle w:val="style85"/>
          <w:rFonts w:ascii="Times New Roman" w:cs="Times New Roman" w:hAnsi="Times New Roman"/>
          <w:noProof/>
          <w:sz w:val="24"/>
          <w:szCs w:val="24"/>
        </w:rPr>
        <w:t>2.4.1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Pathogenic Strains of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19</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"_Toc203146305" </w:instrText>
      </w:r>
      <w:r>
        <w:rPr/>
        <w:fldChar w:fldCharType="separate"/>
      </w:r>
      <w:r>
        <w:rPr>
          <w:rStyle w:val="style85"/>
          <w:rFonts w:ascii="Times New Roman" w:cs="Times New Roman" w:hAnsi="Times New Roman"/>
          <w:noProof/>
          <w:sz w:val="24"/>
          <w:szCs w:val="24"/>
        </w:rPr>
        <w:t>2.4.2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Mechanisms of Antibiotic Resistance in </w:t>
      </w:r>
      <w:r>
        <w:rPr>
          <w:rStyle w:val="style85"/>
          <w:rFonts w:ascii="Times New Roman" w:cs="Times New Roman" w:hAnsi="Times New Roman"/>
          <w:i/>
          <w:iCs/>
          <w:noProof/>
          <w:sz w:val="24"/>
          <w:szCs w:val="24"/>
        </w:rPr>
        <w:t>Escherichia coli</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20</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"_Toc203146306" </w:instrText>
      </w:r>
      <w:r>
        <w:rPr/>
        <w:fldChar w:fldCharType="separate"/>
      </w:r>
      <w:r>
        <w:rPr>
          <w:rStyle w:val="style85"/>
          <w:rFonts w:ascii="Times New Roman" w:cs="Times New Roman" w:hAnsi="Times New Roman"/>
          <w:noProof/>
          <w:sz w:val="24"/>
          <w:szCs w:val="24"/>
        </w:rPr>
        <w:t>2.4.3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 xml:space="preserve">Clinical Impact of </w:t>
      </w:r>
      <w:r>
        <w:rPr>
          <w:rStyle w:val="style85"/>
          <w:rFonts w:ascii="Times New Roman" w:cs="Times New Roman" w:hAnsi="Times New Roman"/>
          <w:i/>
          <w:iCs/>
          <w:noProof/>
          <w:sz w:val="24"/>
          <w:szCs w:val="24"/>
        </w:rPr>
        <w:t xml:space="preserve">E. coli </w:t>
      </w:r>
      <w:r>
        <w:rPr>
          <w:rStyle w:val="style85"/>
          <w:rFonts w:ascii="Times New Roman" w:cs="Times New Roman" w:hAnsi="Times New Roman"/>
          <w:noProof/>
          <w:sz w:val="24"/>
          <w:szCs w:val="24"/>
        </w:rPr>
        <w:t>Resistance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21</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"_Toc203146307" </w:instrText>
      </w:r>
      <w:r>
        <w:rPr/>
        <w:fldChar w:fldCharType="separate"/>
      </w:r>
      <w:r>
        <w:rPr>
          <w:rStyle w:val="style85"/>
          <w:rFonts w:ascii="Times New Roman" w:cs="Times New Roman" w:hAnsi="Times New Roman"/>
          <w:noProof/>
          <w:sz w:val="24"/>
          <w:szCs w:val="24"/>
        </w:rPr>
        <w:t>CHAPTER THREE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"_Toc203146308" </w:instrText>
      </w:r>
      <w:r>
        <w:rPr/>
        <w:fldChar w:fldCharType="separate"/>
      </w:r>
      <w:r>
        <w:rPr>
          <w:rStyle w:val="style85"/>
          <w:rFonts w:ascii="Times New Roman" w:cs="Times New Roman" w:hAnsi="Times New Roman"/>
          <w:noProof/>
          <w:sz w:val="24"/>
          <w:szCs w:val="24"/>
        </w:rPr>
        <w:t>MATERIALS AND METHODS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"_Toc203146309" </w:instrText>
      </w:r>
      <w:r>
        <w:rPr/>
        <w:fldChar w:fldCharType="separate"/>
      </w:r>
      <w:r>
        <w:rPr>
          <w:rStyle w:val="style85"/>
          <w:rFonts w:ascii="Times New Roman" w:cs="Times New Roman" w:eastAsia="Times New Roman" w:hAnsi="Times New Roman"/>
          <w:noProof/>
          <w:sz w:val="24"/>
          <w:szCs w:val="24"/>
        </w:rPr>
        <w:t>3.1</w:t>
      </w:r>
      <w:r>
        <w:rPr>
          <w:rFonts w:ascii="Times New Roman" w:cs="Times New Roman" w:eastAsia="宋体" w:hAnsi="Times New Roman"/>
          <w:noProof/>
          <w:sz w:val="24"/>
          <w:szCs w:val="24"/>
        </w:rPr>
        <w:tab/>
      </w:r>
      <w:r>
        <w:rPr>
          <w:rStyle w:val="style85"/>
          <w:rFonts w:ascii="Times New Roman" w:cs="Times New Roman" w:eastAsia="Times New Roman" w:hAnsi="Times New Roman"/>
          <w:noProof/>
          <w:sz w:val="24"/>
          <w:szCs w:val="24"/>
        </w:rPr>
        <w:t>Study Area and Sample Collection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_Toc203146309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"_Toc203146310" </w:instrText>
      </w:r>
      <w:r>
        <w:rPr/>
        <w:fldChar w:fldCharType="separate"/>
      </w:r>
      <w:r>
        <w:rPr>
          <w:rStyle w:val="style85"/>
          <w:rFonts w:ascii="Times New Roman" w:cs="Times New Roman" w:hAnsi="Times New Roman"/>
          <w:noProof/>
          <w:sz w:val="24"/>
          <w:szCs w:val="24"/>
        </w:rPr>
        <w:t>3.2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Collection and Preparation of Plant Material</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"_Toc203146311" </w:instrText>
      </w:r>
      <w:r>
        <w:rPr/>
        <w:fldChar w:fldCharType="separate"/>
      </w:r>
      <w:r>
        <w:rPr>
          <w:rStyle w:val="style85"/>
          <w:rFonts w:ascii="Times New Roman" w:cs="Times New Roman" w:hAnsi="Times New Roman"/>
          <w:noProof/>
          <w:sz w:val="24"/>
          <w:szCs w:val="24"/>
        </w:rPr>
        <w:t>3.3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Preparation of Plant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"_Toc203146312" </w:instrText>
      </w:r>
      <w:r>
        <w:rPr/>
        <w:fldChar w:fldCharType="separate"/>
      </w:r>
      <w:r>
        <w:rPr>
          <w:rStyle w:val="style85"/>
          <w:rFonts w:ascii="Times New Roman" w:cs="Times New Roman" w:hAnsi="Times New Roman"/>
          <w:noProof/>
          <w:sz w:val="24"/>
          <w:szCs w:val="24"/>
        </w:rPr>
        <w:t>3.3.1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Ethanol Extraction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23</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"_Toc203146313" </w:instrText>
      </w:r>
      <w:r>
        <w:rPr/>
        <w:fldChar w:fldCharType="separate"/>
      </w:r>
      <w:r>
        <w:rPr>
          <w:rStyle w:val="style85"/>
          <w:rFonts w:ascii="Times New Roman" w:cs="Times New Roman" w:hAnsi="Times New Roman"/>
          <w:noProof/>
          <w:sz w:val="24"/>
          <w:szCs w:val="24"/>
        </w:rPr>
        <w:t>3.4</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"_Toc203146314" </w:instrText>
      </w:r>
      <w:r>
        <w:rPr/>
        <w:fldChar w:fldCharType="separate"/>
      </w:r>
      <w:r>
        <w:rPr>
          <w:rStyle w:val="style85"/>
          <w:rFonts w:ascii="Times New Roman" w:cs="Times New Roman" w:hAnsi="Times New Roman"/>
          <w:noProof/>
          <w:sz w:val="24"/>
          <w:szCs w:val="24"/>
        </w:rPr>
        <w:t>3.4.1</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Alkaloids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"_Toc203146315" </w:instrText>
      </w:r>
      <w:r>
        <w:rPr/>
        <w:fldChar w:fldCharType="separate"/>
      </w:r>
      <w:r>
        <w:rPr>
          <w:rStyle w:val="style85"/>
          <w:rFonts w:ascii="Times New Roman" w:cs="Times New Roman" w:hAnsi="Times New Roman"/>
          <w:noProof/>
          <w:sz w:val="24"/>
          <w:szCs w:val="24"/>
        </w:rPr>
        <w:t>3.4.2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Flavonoids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"_Toc203146316" </w:instrText>
      </w:r>
      <w:r>
        <w:rPr/>
        <w:fldChar w:fldCharType="separate"/>
      </w:r>
      <w:r>
        <w:rPr>
          <w:rStyle w:val="style85"/>
          <w:rFonts w:ascii="Times New Roman" w:cs="Times New Roman" w:hAnsi="Times New Roman"/>
          <w:noProof/>
          <w:sz w:val="24"/>
          <w:szCs w:val="24"/>
        </w:rPr>
        <w:t>3.4.3</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Tannins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"_Toc203146317" </w:instrText>
      </w:r>
      <w:r>
        <w:rPr/>
        <w:fldChar w:fldCharType="separate"/>
      </w:r>
      <w:r>
        <w:rPr>
          <w:rStyle w:val="style85"/>
          <w:rFonts w:ascii="Times New Roman" w:cs="Times New Roman" w:hAnsi="Times New Roman"/>
          <w:noProof/>
          <w:sz w:val="24"/>
          <w:szCs w:val="24"/>
        </w:rPr>
        <w:t>3.4.4</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Saponins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"_Toc203146318" </w:instrText>
      </w:r>
      <w:r>
        <w:rPr/>
        <w:fldChar w:fldCharType="separate"/>
      </w:r>
      <w:r>
        <w:rPr>
          <w:rStyle w:val="style85"/>
          <w:rFonts w:ascii="Times New Roman" w:cs="Times New Roman" w:hAnsi="Times New Roman"/>
          <w:noProof/>
          <w:sz w:val="24"/>
          <w:szCs w:val="24"/>
        </w:rPr>
        <w:t>3.4.5</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Test for Phenolic Compounds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24</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"_Toc203146319" </w:instrText>
      </w:r>
      <w:r>
        <w:rPr/>
        <w:fldChar w:fldCharType="separate"/>
      </w:r>
      <w:r>
        <w:rPr>
          <w:rStyle w:val="style85"/>
          <w:rFonts w:ascii="Times New Roman" w:cs="Times New Roman" w:hAnsi="Times New Roman"/>
          <w:noProof/>
          <w:sz w:val="24"/>
          <w:szCs w:val="24"/>
        </w:rPr>
        <w:t>3.5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Standardization of Bacterial Inoculum</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_Toc203146319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"_Toc203146320" </w:instrText>
      </w:r>
      <w:r>
        <w:rPr/>
        <w:fldChar w:fldCharType="separate"/>
      </w:r>
      <w:r>
        <w:rPr>
          <w:rStyle w:val="style85"/>
          <w:rFonts w:ascii="Times New Roman" w:cs="Times New Roman" w:hAnsi="Times New Roman"/>
          <w:noProof/>
          <w:sz w:val="24"/>
          <w:szCs w:val="24"/>
        </w:rPr>
        <w:t>3.6</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Susceptibility Testing</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"_Toc203146321" </w:instrText>
      </w:r>
      <w:r>
        <w:rPr/>
        <w:fldChar w:fldCharType="separate"/>
      </w:r>
      <w:r>
        <w:rPr>
          <w:rStyle w:val="style85"/>
          <w:rFonts w:ascii="Times New Roman" w:cs="Times New Roman" w:hAnsi="Times New Roman"/>
          <w:noProof/>
          <w:sz w:val="24"/>
          <w:szCs w:val="24"/>
        </w:rPr>
        <w:t xml:space="preserve">3.6.1 </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21"/>
        <w:tabs>
          <w:tab w:val="left" w:leader="none" w:pos="132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"_Toc203146322" </w:instrText>
      </w:r>
      <w:r>
        <w:rPr/>
        <w:fldChar w:fldCharType="separate"/>
      </w:r>
      <w:r>
        <w:rPr>
          <w:rStyle w:val="style85"/>
          <w:rFonts w:ascii="Times New Roman" w:cs="Times New Roman" w:hAnsi="Times New Roman"/>
          <w:noProof/>
          <w:sz w:val="24"/>
          <w:szCs w:val="24"/>
        </w:rPr>
        <w:t>3.6.2</w:t>
      </w:r>
      <w:r>
        <w:rPr>
          <w:rFonts w:ascii="Times New Roman" w:cs="Times New Roman" w:eastAsia="宋体" w:hAnsi="Times New Roman"/>
          <w:noProof/>
          <w:sz w:val="24"/>
          <w:szCs w:val="24"/>
        </w:rPr>
        <w:t xml:space="preserve">       </w:t>
      </w:r>
      <w:r>
        <w:rPr>
          <w:rStyle w:val="style85"/>
          <w:rFonts w:ascii="Times New Roman" w:cs="Times New Roman" w:hAnsi="Times New Roman"/>
          <w:noProof/>
          <w:sz w:val="24"/>
          <w:szCs w:val="24"/>
        </w:rPr>
        <w:t>Minimum Inhibitory Concentration (MIC) Determination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25</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"_Toc203146323" </w:instrText>
      </w:r>
      <w:r>
        <w:rPr/>
        <w:fldChar w:fldCharType="separate"/>
      </w:r>
      <w:r>
        <w:rPr>
          <w:rStyle w:val="style85"/>
          <w:rFonts w:ascii="Times New Roman" w:cs="Times New Roman" w:hAnsi="Times New Roman"/>
          <w:noProof/>
          <w:sz w:val="24"/>
          <w:szCs w:val="24"/>
        </w:rPr>
        <w:t>CHAPTER FOUR</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"_Toc203146324" </w:instrText>
      </w:r>
      <w:r>
        <w:rPr/>
        <w:fldChar w:fldCharType="separate"/>
      </w:r>
      <w:r>
        <w:rPr>
          <w:rStyle w:val="style85"/>
          <w:rFonts w:ascii="Times New Roman" w:cs="Times New Roman" w:hAnsi="Times New Roman"/>
          <w:noProof/>
          <w:sz w:val="24"/>
          <w:szCs w:val="24"/>
        </w:rPr>
        <w:t>RESULTS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"_Toc203146325" </w:instrText>
      </w:r>
      <w:r>
        <w:rPr/>
        <w:fldChar w:fldCharType="separate"/>
      </w:r>
      <w:r>
        <w:rPr>
          <w:rStyle w:val="style85"/>
          <w:rFonts w:ascii="Times New Roman" w:cs="Times New Roman" w:hAnsi="Times New Roman"/>
          <w:noProof/>
          <w:sz w:val="24"/>
          <w:szCs w:val="24"/>
        </w:rPr>
        <w:t>4.1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Phytochemical Screening of Eucalyptus globulus Leaf Extracts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"_Toc203146326" </w:instrText>
      </w:r>
      <w:r>
        <w:rPr/>
        <w:fldChar w:fldCharType="separate"/>
      </w:r>
      <w:r>
        <w:rPr>
          <w:rStyle w:val="style85"/>
          <w:rFonts w:ascii="Times New Roman" w:cs="Times New Roman" w:hAnsi="Times New Roman"/>
          <w:noProof/>
          <w:sz w:val="24"/>
          <w:szCs w:val="24"/>
        </w:rPr>
        <w:t>4.2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Antibacterial Activity of Eucalyptus globulus Extracts Using Agar Well Diffusion Method</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_Toc203146326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27</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"_Toc203146327" </w:instrText>
      </w:r>
      <w:r>
        <w:rPr/>
        <w:fldChar w:fldCharType="separate"/>
      </w:r>
      <w:r>
        <w:rPr>
          <w:rStyle w:val="style85"/>
          <w:rFonts w:ascii="Times New Roman" w:cs="Times New Roman" w:hAnsi="Times New Roman"/>
          <w:noProof/>
          <w:sz w:val="24"/>
          <w:szCs w:val="24"/>
        </w:rPr>
        <w:t>4.3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Minimum Inhibitory Concentration (MIC) Determination of Ethanol Extract</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_Toc203146327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28</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"_Toc203146328" </w:instrText>
      </w:r>
      <w:r>
        <w:rPr/>
        <w:fldChar w:fldCharType="separate"/>
      </w:r>
      <w:r>
        <w:rPr>
          <w:rStyle w:val="style85"/>
          <w:rFonts w:ascii="Times New Roman" w:cs="Times New Roman" w:hAnsi="Times New Roman"/>
          <w:noProof/>
          <w:sz w:val="24"/>
          <w:szCs w:val="24"/>
        </w:rPr>
        <w:t>4.5</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Discussion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_Toc203146328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29</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"_Toc203146329" </w:instrText>
      </w:r>
      <w:r>
        <w:rPr/>
        <w:fldChar w:fldCharType="separate"/>
      </w:r>
      <w:r>
        <w:rPr>
          <w:rStyle w:val="style85"/>
          <w:rFonts w:ascii="Times New Roman" w:cs="Times New Roman" w:hAnsi="Times New Roman"/>
          <w:noProof/>
          <w:sz w:val="24"/>
          <w:szCs w:val="24"/>
        </w:rPr>
        <w:t>CHAPTER FIVE</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_Toc203146329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"_Toc203146330" </w:instrText>
      </w:r>
      <w:r>
        <w:rPr/>
        <w:fldChar w:fldCharType="separate"/>
      </w:r>
      <w:r>
        <w:rPr>
          <w:rStyle w:val="style85"/>
          <w:rFonts w:ascii="Times New Roman" w:cs="Times New Roman" w:hAnsi="Times New Roman"/>
          <w:noProof/>
          <w:sz w:val="24"/>
          <w:szCs w:val="24"/>
        </w:rPr>
        <w:t>SUMMARY, CONCLUSION AND RECOMMENDATION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_Toc203146330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"_Toc203146331" </w:instrText>
      </w:r>
      <w:r>
        <w:rPr/>
        <w:fldChar w:fldCharType="separate"/>
      </w:r>
      <w:r>
        <w:rPr>
          <w:rStyle w:val="style85"/>
          <w:rFonts w:ascii="Times New Roman" w:cs="Times New Roman" w:hAnsi="Times New Roman"/>
          <w:noProof/>
          <w:sz w:val="24"/>
          <w:szCs w:val="24"/>
        </w:rPr>
        <w:t>5.1</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Summary</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_Toc203146331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"_Toc203146332" </w:instrText>
      </w:r>
      <w:r>
        <w:rPr/>
        <w:fldChar w:fldCharType="separate"/>
      </w:r>
      <w:r>
        <w:rPr>
          <w:rStyle w:val="style85"/>
          <w:rFonts w:ascii="Times New Roman" w:cs="Times New Roman" w:hAnsi="Times New Roman"/>
          <w:noProof/>
          <w:sz w:val="24"/>
          <w:szCs w:val="24"/>
        </w:rPr>
        <w:t>5.2</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Conclusion</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_Toc203146332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32</w:t>
      </w:r>
      <w:r>
        <w:rPr>
          <w:rFonts w:ascii="Times New Roman" w:cs="Times New Roman" w:hAnsi="Times New Roman"/>
          <w:noProof/>
          <w:webHidden/>
          <w:sz w:val="24"/>
          <w:szCs w:val="24"/>
        </w:rPr>
        <w:fldChar w:fldCharType="end"/>
      </w:r>
      <w:r>
        <w:rPr/>
        <w:fldChar w:fldCharType="end"/>
      </w:r>
    </w:p>
    <w:p>
      <w:pPr>
        <w:pStyle w:val="style20"/>
        <w:tabs>
          <w:tab w:val="left" w:leader="none" w:pos="880"/>
          <w:tab w:val="right" w:leader="none" w:pos="9350"/>
        </w:tabs>
        <w:ind w:left="0"/>
        <w:rPr>
          <w:rFonts w:ascii="Times New Roman" w:cs="Times New Roman" w:eastAsia="宋体" w:hAnsi="Times New Roman"/>
          <w:noProof/>
          <w:sz w:val="24"/>
          <w:szCs w:val="24"/>
        </w:rPr>
      </w:pPr>
      <w:r>
        <w:rPr/>
        <w:fldChar w:fldCharType="begin"/>
      </w:r>
      <w:r>
        <w:instrText xml:space="preserve"> HYPERLINK \l "_Toc203146333" </w:instrText>
      </w:r>
      <w:r>
        <w:rPr/>
        <w:fldChar w:fldCharType="separate"/>
      </w:r>
      <w:r>
        <w:rPr>
          <w:rStyle w:val="style85"/>
          <w:rFonts w:ascii="Times New Roman" w:cs="Times New Roman" w:hAnsi="Times New Roman"/>
          <w:noProof/>
          <w:sz w:val="24"/>
          <w:szCs w:val="24"/>
        </w:rPr>
        <w:t>5.3</w:t>
      </w:r>
      <w:r>
        <w:rPr>
          <w:rFonts w:ascii="Times New Roman" w:cs="Times New Roman" w:eastAsia="宋体" w:hAnsi="Times New Roman"/>
          <w:noProof/>
          <w:sz w:val="24"/>
          <w:szCs w:val="24"/>
        </w:rPr>
        <w:tab/>
      </w:r>
      <w:r>
        <w:rPr>
          <w:rStyle w:val="style85"/>
          <w:rFonts w:ascii="Times New Roman" w:cs="Times New Roman" w:hAnsi="Times New Roman"/>
          <w:noProof/>
          <w:sz w:val="24"/>
          <w:szCs w:val="24"/>
        </w:rPr>
        <w:t>Recommendations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_Toc203146333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33</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"_Toc203146334" </w:instrText>
      </w:r>
      <w:r>
        <w:rPr/>
        <w:fldChar w:fldCharType="separate"/>
      </w:r>
      <w:r>
        <w:rPr>
          <w:rStyle w:val="style85"/>
          <w:rFonts w:ascii="Times New Roman" w:cs="Times New Roman" w:hAnsi="Times New Roman"/>
          <w:noProof/>
          <w:sz w:val="24"/>
          <w:szCs w:val="24"/>
        </w:rPr>
        <w:t>REFERENCES</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_Toc203146334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34</w:t>
      </w:r>
      <w:r>
        <w:rPr>
          <w:rFonts w:ascii="Times New Roman" w:cs="Times New Roman" w:hAnsi="Times New Roman"/>
          <w:noProof/>
          <w:webHidden/>
          <w:sz w:val="24"/>
          <w:szCs w:val="24"/>
        </w:rPr>
        <w:fldChar w:fldCharType="end"/>
      </w:r>
      <w:r>
        <w:rPr/>
        <w:fldChar w:fldCharType="end"/>
      </w:r>
    </w:p>
    <w:p>
      <w:pPr>
        <w:pStyle w:val="style19"/>
        <w:tabs>
          <w:tab w:val="right" w:leader="none" w:pos="9350"/>
        </w:tabs>
        <w:rPr>
          <w:rFonts w:ascii="Times New Roman" w:cs="Times New Roman" w:eastAsia="宋体" w:hAnsi="Times New Roman"/>
          <w:noProof/>
          <w:sz w:val="24"/>
          <w:szCs w:val="24"/>
        </w:rPr>
      </w:pPr>
      <w:r>
        <w:rPr/>
        <w:fldChar w:fldCharType="begin"/>
      </w:r>
      <w:r>
        <w:instrText xml:space="preserve"> HYPERLINK \l "_Toc203146335" </w:instrText>
      </w:r>
      <w:r>
        <w:rPr/>
        <w:fldChar w:fldCharType="separate"/>
      </w:r>
      <w:r>
        <w:rPr>
          <w:rStyle w:val="style85"/>
          <w:rFonts w:ascii="Times New Roman" w:cs="Times New Roman" w:hAnsi="Times New Roman"/>
          <w:noProof/>
          <w:sz w:val="24"/>
          <w:szCs w:val="24"/>
        </w:rPr>
        <w:t>APPENDIX</w:t>
      </w:r>
      <w:r>
        <w:rPr>
          <w:rFonts w:ascii="Times New Roman" w:cs="Times New Roman" w:hAnsi="Times New Roman"/>
          <w:noProof/>
          <w:webHidden/>
          <w:sz w:val="24"/>
          <w:szCs w:val="24"/>
        </w:rPr>
        <w:tab/>
      </w:r>
      <w:r>
        <w:rPr>
          <w:rFonts w:ascii="Times New Roman" w:cs="Times New Roman" w:hAnsi="Times New Roman"/>
          <w:noProof/>
          <w:webHidden/>
          <w:sz w:val="24"/>
          <w:szCs w:val="24"/>
        </w:rPr>
        <w:fldChar w:fldCharType="begin"/>
      </w:r>
      <w:r>
        <w:rPr>
          <w:rFonts w:ascii="Times New Roman" w:cs="Times New Roman" w:hAnsi="Times New Roman"/>
          <w:noProof/>
          <w:webHidden/>
          <w:sz w:val="24"/>
          <w:szCs w:val="24"/>
        </w:rPr>
        <w:instrText xml:space="preserve"> PAGEREF _Toc203146335 \h </w:instrText>
      </w:r>
      <w:r>
        <w:rPr>
          <w:rFonts w:ascii="Times New Roman" w:cs="Times New Roman" w:hAnsi="Times New Roman"/>
          <w:noProof/>
          <w:webHidden/>
          <w:sz w:val="24"/>
          <w:szCs w:val="24"/>
        </w:rPr>
        <w:fldChar w:fldCharType="separate"/>
      </w:r>
      <w:r>
        <w:rPr>
          <w:rFonts w:ascii="Times New Roman" w:cs="Times New Roman" w:hAnsi="Times New Roman"/>
          <w:noProof/>
          <w:webHidden/>
          <w:sz w:val="24"/>
          <w:szCs w:val="24"/>
        </w:rPr>
        <w:t>39</w:t>
      </w:r>
      <w:r>
        <w:rPr>
          <w:rFonts w:ascii="Times New Roman" w:cs="Times New Roman" w:hAnsi="Times New Roman"/>
          <w:noProof/>
          <w:webHidden/>
          <w:sz w:val="24"/>
          <w:szCs w:val="24"/>
        </w:rPr>
        <w:fldChar w:fldCharType="end"/>
      </w:r>
      <w:r>
        <w:rPr/>
        <w:fldChar w:fldCharType="end"/>
      </w:r>
    </w:p>
    <w:p>
      <w:pPr>
        <w:pStyle w:val="style0"/>
        <w:rPr>
          <w:rFonts w:ascii="Times New Roman" w:cs="Times New Roman" w:hAnsi="Times New Roman"/>
          <w:sz w:val="24"/>
          <w:szCs w:val="24"/>
        </w:rPr>
      </w:pPr>
      <w:r>
        <w:rPr>
          <w:rFonts w:ascii="Times New Roman" w:cs="Times New Roman" w:hAnsi="Times New Roman"/>
          <w:sz w:val="24"/>
          <w:szCs w:val="24"/>
        </w:rPr>
        <w:fldChar w:fldCharType="end"/>
      </w:r>
    </w:p>
    <w:p>
      <w:pPr>
        <w:pStyle w:val="style94"/>
        <w:jc w:val="center"/>
        <w:rPr>
          <w:b/>
        </w:rPr>
      </w:pPr>
    </w:p>
    <w:p>
      <w:pPr>
        <w:pStyle w:val="style94"/>
        <w:jc w:val="center"/>
        <w:rPr>
          <w:b/>
        </w:rPr>
      </w:pPr>
    </w:p>
    <w:bookmarkStart w:id="7" w:name="_Toc203146283"/>
    <w:p>
      <w:pPr>
        <w:pStyle w:val="style1"/>
        <w:spacing w:lineRule="auto" w:line="480"/>
        <w:jc w:val="center"/>
        <w:rPr/>
      </w:pPr>
      <w:r>
        <w:t>ABSTRACT</w:t>
      </w:r>
      <w:bookmarkEnd w:id="7"/>
    </w:p>
    <w:p>
      <w:pPr>
        <w:pStyle w:val="style94"/>
        <w:spacing w:before="0" w:beforeAutospacing="false" w:after="0" w:afterAutospacing="false"/>
        <w:ind w:firstLine="720"/>
        <w:jc w:val="both"/>
        <w:rPr>
          <w:i/>
          <w:iCs/>
        </w:rPr>
      </w:pPr>
      <w:r>
        <w:rPr>
          <w:i/>
          <w:iCs/>
        </w:rPr>
        <w:t xml:space="preserve">This study investigated the antibacterial efficacy of aqueous and ethanol extracts of Eucalyptus </w:t>
      </w:r>
      <w:r>
        <w:rPr>
          <w:i/>
          <w:iCs/>
        </w:rPr>
        <w:t>globulus</w:t>
      </w:r>
      <w:r>
        <w:rPr>
          <w:i/>
          <w:iCs/>
        </w:rPr>
        <w:t xml:space="preserve"> leaves against Methicillin-Resistant Staphylococcus aureus (MRSA) and Escherichia coli, two clinically important and drug-resistant bacterial pathogens. The study </w:t>
      </w:r>
      <w:r>
        <w:rPr>
          <w:i/>
          <w:iCs/>
        </w:rPr>
        <w:t>was carried out</w:t>
      </w:r>
      <w:r>
        <w:rPr>
          <w:i/>
          <w:iCs/>
        </w:rPr>
        <w:t xml:space="preserve"> at the Microbiology Laboratory Unit of Kwara State Polytechnic, Ilorin, Nigeria. Clinical isolates were obtained from the University of Ilorin Teaching Hospital (UITH</w:t>
      </w:r>
      <w:r>
        <w:rPr>
          <w:i/>
          <w:iCs/>
        </w:rPr>
        <w:t>) .</w:t>
      </w:r>
      <w:r>
        <w:rPr>
          <w:i/>
          <w:iCs/>
        </w:rPr>
        <w:t xml:space="preserve"> </w:t>
      </w:r>
      <w:r>
        <w:rPr>
          <w:i/>
          <w:iCs/>
        </w:rPr>
        <w:t xml:space="preserve">Fresh Eucalyptus </w:t>
      </w:r>
      <w:r>
        <w:rPr>
          <w:i/>
          <w:iCs/>
        </w:rPr>
        <w:t>globulus</w:t>
      </w:r>
      <w:r>
        <w:rPr>
          <w:i/>
          <w:iCs/>
        </w:rPr>
        <w:t xml:space="preserve"> leaves collected locally were processed and extracted using aqueous.</w:t>
      </w:r>
      <w:r>
        <w:rPr>
          <w:i/>
          <w:iCs/>
        </w:rPr>
        <w:t xml:space="preserve"> Phytochemical screening </w:t>
      </w:r>
      <w:r>
        <w:rPr>
          <w:i/>
          <w:iCs/>
        </w:rPr>
        <w:t>was performed</w:t>
      </w:r>
      <w:r>
        <w:rPr>
          <w:i/>
          <w:iCs/>
        </w:rPr>
        <w:t xml:space="preserve"> to identify key bioactive constituents. The antibacterial activity of the extracts </w:t>
      </w:r>
      <w:r>
        <w:rPr>
          <w:i/>
          <w:iCs/>
        </w:rPr>
        <w:t>was assessed</w:t>
      </w:r>
      <w:r>
        <w:rPr>
          <w:i/>
          <w:iCs/>
        </w:rPr>
        <w:t xml:space="preserve"> using the agar well diffusion method, and minimum inhibitory concentration (MIC) was determined through the agar dilution technique. Phytochemical analysis revealed the presence of</w:t>
      </w:r>
      <w:r>
        <w:rPr>
          <w:i/>
          <w:iCs/>
        </w:rPr>
        <w:t xml:space="preserve"> flavonoids, tannins</w:t>
      </w:r>
      <w:r>
        <w:rPr>
          <w:i/>
          <w:iCs/>
        </w:rPr>
        <w:t xml:space="preserve">, and phenolic compounds in both extracts. The agar well diffusion test demonstrated that both extracts possessed antibacterial activity, with the ethanol extract showing a significantly higher zone of inhibition compared to the aqueous extract. The zone of inhibition increased with higher volumes of extract applied, indicating a dose-dependent effect. The ethanol extract exhibited maximum inhibitory activity at 300 µl, with mean inhibition zones of 0.80 ± 0.04 mm and 0.80 ± 0.03 mm for MRSA and </w:t>
      </w:r>
      <w:r>
        <w:rPr>
          <w:i/>
          <w:iCs/>
        </w:rPr>
        <w:t>E. coli</w:t>
      </w:r>
      <w:r>
        <w:rPr>
          <w:i/>
          <w:iCs/>
        </w:rPr>
        <w:t xml:space="preserve"> respectively. The ethanol and ionized water showed significant inhibition, which confirmed their effect. MIC determination further confirmed the antibacterial potency of the ethanol extract, with complete growth inhibition observed at 0.2 v/v concentration for both bacterial isolates. The results of this study support the potential use of Eucalyptus </w:t>
      </w:r>
      <w:r>
        <w:rPr>
          <w:i/>
          <w:iCs/>
        </w:rPr>
        <w:t>globulus</w:t>
      </w:r>
      <w:r>
        <w:rPr>
          <w:i/>
          <w:iCs/>
        </w:rPr>
        <w:t xml:space="preserve"> leaf extracts, particularly ethanol-based extracts, as a source of natural antibacterial agents. The presence of multiple phytochemicals known for antimicrobial activity likely contributed to the observed effects. Further studies </w:t>
      </w:r>
      <w:r>
        <w:rPr>
          <w:i/>
          <w:iCs/>
        </w:rPr>
        <w:t>are recommended</w:t>
      </w:r>
      <w:r>
        <w:rPr>
          <w:i/>
          <w:iCs/>
        </w:rPr>
        <w:t xml:space="preserve"> to isolate active compounds, test in vivo effectiveness, and evaluate toxicity to support future applications in pharmaceutical or herbal medicine.</w:t>
      </w:r>
    </w:p>
    <w:p>
      <w:pPr>
        <w:pStyle w:val="style0"/>
        <w:rPr>
          <w:rFonts w:ascii="Times New Roman" w:cs="Times New Roman" w:hAnsi="Times New Roman"/>
          <w:b/>
          <w:i/>
          <w:iCs/>
          <w:sz w:val="24"/>
          <w:szCs w:val="24"/>
        </w:rPr>
      </w:pPr>
    </w:p>
    <w:p>
      <w:pPr>
        <w:pStyle w:val="style0"/>
        <w:spacing w:after="0" w:lineRule="auto" w:line="480"/>
        <w:rPr>
          <w:rFonts w:ascii="Times New Roman" w:cs="Times New Roman" w:hAnsi="Times New Roman"/>
          <w:b/>
          <w:sz w:val="24"/>
          <w:szCs w:val="24"/>
        </w:rPr>
        <w:sectPr>
          <w:headerReference w:type="default" r:id="rId3"/>
          <w:footerReference w:type="even" r:id="rId4"/>
          <w:footerReference w:type="default" r:id="rId5"/>
          <w:pgSz w:w="12240" w:h="15840" w:orient="portrait"/>
          <w:pgMar w:top="1440" w:right="1440" w:bottom="1440" w:left="1440" w:header="708" w:footer="708" w:gutter="0"/>
          <w:pgNumType w:fmt="lowerRoman" w:start="1"/>
          <w:cols w:space="708"/>
          <w:docGrid w:linePitch="360"/>
        </w:sectPr>
      </w:pPr>
    </w:p>
    <w:bookmarkStart w:id="8" w:name="_Toc203146284"/>
    <w:p>
      <w:pPr>
        <w:pStyle w:val="style0"/>
        <w:jc w:val="center"/>
        <w:rPr>
          <w:rFonts w:ascii="Times New Roman" w:cs="Times New Roman" w:eastAsia="Times New Roman" w:hAnsi="Times New Roman"/>
          <w:b/>
          <w:sz w:val="24"/>
          <w:szCs w:val="24"/>
        </w:rPr>
      </w:pPr>
      <w:r>
        <w:rPr>
          <w:rFonts w:ascii="Times New Roman" w:cs="Times New Roman" w:eastAsia="Times New Roman" w:hAnsi="Times New Roman"/>
          <w:b/>
          <w:sz w:val="24"/>
          <w:szCs w:val="24"/>
        </w:rPr>
        <w:t>CHAPTER ONE</w:t>
      </w:r>
      <w:bookmarkEnd w:id="8"/>
    </w:p>
    <w:bookmarkStart w:id="9" w:name="_Toc203146285"/>
    <w:p>
      <w:pPr>
        <w:pStyle w:val="style1"/>
        <w:spacing w:lineRule="auto" w:line="480"/>
        <w:jc w:val="center"/>
        <w:rPr/>
      </w:pPr>
      <w:r>
        <w:t>INTRODUCTION</w:t>
      </w:r>
      <w:bookmarkEnd w:id="9"/>
    </w:p>
    <w:bookmarkStart w:id="10" w:name="_Toc203146286"/>
    <w:p>
      <w:pPr>
        <w:pStyle w:val="style2"/>
        <w:spacing w:lineRule="auto" w:line="480"/>
        <w:rPr/>
      </w:pPr>
      <w:r>
        <w:t>1.1</w:t>
      </w:r>
      <w:r>
        <w:tab/>
      </w:r>
      <w:r>
        <w:t>Background to the Study</w:t>
      </w:r>
      <w:bookmarkEnd w:id="10"/>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challenge of antibiotic resistance represents one of the most serious threats to public health today. Across the world, bacterial infections are becoming harder to treat because many common antibiotics are losing their effectiveness (World Health Organization, 2020). Two notable examples of antibiotic-resistant pathogens are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MRSA is a major cause of hospital and community-acquired infections, while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w:t>
      </w:r>
      <w:r>
        <w:rPr>
          <w:rFonts w:ascii="Times New Roman" w:cs="Times New Roman" w:eastAsia="Times New Roman" w:hAnsi="Times New Roman"/>
          <w:sz w:val="24"/>
          <w:szCs w:val="24"/>
        </w:rPr>
        <w:t>have been linked</w:t>
      </w:r>
      <w:r>
        <w:rPr>
          <w:rFonts w:ascii="Times New Roman" w:cs="Times New Roman" w:eastAsia="Times New Roman" w:hAnsi="Times New Roman"/>
          <w:sz w:val="24"/>
          <w:szCs w:val="24"/>
        </w:rPr>
        <w:t xml:space="preserve"> to serious infections such as urinary tract infections and bloodstream infections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Resistance in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is not only making treatment difficult but is also increasing the costs of healthcare and leading to higher rates of morbidity and mortality. The Centers for Disease Control and Prevention (CDC) in 2022 reported that antibiotic-resistant infections cause over 35,000 deaths annually in the United States alone. The situation is even worse in low</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and middle-income countries where access to advanced antibiotics is limited (CDC, 2022). As a result, there is a critical need to search for new, effective, and affordable antimicrobial agents.</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Plants have always been a valuable source of medicines. Many modern antibiotics and drugs </w:t>
      </w:r>
      <w:r>
        <w:rPr>
          <w:rFonts w:ascii="Times New Roman" w:cs="Times New Roman" w:eastAsia="Times New Roman" w:hAnsi="Times New Roman"/>
          <w:sz w:val="24"/>
          <w:szCs w:val="24"/>
        </w:rPr>
        <w:t>have been derived</w:t>
      </w:r>
      <w:r>
        <w:rPr>
          <w:rFonts w:ascii="Times New Roman" w:cs="Times New Roman" w:eastAsia="Times New Roman" w:hAnsi="Times New Roman"/>
          <w:sz w:val="24"/>
          <w:szCs w:val="24"/>
        </w:rPr>
        <w:t xml:space="preserve"> directly or indirectly from plant sources. In the search for alternatives to synthetic antibiotics, medicinal plants are gaining attention for their antimicrobial activities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commonly known as the Blue Gum tree, is one such plant that ha</w:t>
      </w:r>
      <w:r>
        <w:rPr>
          <w:rFonts w:ascii="Times New Roman" w:cs="Times New Roman" w:eastAsia="Times New Roman" w:hAnsi="Times New Roman"/>
          <w:sz w:val="24"/>
          <w:szCs w:val="24"/>
        </w:rPr>
        <w:t>d</w:t>
      </w:r>
      <w:r>
        <w:rPr>
          <w:rFonts w:ascii="Times New Roman" w:cs="Times New Roman" w:eastAsia="Times New Roman" w:hAnsi="Times New Roman"/>
          <w:sz w:val="24"/>
          <w:szCs w:val="24"/>
        </w:rPr>
        <w:t xml:space="preserve"> shown promising antimicrobial properties. It belongs to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is widely cultivated for its essential oils, which are rich in bioactive compounds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The essential oils extracted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 are known to contain compounds </w:t>
      </w:r>
      <w:r>
        <w:rPr>
          <w:rFonts w:ascii="Times New Roman" w:cs="Times New Roman" w:eastAsia="Times New Roman" w:hAnsi="Times New Roman"/>
          <w:sz w:val="24"/>
          <w:szCs w:val="24"/>
        </w:rPr>
        <w:t>such as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-cineole (eucalyptol), α-</w:t>
      </w:r>
      <w:r>
        <w:rPr>
          <w:rFonts w:ascii="Times New Roman" w:cs="Times New Roman" w:eastAsia="Times New Roman" w:hAnsi="Times New Roman"/>
          <w:sz w:val="24"/>
          <w:szCs w:val="24"/>
        </w:rPr>
        <w:t>pinene</w:t>
      </w:r>
      <w:r>
        <w:rPr>
          <w:rFonts w:ascii="Times New Roman" w:cs="Times New Roman" w:eastAsia="Times New Roman" w:hAnsi="Times New Roman"/>
          <w:sz w:val="24"/>
          <w:szCs w:val="24"/>
        </w:rPr>
        <w:t xml:space="preserve">, and limonene. These compounds have demonstrated antibacterial, antiviral, and antifungal activities in several studies (da Silva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 Notably, 1</w:t>
      </w:r>
      <w:r>
        <w:rPr>
          <w:rFonts w:ascii="Times New Roman" w:cs="Times New Roman" w:eastAsia="Times New Roman" w:hAnsi="Times New Roman"/>
          <w:sz w:val="24"/>
          <w:szCs w:val="24"/>
        </w:rPr>
        <w:t>,8</w:t>
      </w:r>
      <w:r>
        <w:rPr>
          <w:rFonts w:ascii="Times New Roman" w:cs="Times New Roman" w:eastAsia="Times New Roman" w:hAnsi="Times New Roman"/>
          <w:sz w:val="24"/>
          <w:szCs w:val="24"/>
        </w:rPr>
        <w:t xml:space="preserve">-cineole has been shown to damage bacterial cell walls, disrupt membranes, and inhibit the growth of both Gram-positive and Gram-negative bacteria (Gomes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This makes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potential candidate for combating bacterial pathogens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Recent research indicates that essential oils could be particularly effective against resistant strains of bacteria. Unlike traditional antibiotics that often target a single cellular process, essential oils contain multiple active compounds that can attack bacteria in different ways simultaneously. This multi-target approach reduces the chance of bacteria developing resistance quickly (</w:t>
      </w: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Moreover, essential oils </w:t>
      </w:r>
      <w:r>
        <w:rPr>
          <w:rFonts w:ascii="Times New Roman" w:cs="Times New Roman" w:eastAsia="Times New Roman" w:hAnsi="Times New Roman"/>
          <w:sz w:val="24"/>
          <w:szCs w:val="24"/>
        </w:rPr>
        <w:t>are generally considered</w:t>
      </w:r>
      <w:r>
        <w:rPr>
          <w:rFonts w:ascii="Times New Roman" w:cs="Times New Roman" w:eastAsia="Times New Roman" w:hAnsi="Times New Roman"/>
          <w:sz w:val="24"/>
          <w:szCs w:val="24"/>
        </w:rPr>
        <w:t xml:space="preserve"> safe, biodegradable, and less toxic compared to synthetic antibiotics when used appropriately (</w:t>
      </w:r>
      <w:r>
        <w:rPr>
          <w:rFonts w:ascii="Times New Roman" w:cs="Times New Roman" w:eastAsia="Times New Roman" w:hAnsi="Times New Roman"/>
          <w:sz w:val="24"/>
          <w:szCs w:val="24"/>
        </w:rPr>
        <w:t>Júnior</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2020).</w:t>
      </w:r>
    </w:p>
    <w:p>
      <w:pPr>
        <w:pStyle w:val="style0"/>
        <w:spacing w:after="0" w:lineRule="auto" w:line="480"/>
        <w:ind w:firstLine="72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Traditionally,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has been used</w:t>
      </w:r>
      <w:r>
        <w:rPr>
          <w:rFonts w:ascii="Times New Roman" w:cs="Times New Roman" w:eastAsia="Times New Roman" w:hAnsi="Times New Roman"/>
          <w:sz w:val="24"/>
          <w:szCs w:val="24"/>
        </w:rPr>
        <w:t xml:space="preserve"> in various cultures to treat infections, wounds, and respiratory problems. In modern times, scientific studies have supported some of these uses by demonstrating the antibacterial activity of </w:t>
      </w:r>
      <w:r>
        <w:rPr>
          <w:rFonts w:ascii="Times New Roman" w:cs="Times New Roman" w:eastAsia="Times New Roman" w:hAnsi="Times New Roman"/>
          <w:i/>
          <w:iCs/>
          <w:sz w:val="24"/>
          <w:szCs w:val="24"/>
        </w:rPr>
        <w:t>Eucalyptus</w:t>
      </w:r>
      <w:r>
        <w:rPr>
          <w:rFonts w:ascii="Times New Roman" w:cs="Times New Roman" w:eastAsia="Times New Roman" w:hAnsi="Times New Roman"/>
          <w:sz w:val="24"/>
          <w:szCs w:val="24"/>
        </w:rPr>
        <w:t xml:space="preserve"> extracts against a range of pathogens. For example, a study by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found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exhibited significant inhibitory effects against multidrug-resistant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strains isolated from clinical samples. Similarly, </w:t>
      </w: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(2022) reported that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oil effectively inhibited the growth of MRSA isolates collected from food and clinical settings.</w:t>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Despite these findings, there are still gaps in the literature regarding the specific effectiveness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especially using local strains isolated from different environments. More laboratory-based investigations </w:t>
      </w:r>
      <w:r>
        <w:rPr>
          <w:rFonts w:ascii="Times New Roman" w:cs="Times New Roman" w:eastAsia="Times New Roman" w:hAnsi="Times New Roman"/>
          <w:sz w:val="24"/>
          <w:szCs w:val="24"/>
        </w:rPr>
        <w:t>are needed</w:t>
      </w:r>
      <w:r>
        <w:rPr>
          <w:rFonts w:ascii="Times New Roman" w:cs="Times New Roman" w:eastAsia="Times New Roman" w:hAnsi="Times New Roman"/>
          <w:sz w:val="24"/>
          <w:szCs w:val="24"/>
        </w:rPr>
        <w:t xml:space="preserve"> to confirm its antibacterial potential, explore its mechanism of action, and determine its possible applications in </w:t>
      </w:r>
      <w:r>
        <w:rPr>
          <w:rFonts w:ascii="Times New Roman" w:cs="Times New Roman" w:eastAsia="Times New Roman" w:hAnsi="Times New Roman"/>
          <w:sz w:val="24"/>
          <w:szCs w:val="24"/>
        </w:rPr>
        <w:t>healthcare settings.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In the face of the global antibiotic resistance crisis, exploring natural resources like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is not just timely but necessary. Natural products offer a rich and relatively untapped reservoir of potential solutions to one of the most pressing medical challenges of the 21st century.</w:t>
      </w:r>
    </w:p>
    <w:bookmarkStart w:id="11" w:name="_Toc203146287"/>
    <w:p>
      <w:pPr>
        <w:pStyle w:val="style2"/>
        <w:spacing w:lineRule="auto" w:line="480"/>
        <w:rPr>
          <w:rFonts w:eastAsia="Times New Roman"/>
        </w:rPr>
      </w:pPr>
      <w:r>
        <w:rPr>
          <w:rFonts w:eastAsia="Times New Roman"/>
        </w:rPr>
        <w:t>1.1</w:t>
      </w:r>
      <w:r>
        <w:rPr>
          <w:rFonts w:eastAsia="Times New Roman"/>
        </w:rPr>
        <w:tab/>
      </w:r>
      <w:r>
        <w:rPr>
          <w:rFonts w:eastAsia="Times New Roman"/>
        </w:rPr>
        <w:t>Statement of Problem</w:t>
      </w:r>
      <w:bookmarkEnd w:id="11"/>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rise of antibiotic-resistant bacteria, particularly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resistant strains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poses a major public health challenge worldwide. Traditional antibiotics that were once effective are now often failing, leading to persistent infections, increased hospital stays, higher healthcare costs, and greater risk of death (World Health Organization, 2020). Despite ongoing research and the development of new antibiotics, the speed at which bacteria are evolving resistance often outpaces drug discovery efforts (</w:t>
      </w: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2019).</w:t>
      </w:r>
    </w:p>
    <w:p>
      <w:pPr>
        <w:pStyle w:val="style0"/>
        <w:spacing w:after="0" w:lineRule="auto" w:line="480"/>
        <w:jc w:val="both"/>
        <w:rPr>
          <w:rFonts w:ascii="Times New Roman" w:cs="Times New Roman" w:eastAsia="Times New Roman" w:hAnsi="Times New Roman"/>
          <w:i/>
          <w:sz w:val="24"/>
          <w:szCs w:val="24"/>
        </w:rPr>
      </w:pP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widely recognized for its traditional medicinal use, has shown potential antibacterial effects against various microorganisms. However, there is limited comprehensive data on its specific efficacy against resistant strains like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under controlled laboratory conditions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2021). Most available studies have focused on general antimicrobial properties, but few have directly compared its activity against these two clinically significant bacteria</w:t>
      </w:r>
      <w:r>
        <w:rPr>
          <w:rFonts w:ascii="Times New Roman" w:cs="Times New Roman" w:eastAsia="Times New Roman" w:hAnsi="Times New Roman"/>
          <w:sz w:val="24"/>
          <w:szCs w:val="24"/>
        </w:rPr>
        <w:t xml:space="preserve"> hence this study of its efficacy on </w:t>
      </w:r>
      <w:r>
        <w:rPr>
          <w:rFonts w:ascii="Times New Roman" w:cs="Times New Roman" w:eastAsia="Times New Roman" w:hAnsi="Times New Roman"/>
          <w:i/>
          <w:sz w:val="24"/>
          <w:szCs w:val="24"/>
        </w:rPr>
        <w:t>MRSA</w:t>
      </w:r>
      <w:r>
        <w:rPr>
          <w:rFonts w:ascii="Times New Roman" w:cs="Times New Roman" w:eastAsia="Times New Roman" w:hAnsi="Times New Roman"/>
          <w:sz w:val="24"/>
          <w:szCs w:val="24"/>
        </w:rPr>
        <w:t xml:space="preserve"> and </w:t>
      </w:r>
      <w:r>
        <w:rPr>
          <w:rFonts w:ascii="Times New Roman" w:cs="Times New Roman" w:eastAsia="Times New Roman" w:hAnsi="Times New Roman"/>
          <w:i/>
          <w:sz w:val="24"/>
          <w:szCs w:val="24"/>
        </w:rPr>
        <w:t>E. coli</w:t>
      </w:r>
      <w:r>
        <w:rPr>
          <w:rFonts w:ascii="Times New Roman" w:cs="Times New Roman" w:eastAsia="Times New Roman" w:hAnsi="Times New Roman"/>
          <w:i/>
          <w:sz w:val="24"/>
          <w:szCs w:val="24"/>
        </w:rPr>
        <w:t>.</w:t>
      </w:r>
    </w:p>
    <w:bookmarkStart w:id="12" w:name="_Toc203146288"/>
    <w:p>
      <w:pPr>
        <w:pStyle w:val="style2"/>
        <w:spacing w:lineRule="auto" w:line="480"/>
        <w:rPr>
          <w:rFonts w:eastAsia="Times New Roman"/>
        </w:rPr>
      </w:pPr>
      <w:r>
        <w:rPr>
          <w:rFonts w:eastAsia="Times New Roman"/>
        </w:rPr>
        <w:t>1.1</w:t>
      </w:r>
      <w:r>
        <w:rPr>
          <w:rFonts w:eastAsia="Times New Roman"/>
        </w:rPr>
        <w:tab/>
      </w:r>
      <w:r>
        <w:rPr>
          <w:rFonts w:eastAsia="Times New Roman"/>
        </w:rPr>
        <w:t>J</w:t>
      </w:r>
      <w:r>
        <w:rPr>
          <w:rFonts w:eastAsia="Times New Roman"/>
        </w:rPr>
        <w:t>ustification</w:t>
      </w:r>
      <w:bookmarkEnd w:id="12"/>
      <w:r>
        <w:rPr>
          <w:rFonts w:eastAsia="Times New Roman"/>
        </w:rPr>
        <w:tab/>
      </w:r>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growing problem of antibiotic resistance has created an urgent need for alternative antimicrobial agents. This study is significant because it explores the antibacterial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plant known for its medicinal properties, against two important resistant bacteria: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The study could contribute valuable knowledge to the </w:t>
      </w:r>
      <w:r>
        <w:rPr>
          <w:rFonts w:ascii="Times New Roman" w:cs="Times New Roman" w:eastAsia="Times New Roman" w:hAnsi="Times New Roman"/>
          <w:sz w:val="24"/>
          <w:szCs w:val="24"/>
        </w:rPr>
        <w:t>search for new, plant-based therapies to combat resistant infections.</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If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proves effective, it could offer a safer, cheaper, and more natural alternative to synthetic antibiotics, especially in low- and middle-income countries where access to modern drugs is limited (</w:t>
      </w: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Ahmed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2021). </w:t>
      </w:r>
    </w:p>
    <w:p>
      <w:pPr>
        <w:pStyle w:val="style0"/>
        <w:spacing w:after="0" w:lineRule="auto" w:line="480"/>
        <w:jc w:val="both"/>
        <w:rPr>
          <w:rFonts w:ascii="Times New Roman" w:cs="Times New Roman" w:eastAsia="Times New Roman" w:hAnsi="Times New Roman"/>
          <w:b/>
          <w:sz w:val="24"/>
          <w:szCs w:val="24"/>
        </w:rPr>
      </w:pPr>
      <w:r>
        <w:rPr>
          <w:rFonts w:ascii="Times New Roman" w:cs="Times New Roman" w:eastAsia="Times New Roman" w:hAnsi="Times New Roman"/>
          <w:sz w:val="24"/>
          <w:szCs w:val="24"/>
        </w:rPr>
        <w:t xml:space="preserve">The study will also add to the existing body of scientific knowledge by providing updated information on the antibacterial effects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specifically against MRSA and </w:t>
      </w: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This could encourage further research, clinical trials, and the development of new natural health products. Finally, the findings could support public health efforts to integrate traditional medicinal plants into modern healthcare practices, promoting more sustainable and holistic approaches to infection management.</w:t>
      </w:r>
    </w:p>
    <w:bookmarkStart w:id="13" w:name="_Toc203146289"/>
    <w:p>
      <w:pPr>
        <w:pStyle w:val="style2"/>
        <w:spacing w:lineRule="auto" w:line="480"/>
        <w:rPr>
          <w:rFonts w:eastAsia="Times New Roman"/>
        </w:rPr>
      </w:pPr>
      <w:r>
        <w:rPr>
          <w:rFonts w:eastAsia="Times New Roman"/>
        </w:rPr>
        <w:t>1.</w:t>
      </w:r>
      <w:r>
        <w:rPr>
          <w:rFonts w:eastAsia="Times New Roman"/>
        </w:rPr>
        <w:t>3</w:t>
      </w:r>
      <w:r>
        <w:rPr>
          <w:rFonts w:eastAsia="Times New Roman"/>
        </w:rPr>
        <w:tab/>
      </w:r>
      <w:r>
        <w:rPr>
          <w:rFonts w:eastAsia="Times New Roman"/>
        </w:rPr>
        <w:t>Aim and Objectives of Study</w:t>
      </w:r>
      <w:bookmarkEnd w:id="13"/>
      <w:r>
        <w:rPr>
          <w:rFonts w:eastAsia="Times New Roman"/>
        </w:rPr>
        <w:t xml:space="preserve"> </w:t>
      </w:r>
    </w:p>
    <w:bookmarkStart w:id="14" w:name="_Toc203146290"/>
    <w:p>
      <w:pPr>
        <w:pStyle w:val="style3"/>
        <w:spacing w:before="0" w:beforeAutospacing="false" w:after="0" w:afterAutospacing="false" w:lineRule="auto" w:line="480"/>
        <w:rPr>
          <w:szCs w:val="24"/>
        </w:rPr>
      </w:pPr>
      <w:r>
        <w:rPr>
          <w:szCs w:val="24"/>
        </w:rPr>
        <w:t>1.3.1</w:t>
      </w:r>
      <w:r>
        <w:rPr>
          <w:szCs w:val="24"/>
        </w:rPr>
        <w:tab/>
      </w:r>
      <w:r>
        <w:rPr>
          <w:szCs w:val="24"/>
        </w:rPr>
        <w:t>Aim of the Study</w:t>
      </w:r>
      <w:bookmarkEnd w:id="1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The aim of this study is to evaluate the antibacterial efficacy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against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w:t>
      </w:r>
    </w:p>
    <w:bookmarkStart w:id="15" w:name="_Toc203146291"/>
    <w:p>
      <w:pPr>
        <w:pStyle w:val="style3"/>
        <w:rPr>
          <w:bCs w:val="false"/>
          <w:szCs w:val="24"/>
        </w:rPr>
      </w:pPr>
      <w:r>
        <w:rPr>
          <w:bCs w:val="false"/>
          <w:szCs w:val="24"/>
        </w:rPr>
        <w:t>1.3.2</w:t>
      </w:r>
      <w:r>
        <w:rPr>
          <w:bCs w:val="false"/>
          <w:szCs w:val="24"/>
        </w:rPr>
        <w:tab/>
      </w:r>
      <w:r>
        <w:rPr>
          <w:bCs w:val="false"/>
          <w:szCs w:val="24"/>
        </w:rPr>
        <w:t>Specific Objectives</w:t>
      </w:r>
      <w:bookmarkEnd w:id="15"/>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The specific objectives of the study are to:</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e</w:t>
      </w:r>
      <w:r>
        <w:rPr>
          <w:rFonts w:ascii="Times New Roman" w:cs="Times New Roman" w:eastAsia="Times New Roman" w:hAnsi="Times New Roman"/>
          <w:bCs/>
          <w:sz w:val="24"/>
          <w:szCs w:val="24"/>
        </w:rPr>
        <w:t>xtract</w:t>
      </w:r>
      <w:r>
        <w:rPr>
          <w:rFonts w:ascii="Times New Roman" w:cs="Times New Roman" w:eastAsia="Times New Roman" w:hAnsi="Times New Roman"/>
          <w:bCs/>
          <w:sz w:val="24"/>
          <w:szCs w:val="24"/>
        </w:rPr>
        <w:t xml:space="preserve"> and prepare</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an</w:t>
      </w:r>
      <w:r>
        <w:rPr>
          <w:rFonts w:ascii="Times New Roman" w:cs="Times New Roman" w:eastAsia="Times New Roman" w:hAnsi="Times New Roman"/>
          <w:sz w:val="24"/>
          <w:szCs w:val="24"/>
        </w:rPr>
        <w:t xml:space="preserve"> extracts from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leaves.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d</w:t>
      </w:r>
      <w:r>
        <w:rPr>
          <w:rFonts w:ascii="Times New Roman" w:cs="Times New Roman" w:eastAsia="Times New Roman" w:hAnsi="Times New Roman"/>
          <w:bCs/>
          <w:sz w:val="24"/>
          <w:szCs w:val="24"/>
        </w:rPr>
        <w:t>etermine</w:t>
      </w:r>
      <w:r>
        <w:rPr>
          <w:rFonts w:ascii="Times New Roman" w:cs="Times New Roman" w:eastAsia="Times New Roman" w:hAnsi="Times New Roman"/>
          <w:bCs/>
          <w:sz w:val="24"/>
          <w:szCs w:val="24"/>
        </w:rPr>
        <w:t xml:space="preserve"> the antibacterial activity</w:t>
      </w:r>
      <w:r>
        <w:rPr>
          <w:rFonts w:ascii="Times New Roman" w:cs="Times New Roman" w:eastAsia="Times New Roman" w:hAnsi="Times New Roman"/>
          <w:sz w:val="24"/>
          <w:szCs w:val="24"/>
        </w:rPr>
        <w:t xml:space="preserve"> of </w:t>
      </w:r>
      <w:bookmarkStart w:id="16" w:name="_Hlk199157975"/>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w:t>
      </w:r>
      <w:bookmarkEnd w:id="16"/>
      <w:r>
        <w:rPr>
          <w:rFonts w:ascii="Times New Roman" w:cs="Times New Roman" w:eastAsia="Times New Roman" w:hAnsi="Times New Roman"/>
          <w:sz w:val="24"/>
          <w:szCs w:val="24"/>
        </w:rPr>
        <w:t xml:space="preserve">extract against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using standard microbiological methods.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Check the phytochemical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p>
    <w:p>
      <w:pPr>
        <w:pStyle w:val="style0"/>
        <w:numPr>
          <w:ilvl w:val="0"/>
          <w:numId w:val="1"/>
        </w:numPr>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bCs/>
          <w:sz w:val="24"/>
          <w:szCs w:val="24"/>
        </w:rPr>
        <w:t>a</w:t>
      </w:r>
      <w:r>
        <w:rPr>
          <w:rFonts w:ascii="Times New Roman" w:cs="Times New Roman" w:eastAsia="Times New Roman" w:hAnsi="Times New Roman"/>
          <w:bCs/>
          <w:sz w:val="24"/>
          <w:szCs w:val="24"/>
        </w:rPr>
        <w:t>ssess</w:t>
      </w:r>
      <w:r>
        <w:rPr>
          <w:rFonts w:ascii="Times New Roman" w:cs="Times New Roman" w:eastAsia="Times New Roman" w:hAnsi="Times New Roman"/>
          <w:bCs/>
          <w:sz w:val="24"/>
          <w:szCs w:val="24"/>
        </w:rPr>
        <w:t xml:space="preserve"> the minimum inhibitory concentration (MIC)</w:t>
      </w:r>
      <w:r>
        <w:rPr>
          <w:rFonts w:ascii="Times New Roman" w:cs="Times New Roman" w:eastAsia="Times New Roman" w:hAnsi="Times New Roman"/>
          <w:sz w:val="24"/>
          <w:szCs w:val="24"/>
        </w:rPr>
        <w:t xml:space="preserve">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 against the two bacterial strains.</w:t>
      </w:r>
    </w:p>
    <w:p>
      <w:pPr>
        <w:pStyle w:val="style0"/>
        <w:spacing w:after="0" w:lineRule="auto" w:line="480"/>
        <w:rPr>
          <w:rFonts w:ascii="Times New Roman" w:cs="Times New Roman" w:eastAsia="Times New Roman" w:hAnsi="Times New Roman"/>
          <w:b/>
          <w:sz w:val="24"/>
          <w:szCs w:val="24"/>
        </w:rPr>
      </w:pPr>
    </w:p>
    <w:bookmarkStart w:id="17" w:name="_Toc203146292"/>
    <w:p>
      <w:pPr>
        <w:pStyle w:val="style1"/>
        <w:spacing w:lineRule="auto" w:line="480"/>
        <w:jc w:val="center"/>
        <w:rPr/>
      </w:pPr>
      <w:r>
        <w:t>CHAPTER TWO</w:t>
      </w:r>
      <w:bookmarkEnd w:id="17"/>
    </w:p>
    <w:bookmarkStart w:id="18" w:name="_Toc203146293"/>
    <w:p>
      <w:pPr>
        <w:pStyle w:val="style1"/>
        <w:spacing w:lineRule="auto" w:line="480"/>
        <w:jc w:val="center"/>
        <w:rPr/>
      </w:pPr>
      <w:r>
        <w:t>LITERATURE REVIEW</w:t>
      </w:r>
      <w:bookmarkEnd w:id="18"/>
    </w:p>
    <w:bookmarkStart w:id="19" w:name="_Toc203146294"/>
    <w:p>
      <w:pPr>
        <w:pStyle w:val="style2"/>
        <w:spacing w:lineRule="auto" w:line="480"/>
        <w:rPr/>
      </w:pPr>
      <w:r>
        <w:t>2.1</w:t>
      </w:r>
      <w:r>
        <w:tab/>
      </w:r>
      <w:r>
        <w:t>Antibacterial Agents</w:t>
      </w:r>
      <w:bookmarkEnd w:id="1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Antibacterial agents are substances that kill or inhibit the growth of bacteria. They are used to treat bacterial infections and can either be synthetic (produced artificially) or natural (derived from plants, animals, or microorganisms) (</w:t>
      </w:r>
      <w:r>
        <w:rPr>
          <w:rFonts w:ascii="Times New Roman" w:cs="Times New Roman" w:hAnsi="Times New Roman"/>
          <w:bCs/>
          <w:sz w:val="24"/>
          <w:szCs w:val="24"/>
        </w:rPr>
        <w:t>Ventola</w:t>
      </w:r>
      <w:r>
        <w:rPr>
          <w:rFonts w:ascii="Times New Roman" w:cs="Times New Roman" w:hAnsi="Times New Roman"/>
          <w:bCs/>
          <w:sz w:val="24"/>
          <w:szCs w:val="24"/>
        </w:rPr>
        <w:t>, 2019). The increasing resistance of bacteria to synthetic antibiotics has led to growing interest in plant-based antibacterial agents, which often contain a wide range of bioactive compounds with potential therapeutic effects (</w:t>
      </w:r>
      <w:r>
        <w:rPr>
          <w:rFonts w:ascii="Times New Roman" w:cs="Times New Roman" w:hAnsi="Times New Roman"/>
          <w:bCs/>
          <w:sz w:val="24"/>
          <w:szCs w:val="24"/>
        </w:rPr>
        <w:t>Gajdács</w:t>
      </w:r>
      <w:r>
        <w:rPr>
          <w:rFonts w:ascii="Times New Roman" w:cs="Times New Roman" w:hAnsi="Times New Roman"/>
          <w:bCs/>
          <w:sz w:val="24"/>
          <w:szCs w:val="24"/>
        </w:rPr>
        <w:t xml:space="preserve">, 2020). Plant extracts, essential oils, and phytochemicals such as flavonoids, tannins, and </w:t>
      </w:r>
      <w:r>
        <w:rPr>
          <w:rFonts w:ascii="Times New Roman" w:cs="Times New Roman" w:hAnsi="Times New Roman"/>
          <w:bCs/>
          <w:sz w:val="24"/>
          <w:szCs w:val="24"/>
        </w:rPr>
        <w:t>terpenoids</w:t>
      </w:r>
      <w:r>
        <w:rPr>
          <w:rFonts w:ascii="Times New Roman" w:cs="Times New Roman" w:hAnsi="Times New Roman"/>
          <w:bCs/>
          <w:sz w:val="24"/>
          <w:szCs w:val="24"/>
        </w:rPr>
        <w:t xml:space="preserve"> have shown significant antibacterial activities against both Gram-positive and Gram-negative bacteria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Their mechanisms of action include disrupting bacterial cell walls, interfering with metabolism, and inhibiting nucleic acid synthesis. Natural products offer advantages such as lower toxicity, multiple modes of action, and the potential to reduce antibiotic resistance when used properly (Borges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Today, antibacterial agents come from various sources, including natural products, chemical synthesis, and biotechnological modifications. They function by targeting essential bacterial structures or processes, such as the cell wall, protein synthesis, nucleic acid replication, and metabolic pathways, ultimately leading to bacterial death or growth inhibition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 However, despite their critical role, the growing problem of bacterial resistance to existing antibiotics presents a major challenge to global health.</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recent years, attention has increasingly turned toward exploring new antibacterial agents, particularly those derived from natural sources like plants. Studies have shown that certain medicinal plants, such as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contain essential oils and phytochemicals with </w:t>
      </w:r>
      <w:r>
        <w:rPr>
          <w:rFonts w:ascii="Times New Roman" w:cs="Times New Roman" w:hAnsi="Times New Roman"/>
          <w:bCs/>
          <w:sz w:val="24"/>
          <w:szCs w:val="24"/>
        </w:rPr>
        <w:t>strong antibacterial properties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 These natural compounds offer the advantage of being less likely to induce resistance compared to synthetic antibiotics, and they may provide multiple mechanisms of action against bacterial pathogens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Moreover, the urgency of discovering novel antibacterial agents </w:t>
      </w:r>
      <w:r>
        <w:rPr>
          <w:rFonts w:ascii="Times New Roman" w:cs="Times New Roman" w:hAnsi="Times New Roman"/>
          <w:bCs/>
          <w:sz w:val="24"/>
          <w:szCs w:val="24"/>
        </w:rPr>
        <w:t>has been heightened</w:t>
      </w:r>
      <w:r>
        <w:rPr>
          <w:rFonts w:ascii="Times New Roman" w:cs="Times New Roman" w:hAnsi="Times New Roman"/>
          <w:bCs/>
          <w:sz w:val="24"/>
          <w:szCs w:val="24"/>
        </w:rPr>
        <w:t xml:space="preserve"> by the emergence of multidrug-resistant organisms such as Methicillin-Resistant Staphylococcus aureus (MRSA) and drug-resistant strains of Escherichia coli (</w:t>
      </w:r>
      <w:r>
        <w:rPr>
          <w:rFonts w:ascii="Times New Roman" w:cs="Times New Roman" w:hAnsi="Times New Roman"/>
          <w:bCs/>
          <w:sz w:val="24"/>
          <w:szCs w:val="24"/>
        </w:rPr>
        <w:t>Elbehiry</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2022). These resistant strains cause infections that are harder and more expensive to treat, and they lead to higher rates of mortality and prolonged hospital stays. As a result, research into plant-based antibacterial agents is gaining significant momentum, offering hope for new, effective treatments that can complement or replace existing antibiotics.</w:t>
      </w:r>
    </w:p>
    <w:bookmarkStart w:id="20" w:name="_Toc203146295"/>
    <w:p>
      <w:pPr>
        <w:pStyle w:val="style3"/>
        <w:rPr>
          <w:bCs w:val="false"/>
          <w:szCs w:val="24"/>
        </w:rPr>
      </w:pPr>
      <w:r>
        <w:rPr>
          <w:bCs w:val="false"/>
          <w:szCs w:val="24"/>
        </w:rPr>
        <w:t>2.1.1</w:t>
      </w:r>
      <w:r>
        <w:rPr>
          <w:bCs w:val="false"/>
          <w:szCs w:val="24"/>
        </w:rPr>
        <w:tab/>
      </w:r>
      <w:r>
        <w:rPr>
          <w:bCs w:val="false"/>
          <w:szCs w:val="24"/>
        </w:rPr>
        <w:t>Types of Antibacterial Agents</w:t>
      </w:r>
      <w:bookmarkEnd w:id="2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broadly classified</w:t>
      </w:r>
      <w:r>
        <w:rPr>
          <w:rFonts w:ascii="Times New Roman" w:cs="Times New Roman" w:hAnsi="Times New Roman"/>
          <w:bCs/>
          <w:sz w:val="24"/>
          <w:szCs w:val="24"/>
        </w:rPr>
        <w:t xml:space="preserve"> based on their origin, spectrum of activity, and mechanism of action. These agents have revolutionized the treatment of bacterial infections, enabling healthcare professionals to manage diseases that </w:t>
      </w:r>
      <w:r>
        <w:rPr>
          <w:rFonts w:ascii="Times New Roman" w:cs="Times New Roman" w:hAnsi="Times New Roman"/>
          <w:bCs/>
          <w:sz w:val="24"/>
          <w:szCs w:val="24"/>
        </w:rPr>
        <w:t>were once considered</w:t>
      </w:r>
      <w:r>
        <w:rPr>
          <w:rFonts w:ascii="Times New Roman" w:cs="Times New Roman" w:hAnsi="Times New Roman"/>
          <w:bCs/>
          <w:sz w:val="24"/>
          <w:szCs w:val="24"/>
        </w:rPr>
        <w:t xml:space="preserve"> fatal. This section explores the different types of antibacterial agents, highlighting their origins, therapeutic roles, and methods of action against pathogenic bacteria.</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Origin of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w:t>
      </w:r>
      <w:r>
        <w:rPr>
          <w:rFonts w:ascii="Times New Roman" w:cs="Times New Roman" w:hAnsi="Times New Roman"/>
          <w:bCs/>
          <w:sz w:val="24"/>
          <w:szCs w:val="24"/>
        </w:rPr>
        <w:t>can be categorized</w:t>
      </w:r>
      <w:r>
        <w:rPr>
          <w:rFonts w:ascii="Times New Roman" w:cs="Times New Roman" w:hAnsi="Times New Roman"/>
          <w:bCs/>
          <w:sz w:val="24"/>
          <w:szCs w:val="24"/>
        </w:rPr>
        <w:t xml:space="preserve"> based on their origin, which determines their composition and the process of their development. The three main types of antibacterial agents based on origin are natural, semi-synthetic, and synthetic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 xml:space="preserve">Natural Antibacterial Agents </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w:t>
      </w:r>
      <w:r>
        <w:rPr>
          <w:rFonts w:ascii="Times New Roman" w:cs="Times New Roman" w:hAnsi="Times New Roman"/>
          <w:bCs/>
          <w:sz w:val="24"/>
          <w:szCs w:val="24"/>
        </w:rPr>
        <w:t>are derived</w:t>
      </w:r>
      <w:r>
        <w:rPr>
          <w:rFonts w:ascii="Times New Roman" w:cs="Times New Roman" w:hAnsi="Times New Roman"/>
          <w:bCs/>
          <w:sz w:val="24"/>
          <w:szCs w:val="24"/>
        </w:rPr>
        <w:t xml:space="preserve"> from naturally occurring sources, such as microorganisms, plants, and other natural substances. One of the most notable examples is penicillin, discovered from the mold </w:t>
      </w:r>
      <w:r>
        <w:rPr>
          <w:rFonts w:ascii="Times New Roman" w:cs="Times New Roman" w:hAnsi="Times New Roman"/>
          <w:bCs/>
          <w:sz w:val="24"/>
          <w:szCs w:val="24"/>
        </w:rPr>
        <w:t>Penicillium</w:t>
      </w:r>
      <w:r>
        <w:rPr>
          <w:rFonts w:ascii="Times New Roman" w:cs="Times New Roman" w:hAnsi="Times New Roman"/>
          <w:bCs/>
          <w:sz w:val="24"/>
          <w:szCs w:val="24"/>
        </w:rPr>
        <w:t xml:space="preserve"> .</w:t>
      </w:r>
      <w:r>
        <w:rPr>
          <w:rFonts w:ascii="Times New Roman" w:cs="Times New Roman" w:hAnsi="Times New Roman"/>
          <w:bCs/>
          <w:sz w:val="24"/>
          <w:szCs w:val="24"/>
        </w:rPr>
        <w:t xml:space="preserve"> Natural compounds have been a cornerstone of antibiotic development, with many modern antibiotics still based on their natural origins. Plant-based antibacterial agents, such as those derived from Eucalyptus </w:t>
      </w:r>
      <w:r>
        <w:rPr>
          <w:rFonts w:ascii="Times New Roman" w:cs="Times New Roman" w:hAnsi="Times New Roman"/>
          <w:bCs/>
          <w:sz w:val="24"/>
          <w:szCs w:val="24"/>
        </w:rPr>
        <w:t>globulus</w:t>
      </w:r>
      <w:r>
        <w:rPr>
          <w:rFonts w:ascii="Times New Roman" w:cs="Times New Roman" w:hAnsi="Times New Roman"/>
          <w:bCs/>
          <w:sz w:val="24"/>
          <w:szCs w:val="24"/>
        </w:rPr>
        <w:t>, have also gained attention for their promising antibacterial properties, offering an alternative to synthetic antibiotics (</w:t>
      </w:r>
      <w:r>
        <w:rPr>
          <w:rFonts w:ascii="Times New Roman" w:cs="Times New Roman" w:hAnsi="Times New Roman"/>
          <w:bCs/>
          <w:sz w:val="24"/>
          <w:szCs w:val="24"/>
        </w:rPr>
        <w:t>Salehi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Semi-Synthetic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Semi-synthetic antibiotics are chemical derivatives of natural compounds. These agents </w:t>
      </w:r>
      <w:r>
        <w:rPr>
          <w:rFonts w:ascii="Times New Roman" w:cs="Times New Roman" w:hAnsi="Times New Roman"/>
          <w:bCs/>
          <w:sz w:val="24"/>
          <w:szCs w:val="24"/>
        </w:rPr>
        <w:t>are modified</w:t>
      </w:r>
      <w:r>
        <w:rPr>
          <w:rFonts w:ascii="Times New Roman" w:cs="Times New Roman" w:hAnsi="Times New Roman"/>
          <w:bCs/>
          <w:sz w:val="24"/>
          <w:szCs w:val="24"/>
        </w:rPr>
        <w:t xml:space="preserve"> to enhance their antibacterial activity or to overcome specific bacterial resistances. For example, amoxicillin, derived from penicillin, </w:t>
      </w:r>
      <w:r>
        <w:rPr>
          <w:rFonts w:ascii="Times New Roman" w:cs="Times New Roman" w:hAnsi="Times New Roman"/>
          <w:bCs/>
          <w:sz w:val="24"/>
          <w:szCs w:val="24"/>
        </w:rPr>
        <w:t>has been chemically altered</w:t>
      </w:r>
      <w:r>
        <w:rPr>
          <w:rFonts w:ascii="Times New Roman" w:cs="Times New Roman" w:hAnsi="Times New Roman"/>
          <w:bCs/>
          <w:sz w:val="24"/>
          <w:szCs w:val="24"/>
        </w:rPr>
        <w:t xml:space="preserve"> to expand its effectiveness against a broader range of bacteria, particularly Escherichia coli and Streptococcus species (Livermore, 2020).</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Synthetic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antibiotics </w:t>
      </w:r>
      <w:r>
        <w:rPr>
          <w:rFonts w:ascii="Times New Roman" w:cs="Times New Roman" w:hAnsi="Times New Roman"/>
          <w:bCs/>
          <w:sz w:val="24"/>
          <w:szCs w:val="24"/>
        </w:rPr>
        <w:t>are entirely chemically synthesized</w:t>
      </w:r>
      <w:r>
        <w:rPr>
          <w:rFonts w:ascii="Times New Roman" w:cs="Times New Roman" w:hAnsi="Times New Roman"/>
          <w:bCs/>
          <w:sz w:val="24"/>
          <w:szCs w:val="24"/>
        </w:rPr>
        <w:t xml:space="preserve"> in laboratories. Sulfonamides and fluoroquinolones are prime examples of synthetic agents that </w:t>
      </w:r>
      <w:r>
        <w:rPr>
          <w:rFonts w:ascii="Times New Roman" w:cs="Times New Roman" w:hAnsi="Times New Roman"/>
          <w:bCs/>
          <w:sz w:val="24"/>
          <w:szCs w:val="24"/>
        </w:rPr>
        <w:t>were developed</w:t>
      </w:r>
      <w:r>
        <w:rPr>
          <w:rFonts w:ascii="Times New Roman" w:cs="Times New Roman" w:hAnsi="Times New Roman"/>
          <w:bCs/>
          <w:sz w:val="24"/>
          <w:szCs w:val="24"/>
        </w:rPr>
        <w:t xml:space="preserve"> to target specific bacterial processes (Blair </w:t>
      </w:r>
      <w:r>
        <w:rPr>
          <w:rFonts w:ascii="Times New Roman" w:cs="Times New Roman" w:hAnsi="Times New Roman"/>
          <w:bCs/>
          <w:i/>
          <w:sz w:val="24"/>
          <w:szCs w:val="24"/>
        </w:rPr>
        <w:t>et al</w:t>
      </w:r>
      <w:r>
        <w:rPr>
          <w:rFonts w:ascii="Times New Roman" w:cs="Times New Roman" w:hAnsi="Times New Roman"/>
          <w:bCs/>
          <w:sz w:val="24"/>
          <w:szCs w:val="24"/>
        </w:rPr>
        <w:t xml:space="preserve">., 2015). The advantage of synthetic agents lies in their ability to </w:t>
      </w:r>
      <w:r>
        <w:rPr>
          <w:rFonts w:ascii="Times New Roman" w:cs="Times New Roman" w:hAnsi="Times New Roman"/>
          <w:bCs/>
          <w:sz w:val="24"/>
          <w:szCs w:val="24"/>
        </w:rPr>
        <w:t>be tailored</w:t>
      </w:r>
      <w:r>
        <w:rPr>
          <w:rFonts w:ascii="Times New Roman" w:cs="Times New Roman" w:hAnsi="Times New Roman"/>
          <w:bCs/>
          <w:sz w:val="24"/>
          <w:szCs w:val="24"/>
        </w:rPr>
        <w:t xml:space="preserve"> for specific therapeutic needs, providing a wide range of options for clinicians.</w:t>
      </w:r>
    </w:p>
    <w:bookmarkStart w:id="21" w:name="_Toc203146296"/>
    <w:p>
      <w:pPr>
        <w:pStyle w:val="style3"/>
        <w:rPr>
          <w:bCs w:val="false"/>
          <w:szCs w:val="24"/>
        </w:rPr>
      </w:pPr>
      <w:r>
        <w:rPr>
          <w:bCs w:val="false"/>
          <w:szCs w:val="24"/>
        </w:rPr>
        <w:t>2.1.2</w:t>
      </w:r>
      <w:r>
        <w:rPr>
          <w:bCs w:val="false"/>
          <w:szCs w:val="24"/>
        </w:rPr>
        <w:tab/>
      </w:r>
      <w:r>
        <w:rPr>
          <w:bCs w:val="false"/>
          <w:szCs w:val="24"/>
        </w:rPr>
        <w:t>Spectrum of Activity</w:t>
      </w:r>
      <w:bookmarkEnd w:id="2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spectrum of activity refers to the range of bacterial species that an antibacterial agent can effectively target. Based on their spectrum, antibacterial agents are classified into narrow-spectrum and broad-spectrum agents.</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Narrow-Spectrum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These agents target specific types of bacteria. For example, vancomycin is particularly effective against Gram-positive bacteria such as Staphylococcus aureus and Clostridium difficile (Cohen, 2019). Narrow-spectrum agents are typically preferred when the causative bacterial pathogen </w:t>
      </w:r>
      <w:r>
        <w:rPr>
          <w:rFonts w:ascii="Times New Roman" w:cs="Times New Roman" w:hAnsi="Times New Roman"/>
          <w:bCs/>
          <w:sz w:val="24"/>
          <w:szCs w:val="24"/>
        </w:rPr>
        <w:t xml:space="preserve">is </w:t>
      </w:r>
      <w:r>
        <w:rPr>
          <w:rFonts w:ascii="Times New Roman" w:cs="Times New Roman" w:hAnsi="Times New Roman"/>
          <w:bCs/>
          <w:sz w:val="24"/>
          <w:szCs w:val="24"/>
        </w:rPr>
        <w:t>known</w:t>
      </w:r>
      <w:r>
        <w:rPr>
          <w:rFonts w:ascii="Times New Roman" w:cs="Times New Roman" w:hAnsi="Times New Roman"/>
          <w:bCs/>
          <w:sz w:val="24"/>
          <w:szCs w:val="24"/>
        </w:rPr>
        <w:t>, as they minimize the disruption to beneficial microbiota and reduce the likelihood of resistance development.</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Broad-Spectrum Antibacterial Agents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contrast, broad-spectrum antibiotics are effective against a wide range of bacterial species, both Gram-positive and Gram-negative. </w:t>
      </w:r>
      <w:r>
        <w:rPr>
          <w:rFonts w:ascii="Times New Roman" w:cs="Times New Roman" w:hAnsi="Times New Roman"/>
          <w:bCs/>
          <w:sz w:val="24"/>
          <w:szCs w:val="24"/>
        </w:rPr>
        <w:t>Tetracyclines</w:t>
      </w:r>
      <w:r>
        <w:rPr>
          <w:rFonts w:ascii="Times New Roman" w:cs="Times New Roman" w:hAnsi="Times New Roman"/>
          <w:bCs/>
          <w:sz w:val="24"/>
          <w:szCs w:val="24"/>
        </w:rPr>
        <w:t xml:space="preserve"> and fluoroquinolones are prime examples of broad-spectrum antibiotics (</w:t>
      </w:r>
      <w:r>
        <w:rPr>
          <w:rFonts w:ascii="Times New Roman" w:cs="Times New Roman" w:hAnsi="Times New Roman"/>
          <w:bCs/>
          <w:sz w:val="24"/>
          <w:szCs w:val="24"/>
        </w:rPr>
        <w:t>Deo</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2018). These agents are particularly useful when the infecting pathogen is unknown, or when multiple bacteria are involved in an infection. However, overuse of broad-spectrum antibiotics is associated with the development of resistance and disruption of the normal microbiome.</w:t>
      </w:r>
    </w:p>
    <w:bookmarkStart w:id="22" w:name="_Toc203146297"/>
    <w:p>
      <w:pPr>
        <w:pStyle w:val="style3"/>
        <w:rPr/>
      </w:pPr>
      <w:r>
        <w:t>2.1.3</w:t>
      </w:r>
      <w:r>
        <w:tab/>
      </w:r>
      <w:r>
        <w:t>Mechanisms of Action</w:t>
      </w:r>
      <w:bookmarkEnd w:id="22"/>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Antibacterial agents exert their therapeutic effects by targeting specific bacterial structures or processes, thereby interfering with bacterial growth or survival. These mechanisms </w:t>
      </w:r>
      <w:r>
        <w:rPr>
          <w:rFonts w:ascii="Times New Roman" w:cs="Times New Roman" w:hAnsi="Times New Roman"/>
          <w:bCs/>
          <w:sz w:val="24"/>
          <w:szCs w:val="24"/>
        </w:rPr>
        <w:t>can be grouped</w:t>
      </w:r>
      <w:r>
        <w:rPr>
          <w:rFonts w:ascii="Times New Roman" w:cs="Times New Roman" w:hAnsi="Times New Roman"/>
          <w:bCs/>
          <w:sz w:val="24"/>
          <w:szCs w:val="24"/>
        </w:rPr>
        <w:t xml:space="preserve"> into several categories based on the target within the bacterial cell.</w:t>
      </w:r>
    </w:p>
    <w:p>
      <w:pPr>
        <w:pStyle w:val="style0"/>
        <w:spacing w:after="0" w:lineRule="auto" w:line="480"/>
        <w:jc w:val="both"/>
        <w:rPr>
          <w:rFonts w:ascii="Times New Roman" w:cs="Times New Roman" w:hAnsi="Times New Roman"/>
          <w:b/>
          <w:sz w:val="24"/>
          <w:szCs w:val="24"/>
        </w:rPr>
      </w:pPr>
      <w:r>
        <w:rPr>
          <w:rFonts w:ascii="Times New Roman" w:cs="Times New Roman" w:hAnsi="Times New Roman"/>
          <w:b/>
          <w:sz w:val="24"/>
          <w:szCs w:val="24"/>
        </w:rPr>
        <w:t>1.</w:t>
      </w:r>
      <w:r>
        <w:rPr>
          <w:rFonts w:ascii="Times New Roman" w:cs="Times New Roman" w:hAnsi="Times New Roman"/>
          <w:b/>
          <w:sz w:val="24"/>
          <w:szCs w:val="24"/>
        </w:rPr>
        <w:tab/>
      </w:r>
      <w:r>
        <w:rPr>
          <w:rFonts w:ascii="Times New Roman" w:cs="Times New Roman" w:hAnsi="Times New Roman"/>
          <w:bCs/>
          <w:sz w:val="24"/>
          <w:szCs w:val="24"/>
        </w:rPr>
        <w:t>Cell Wall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Many antibiotics, such as β-lactams (including penicillin and </w:t>
      </w:r>
      <w:r>
        <w:rPr>
          <w:rFonts w:ascii="Times New Roman" w:cs="Times New Roman" w:hAnsi="Times New Roman"/>
          <w:bCs/>
          <w:sz w:val="24"/>
          <w:szCs w:val="24"/>
        </w:rPr>
        <w:t>cephalosporins</w:t>
      </w:r>
      <w:r>
        <w:rPr>
          <w:rFonts w:ascii="Times New Roman" w:cs="Times New Roman" w:hAnsi="Times New Roman"/>
          <w:bCs/>
          <w:sz w:val="24"/>
          <w:szCs w:val="24"/>
        </w:rPr>
        <w:t>), target bacterial cell wall synthesis. Bacterial cell walls are crucial for maintaining the structural integrity of the cell, and when their synthesis is blocked, the bacteria are unable to survive. This leads to cell lysis and death, particularly in Gram-positive bacteria (</w:t>
      </w:r>
      <w:r>
        <w:rPr>
          <w:rFonts w:ascii="Times New Roman" w:cs="Times New Roman" w:hAnsi="Times New Roman"/>
          <w:bCs/>
          <w:sz w:val="24"/>
          <w:szCs w:val="24"/>
        </w:rPr>
        <w:t>Gajdács</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2.</w:t>
      </w:r>
      <w:r>
        <w:rPr>
          <w:rFonts w:ascii="Times New Roman" w:cs="Times New Roman" w:hAnsi="Times New Roman"/>
          <w:bCs/>
          <w:sz w:val="24"/>
          <w:szCs w:val="24"/>
        </w:rPr>
        <w:tab/>
      </w:r>
      <w:r>
        <w:rPr>
          <w:rFonts w:ascii="Times New Roman" w:cs="Times New Roman" w:hAnsi="Times New Roman"/>
          <w:bCs/>
          <w:sz w:val="24"/>
          <w:szCs w:val="24"/>
        </w:rPr>
        <w:t>Protein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Tetracyclines</w:t>
      </w:r>
      <w:r>
        <w:rPr>
          <w:rFonts w:ascii="Times New Roman" w:cs="Times New Roman" w:hAnsi="Times New Roman"/>
          <w:bCs/>
          <w:sz w:val="24"/>
          <w:szCs w:val="24"/>
        </w:rPr>
        <w:t>, macrolides, and aminoglycosides are antibiotics that inhibit bacterial protein synthesis. These agents bind to bacterial ribosomes and prevent the assembly of proteins, essential for bacterial growth and function. Without the ability to synthesize proteins, bacteria are unable to replicate or perform vital functions, leading to their death or inhibition (</w:t>
      </w:r>
      <w:r>
        <w:rPr>
          <w:rFonts w:ascii="Times New Roman" w:cs="Times New Roman" w:hAnsi="Times New Roman"/>
          <w:bCs/>
          <w:sz w:val="24"/>
          <w:szCs w:val="24"/>
        </w:rPr>
        <w:t>Boukhatem</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3.</w:t>
      </w:r>
      <w:r>
        <w:rPr>
          <w:rFonts w:ascii="Times New Roman" w:cs="Times New Roman" w:hAnsi="Times New Roman"/>
          <w:bCs/>
          <w:sz w:val="24"/>
          <w:szCs w:val="24"/>
        </w:rPr>
        <w:tab/>
      </w:r>
      <w:r>
        <w:rPr>
          <w:rFonts w:ascii="Times New Roman" w:cs="Times New Roman" w:hAnsi="Times New Roman"/>
          <w:bCs/>
          <w:sz w:val="24"/>
          <w:szCs w:val="24"/>
        </w:rPr>
        <w:t>DNA Synthesis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Fluoroquinolones such as ciprofloxacin and levofloxacin work by inhibiting the enzymes involved in DNA replication, such as DNA gyrase and topoisomerase. These enzymes are necessary for maintaining the integrity of the bacterial genome, and their inhibition prevents bacterial DNA from unwinding, ultimately leading to bacterial cell death (</w:t>
      </w:r>
      <w:r>
        <w:rPr>
          <w:rFonts w:ascii="Times New Roman" w:cs="Times New Roman" w:hAnsi="Times New Roman"/>
          <w:bCs/>
          <w:sz w:val="24"/>
          <w:szCs w:val="24"/>
        </w:rPr>
        <w:t>Echeverría</w:t>
      </w:r>
      <w:r>
        <w:rPr>
          <w:rFonts w:ascii="Times New Roman" w:cs="Times New Roman" w:hAnsi="Times New Roman"/>
          <w:bCs/>
          <w:sz w:val="24"/>
          <w:szCs w:val="24"/>
        </w:rPr>
        <w:t xml:space="preserve"> &amp; Albuquerque,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4.</w:t>
      </w:r>
      <w:r>
        <w:rPr>
          <w:rFonts w:ascii="Times New Roman" w:cs="Times New Roman" w:hAnsi="Times New Roman"/>
          <w:bCs/>
          <w:sz w:val="24"/>
          <w:szCs w:val="24"/>
        </w:rPr>
        <w:tab/>
      </w:r>
      <w:r>
        <w:rPr>
          <w:rFonts w:ascii="Times New Roman" w:cs="Times New Roman" w:hAnsi="Times New Roman"/>
          <w:bCs/>
          <w:sz w:val="24"/>
          <w:szCs w:val="24"/>
        </w:rPr>
        <w:t>Cell Membrane Disruptors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Polymyxins</w:t>
      </w:r>
      <w:r>
        <w:rPr>
          <w:rFonts w:ascii="Times New Roman" w:cs="Times New Roman" w:hAnsi="Times New Roman"/>
          <w:bCs/>
          <w:sz w:val="24"/>
          <w:szCs w:val="24"/>
        </w:rPr>
        <w:t xml:space="preserve">, such as </w:t>
      </w:r>
      <w:r>
        <w:rPr>
          <w:rFonts w:ascii="Times New Roman" w:cs="Times New Roman" w:hAnsi="Times New Roman"/>
          <w:bCs/>
          <w:sz w:val="24"/>
          <w:szCs w:val="24"/>
        </w:rPr>
        <w:t>polymyxin</w:t>
      </w:r>
      <w:r>
        <w:rPr>
          <w:rFonts w:ascii="Times New Roman" w:cs="Times New Roman" w:hAnsi="Times New Roman"/>
          <w:bCs/>
          <w:sz w:val="24"/>
          <w:szCs w:val="24"/>
        </w:rPr>
        <w:t xml:space="preserve"> B and </w:t>
      </w:r>
      <w:r>
        <w:rPr>
          <w:rFonts w:ascii="Times New Roman" w:cs="Times New Roman" w:hAnsi="Times New Roman"/>
          <w:bCs/>
          <w:sz w:val="24"/>
          <w:szCs w:val="24"/>
        </w:rPr>
        <w:t>colistin</w:t>
      </w:r>
      <w:r>
        <w:rPr>
          <w:rFonts w:ascii="Times New Roman" w:cs="Times New Roman" w:hAnsi="Times New Roman"/>
          <w:bCs/>
          <w:sz w:val="24"/>
          <w:szCs w:val="24"/>
        </w:rPr>
        <w:t xml:space="preserve">, interact with the outer membrane of Gram-negative bacteria, increasing membrane permeability. This leads to the leakage of vital cellular contents, causing cell death. </w:t>
      </w:r>
      <w:r>
        <w:rPr>
          <w:rFonts w:ascii="Times New Roman" w:cs="Times New Roman" w:hAnsi="Times New Roman"/>
          <w:bCs/>
          <w:sz w:val="24"/>
          <w:szCs w:val="24"/>
        </w:rPr>
        <w:t>Polymyxins</w:t>
      </w:r>
      <w:r>
        <w:rPr>
          <w:rFonts w:ascii="Times New Roman" w:cs="Times New Roman" w:hAnsi="Times New Roman"/>
          <w:bCs/>
          <w:sz w:val="24"/>
          <w:szCs w:val="24"/>
        </w:rPr>
        <w:t xml:space="preserve"> </w:t>
      </w:r>
      <w:r>
        <w:rPr>
          <w:rFonts w:ascii="Times New Roman" w:cs="Times New Roman" w:hAnsi="Times New Roman"/>
          <w:bCs/>
          <w:sz w:val="24"/>
          <w:szCs w:val="24"/>
        </w:rPr>
        <w:t>are often reserved</w:t>
      </w:r>
      <w:r>
        <w:rPr>
          <w:rFonts w:ascii="Times New Roman" w:cs="Times New Roman" w:hAnsi="Times New Roman"/>
          <w:bCs/>
          <w:sz w:val="24"/>
          <w:szCs w:val="24"/>
        </w:rPr>
        <w:t xml:space="preserve"> for multi-drug-resistant Gram-negative infections due to their potency and potential toxicity (</w:t>
      </w:r>
      <w:r>
        <w:rPr>
          <w:rFonts w:ascii="Times New Roman" w:cs="Times New Roman" w:hAnsi="Times New Roman"/>
          <w:bCs/>
          <w:sz w:val="24"/>
          <w:szCs w:val="24"/>
        </w:rPr>
        <w:t>Gorib</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2021).</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5.</w:t>
      </w:r>
      <w:r>
        <w:rPr>
          <w:rFonts w:ascii="Times New Roman" w:cs="Times New Roman" w:hAnsi="Times New Roman"/>
          <w:bCs/>
          <w:sz w:val="24"/>
          <w:szCs w:val="24"/>
        </w:rPr>
        <w:tab/>
      </w:r>
      <w:r>
        <w:rPr>
          <w:rFonts w:ascii="Times New Roman" w:cs="Times New Roman" w:hAnsi="Times New Roman"/>
          <w:bCs/>
          <w:sz w:val="24"/>
          <w:szCs w:val="24"/>
        </w:rPr>
        <w:t>Metabolic Pathway Inhibitors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Sulfonamides and trimethoprim inhibit bacterial folic acid synthesis, a pathway crucial for bacterial survival. By blocking the production of folic acid, which is essential for DNA synthesis and cell division, these antibiotics effectively stop bacterial replication and growth (Blair </w:t>
      </w:r>
      <w:r>
        <w:rPr>
          <w:rFonts w:ascii="Times New Roman" w:cs="Times New Roman" w:hAnsi="Times New Roman"/>
          <w:bCs/>
          <w:i/>
          <w:sz w:val="24"/>
          <w:szCs w:val="24"/>
        </w:rPr>
        <w:t>et al</w:t>
      </w:r>
      <w:r>
        <w:rPr>
          <w:rFonts w:ascii="Times New Roman" w:cs="Times New Roman" w:hAnsi="Times New Roman"/>
          <w:bCs/>
          <w:sz w:val="24"/>
          <w:szCs w:val="24"/>
        </w:rPr>
        <w:t>., 2015).</w:t>
      </w:r>
    </w:p>
    <w:bookmarkStart w:id="23" w:name="_Toc203146298"/>
    <w:p>
      <w:pPr>
        <w:pStyle w:val="style3"/>
        <w:rPr/>
      </w:pPr>
      <w:r>
        <w:t>2.1.4</w:t>
      </w:r>
      <w:r>
        <w:tab/>
      </w:r>
      <w:r>
        <w:t>Combination Therapy</w:t>
      </w:r>
      <w:bookmarkEnd w:id="23"/>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In the fight against multidrug-resistant bacteria, combination therapies have become an essential tool. These therapies involve the use of two or more antibacterial agents simultaneously, often with complementary mechanisms of action. This approach can enhance the antibacterial effect, prevent the emergence of resistance, and improve treatment outcomes (Paterson &amp; </w:t>
      </w:r>
      <w:r>
        <w:rPr>
          <w:rFonts w:ascii="Times New Roman" w:cs="Times New Roman" w:hAnsi="Times New Roman"/>
          <w:bCs/>
          <w:sz w:val="24"/>
          <w:szCs w:val="24"/>
        </w:rPr>
        <w:t>Bonomo</w:t>
      </w:r>
      <w:r>
        <w:rPr>
          <w:rFonts w:ascii="Times New Roman" w:cs="Times New Roman" w:hAnsi="Times New Roman"/>
          <w:bCs/>
          <w:sz w:val="24"/>
          <w:szCs w:val="24"/>
        </w:rPr>
        <w:t xml:space="preserve">, 2020). For example, combining β-lactams with β-lactamase inhibitors can restore the effectiveness </w:t>
      </w:r>
      <w:r>
        <w:rPr>
          <w:rFonts w:ascii="Times New Roman" w:cs="Times New Roman" w:hAnsi="Times New Roman"/>
          <w:bCs/>
          <w:sz w:val="24"/>
          <w:szCs w:val="24"/>
        </w:rPr>
        <w:t>of the former against bacteria that produce β-lactamase, an enzyme that degrades penicillin and related drugs.</w:t>
      </w:r>
    </w:p>
    <w:bookmarkStart w:id="24" w:name="_Toc203146299"/>
    <w:p>
      <w:pPr>
        <w:pStyle w:val="style2"/>
        <w:rPr/>
      </w:pPr>
      <w:r>
        <w:t>2.2</w:t>
      </w:r>
      <w:r>
        <w:tab/>
      </w:r>
      <w:r>
        <w:t xml:space="preserve">Overview of Eucalyptus </w:t>
      </w:r>
      <w:r>
        <w:t>globulus</w:t>
      </w:r>
      <w:bookmarkEnd w:id="24"/>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w:t>
      </w:r>
      <w:r>
        <w:rPr>
          <w:rFonts w:ascii="Times New Roman" w:cs="Times New Roman" w:hAnsi="Times New Roman"/>
          <w:bCs/>
          <w:sz w:val="24"/>
          <w:szCs w:val="24"/>
        </w:rPr>
        <w:t>is commonly known</w:t>
      </w:r>
      <w:r>
        <w:rPr>
          <w:rFonts w:ascii="Times New Roman" w:cs="Times New Roman" w:hAnsi="Times New Roman"/>
          <w:bCs/>
          <w:sz w:val="24"/>
          <w:szCs w:val="24"/>
        </w:rPr>
        <w:t xml:space="preserve"> as the blue gum tree and it is a species of evergreen tree native to Australia. It belongs to the </w:t>
      </w:r>
      <w:r>
        <w:rPr>
          <w:rFonts w:ascii="Times New Roman" w:cs="Times New Roman" w:hAnsi="Times New Roman"/>
          <w:bCs/>
          <w:sz w:val="24"/>
          <w:szCs w:val="24"/>
        </w:rPr>
        <w:t>Myrtaceae</w:t>
      </w:r>
      <w:r>
        <w:rPr>
          <w:rFonts w:ascii="Times New Roman" w:cs="Times New Roman" w:hAnsi="Times New Roman"/>
          <w:bCs/>
          <w:sz w:val="24"/>
          <w:szCs w:val="24"/>
        </w:rPr>
        <w:t xml:space="preserve"> family, which includes a diverse range of trees and shrubs.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one of the most economically significant species within the genus Eucalyptus, due to its widespread use in the timber, paper, and medicinal industries (Sharma </w:t>
      </w:r>
      <w:r>
        <w:rPr>
          <w:rFonts w:ascii="Times New Roman" w:cs="Times New Roman" w:hAnsi="Times New Roman"/>
          <w:bCs/>
          <w:i/>
          <w:sz w:val="24"/>
          <w:szCs w:val="24"/>
        </w:rPr>
        <w:t>et al</w:t>
      </w:r>
      <w:r>
        <w:rPr>
          <w:rFonts w:ascii="Times New Roman" w:cs="Times New Roman" w:hAnsi="Times New Roman"/>
          <w:bCs/>
          <w:sz w:val="24"/>
          <w:szCs w:val="24"/>
        </w:rPr>
        <w:t xml:space="preserve">., 2020). The tree </w:t>
      </w:r>
      <w:r>
        <w:rPr>
          <w:rFonts w:ascii="Times New Roman" w:cs="Times New Roman" w:hAnsi="Times New Roman"/>
          <w:bCs/>
          <w:sz w:val="24"/>
          <w:szCs w:val="24"/>
        </w:rPr>
        <w:t>is recognized</w:t>
      </w:r>
      <w:r>
        <w:rPr>
          <w:rFonts w:ascii="Times New Roman" w:cs="Times New Roman" w:hAnsi="Times New Roman"/>
          <w:bCs/>
          <w:sz w:val="24"/>
          <w:szCs w:val="24"/>
        </w:rPr>
        <w:t xml:space="preserve"> for its tall stature, with some specimens reaching over 70 meters in height, and its distinctive blue-green leaves that give it the common name "blue gum" (Sharma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is renowned for its medicinal properties, particularly its antimicrobial, anti-inflammatory, and analgesic activities. The essential oil extracted from the leaves of the tree </w:t>
      </w:r>
      <w:r>
        <w:rPr>
          <w:rFonts w:ascii="Times New Roman" w:cs="Times New Roman" w:hAnsi="Times New Roman"/>
          <w:bCs/>
          <w:sz w:val="24"/>
          <w:szCs w:val="24"/>
        </w:rPr>
        <w:t>has long been used</w:t>
      </w:r>
      <w:r>
        <w:rPr>
          <w:rFonts w:ascii="Times New Roman" w:cs="Times New Roman" w:hAnsi="Times New Roman"/>
          <w:bCs/>
          <w:sz w:val="24"/>
          <w:szCs w:val="24"/>
        </w:rPr>
        <w:t xml:space="preserve"> in traditional medicine, and its therapeutic potential is now being explored through modern pharmacological research (Mackenzie </w:t>
      </w:r>
      <w:r>
        <w:rPr>
          <w:rFonts w:ascii="Times New Roman" w:cs="Times New Roman" w:hAnsi="Times New Roman"/>
          <w:bCs/>
          <w:i/>
          <w:sz w:val="24"/>
          <w:szCs w:val="24"/>
        </w:rPr>
        <w:t>et al</w:t>
      </w:r>
      <w:r>
        <w:rPr>
          <w:rFonts w:ascii="Times New Roman" w:cs="Times New Roman" w:hAnsi="Times New Roman"/>
          <w:bCs/>
          <w:sz w:val="24"/>
          <w:szCs w:val="24"/>
        </w:rPr>
        <w:t>., 2019). This essential oil is rich in compounds such as eucalyptol (also known as 1</w:t>
      </w:r>
      <w:r>
        <w:rPr>
          <w:rFonts w:ascii="Times New Roman" w:cs="Times New Roman" w:hAnsi="Times New Roman"/>
          <w:bCs/>
          <w:sz w:val="24"/>
          <w:szCs w:val="24"/>
        </w:rPr>
        <w:t>,8</w:t>
      </w:r>
      <w:r>
        <w:rPr>
          <w:rFonts w:ascii="Times New Roman" w:cs="Times New Roman" w:hAnsi="Times New Roman"/>
          <w:bCs/>
          <w:sz w:val="24"/>
          <w:szCs w:val="24"/>
        </w:rPr>
        <w:t xml:space="preserve">-cineole), which is the primary bioactive compound responsible for the plant's antimicrobial properties (Sani </w:t>
      </w:r>
      <w:r>
        <w:rPr>
          <w:rFonts w:ascii="Times New Roman" w:cs="Times New Roman" w:hAnsi="Times New Roman"/>
          <w:bCs/>
          <w:i/>
          <w:sz w:val="24"/>
          <w:szCs w:val="24"/>
        </w:rPr>
        <w:t>et al</w:t>
      </w:r>
      <w:r>
        <w:rPr>
          <w:rFonts w:ascii="Times New Roman" w:cs="Times New Roman" w:hAnsi="Times New Roman"/>
          <w:bCs/>
          <w:sz w:val="24"/>
          <w:szCs w:val="24"/>
        </w:rPr>
        <w:t xml:space="preserve">., 2020). The wide application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in various sectors ranging from the pharmaceutical to the agricultural industries—has fueled interest in its biological activities, particularly its role as a potential source of natural antibacterial agents. Given the rise in antimicrobial resistance, the antibacterial efficacy of Eucalyptus </w:t>
      </w:r>
      <w:r>
        <w:rPr>
          <w:rFonts w:ascii="Times New Roman" w:cs="Times New Roman" w:hAnsi="Times New Roman"/>
          <w:bCs/>
          <w:sz w:val="24"/>
          <w:szCs w:val="24"/>
        </w:rPr>
        <w:t>globulus</w:t>
      </w:r>
      <w:r>
        <w:rPr>
          <w:rFonts w:ascii="Times New Roman" w:cs="Times New Roman" w:hAnsi="Times New Roman"/>
          <w:bCs/>
          <w:sz w:val="24"/>
          <w:szCs w:val="24"/>
        </w:rPr>
        <w:t xml:space="preserve"> and its essential oil has been the subject of numerous studies, which have demonstrated its effectiveness against a variety of bacterial strains, including Gram-positive and Gram-negative bacteria (</w:t>
      </w:r>
      <w:r>
        <w:rPr>
          <w:rFonts w:ascii="Times New Roman" w:cs="Times New Roman" w:hAnsi="Times New Roman"/>
          <w:bCs/>
          <w:sz w:val="24"/>
          <w:szCs w:val="24"/>
        </w:rPr>
        <w:t>Fadeyi</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2018; Silva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5" w:name="_Toc203146300"/>
    <w:p>
      <w:pPr>
        <w:pStyle w:val="style2"/>
        <w:spacing w:lineRule="auto" w:line="480"/>
        <w:rPr/>
      </w:pPr>
      <w:r>
        <w:t>2.3</w:t>
      </w:r>
      <w:r>
        <w:tab/>
      </w:r>
      <w:r>
        <w:t xml:space="preserve">Methicillin -Resistant Staphylococcus </w:t>
      </w:r>
      <w:r>
        <w:rPr>
          <w:i/>
        </w:rPr>
        <w:t>aureus</w:t>
      </w:r>
      <w:r>
        <w:t xml:space="preserve"> (MRSA)</w:t>
      </w:r>
      <w:bookmarkEnd w:id="25"/>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Staphylococcus aureus is a gram-positive bacterium that is a common pathogen in both healthcare and community settings. It </w:t>
      </w:r>
      <w:r>
        <w:rPr>
          <w:rFonts w:ascii="Times New Roman" w:cs="Times New Roman" w:hAnsi="Times New Roman"/>
          <w:bCs/>
          <w:sz w:val="24"/>
          <w:szCs w:val="24"/>
        </w:rPr>
        <w:t>is known</w:t>
      </w:r>
      <w:r>
        <w:rPr>
          <w:rFonts w:ascii="Times New Roman" w:cs="Times New Roman" w:hAnsi="Times New Roman"/>
          <w:bCs/>
          <w:sz w:val="24"/>
          <w:szCs w:val="24"/>
        </w:rPr>
        <w:t xml:space="preserve"> for causing a wide range of infections, from mild skin infections to severe conditions such as pneumonia, endocarditis, and osteomyelitis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2020). One of the most concerning aspects of S. aureus is its ability to acquire resistance to antibiotics, particularly methicillin, which has led to the emergence of methicillin-resistant Staphylococcus aureus (MRSA).</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MRSA refers to strains of S. aureus that have developed resistance to beta-lactam antibiotics, including methicillin, </w:t>
      </w:r>
      <w:r>
        <w:rPr>
          <w:rFonts w:ascii="Times New Roman" w:cs="Times New Roman" w:hAnsi="Times New Roman"/>
          <w:bCs/>
          <w:sz w:val="24"/>
          <w:szCs w:val="24"/>
        </w:rPr>
        <w:t>oxacillin</w:t>
      </w:r>
      <w:r>
        <w:rPr>
          <w:rFonts w:ascii="Times New Roman" w:cs="Times New Roman" w:hAnsi="Times New Roman"/>
          <w:bCs/>
          <w:sz w:val="24"/>
          <w:szCs w:val="24"/>
        </w:rPr>
        <w:t xml:space="preserve">, and penicillin. This resistance is due to the acquisition of the </w:t>
      </w:r>
      <w:r>
        <w:rPr>
          <w:rFonts w:ascii="Times New Roman" w:cs="Times New Roman" w:hAnsi="Times New Roman"/>
          <w:bCs/>
          <w:sz w:val="24"/>
          <w:szCs w:val="24"/>
        </w:rPr>
        <w:t>mecA</w:t>
      </w:r>
      <w:r>
        <w:rPr>
          <w:rFonts w:ascii="Times New Roman" w:cs="Times New Roman" w:hAnsi="Times New Roman"/>
          <w:bCs/>
          <w:sz w:val="24"/>
          <w:szCs w:val="24"/>
        </w:rPr>
        <w:t xml:space="preserve"> gene, which encodes a modified penicillin-binding protein (PBP2a) that has a low affinity for beta-lactam antibiotics (</w:t>
      </w:r>
      <w:r>
        <w:rPr>
          <w:rFonts w:ascii="Times New Roman" w:cs="Times New Roman" w:hAnsi="Times New Roman"/>
          <w:bCs/>
          <w:sz w:val="24"/>
          <w:szCs w:val="24"/>
        </w:rPr>
        <w:t>Bouchiat</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2019). As a result, MRSA is difficult to treat with standard antibiotic therapies, making it a major cause of hospital-acquired infections (HAIs) and a growing concern in community-associated infections (CAIs) (Nash </w:t>
      </w:r>
      <w:r>
        <w:rPr>
          <w:rFonts w:ascii="Times New Roman" w:cs="Times New Roman" w:hAnsi="Times New Roman"/>
          <w:bCs/>
          <w:i/>
          <w:sz w:val="24"/>
          <w:szCs w:val="24"/>
        </w:rPr>
        <w:t>et al</w:t>
      </w:r>
      <w:r>
        <w:rPr>
          <w:rFonts w:ascii="Times New Roman" w:cs="Times New Roman" w:hAnsi="Times New Roman"/>
          <w:bCs/>
          <w:sz w:val="24"/>
          <w:szCs w:val="24"/>
        </w:rPr>
        <w:t>., 2019).</w:t>
      </w:r>
    </w:p>
    <w:bookmarkStart w:id="26" w:name="_Toc203146301"/>
    <w:p>
      <w:pPr>
        <w:pStyle w:val="style3"/>
        <w:rPr/>
      </w:pPr>
      <w:r>
        <w:t>2.3.1</w:t>
      </w:r>
      <w:r>
        <w:tab/>
      </w:r>
      <w:r>
        <w:t>Mechanisms of Resistance</w:t>
      </w:r>
      <w:bookmarkEnd w:id="26"/>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w:t>
      </w:r>
      <w:r>
        <w:rPr>
          <w:rFonts w:ascii="Times New Roman" w:cs="Times New Roman" w:hAnsi="Times New Roman"/>
          <w:bCs/>
          <w:sz w:val="24"/>
          <w:szCs w:val="24"/>
        </w:rPr>
        <w:t xml:space="preserve">resistance of S. aureus to methicillin and other antibiotics is primarily mediated by the </w:t>
      </w:r>
      <w:r>
        <w:rPr>
          <w:rFonts w:ascii="Times New Roman" w:cs="Times New Roman" w:hAnsi="Times New Roman"/>
          <w:bCs/>
          <w:sz w:val="24"/>
          <w:szCs w:val="24"/>
        </w:rPr>
        <w:t>mecA</w:t>
      </w:r>
      <w:r>
        <w:rPr>
          <w:rFonts w:ascii="Times New Roman" w:cs="Times New Roman" w:hAnsi="Times New Roman"/>
          <w:bCs/>
          <w:sz w:val="24"/>
          <w:szCs w:val="24"/>
        </w:rPr>
        <w:t xml:space="preserve"> gene</w:t>
      </w:r>
      <w:r>
        <w:rPr>
          <w:rFonts w:ascii="Times New Roman" w:cs="Times New Roman" w:hAnsi="Times New Roman"/>
          <w:bCs/>
          <w:sz w:val="24"/>
          <w:szCs w:val="24"/>
        </w:rPr>
        <w:t xml:space="preserve">, which is located on a mobile genetic element known as the staphylococcal cassette chromosome </w:t>
      </w:r>
      <w:r>
        <w:rPr>
          <w:rFonts w:ascii="Times New Roman" w:cs="Times New Roman" w:hAnsi="Times New Roman"/>
          <w:bCs/>
          <w:sz w:val="24"/>
          <w:szCs w:val="24"/>
        </w:rPr>
        <w:t>mec</w:t>
      </w:r>
      <w:r>
        <w:rPr>
          <w:rFonts w:ascii="Times New Roman" w:cs="Times New Roman" w:hAnsi="Times New Roman"/>
          <w:bCs/>
          <w:sz w:val="24"/>
          <w:szCs w:val="24"/>
        </w:rPr>
        <w:t xml:space="preserve"> (</w:t>
      </w:r>
      <w:r>
        <w:rPr>
          <w:rFonts w:ascii="Times New Roman" w:cs="Times New Roman" w:hAnsi="Times New Roman"/>
          <w:bCs/>
          <w:sz w:val="24"/>
          <w:szCs w:val="24"/>
        </w:rPr>
        <w:t>SCCmec</w:t>
      </w:r>
      <w:r>
        <w:rPr>
          <w:rFonts w:ascii="Times New Roman" w:cs="Times New Roman" w:hAnsi="Times New Roman"/>
          <w:bCs/>
          <w:sz w:val="24"/>
          <w:szCs w:val="24"/>
        </w:rPr>
        <w:t>). This gene encodes PBP2a, which alters the structure of the bacterial cell wall, rendering it less susceptible to beta-lactams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the </w:t>
      </w:r>
      <w:r>
        <w:rPr>
          <w:rFonts w:ascii="Times New Roman" w:cs="Times New Roman" w:hAnsi="Times New Roman"/>
          <w:bCs/>
          <w:sz w:val="24"/>
          <w:szCs w:val="24"/>
        </w:rPr>
        <w:t>mecA</w:t>
      </w:r>
      <w:r>
        <w:rPr>
          <w:rFonts w:ascii="Times New Roman" w:cs="Times New Roman" w:hAnsi="Times New Roman"/>
          <w:bCs/>
          <w:sz w:val="24"/>
          <w:szCs w:val="24"/>
        </w:rPr>
        <w:t xml:space="preserve"> gene, MRSA can also acquire resistance through other mechanisms such as the production of beta-lactamases, which degrade antibiotics, and mutations in other genes involved in cell wall synthesis (Paterson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27" w:name="_Toc203146302"/>
    <w:p>
      <w:pPr>
        <w:pStyle w:val="style3"/>
        <w:rPr/>
      </w:pPr>
      <w:r>
        <w:t>2.3.2</w:t>
      </w:r>
      <w:r>
        <w:tab/>
      </w:r>
      <w:r>
        <w:t>Epidemiology and Clinical Impact</w:t>
      </w:r>
      <w:bookmarkEnd w:id="27"/>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The prevalence of MRSA has increased significantly over the past few decades, both in hospital and community settings. Hospital-acquired MRSA (HA-MRSA) infections are typically associated with invasive medical procedures such as surgery, catheter insertion, and mechanical ventilation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infections are often difficult to treat due to the limited number of effective antibiotics available. HA-MRSA infections are associated with higher morbidity, mortality, and healthcare costs (Nash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Community-associated MRSA (CA-MRSA), on the other hand, is a strain of S. aureus that is capable of causing infections in otherwise healthy individuals outside of healthcare settings. These strains tend to be more virulent, often causing skin and soft tissue infections (SSTIs), and have been associated with outbreaks in schools, sports teams, and correctional facilities (Paterson </w:t>
      </w:r>
      <w:r>
        <w:rPr>
          <w:rFonts w:ascii="Times New Roman" w:cs="Times New Roman" w:hAnsi="Times New Roman"/>
          <w:bCs/>
          <w:i/>
          <w:sz w:val="24"/>
          <w:szCs w:val="24"/>
        </w:rPr>
        <w:t>et al</w:t>
      </w:r>
      <w:r>
        <w:rPr>
          <w:rFonts w:ascii="Times New Roman" w:cs="Times New Roman" w:hAnsi="Times New Roman"/>
          <w:bCs/>
          <w:sz w:val="24"/>
          <w:szCs w:val="24"/>
        </w:rPr>
        <w:t>., 2020). The ability of CA-MRSA to spread in the community is a growing concern, particularly due to the ease of transmission through close contact and shared personal items.</w:t>
      </w:r>
    </w:p>
    <w:bookmarkStart w:id="28" w:name="_Toc203146303"/>
    <w:p>
      <w:pPr>
        <w:pStyle w:val="style2"/>
        <w:spacing w:lineRule="auto" w:line="480"/>
        <w:rPr/>
      </w:pPr>
      <w:r>
        <w:t>2.4</w:t>
      </w:r>
      <w:r>
        <w:tab/>
      </w:r>
      <w:r>
        <w:rPr>
          <w:i/>
        </w:rPr>
        <w:t>Escherichia coli</w:t>
      </w:r>
      <w:r>
        <w:t xml:space="preserve"> Infections and Resistance</w:t>
      </w:r>
      <w:bookmarkEnd w:id="28"/>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Escherichia coli (</w:t>
      </w:r>
      <w:r>
        <w:rPr>
          <w:rFonts w:ascii="Times New Roman" w:cs="Times New Roman" w:hAnsi="Times New Roman"/>
          <w:bCs/>
          <w:i/>
          <w:sz w:val="24"/>
          <w:szCs w:val="24"/>
        </w:rPr>
        <w:t>E. coli</w:t>
      </w:r>
      <w:r>
        <w:rPr>
          <w:rFonts w:ascii="Times New Roman" w:cs="Times New Roman" w:hAnsi="Times New Roman"/>
          <w:bCs/>
          <w:sz w:val="24"/>
          <w:szCs w:val="24"/>
        </w:rPr>
        <w:t xml:space="preserve">) is a gram-negative bacterium commonly found in the intestines of humans and animals. While many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are harmless and even beneficial, certain pathogenic strains can cause a wide variety of infections. These infections range from mild urinary tract infections (UTIs) to severe diseases, including bacteremia, sepsis, and gastroenteritis (</w:t>
      </w:r>
      <w:r>
        <w:rPr>
          <w:rFonts w:ascii="Times New Roman" w:cs="Times New Roman" w:hAnsi="Times New Roman"/>
          <w:bCs/>
          <w:sz w:val="24"/>
          <w:szCs w:val="24"/>
        </w:rPr>
        <w:t>Ranjbar</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2021). In recent years, the increasing resistance of </w:t>
      </w:r>
      <w:r>
        <w:rPr>
          <w:rFonts w:ascii="Times New Roman" w:cs="Times New Roman" w:hAnsi="Times New Roman"/>
          <w:bCs/>
          <w:i/>
          <w:sz w:val="24"/>
          <w:szCs w:val="24"/>
        </w:rPr>
        <w:t>E. coli</w:t>
      </w:r>
      <w:r>
        <w:rPr>
          <w:rFonts w:ascii="Times New Roman" w:cs="Times New Roman" w:hAnsi="Times New Roman"/>
          <w:bCs/>
          <w:sz w:val="24"/>
          <w:szCs w:val="24"/>
        </w:rPr>
        <w:t xml:space="preserve"> to multiple antibiotics has become a significant public health concern.</w:t>
      </w:r>
    </w:p>
    <w:bookmarkStart w:id="29" w:name="_Toc203146304"/>
    <w:p>
      <w:pPr>
        <w:pStyle w:val="style3"/>
        <w:rPr/>
      </w:pPr>
      <w:r>
        <w:t>2.4.1</w:t>
      </w:r>
      <w:r>
        <w:tab/>
      </w:r>
      <w:r>
        <w:t xml:space="preserve">Pathogenic Strains of </w:t>
      </w:r>
      <w:r>
        <w:rPr>
          <w:i/>
          <w:iCs/>
        </w:rPr>
        <w:t>Escherichia coli</w:t>
      </w:r>
      <w:bookmarkEnd w:id="29"/>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majority of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t>
      </w:r>
      <w:r>
        <w:rPr>
          <w:rFonts w:ascii="Times New Roman" w:cs="Times New Roman" w:hAnsi="Times New Roman"/>
          <w:bCs/>
          <w:sz w:val="24"/>
          <w:szCs w:val="24"/>
        </w:rPr>
        <w:t>are caused</w:t>
      </w:r>
      <w:r>
        <w:rPr>
          <w:rFonts w:ascii="Times New Roman" w:cs="Times New Roman" w:hAnsi="Times New Roman"/>
          <w:bCs/>
          <w:sz w:val="24"/>
          <w:szCs w:val="24"/>
        </w:rPr>
        <w:t xml:space="preserve"> by specific pathogenic strains. Among the most notable of these are </w:t>
      </w:r>
      <w:r>
        <w:rPr>
          <w:rFonts w:ascii="Times New Roman" w:cs="Times New Roman" w:hAnsi="Times New Roman"/>
          <w:bCs/>
          <w:sz w:val="24"/>
          <w:szCs w:val="24"/>
        </w:rPr>
        <w:t>Enterotoxigenic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(ETEC), which is commonly associated with traveler's diarrhea, and </w:t>
      </w:r>
      <w:r>
        <w:rPr>
          <w:rFonts w:ascii="Times New Roman" w:cs="Times New Roman" w:hAnsi="Times New Roman"/>
          <w:bCs/>
          <w:sz w:val="24"/>
          <w:szCs w:val="24"/>
        </w:rPr>
        <w:t>Enteropathogenic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(EPEC), a major cause of infant diarrhea. Another </w:t>
      </w:r>
      <w:r>
        <w:rPr>
          <w:rFonts w:ascii="Times New Roman" w:cs="Times New Roman" w:hAnsi="Times New Roman"/>
          <w:bCs/>
          <w:sz w:val="24"/>
          <w:szCs w:val="24"/>
        </w:rPr>
        <w:t xml:space="preserve">significant pathogenic strain, </w:t>
      </w:r>
      <w:r>
        <w:rPr>
          <w:rFonts w:ascii="Times New Roman" w:cs="Times New Roman" w:hAnsi="Times New Roman"/>
          <w:bCs/>
          <w:sz w:val="24"/>
          <w:szCs w:val="24"/>
        </w:rPr>
        <w:t>Enterohemorrhagic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(EHEC), </w:t>
      </w:r>
      <w:r>
        <w:rPr>
          <w:rFonts w:ascii="Times New Roman" w:cs="Times New Roman" w:hAnsi="Times New Roman"/>
          <w:bCs/>
          <w:sz w:val="24"/>
          <w:szCs w:val="24"/>
        </w:rPr>
        <w:t>has been linked</w:t>
      </w:r>
      <w:r>
        <w:rPr>
          <w:rFonts w:ascii="Times New Roman" w:cs="Times New Roman" w:hAnsi="Times New Roman"/>
          <w:bCs/>
          <w:sz w:val="24"/>
          <w:szCs w:val="24"/>
        </w:rPr>
        <w:t xml:space="preserve"> to outbreaks of foodborne illness, with some strains producing Shiga toxins that can cause hemolytic uremic syndrome (HUS), a potentially fatal condition. </w:t>
      </w:r>
      <w:r>
        <w:rPr>
          <w:rFonts w:ascii="Times New Roman" w:cs="Times New Roman" w:hAnsi="Times New Roman"/>
          <w:bCs/>
          <w:sz w:val="24"/>
          <w:szCs w:val="24"/>
        </w:rPr>
        <w:t>Uropathogenic</w:t>
      </w:r>
      <w:r>
        <w:rPr>
          <w:rFonts w:ascii="Times New Roman" w:cs="Times New Roman" w:hAnsi="Times New Roman"/>
          <w:bCs/>
          <w:sz w:val="24"/>
          <w:szCs w:val="24"/>
        </w:rPr>
        <w:t xml:space="preserve"> </w:t>
      </w:r>
      <w:r>
        <w:rPr>
          <w:rFonts w:ascii="Times New Roman" w:cs="Times New Roman" w:hAnsi="Times New Roman"/>
          <w:bCs/>
          <w:i/>
          <w:sz w:val="24"/>
          <w:szCs w:val="24"/>
        </w:rPr>
        <w:t>E. coli</w:t>
      </w:r>
      <w:r>
        <w:rPr>
          <w:rFonts w:ascii="Times New Roman" w:cs="Times New Roman" w:hAnsi="Times New Roman"/>
          <w:bCs/>
          <w:sz w:val="24"/>
          <w:szCs w:val="24"/>
        </w:rPr>
        <w:t xml:space="preserve"> (UPEC) is another key strain, primarily responsible for UTIs, both in community settings and healthcare facilities (</w:t>
      </w:r>
      <w:r>
        <w:rPr>
          <w:rFonts w:ascii="Times New Roman" w:cs="Times New Roman" w:hAnsi="Times New Roman"/>
          <w:bCs/>
          <w:sz w:val="24"/>
          <w:szCs w:val="24"/>
        </w:rPr>
        <w:t>Zong</w:t>
      </w:r>
      <w:r>
        <w:rPr>
          <w:rFonts w:ascii="Times New Roman" w:cs="Times New Roman" w:hAnsi="Times New Roman"/>
          <w:bCs/>
          <w:sz w:val="24"/>
          <w:szCs w:val="24"/>
        </w:rPr>
        <w:t xml:space="preserve"> </w:t>
      </w:r>
      <w:r>
        <w:rPr>
          <w:rFonts w:ascii="Times New Roman" w:cs="Times New Roman" w:hAnsi="Times New Roman"/>
          <w:bCs/>
          <w:i/>
          <w:sz w:val="24"/>
          <w:szCs w:val="24"/>
        </w:rPr>
        <w:t>et al</w:t>
      </w:r>
      <w:r>
        <w:rPr>
          <w:rFonts w:ascii="Times New Roman" w:cs="Times New Roman" w:hAnsi="Times New Roman"/>
          <w:bCs/>
          <w:sz w:val="24"/>
          <w:szCs w:val="24"/>
        </w:rPr>
        <w:t xml:space="preserve">., 2020). These pathogenic strains are equipped with a range of virulence factors, including </w:t>
      </w:r>
      <w:r>
        <w:rPr>
          <w:rFonts w:ascii="Times New Roman" w:cs="Times New Roman" w:hAnsi="Times New Roman"/>
          <w:bCs/>
          <w:sz w:val="24"/>
          <w:szCs w:val="24"/>
        </w:rPr>
        <w:t>adhesins</w:t>
      </w:r>
      <w:r>
        <w:rPr>
          <w:rFonts w:ascii="Times New Roman" w:cs="Times New Roman" w:hAnsi="Times New Roman"/>
          <w:bCs/>
          <w:sz w:val="24"/>
          <w:szCs w:val="24"/>
        </w:rPr>
        <w:t>, toxins, and the ability to form biofilms, which enable them to adhere to and invade host tissues, evade immune responses, and resist antibiotic treatment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2019).</w:t>
      </w:r>
    </w:p>
    <w:bookmarkStart w:id="30" w:name="_Toc203146305"/>
    <w:p>
      <w:pPr>
        <w:pStyle w:val="style3"/>
        <w:rPr/>
      </w:pPr>
      <w:r>
        <w:t>2.4.2</w:t>
      </w:r>
      <w:r>
        <w:tab/>
      </w:r>
      <w:r>
        <w:t xml:space="preserve">Mechanisms of Antibiotic Resistance in </w:t>
      </w:r>
      <w:r>
        <w:rPr>
          <w:i/>
          <w:iCs/>
        </w:rPr>
        <w:t>Escherichia coli</w:t>
      </w:r>
      <w:bookmarkEnd w:id="30"/>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A significant concern regarding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is the growing problem of antibiotic resistance. Several mechanisms contribute to the ability of </w:t>
      </w:r>
      <w:r>
        <w:rPr>
          <w:rFonts w:ascii="Times New Roman" w:cs="Times New Roman" w:hAnsi="Times New Roman"/>
          <w:bCs/>
          <w:i/>
          <w:sz w:val="24"/>
          <w:szCs w:val="24"/>
        </w:rPr>
        <w:t>E. coli</w:t>
      </w:r>
      <w:r>
        <w:rPr>
          <w:rFonts w:ascii="Times New Roman" w:cs="Times New Roman" w:hAnsi="Times New Roman"/>
          <w:bCs/>
          <w:sz w:val="24"/>
          <w:szCs w:val="24"/>
        </w:rPr>
        <w:t xml:space="preserve"> to evade the effects of antibiotics, complicating treatment options and leading to more severe clinical outcomes. One of the most common mechanisms is beta-lactam resistance, which </w:t>
      </w:r>
      <w:r>
        <w:rPr>
          <w:rFonts w:ascii="Times New Roman" w:cs="Times New Roman" w:hAnsi="Times New Roman"/>
          <w:bCs/>
          <w:sz w:val="24"/>
          <w:szCs w:val="24"/>
        </w:rPr>
        <w:t>is typically mediated</w:t>
      </w:r>
      <w:r>
        <w:rPr>
          <w:rFonts w:ascii="Times New Roman" w:cs="Times New Roman" w:hAnsi="Times New Roman"/>
          <w:bCs/>
          <w:sz w:val="24"/>
          <w:szCs w:val="24"/>
        </w:rPr>
        <w:t xml:space="preserve"> by the production of beta-lactamases. These enzymes degrade beta-lactam antibiotics, such as </w:t>
      </w:r>
      <w:r>
        <w:rPr>
          <w:rFonts w:ascii="Times New Roman" w:cs="Times New Roman" w:hAnsi="Times New Roman"/>
          <w:bCs/>
          <w:sz w:val="24"/>
          <w:szCs w:val="24"/>
        </w:rPr>
        <w:t>penicillins</w:t>
      </w:r>
      <w:r>
        <w:rPr>
          <w:rFonts w:ascii="Times New Roman" w:cs="Times New Roman" w:hAnsi="Times New Roman"/>
          <w:bCs/>
          <w:sz w:val="24"/>
          <w:szCs w:val="24"/>
        </w:rPr>
        <w:t xml:space="preserve"> and </w:t>
      </w:r>
      <w:r>
        <w:rPr>
          <w:rFonts w:ascii="Times New Roman" w:cs="Times New Roman" w:hAnsi="Times New Roman"/>
          <w:bCs/>
          <w:sz w:val="24"/>
          <w:szCs w:val="24"/>
        </w:rPr>
        <w:t>cephalosporins</w:t>
      </w:r>
      <w:r>
        <w:rPr>
          <w:rFonts w:ascii="Times New Roman" w:cs="Times New Roman" w:hAnsi="Times New Roman"/>
          <w:bCs/>
          <w:sz w:val="24"/>
          <w:szCs w:val="24"/>
        </w:rPr>
        <w:t xml:space="preserve">, rendering them ineffective. Extended-spectrum beta-lactamases (ESBLs) are particularly problematic, as they can hydrolyze third-generation </w:t>
      </w:r>
      <w:r>
        <w:rPr>
          <w:rFonts w:ascii="Times New Roman" w:cs="Times New Roman" w:hAnsi="Times New Roman"/>
          <w:bCs/>
          <w:sz w:val="24"/>
          <w:szCs w:val="24"/>
        </w:rPr>
        <w:t>cephalosporins</w:t>
      </w:r>
      <w:r>
        <w:rPr>
          <w:rFonts w:ascii="Times New Roman" w:cs="Times New Roman" w:hAnsi="Times New Roman"/>
          <w:bCs/>
          <w:sz w:val="24"/>
          <w:szCs w:val="24"/>
        </w:rPr>
        <w:t xml:space="preserve"> and </w:t>
      </w:r>
      <w:r>
        <w:rPr>
          <w:rFonts w:ascii="Times New Roman" w:cs="Times New Roman" w:hAnsi="Times New Roman"/>
          <w:bCs/>
          <w:sz w:val="24"/>
          <w:szCs w:val="24"/>
        </w:rPr>
        <w:t>monobactams</w:t>
      </w:r>
      <w:r>
        <w:rPr>
          <w:rFonts w:ascii="Times New Roman" w:cs="Times New Roman" w:hAnsi="Times New Roman"/>
          <w:bCs/>
          <w:sz w:val="24"/>
          <w:szCs w:val="24"/>
        </w:rPr>
        <w:t xml:space="preserve">, which </w:t>
      </w:r>
      <w:r>
        <w:rPr>
          <w:rFonts w:ascii="Times New Roman" w:cs="Times New Roman" w:hAnsi="Times New Roman"/>
          <w:bCs/>
          <w:sz w:val="24"/>
          <w:szCs w:val="24"/>
        </w:rPr>
        <w:t>are often used</w:t>
      </w:r>
      <w:r>
        <w:rPr>
          <w:rFonts w:ascii="Times New Roman" w:cs="Times New Roman" w:hAnsi="Times New Roman"/>
          <w:bCs/>
          <w:sz w:val="24"/>
          <w:szCs w:val="24"/>
        </w:rPr>
        <w:t xml:space="preserve"> as the first line of treatment in infections caused by </w:t>
      </w:r>
      <w:r>
        <w:rPr>
          <w:rFonts w:ascii="Times New Roman" w:cs="Times New Roman" w:hAnsi="Times New Roman"/>
          <w:bCs/>
          <w:i/>
          <w:sz w:val="24"/>
          <w:szCs w:val="24"/>
        </w:rPr>
        <w:t>E. coli</w:t>
      </w:r>
      <w:r>
        <w:rPr>
          <w:rFonts w:ascii="Times New Roman" w:cs="Times New Roman" w:hAnsi="Times New Roman"/>
          <w:bCs/>
          <w:sz w:val="24"/>
          <w:szCs w:val="24"/>
        </w:rPr>
        <w:t xml:space="preserve"> (Paterson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beta-lactam resistance, </w:t>
      </w:r>
      <w:r>
        <w:rPr>
          <w:rFonts w:ascii="Times New Roman" w:cs="Times New Roman" w:hAnsi="Times New Roman"/>
          <w:bCs/>
          <w:i/>
          <w:sz w:val="24"/>
          <w:szCs w:val="24"/>
        </w:rPr>
        <w:t>E. coli</w:t>
      </w:r>
      <w:r>
        <w:rPr>
          <w:rFonts w:ascii="Times New Roman" w:cs="Times New Roman" w:hAnsi="Times New Roman"/>
          <w:bCs/>
          <w:sz w:val="24"/>
          <w:szCs w:val="24"/>
        </w:rPr>
        <w:t xml:space="preserve"> has also developed resistance to other classes of antibiotics, including aminoglycosides and fluoroquinolones. Aminoglycoside resistance </w:t>
      </w:r>
      <w:r>
        <w:rPr>
          <w:rFonts w:ascii="Times New Roman" w:cs="Times New Roman" w:hAnsi="Times New Roman"/>
          <w:bCs/>
          <w:sz w:val="24"/>
          <w:szCs w:val="24"/>
        </w:rPr>
        <w:t>is primarily driven</w:t>
      </w:r>
      <w:r>
        <w:rPr>
          <w:rFonts w:ascii="Times New Roman" w:cs="Times New Roman" w:hAnsi="Times New Roman"/>
          <w:bCs/>
          <w:sz w:val="24"/>
          <w:szCs w:val="24"/>
        </w:rPr>
        <w:t xml:space="preserve"> by the production of modifying enzymes that inactivate these drugs, while fluoroquinolone resistance is often the result of mutations in the bacterial DNA gyrase and topoisomerase IV, which are the targets of these drugs (Wu </w:t>
      </w:r>
      <w:r>
        <w:rPr>
          <w:rFonts w:ascii="Times New Roman" w:cs="Times New Roman" w:hAnsi="Times New Roman"/>
          <w:bCs/>
          <w:i/>
          <w:sz w:val="24"/>
          <w:szCs w:val="24"/>
        </w:rPr>
        <w:t>et al</w:t>
      </w:r>
      <w:r>
        <w:rPr>
          <w:rFonts w:ascii="Times New Roman" w:cs="Times New Roman" w:hAnsi="Times New Roman"/>
          <w:bCs/>
          <w:sz w:val="24"/>
          <w:szCs w:val="24"/>
        </w:rPr>
        <w:t xml:space="preserve">., 2020). Another concerning development is </w:t>
      </w:r>
      <w:r>
        <w:rPr>
          <w:rFonts w:ascii="Times New Roman" w:cs="Times New Roman" w:hAnsi="Times New Roman"/>
          <w:bCs/>
          <w:sz w:val="24"/>
          <w:szCs w:val="24"/>
        </w:rPr>
        <w:t>carbapenem</w:t>
      </w:r>
      <w:r>
        <w:rPr>
          <w:rFonts w:ascii="Times New Roman" w:cs="Times New Roman" w:hAnsi="Times New Roman"/>
          <w:bCs/>
          <w:sz w:val="24"/>
          <w:szCs w:val="24"/>
        </w:rPr>
        <w:t xml:space="preserve"> resistance. </w:t>
      </w:r>
      <w:r>
        <w:rPr>
          <w:rFonts w:ascii="Times New Roman" w:cs="Times New Roman" w:hAnsi="Times New Roman"/>
          <w:bCs/>
          <w:sz w:val="24"/>
          <w:szCs w:val="24"/>
        </w:rPr>
        <w:t>Carbapenems</w:t>
      </w:r>
      <w:r>
        <w:rPr>
          <w:rFonts w:ascii="Times New Roman" w:cs="Times New Roman" w:hAnsi="Times New Roman"/>
          <w:bCs/>
          <w:sz w:val="24"/>
          <w:szCs w:val="24"/>
        </w:rPr>
        <w:t xml:space="preserve">, such as </w:t>
      </w:r>
      <w:r>
        <w:rPr>
          <w:rFonts w:ascii="Times New Roman" w:cs="Times New Roman" w:hAnsi="Times New Roman"/>
          <w:bCs/>
          <w:sz w:val="24"/>
          <w:szCs w:val="24"/>
        </w:rPr>
        <w:t>meropenem</w:t>
      </w:r>
      <w:r>
        <w:rPr>
          <w:rFonts w:ascii="Times New Roman" w:cs="Times New Roman" w:hAnsi="Times New Roman"/>
          <w:bCs/>
          <w:sz w:val="24"/>
          <w:szCs w:val="24"/>
        </w:rPr>
        <w:t xml:space="preserve">, </w:t>
      </w:r>
      <w:r>
        <w:rPr>
          <w:rFonts w:ascii="Times New Roman" w:cs="Times New Roman" w:hAnsi="Times New Roman"/>
          <w:bCs/>
          <w:sz w:val="24"/>
          <w:szCs w:val="24"/>
        </w:rPr>
        <w:t>are considered</w:t>
      </w:r>
      <w:r>
        <w:rPr>
          <w:rFonts w:ascii="Times New Roman" w:cs="Times New Roman" w:hAnsi="Times New Roman"/>
          <w:bCs/>
          <w:sz w:val="24"/>
          <w:szCs w:val="24"/>
        </w:rPr>
        <w:t xml:space="preserve"> last-resort antibiotics for treating multi-drug-resistant (MDR) </w:t>
      </w:r>
      <w:r>
        <w:rPr>
          <w:rFonts w:ascii="Times New Roman" w:cs="Times New Roman" w:hAnsi="Times New Roman"/>
          <w:bCs/>
          <w:i/>
          <w:sz w:val="24"/>
          <w:szCs w:val="24"/>
        </w:rPr>
        <w:t>E. coli</w:t>
      </w:r>
      <w:r>
        <w:rPr>
          <w:rFonts w:ascii="Times New Roman" w:cs="Times New Roman" w:hAnsi="Times New Roman"/>
          <w:bCs/>
          <w:sz w:val="24"/>
          <w:szCs w:val="24"/>
        </w:rPr>
        <w:t xml:space="preserve"> strains. The emergence of </w:t>
      </w:r>
      <w:r>
        <w:rPr>
          <w:rFonts w:ascii="Times New Roman" w:cs="Times New Roman" w:hAnsi="Times New Roman"/>
          <w:bCs/>
          <w:sz w:val="24"/>
          <w:szCs w:val="24"/>
        </w:rPr>
        <w:t>carbapenemases</w:t>
      </w:r>
      <w:r>
        <w:rPr>
          <w:rFonts w:ascii="Times New Roman" w:cs="Times New Roman" w:hAnsi="Times New Roman"/>
          <w:bCs/>
          <w:sz w:val="24"/>
          <w:szCs w:val="24"/>
        </w:rPr>
        <w:t xml:space="preserve">, such as New Delhi </w:t>
      </w:r>
      <w:r>
        <w:rPr>
          <w:rFonts w:ascii="Times New Roman" w:cs="Times New Roman" w:hAnsi="Times New Roman"/>
          <w:bCs/>
          <w:sz w:val="24"/>
          <w:szCs w:val="24"/>
        </w:rPr>
        <w:t>metallo</w:t>
      </w:r>
      <w:r>
        <w:rPr>
          <w:rFonts w:ascii="Times New Roman" w:cs="Times New Roman" w:hAnsi="Times New Roman"/>
          <w:bCs/>
          <w:sz w:val="24"/>
          <w:szCs w:val="24"/>
        </w:rPr>
        <w:t xml:space="preserve">-beta-lactamase (NDM) and </w:t>
      </w:r>
      <w:r>
        <w:rPr>
          <w:rFonts w:ascii="Times New Roman" w:cs="Times New Roman" w:hAnsi="Times New Roman"/>
          <w:bCs/>
          <w:sz w:val="24"/>
          <w:szCs w:val="24"/>
        </w:rPr>
        <w:t>Klebsiella</w:t>
      </w:r>
      <w:r>
        <w:rPr>
          <w:rFonts w:ascii="Times New Roman" w:cs="Times New Roman" w:hAnsi="Times New Roman"/>
          <w:bCs/>
          <w:sz w:val="24"/>
          <w:szCs w:val="24"/>
        </w:rPr>
        <w:t xml:space="preserve"> </w:t>
      </w:r>
      <w:r>
        <w:rPr>
          <w:rFonts w:ascii="Times New Roman" w:cs="Times New Roman" w:hAnsi="Times New Roman"/>
          <w:bCs/>
          <w:sz w:val="24"/>
          <w:szCs w:val="24"/>
        </w:rPr>
        <w:t>pneumoniae</w:t>
      </w:r>
      <w:r>
        <w:rPr>
          <w:rFonts w:ascii="Times New Roman" w:cs="Times New Roman" w:hAnsi="Times New Roman"/>
          <w:bCs/>
          <w:sz w:val="24"/>
          <w:szCs w:val="24"/>
        </w:rPr>
        <w:t xml:space="preserve"> </w:t>
      </w:r>
      <w:r>
        <w:rPr>
          <w:rFonts w:ascii="Times New Roman" w:cs="Times New Roman" w:hAnsi="Times New Roman"/>
          <w:bCs/>
          <w:sz w:val="24"/>
          <w:szCs w:val="24"/>
        </w:rPr>
        <w:t>carbapenemase</w:t>
      </w:r>
      <w:r>
        <w:rPr>
          <w:rFonts w:ascii="Times New Roman" w:cs="Times New Roman" w:hAnsi="Times New Roman"/>
          <w:bCs/>
          <w:sz w:val="24"/>
          <w:szCs w:val="24"/>
        </w:rPr>
        <w:t xml:space="preserve"> (KPC), in </w:t>
      </w:r>
      <w:r>
        <w:rPr>
          <w:rFonts w:ascii="Times New Roman" w:cs="Times New Roman" w:hAnsi="Times New Roman"/>
          <w:bCs/>
          <w:i/>
          <w:sz w:val="24"/>
          <w:szCs w:val="24"/>
        </w:rPr>
        <w:t>E. coli</w:t>
      </w:r>
      <w:r>
        <w:rPr>
          <w:rFonts w:ascii="Times New Roman" w:cs="Times New Roman" w:hAnsi="Times New Roman"/>
          <w:bCs/>
          <w:sz w:val="24"/>
          <w:szCs w:val="24"/>
        </w:rPr>
        <w:t xml:space="preserve"> poses a serious threat to public health by rendering these antibiotics ineffective and limiting treatment options (Tucker </w:t>
      </w:r>
      <w:r>
        <w:rPr>
          <w:rFonts w:ascii="Times New Roman" w:cs="Times New Roman" w:hAnsi="Times New Roman"/>
          <w:bCs/>
          <w:i/>
          <w:sz w:val="24"/>
          <w:szCs w:val="24"/>
        </w:rPr>
        <w:t>et al</w:t>
      </w:r>
      <w:r>
        <w:rPr>
          <w:rFonts w:ascii="Times New Roman" w:cs="Times New Roman" w:hAnsi="Times New Roman"/>
          <w:bCs/>
          <w:sz w:val="24"/>
          <w:szCs w:val="24"/>
        </w:rPr>
        <w:t xml:space="preserve">., 2019). The increasing prevalence of multidrug-resistant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has significantly </w:t>
      </w:r>
      <w:r>
        <w:rPr>
          <w:rFonts w:ascii="Times New Roman" w:cs="Times New Roman" w:hAnsi="Times New Roman"/>
          <w:bCs/>
          <w:sz w:val="24"/>
          <w:szCs w:val="24"/>
        </w:rPr>
        <w:t>impacted</w:t>
      </w:r>
      <w:r>
        <w:rPr>
          <w:rFonts w:ascii="Times New Roman" w:cs="Times New Roman" w:hAnsi="Times New Roman"/>
          <w:bCs/>
          <w:sz w:val="24"/>
          <w:szCs w:val="24"/>
        </w:rPr>
        <w:t xml:space="preserve"> clinical outcomes, as these infections are more difficult to treat, often requiring more expensive and toxic drugs. This, in turn, leads to prolonged hospital stays, higher healthcare costs, and increased morbidity and mortality (Guerra </w:t>
      </w:r>
      <w:r>
        <w:rPr>
          <w:rFonts w:ascii="Times New Roman" w:cs="Times New Roman" w:hAnsi="Times New Roman"/>
          <w:bCs/>
          <w:i/>
          <w:sz w:val="24"/>
          <w:szCs w:val="24"/>
        </w:rPr>
        <w:t>et al</w:t>
      </w:r>
      <w:r>
        <w:rPr>
          <w:rFonts w:ascii="Times New Roman" w:cs="Times New Roman" w:hAnsi="Times New Roman"/>
          <w:bCs/>
          <w:sz w:val="24"/>
          <w:szCs w:val="24"/>
        </w:rPr>
        <w:t>., 2020).</w:t>
      </w:r>
    </w:p>
    <w:bookmarkStart w:id="31" w:name="_Toc203146306"/>
    <w:p>
      <w:pPr>
        <w:pStyle w:val="style3"/>
        <w:rPr/>
      </w:pPr>
      <w:r>
        <w:t>2.4.3</w:t>
      </w:r>
      <w:r>
        <w:tab/>
      </w:r>
      <w:r>
        <w:t xml:space="preserve">Clinical Impact of </w:t>
      </w:r>
      <w:r>
        <w:rPr>
          <w:i/>
          <w:iCs/>
        </w:rPr>
        <w:t>E. coli</w:t>
      </w:r>
      <w:r>
        <w:rPr>
          <w:i/>
          <w:iCs/>
        </w:rPr>
        <w:t xml:space="preserve"> </w:t>
      </w:r>
      <w:r>
        <w:t>Resistance</w:t>
      </w:r>
      <w:bookmarkEnd w:id="31"/>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The rise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particularly those that are multidrug-resistant (MDR), poses significant challenges for healthcare providers. These resistant strains are often more difficult to treat, requiring alternative antibiotics that may not be as effective, or even entirely unavailable in certain settings. In addition to the direct impact on patient outcomes, the spread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within healthcare settings can lead to outbreaks, further complicating infection control efforts. For example, resistant strains of </w:t>
      </w:r>
      <w:r>
        <w:rPr>
          <w:rFonts w:ascii="Times New Roman" w:cs="Times New Roman" w:hAnsi="Times New Roman"/>
          <w:bCs/>
          <w:i/>
          <w:sz w:val="24"/>
          <w:szCs w:val="24"/>
        </w:rPr>
        <w:t>E. coli</w:t>
      </w:r>
      <w:r>
        <w:rPr>
          <w:rFonts w:ascii="Times New Roman" w:cs="Times New Roman" w:hAnsi="Times New Roman"/>
          <w:bCs/>
          <w:sz w:val="24"/>
          <w:szCs w:val="24"/>
        </w:rPr>
        <w:t xml:space="preserve"> </w:t>
      </w:r>
      <w:r>
        <w:rPr>
          <w:rFonts w:ascii="Times New Roman" w:cs="Times New Roman" w:hAnsi="Times New Roman"/>
          <w:bCs/>
          <w:sz w:val="24"/>
          <w:szCs w:val="24"/>
        </w:rPr>
        <w:t>are frequently implicated</w:t>
      </w:r>
      <w:r>
        <w:rPr>
          <w:rFonts w:ascii="Times New Roman" w:cs="Times New Roman" w:hAnsi="Times New Roman"/>
          <w:bCs/>
          <w:sz w:val="24"/>
          <w:szCs w:val="24"/>
        </w:rPr>
        <w:t xml:space="preserve"> in nosocomial infections, where patients in hospitals or long-term care facilities acquire infections from the healthcare environment itself (Tucker </w:t>
      </w:r>
      <w:r>
        <w:rPr>
          <w:rFonts w:ascii="Times New Roman" w:cs="Times New Roman" w:hAnsi="Times New Roman"/>
          <w:bCs/>
          <w:i/>
          <w:sz w:val="24"/>
          <w:szCs w:val="24"/>
        </w:rPr>
        <w:t>et al</w:t>
      </w:r>
      <w:r>
        <w:rPr>
          <w:rFonts w:ascii="Times New Roman" w:cs="Times New Roman" w:hAnsi="Times New Roman"/>
          <w:bCs/>
          <w:sz w:val="24"/>
          <w:szCs w:val="24"/>
        </w:rPr>
        <w:t>., 2019).</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To combat the increasing prevalence of antibiotic-resistant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several strategies </w:t>
      </w:r>
      <w:r>
        <w:rPr>
          <w:rFonts w:ascii="Times New Roman" w:cs="Times New Roman" w:hAnsi="Times New Roman"/>
          <w:bCs/>
          <w:sz w:val="24"/>
          <w:szCs w:val="24"/>
        </w:rPr>
        <w:t>have been proposed</w:t>
      </w:r>
      <w:r>
        <w:rPr>
          <w:rFonts w:ascii="Times New Roman" w:cs="Times New Roman" w:hAnsi="Times New Roman"/>
          <w:bCs/>
          <w:sz w:val="24"/>
          <w:szCs w:val="24"/>
        </w:rPr>
        <w:t xml:space="preserve">. Antimicrobial stewardship programs, which aim to optimize antibiotic use in clinical settings, </w:t>
      </w:r>
      <w:r>
        <w:rPr>
          <w:rFonts w:ascii="Times New Roman" w:cs="Times New Roman" w:hAnsi="Times New Roman"/>
          <w:bCs/>
          <w:sz w:val="24"/>
          <w:szCs w:val="24"/>
        </w:rPr>
        <w:t>have been shown</w:t>
      </w:r>
      <w:r>
        <w:rPr>
          <w:rFonts w:ascii="Times New Roman" w:cs="Times New Roman" w:hAnsi="Times New Roman"/>
          <w:bCs/>
          <w:sz w:val="24"/>
          <w:szCs w:val="24"/>
        </w:rPr>
        <w:t xml:space="preserve"> to be effective in reducing the overuse and misuse of antibiotics, thereby slowing the development of resistance. These programs ensure that patients receive the right antibiotic at the right dose and duration, minimizing unnecessary exposure to broad-spectrum antibiotics (Guerra </w:t>
      </w:r>
      <w:r>
        <w:rPr>
          <w:rFonts w:ascii="Times New Roman" w:cs="Times New Roman" w:hAnsi="Times New Roman"/>
          <w:bCs/>
          <w:i/>
          <w:sz w:val="24"/>
          <w:szCs w:val="24"/>
        </w:rPr>
        <w:t>et al</w:t>
      </w:r>
      <w:r>
        <w:rPr>
          <w:rFonts w:ascii="Times New Roman" w:cs="Times New Roman" w:hAnsi="Times New Roman"/>
          <w:bCs/>
          <w:sz w:val="24"/>
          <w:szCs w:val="24"/>
        </w:rPr>
        <w:t xml:space="preserve">., 2020). In addition to stewardship, stringent infection control measures, including hand hygiene, proper sanitation, and isolation of infected patients, are essential for </w:t>
      </w:r>
      <w:r>
        <w:rPr>
          <w:rFonts w:ascii="Times New Roman" w:cs="Times New Roman" w:hAnsi="Times New Roman"/>
          <w:bCs/>
          <w:sz w:val="24"/>
          <w:szCs w:val="24"/>
        </w:rPr>
        <w:t xml:space="preserve">preventing the transmission of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strains in hospitals and other healthcare environments.</w:t>
      </w:r>
    </w:p>
    <w:p>
      <w:pPr>
        <w:pStyle w:val="style0"/>
        <w:spacing w:after="0" w:lineRule="auto" w:line="480"/>
        <w:jc w:val="both"/>
        <w:rPr>
          <w:rFonts w:ascii="Times New Roman" w:cs="Times New Roman" w:hAnsi="Times New Roman"/>
          <w:bCs/>
          <w:sz w:val="24"/>
          <w:szCs w:val="24"/>
        </w:rPr>
      </w:pPr>
      <w:r>
        <w:rPr>
          <w:rFonts w:ascii="Times New Roman" w:cs="Times New Roman" w:hAnsi="Times New Roman"/>
          <w:bCs/>
          <w:sz w:val="24"/>
          <w:szCs w:val="24"/>
        </w:rPr>
        <w:t xml:space="preserve">Research into alternative therapies is also underway to provide new options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One promising approach is bacteriophage therapy, which involves using viruses that specifically target and kill bacteria. This technique has shown promise as an alternative to traditional antibiotics, particularly in cases where conventional treatments have failed (</w:t>
      </w:r>
      <w:r>
        <w:rPr>
          <w:rFonts w:ascii="Times New Roman" w:cs="Times New Roman" w:hAnsi="Times New Roman"/>
          <w:bCs/>
          <w:sz w:val="24"/>
          <w:szCs w:val="24"/>
        </w:rPr>
        <w:t>Nataro</w:t>
      </w:r>
      <w:r>
        <w:rPr>
          <w:rFonts w:ascii="Times New Roman" w:cs="Times New Roman" w:hAnsi="Times New Roman"/>
          <w:bCs/>
          <w:sz w:val="24"/>
          <w:szCs w:val="24"/>
        </w:rPr>
        <w:t xml:space="preserve"> &amp; </w:t>
      </w:r>
      <w:r>
        <w:rPr>
          <w:rFonts w:ascii="Times New Roman" w:cs="Times New Roman" w:hAnsi="Times New Roman"/>
          <w:bCs/>
          <w:sz w:val="24"/>
          <w:szCs w:val="24"/>
        </w:rPr>
        <w:t>Kaper</w:t>
      </w:r>
      <w:r>
        <w:rPr>
          <w:rFonts w:ascii="Times New Roman" w:cs="Times New Roman" w:hAnsi="Times New Roman"/>
          <w:bCs/>
          <w:sz w:val="24"/>
          <w:szCs w:val="24"/>
        </w:rPr>
        <w:t xml:space="preserve">, 2019). Another area of research is the development of vaccines against </w:t>
      </w:r>
      <w:r>
        <w:rPr>
          <w:rFonts w:ascii="Times New Roman" w:cs="Times New Roman" w:hAnsi="Times New Roman"/>
          <w:bCs/>
          <w:i/>
          <w:sz w:val="24"/>
          <w:szCs w:val="24"/>
        </w:rPr>
        <w:t>E. coli</w:t>
      </w:r>
      <w:r>
        <w:rPr>
          <w:rFonts w:ascii="Times New Roman" w:cs="Times New Roman" w:hAnsi="Times New Roman"/>
          <w:bCs/>
          <w:sz w:val="24"/>
          <w:szCs w:val="24"/>
        </w:rPr>
        <w:t xml:space="preserve"> strains, especially those that cause gastroenteritis and UTIs. Additionally, novel antibiotics targeting new bacterial pathways </w:t>
      </w:r>
      <w:r>
        <w:rPr>
          <w:rFonts w:ascii="Times New Roman" w:cs="Times New Roman" w:hAnsi="Times New Roman"/>
          <w:bCs/>
          <w:sz w:val="24"/>
          <w:szCs w:val="24"/>
        </w:rPr>
        <w:t>are being explored</w:t>
      </w:r>
      <w:r>
        <w:rPr>
          <w:rFonts w:ascii="Times New Roman" w:cs="Times New Roman" w:hAnsi="Times New Roman"/>
          <w:bCs/>
          <w:sz w:val="24"/>
          <w:szCs w:val="24"/>
        </w:rPr>
        <w:t xml:space="preserve">, which may provide much-needed solutions for treating resistant </w:t>
      </w:r>
      <w:r>
        <w:rPr>
          <w:rFonts w:ascii="Times New Roman" w:cs="Times New Roman" w:hAnsi="Times New Roman"/>
          <w:bCs/>
          <w:i/>
          <w:sz w:val="24"/>
          <w:szCs w:val="24"/>
        </w:rPr>
        <w:t>E. coli</w:t>
      </w:r>
      <w:r>
        <w:rPr>
          <w:rFonts w:ascii="Times New Roman" w:cs="Times New Roman" w:hAnsi="Times New Roman"/>
          <w:bCs/>
          <w:sz w:val="24"/>
          <w:szCs w:val="24"/>
        </w:rPr>
        <w:t xml:space="preserve"> infections (Wu </w:t>
      </w:r>
      <w:r>
        <w:rPr>
          <w:rFonts w:ascii="Times New Roman" w:cs="Times New Roman" w:hAnsi="Times New Roman"/>
          <w:bCs/>
          <w:i/>
          <w:sz w:val="24"/>
          <w:szCs w:val="24"/>
        </w:rPr>
        <w:t>et al</w:t>
      </w:r>
      <w:r>
        <w:rPr>
          <w:rFonts w:ascii="Times New Roman" w:cs="Times New Roman" w:hAnsi="Times New Roman"/>
          <w:bCs/>
          <w:sz w:val="24"/>
          <w:szCs w:val="24"/>
        </w:rPr>
        <w:t>., 2020).</w:t>
      </w:r>
    </w:p>
    <w:p>
      <w:pPr>
        <w:pStyle w:val="style0"/>
        <w:spacing w:after="0" w:lineRule="auto" w:line="480"/>
        <w:jc w:val="both"/>
        <w:rPr>
          <w:rFonts w:ascii="Times New Roman" w:cs="Times New Roman" w:hAnsi="Times New Roman"/>
          <w:bCs/>
          <w:sz w:val="24"/>
          <w:szCs w:val="24"/>
        </w:rPr>
      </w:pPr>
    </w:p>
    <w:p>
      <w:pPr>
        <w:pStyle w:val="style0"/>
        <w:spacing w:after="0" w:lineRule="auto" w:line="480"/>
        <w:jc w:val="both"/>
        <w:rPr>
          <w:rFonts w:ascii="Times New Roman" w:cs="Times New Roman" w:hAnsi="Times New Roman"/>
          <w:bCs/>
          <w:sz w:val="24"/>
          <w:szCs w:val="24"/>
        </w:rPr>
      </w:pPr>
    </w:p>
    <w:p>
      <w:pPr>
        <w:pStyle w:val="style0"/>
        <w:jc w:val="center"/>
        <w:rPr>
          <w:rFonts w:ascii="Times New Roman" w:cs="Times New Roman" w:hAnsi="Times New Roman"/>
          <w:b/>
          <w:sz w:val="24"/>
          <w:szCs w:val="24"/>
        </w:rPr>
      </w:pPr>
      <w:r>
        <w:rPr>
          <w:rFonts w:ascii="Times New Roman" w:cs="Times New Roman" w:hAnsi="Times New Roman"/>
          <w:b/>
          <w:sz w:val="24"/>
          <w:szCs w:val="24"/>
        </w:rPr>
        <w:t> </w:t>
      </w: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rPr>
          <w:rFonts w:ascii="Times New Roman" w:cs="Times New Roman" w:hAnsi="Times New Roman"/>
          <w:b/>
          <w:sz w:val="24"/>
          <w:szCs w:val="24"/>
        </w:rPr>
      </w:pPr>
    </w:p>
    <w:bookmarkStart w:id="32" w:name="_Toc203146307"/>
    <w:p>
      <w:pPr>
        <w:pStyle w:val="style1"/>
        <w:jc w:val="center"/>
        <w:rPr/>
      </w:pPr>
      <w:r>
        <w:t>CHAPTER THREE</w:t>
      </w:r>
      <w:bookmarkEnd w:id="32"/>
    </w:p>
    <w:bookmarkStart w:id="33" w:name="_Toc203146308"/>
    <w:p>
      <w:pPr>
        <w:pStyle w:val="style1"/>
        <w:spacing w:lineRule="auto" w:line="480"/>
        <w:jc w:val="center"/>
        <w:rPr/>
      </w:pPr>
      <w:r>
        <w:t>MATERIALS AND METHODS</w:t>
      </w:r>
      <w:bookmarkEnd w:id="33"/>
    </w:p>
    <w:bookmarkStart w:id="34" w:name="_Toc203146309"/>
    <w:p>
      <w:pPr>
        <w:pStyle w:val="style2"/>
        <w:spacing w:lineRule="auto" w:line="480"/>
        <w:rPr>
          <w:rFonts w:eastAsia="Times New Roman"/>
        </w:rPr>
      </w:pPr>
      <w:r>
        <w:rPr>
          <w:rFonts w:eastAsia="Times New Roman"/>
        </w:rPr>
        <w:t>3.1</w:t>
      </w:r>
      <w:r>
        <w:rPr>
          <w:rFonts w:eastAsia="Times New Roman"/>
        </w:rPr>
        <w:tab/>
      </w:r>
      <w:r>
        <w:rPr>
          <w:rFonts w:eastAsia="Times New Roman"/>
        </w:rPr>
        <w:t>Study Area and Sample Collection</w:t>
      </w:r>
      <w:bookmarkEnd w:id="34"/>
    </w:p>
    <w:p>
      <w:pPr>
        <w:pStyle w:val="style0"/>
        <w:spacing w:after="0" w:lineRule="auto" w:line="480"/>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This study </w:t>
      </w:r>
      <w:r>
        <w:rPr>
          <w:rFonts w:ascii="Times New Roman" w:cs="Times New Roman" w:eastAsia="Times New Roman" w:hAnsi="Times New Roman"/>
          <w:sz w:val="24"/>
          <w:szCs w:val="24"/>
        </w:rPr>
        <w:t>was conducted</w:t>
      </w:r>
      <w:r>
        <w:rPr>
          <w:rFonts w:ascii="Times New Roman" w:cs="Times New Roman" w:eastAsia="Times New Roman" w:hAnsi="Times New Roman"/>
          <w:sz w:val="24"/>
          <w:szCs w:val="24"/>
        </w:rPr>
        <w:t xml:space="preserve"> in the Microbiology Laboratory Unit of Kwara State Polytechnic, Ilorin, Nigeria. The clinical isolates of </w:t>
      </w:r>
      <w:r>
        <w:rPr>
          <w:rFonts w:ascii="Times New Roman" w:cs="Times New Roman" w:eastAsia="Times New Roman" w:hAnsi="Times New Roman"/>
          <w:i/>
          <w:iCs/>
          <w:sz w:val="24"/>
          <w:szCs w:val="24"/>
        </w:rPr>
        <w:t>Methicillin-Resistant Staphylococcus aureus</w:t>
      </w:r>
      <w:r>
        <w:rPr>
          <w:rFonts w:ascii="Times New Roman" w:cs="Times New Roman" w:eastAsia="Times New Roman" w:hAnsi="Times New Roman"/>
          <w:sz w:val="24"/>
          <w:szCs w:val="24"/>
        </w:rPr>
        <w:t xml:space="preserve"> (MRSA) and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sz w:val="24"/>
          <w:szCs w:val="24"/>
        </w:rPr>
        <w:t xml:space="preserve">( </w:t>
      </w:r>
      <w:r>
        <w:rPr>
          <w:rFonts w:ascii="Times New Roman" w:cs="Times New Roman" w:eastAsia="Times New Roman" w:hAnsi="Times New Roman"/>
          <w:i/>
          <w:sz w:val="24"/>
          <w:szCs w:val="24"/>
        </w:rPr>
        <w:t>E</w:t>
      </w:r>
      <w:r>
        <w:rPr>
          <w:rFonts w:ascii="Times New Roman" w:cs="Times New Roman" w:eastAsia="Times New Roman" w:hAnsi="Times New Roman"/>
          <w:i/>
          <w:sz w:val="24"/>
          <w:szCs w:val="24"/>
        </w:rPr>
        <w:t>. coli</w:t>
      </w:r>
      <w:r>
        <w:rPr>
          <w:rFonts w:ascii="Times New Roman" w:cs="Times New Roman" w:eastAsia="Times New Roman" w:hAnsi="Times New Roman"/>
          <w:sz w:val="24"/>
          <w:szCs w:val="24"/>
        </w:rPr>
        <w:t xml:space="preserve"> ) </w:t>
      </w:r>
      <w:r>
        <w:rPr>
          <w:rFonts w:ascii="Times New Roman" w:cs="Times New Roman" w:eastAsia="Times New Roman" w:hAnsi="Times New Roman"/>
          <w:sz w:val="24"/>
          <w:szCs w:val="24"/>
        </w:rPr>
        <w:t xml:space="preserve">were obtained from the University of Ilorin Teaching Hospital (UITH), Ilorin, Kwara State. These isolates </w:t>
      </w:r>
      <w:r>
        <w:rPr>
          <w:rFonts w:ascii="Times New Roman" w:cs="Times New Roman" w:eastAsia="Times New Roman" w:hAnsi="Times New Roman"/>
          <w:sz w:val="24"/>
          <w:szCs w:val="24"/>
        </w:rPr>
        <w:t>were selected</w:t>
      </w:r>
      <w:r>
        <w:rPr>
          <w:rFonts w:ascii="Times New Roman" w:cs="Times New Roman" w:eastAsia="Times New Roman" w:hAnsi="Times New Roman"/>
          <w:sz w:val="24"/>
          <w:szCs w:val="24"/>
        </w:rPr>
        <w:t xml:space="preserve"> for their clinical significance and resistance patterns.</w:t>
      </w:r>
    </w:p>
    <w:bookmarkStart w:id="35" w:name="_Toc203146310"/>
    <w:p>
      <w:pPr>
        <w:pStyle w:val="style2"/>
        <w:rPr/>
      </w:pPr>
      <w:r>
        <w:t>3.2</w:t>
      </w:r>
      <w:r>
        <w:tab/>
      </w:r>
      <w:r>
        <w:t>Collection and Preparation of Plant Material</w:t>
      </w:r>
      <w:bookmarkEnd w:id="35"/>
    </w:p>
    <w:p>
      <w:pPr>
        <w:pStyle w:val="style94"/>
        <w:spacing w:lineRule="auto" w:line="480"/>
        <w:jc w:val="both"/>
        <w:rPr/>
      </w:pPr>
      <w:r>
        <w:t xml:space="preserve">Fresh leaves of </w:t>
      </w:r>
      <w:r>
        <w:rPr>
          <w:rStyle w:val="style88"/>
          <w:rFonts w:eastAsia="宋体"/>
        </w:rPr>
        <w:t xml:space="preserve">Eucalyptus </w:t>
      </w:r>
      <w:r>
        <w:rPr>
          <w:rStyle w:val="style88"/>
          <w:rFonts w:eastAsia="宋体"/>
        </w:rPr>
        <w:t>globulus</w:t>
      </w:r>
      <w:r>
        <w:t xml:space="preserve"> </w:t>
      </w:r>
      <w:r>
        <w:t>were collected</w:t>
      </w:r>
      <w:r>
        <w:t xml:space="preserve"> from a natural stand in Ilorin, Kwara State, Nigeria. </w:t>
      </w:r>
      <w:r>
        <w:t>The plant was authenticated by a plant taxonomist at the Department of Plant Biology, University of Ilorin</w:t>
      </w:r>
      <w:r>
        <w:t xml:space="preserve">. The leaves were thoroughly washed with clean water to remove dirt, </w:t>
      </w:r>
      <w:r>
        <w:t>then</w:t>
      </w:r>
      <w:r>
        <w:t xml:space="preserve"> air-dried at room temperature in a shaded area for 7–10 days. The dried leaves were ground into fine powder using a sterile mortar</w:t>
      </w:r>
      <w:r>
        <w:t xml:space="preserve"> and pestle. </w:t>
      </w:r>
    </w:p>
    <w:bookmarkStart w:id="36" w:name="_Toc203146311"/>
    <w:p>
      <w:pPr>
        <w:pStyle w:val="style2"/>
        <w:rPr/>
      </w:pPr>
      <w:r>
        <w:t>3.3</w:t>
      </w:r>
      <w:r>
        <w:tab/>
      </w:r>
      <w:r>
        <w:t>Preparation of Plant Extracts</w:t>
      </w:r>
      <w:bookmarkEnd w:id="36"/>
    </w:p>
    <w:bookmarkStart w:id="37" w:name="_Toc203146312"/>
    <w:p>
      <w:pPr>
        <w:pStyle w:val="style3"/>
        <w:rPr>
          <w:rFonts w:eastAsia="Calibri"/>
        </w:rPr>
      </w:pPr>
      <w:r>
        <w:rPr>
          <w:rFonts w:eastAsia="Calibri"/>
        </w:rPr>
        <w:t>3.3.1</w:t>
      </w:r>
      <w:r>
        <w:rPr>
          <w:rFonts w:eastAsia="Calibri"/>
        </w:rPr>
        <w:tab/>
      </w:r>
      <w:r>
        <w:rPr>
          <w:rFonts w:eastAsia="Calibri"/>
        </w:rPr>
        <w:t>Ethanol Extraction</w:t>
      </w:r>
      <w:bookmarkEnd w:id="37"/>
    </w:p>
    <w:p>
      <w:pPr>
        <w:pStyle w:val="style94"/>
        <w:spacing w:before="0" w:beforeAutospacing="false" w:after="0" w:afterAutospacing="false" w:lineRule="auto" w:line="480"/>
        <w:jc w:val="both"/>
        <w:rPr/>
      </w:pPr>
      <w:r>
        <w:t xml:space="preserve">A total of 30 g portion of the powdered leaves was soaked in 150 ml of absolute ethanol in a sterile conical flask. The mixture </w:t>
      </w:r>
      <w:r>
        <w:t>was placed</w:t>
      </w:r>
      <w:r>
        <w:t xml:space="preserve"> in a shaking incubator at 42 °C and 80 rpm for 7 days. After extraction, the solution was filtered using </w:t>
      </w:r>
      <w:r>
        <w:t>Whatman</w:t>
      </w:r>
      <w:r>
        <w:t xml:space="preserve"> No.1 filter paper. The filtrate </w:t>
      </w:r>
      <w:r>
        <w:t>was concentrated by evaporation in a water bath at 40 °C to remove residual ethanol and then stored in sterile bottles at 4 °C for further analysis</w:t>
      </w:r>
      <w:r>
        <w:t xml:space="preserve">. </w:t>
      </w:r>
    </w:p>
    <w:p>
      <w:pPr>
        <w:pStyle w:val="style3"/>
        <w:spacing w:before="0"/>
        <w:rPr>
          <w:bCs w:val="false"/>
          <w:szCs w:val="24"/>
        </w:rPr>
      </w:pPr>
    </w:p>
    <w:bookmarkStart w:id="38" w:name="_Toc203146313"/>
    <w:p>
      <w:pPr>
        <w:pStyle w:val="style2"/>
        <w:rPr>
          <w:bCs/>
        </w:rPr>
      </w:pPr>
      <w:r>
        <w:t>3.4</w:t>
      </w:r>
      <w:r>
        <w:tab/>
      </w:r>
      <w:r>
        <w:t>Phytochemical Screening</w:t>
      </w:r>
      <w:bookmarkEnd w:id="38"/>
    </w:p>
    <w:p>
      <w:pPr>
        <w:pStyle w:val="style94"/>
        <w:spacing w:before="0" w:beforeAutospacing="false" w:lineRule="auto" w:line="480"/>
        <w:jc w:val="both"/>
        <w:rPr/>
      </w:pPr>
      <w:r>
        <w:t>Preliminary phytochemical screening was conducted</w:t>
      </w:r>
      <w:r>
        <w:t>,</w:t>
      </w:r>
      <w:r>
        <w:t xml:space="preserve"> ethanol extracts of </w:t>
      </w:r>
      <w:r>
        <w:rPr>
          <w:rStyle w:val="style88"/>
          <w:rFonts w:eastAsia="宋体"/>
        </w:rPr>
        <w:t xml:space="preserve">Eucalyptus </w:t>
      </w:r>
      <w:r>
        <w:rPr>
          <w:rStyle w:val="style88"/>
          <w:rFonts w:eastAsia="宋体"/>
        </w:rPr>
        <w:t>globulus</w:t>
      </w:r>
      <w:r>
        <w:t xml:space="preserve"> leaves to detect the presence of key secondary metabolites, including alkaloids, flavonoids, tannins, </w:t>
      </w:r>
      <w:r>
        <w:t>saponins</w:t>
      </w:r>
      <w:r>
        <w:t xml:space="preserve">, and phenolic compounds. These tests </w:t>
      </w:r>
      <w:r>
        <w:t>were performed</w:t>
      </w:r>
      <w:r>
        <w:t xml:space="preserve"> using standard qualitative methods described by </w:t>
      </w:r>
      <w:r>
        <w:t>Yakubu</w:t>
      </w:r>
      <w:r>
        <w:t xml:space="preserve"> </w:t>
      </w:r>
      <w:r>
        <w:rPr>
          <w:i/>
        </w:rPr>
        <w:t>et al</w:t>
      </w:r>
      <w:r>
        <w:t xml:space="preserve">. (2020). Each test </w:t>
      </w:r>
      <w:r>
        <w:t>is detailed</w:t>
      </w:r>
      <w:r>
        <w:t xml:space="preserve"> below.</w:t>
      </w:r>
    </w:p>
    <w:bookmarkStart w:id="39" w:name="_Toc203146314"/>
    <w:p>
      <w:pPr>
        <w:pStyle w:val="style3"/>
        <w:rPr/>
      </w:pPr>
      <w:r>
        <w:t>3.</w:t>
      </w:r>
      <w:r>
        <w:t>4</w:t>
      </w:r>
      <w:r>
        <w:t>.</w:t>
      </w:r>
      <w:r>
        <w:t>1</w:t>
      </w:r>
      <w:r>
        <w:tab/>
      </w:r>
      <w:r>
        <w:t>Test for Alkaloids</w:t>
      </w:r>
      <w:bookmarkEnd w:id="39"/>
    </w:p>
    <w:p>
      <w:pPr>
        <w:pStyle w:val="style94"/>
        <w:spacing w:before="0" w:beforeAutospacing="false" w:lineRule="auto" w:line="480"/>
        <w:jc w:val="both"/>
        <w:rPr/>
      </w:pPr>
      <w:r>
        <w:t>Two drops of Mayer’s reagent were added</w:t>
      </w:r>
      <w:r>
        <w:t xml:space="preserve"> to</w:t>
      </w:r>
      <w:r>
        <w:t xml:space="preserve"> 2 ml of each </w:t>
      </w:r>
      <w:r>
        <w:t>extract .</w:t>
      </w:r>
      <w:r>
        <w:t xml:space="preserve"> The formation of a cream-colored precipitate indicated the presence of alkaloids in the extract.</w:t>
      </w:r>
    </w:p>
    <w:bookmarkStart w:id="40" w:name="_Toc203146315"/>
    <w:p>
      <w:pPr>
        <w:pStyle w:val="style3"/>
        <w:rPr/>
      </w:pPr>
      <w:r>
        <w:t>3.4.2</w:t>
      </w:r>
      <w:r>
        <w:tab/>
      </w:r>
      <w:r>
        <w:t>Test for Flavonoids</w:t>
      </w:r>
      <w:bookmarkEnd w:id="40"/>
    </w:p>
    <w:p>
      <w:pPr>
        <w:pStyle w:val="style94"/>
        <w:spacing w:before="0" w:beforeAutospacing="false" w:lineRule="auto" w:line="480"/>
        <w:jc w:val="both"/>
        <w:rPr/>
      </w:pPr>
      <w:r>
        <w:t xml:space="preserve">One </w:t>
      </w:r>
      <w:r>
        <w:t>millilitre</w:t>
      </w:r>
      <w:r>
        <w:t xml:space="preserve"> of the extract </w:t>
      </w:r>
      <w:r>
        <w:t>was mixed</w:t>
      </w:r>
      <w:r>
        <w:t xml:space="preserve"> with a few drops of dilute sodium hydroxide solution. An intense yellow color </w:t>
      </w:r>
      <w:r>
        <w:t>appeared,</w:t>
      </w:r>
      <w:r>
        <w:t xml:space="preserve"> which became colorless upon the addition of dilute hydrochloric acid. This color change confirmed the presence of flavonoids.</w:t>
      </w:r>
    </w:p>
    <w:bookmarkStart w:id="41" w:name="_Toc203146316"/>
    <w:p>
      <w:pPr>
        <w:pStyle w:val="style3"/>
        <w:rPr/>
      </w:pPr>
      <w:r>
        <w:t>3.4.3</w:t>
      </w:r>
      <w:r>
        <w:tab/>
      </w:r>
      <w:r>
        <w:t>Test for Tannins</w:t>
      </w:r>
      <w:bookmarkEnd w:id="41"/>
    </w:p>
    <w:p>
      <w:pPr>
        <w:pStyle w:val="style94"/>
        <w:spacing w:before="0" w:beforeAutospacing="false" w:lineRule="auto" w:line="480"/>
        <w:jc w:val="both"/>
        <w:rPr/>
      </w:pPr>
      <w:r>
        <w:t xml:space="preserve">A few drops of 0.1% ferric chloride solution </w:t>
      </w:r>
      <w:r>
        <w:t>were added</w:t>
      </w:r>
      <w:r>
        <w:t xml:space="preserve"> to 2ml of the extracts. The formation of a blue-black or greenish-black coloration indicated the presence of tannins.</w:t>
      </w:r>
    </w:p>
    <w:bookmarkStart w:id="42" w:name="_Toc203146317"/>
    <w:p>
      <w:pPr>
        <w:pStyle w:val="style3"/>
        <w:rPr/>
      </w:pPr>
      <w:r>
        <w:t>3.4.4</w:t>
      </w:r>
      <w:r>
        <w:tab/>
      </w:r>
      <w:r>
        <w:t xml:space="preserve">Test for </w:t>
      </w:r>
      <w:r>
        <w:t>Saponins</w:t>
      </w:r>
      <w:bookmarkEnd w:id="42"/>
    </w:p>
    <w:p>
      <w:pPr>
        <w:pStyle w:val="style94"/>
        <w:spacing w:before="0" w:beforeAutospacing="false" w:lineRule="auto" w:line="480"/>
        <w:jc w:val="both"/>
        <w:rPr/>
      </w:pPr>
      <w:r>
        <w:t xml:space="preserve">About 5 ml of the extract </w:t>
      </w:r>
      <w:r>
        <w:t>was mixed</w:t>
      </w:r>
      <w:r>
        <w:t xml:space="preserve"> with 5 ml of distilled water in a test tube. The mixture </w:t>
      </w:r>
      <w:r>
        <w:t>was vigorously shaken for 30 seconds and allowed to stand for 10 minutes</w:t>
      </w:r>
      <w:r>
        <w:t xml:space="preserve">. The presence of persistent frothing (foam layer) indicated the presence of </w:t>
      </w:r>
      <w:r>
        <w:t>saponins</w:t>
      </w:r>
      <w:r>
        <w:t>.</w:t>
      </w:r>
    </w:p>
    <w:bookmarkStart w:id="43" w:name="_Toc203146318"/>
    <w:p>
      <w:pPr>
        <w:pStyle w:val="style3"/>
        <w:rPr/>
      </w:pPr>
      <w:r>
        <w:t>3.4.5</w:t>
      </w:r>
      <w:r>
        <w:tab/>
      </w:r>
      <w:r>
        <w:t>Test for Phenolic Compounds</w:t>
      </w:r>
      <w:bookmarkEnd w:id="43"/>
    </w:p>
    <w:p>
      <w:pPr>
        <w:pStyle w:val="style94"/>
        <w:spacing w:before="0" w:beforeAutospacing="false" w:after="0" w:afterAutospacing="false" w:lineRule="auto" w:line="480"/>
        <w:jc w:val="both"/>
        <w:rPr/>
      </w:pPr>
      <w:r>
        <w:t xml:space="preserve">Two </w:t>
      </w:r>
      <w:r>
        <w:t>millilitres</w:t>
      </w:r>
      <w:r>
        <w:t xml:space="preserve"> of the extract </w:t>
      </w:r>
      <w:r>
        <w:t>were treated</w:t>
      </w:r>
      <w:r>
        <w:t xml:space="preserve"> with a few drops of 5% ferric chloride solution. The appearance of a deep blue or dark green coloration confirmed the presence of phenolic compounds. </w:t>
      </w:r>
    </w:p>
    <w:bookmarkStart w:id="44" w:name="_Toc203146319"/>
    <w:p>
      <w:pPr>
        <w:pStyle w:val="style2"/>
        <w:spacing w:lineRule="auto" w:line="480"/>
        <w:rPr/>
      </w:pPr>
      <w:r>
        <w:t>3.5</w:t>
      </w:r>
      <w:r>
        <w:tab/>
      </w:r>
      <w:r>
        <w:t>Standardization of Bacterial Inoculum</w:t>
      </w:r>
      <w:bookmarkEnd w:id="44"/>
      <w:r>
        <w:t xml:space="preserve"> </w:t>
      </w:r>
    </w:p>
    <w:p>
      <w:pPr>
        <w:pStyle w:val="style94"/>
        <w:spacing w:before="0" w:beforeAutospacing="false" w:after="0" w:afterAutospacing="false" w:lineRule="auto" w:line="480"/>
        <w:jc w:val="both"/>
        <w:rPr/>
      </w:pPr>
      <w:r>
        <w:t>The bacterial isolates were standardized by adjusting their turbidity to match that of 0.5 McFarland standard, equivalent to approximately 1.5 × 10⁸ CFU/ml. This standardization ensured uniformity in bacterial concentration during susceptibility testing.</w:t>
      </w:r>
    </w:p>
    <w:bookmarkStart w:id="45" w:name="_Toc203146320"/>
    <w:p>
      <w:pPr>
        <w:pStyle w:val="style2"/>
        <w:spacing w:lineRule="auto" w:line="480"/>
        <w:rPr/>
      </w:pPr>
      <w:r>
        <w:t>3.6</w:t>
      </w:r>
      <w:r>
        <w:tab/>
      </w:r>
      <w:r>
        <w:t>Antibacterial Susceptibility Testing</w:t>
      </w:r>
      <w:bookmarkEnd w:id="45"/>
    </w:p>
    <w:bookmarkStart w:id="46" w:name="_Toc203146321"/>
    <w:p>
      <w:pPr>
        <w:pStyle w:val="style3"/>
        <w:spacing w:lineRule="auto" w:line="480"/>
        <w:rPr>
          <w:rFonts w:eastAsia="Calibri"/>
        </w:rPr>
      </w:pPr>
      <w:r>
        <w:rPr>
          <w:rFonts w:eastAsia="Calibri"/>
        </w:rPr>
        <w:t xml:space="preserve">3.6.1 </w:t>
      </w:r>
      <w:r>
        <w:rPr>
          <w:rFonts w:eastAsia="Calibri"/>
        </w:rPr>
        <w:tab/>
      </w:r>
      <w:r>
        <w:rPr>
          <w:rFonts w:eastAsia="Calibri"/>
        </w:rPr>
        <w:t>Agar Well Diffusion Method</w:t>
      </w:r>
      <w:bookmarkEnd w:id="46"/>
    </w:p>
    <w:p>
      <w:pPr>
        <w:pStyle w:val="style94"/>
        <w:spacing w:before="0" w:beforeAutospacing="false" w:after="0" w:afterAutospacing="false" w:lineRule="auto" w:line="480"/>
        <w:jc w:val="both"/>
        <w:rPr/>
      </w:pPr>
      <w:r>
        <w:t xml:space="preserve">Mueller-Hinton Agar (MHA) plates were prepared and sterilized. The standardized bacterial inoculum </w:t>
      </w:r>
      <w:r>
        <w:t>was uniformly spread</w:t>
      </w:r>
      <w:r>
        <w:t xml:space="preserve"> over the surface of the agar plates using a sterile swab. Wells of 6 mm diameter </w:t>
      </w:r>
      <w:r>
        <w:t>were made</w:t>
      </w:r>
      <w:r>
        <w:t xml:space="preserve"> using a sterile </w:t>
      </w:r>
      <w:r>
        <w:t>cork</w:t>
      </w:r>
      <w:r>
        <w:t xml:space="preserve"> borer. Different volumes (100 </w:t>
      </w:r>
      <w:r>
        <w:t>μl</w:t>
      </w:r>
      <w:r>
        <w:t xml:space="preserve">, 200 </w:t>
      </w:r>
      <w:r>
        <w:t>μl</w:t>
      </w:r>
      <w:r>
        <w:t xml:space="preserve">, and 300 </w:t>
      </w:r>
      <w:r>
        <w:t>μl</w:t>
      </w:r>
      <w:r>
        <w:t xml:space="preserve">) of each extract (aqueous and ethanol) were introduced into the wells. A well containing ethanol alone served as a negative control. The plates </w:t>
      </w:r>
      <w:r>
        <w:t>were incubated</w:t>
      </w:r>
      <w:r>
        <w:t xml:space="preserve"> at 37 °C for 24 hours. After incubation, the zones of inhibition </w:t>
      </w:r>
      <w:r>
        <w:t>were measured</w:t>
      </w:r>
      <w:r>
        <w:t xml:space="preserve"> in millimeters using a transparent ruler, and the average diameter from three replicates was recorded for each sample.</w:t>
      </w:r>
    </w:p>
    <w:bookmarkStart w:id="47" w:name="_Toc203146322"/>
    <w:p>
      <w:pPr>
        <w:pStyle w:val="style3"/>
        <w:rPr>
          <w:rFonts w:eastAsia="Calibri"/>
        </w:rPr>
      </w:pPr>
      <w:r>
        <w:rPr>
          <w:rFonts w:eastAsia="Calibri"/>
        </w:rPr>
        <w:t>3.6</w:t>
      </w:r>
      <w:r>
        <w:rPr>
          <w:rFonts w:eastAsia="Calibri"/>
        </w:rPr>
        <w:t>.2</w:t>
      </w:r>
      <w:r>
        <w:rPr>
          <w:rFonts w:eastAsia="Calibri"/>
        </w:rPr>
        <w:tab/>
      </w:r>
      <w:r>
        <w:rPr>
          <w:rFonts w:eastAsia="Calibri"/>
        </w:rPr>
        <w:t>Minimum Inhibitory Concentration (MIC) Determination</w:t>
      </w:r>
      <w:bookmarkEnd w:id="47"/>
    </w:p>
    <w:p>
      <w:pPr>
        <w:pStyle w:val="style94"/>
        <w:spacing w:lineRule="auto" w:line="480"/>
        <w:jc w:val="both"/>
        <w:rPr/>
      </w:pPr>
      <w:r>
        <w:t xml:space="preserve">The MIC of the ethanol extract was determined using the agar dilution method. Different concentrations of the extract </w:t>
      </w:r>
      <w:r>
        <w:t>were incorporated</w:t>
      </w:r>
      <w:r>
        <w:t xml:space="preserve"> into molten Mueller-Hinton Agar at ratios of 0.15 and 0.2 (v/v). The agar was poured into sterile Petri dishes and allowed to solidify. The standardized bacterial suspensions of MRSA and </w:t>
      </w:r>
      <w:r>
        <w:rPr>
          <w:rStyle w:val="style88"/>
          <w:rFonts w:eastAsia="宋体"/>
        </w:rPr>
        <w:t>E. coli</w:t>
      </w:r>
      <w:r>
        <w:t xml:space="preserve"> were then spot-inoculated onto the surface of the agar. The plates </w:t>
      </w:r>
      <w:r>
        <w:t xml:space="preserve">were incubated at 37 °C for 24 hours and observed for visible bacterial </w:t>
      </w:r>
      <w:r>
        <w:t>growth</w:t>
      </w:r>
      <w:r>
        <w:t xml:space="preserve">. The lowest concentration of extract at which no growth </w:t>
      </w:r>
      <w:r>
        <w:t>was observed</w:t>
      </w:r>
      <w:r>
        <w:t xml:space="preserve"> was recorded as the MIC.</w:t>
      </w:r>
    </w:p>
    <w:p>
      <w:pPr>
        <w:pStyle w:val="style0"/>
        <w:rPr>
          <w:rFonts w:ascii="Times New Roman" w:cs="Times New Roman" w:eastAsia="Times New Roman" w:hAnsi="Times New Roman"/>
          <w:sz w:val="24"/>
          <w:szCs w:val="24"/>
        </w:rPr>
      </w:pPr>
      <w:r>
        <w:br w:type="page"/>
      </w:r>
    </w:p>
    <w:bookmarkStart w:id="48" w:name="_Toc203146323"/>
    <w:p>
      <w:pPr>
        <w:pStyle w:val="style1"/>
        <w:spacing w:lineRule="auto" w:line="480"/>
        <w:jc w:val="center"/>
        <w:rPr>
          <w:rFonts w:eastAsia="Times New Roman"/>
          <w:szCs w:val="24"/>
        </w:rPr>
      </w:pPr>
      <w:r>
        <w:t>CHAPTER FOUR</w:t>
      </w:r>
      <w:bookmarkEnd w:id="48"/>
    </w:p>
    <w:bookmarkStart w:id="49" w:name="_Toc203146324"/>
    <w:p>
      <w:pPr>
        <w:pStyle w:val="style1"/>
        <w:spacing w:lineRule="auto" w:line="480"/>
        <w:jc w:val="center"/>
        <w:rPr/>
      </w:pPr>
      <w:r>
        <w:t>RESULTS</w:t>
      </w:r>
      <w:bookmarkEnd w:id="49"/>
    </w:p>
    <w:bookmarkStart w:id="50" w:name="_Toc203146325"/>
    <w:p>
      <w:pPr>
        <w:pStyle w:val="style2"/>
        <w:rPr/>
      </w:pPr>
      <w:r>
        <w:t>4.1</w:t>
      </w:r>
      <w:r>
        <w:tab/>
      </w:r>
      <w:r>
        <w:t xml:space="preserve">Phytochemical Screening of Eucalyptus </w:t>
      </w:r>
      <w:r>
        <w:t>globulus</w:t>
      </w:r>
      <w:r>
        <w:t xml:space="preserve"> Leaf Extracts</w:t>
      </w:r>
      <w:bookmarkEnd w:id="50"/>
    </w:p>
    <w:p>
      <w:pPr>
        <w:pStyle w:val="style94"/>
        <w:spacing w:lineRule="auto" w:line="480"/>
        <w:jc w:val="both"/>
        <w:rPr/>
      </w:pPr>
      <w:r>
        <w:t xml:space="preserve">The phytochemical analysis </w:t>
      </w:r>
      <w:r>
        <w:t>of  ethanol</w:t>
      </w:r>
      <w:r>
        <w:t xml:space="preserve"> extracts of </w:t>
      </w:r>
      <w:r>
        <w:rPr>
          <w:rStyle w:val="style88"/>
        </w:rPr>
        <w:t xml:space="preserve">Eucalyptus </w:t>
      </w:r>
      <w:r>
        <w:rPr>
          <w:rStyle w:val="style88"/>
        </w:rPr>
        <w:t>globulus</w:t>
      </w:r>
      <w:r>
        <w:t xml:space="preserve"> revealed the presence of several bioactive compounds known for their antimicrobial properties. The results </w:t>
      </w:r>
      <w:r>
        <w:t>are summarized</w:t>
      </w:r>
      <w:r>
        <w:t xml:space="preserve"> in Table 4.1 below.</w:t>
      </w:r>
    </w:p>
    <w:p>
      <w:pPr>
        <w:pStyle w:val="style94"/>
        <w:rPr/>
      </w:pPr>
      <w:r>
        <w:rPr>
          <w:rStyle w:val="style87"/>
        </w:rPr>
        <w:t xml:space="preserve">Table 4.1: Phytochemical Constituents of Ethanol Extracts of </w:t>
      </w:r>
      <w:r>
        <w:rPr>
          <w:rStyle w:val="style88"/>
        </w:rPr>
        <w:t xml:space="preserve">Eucalyptus </w:t>
      </w:r>
      <w:r>
        <w:rPr>
          <w:rStyle w:val="style88"/>
        </w:rPr>
        <w:t>globulus</w:t>
      </w:r>
    </w:p>
    <w:tbl>
      <w:tblPr>
        <w:tblStyle w:val="style4100"/>
        <w:tblW w:w="5888" w:type="dxa"/>
        <w:shd w:val="clear" w:color="auto" w:fill="ffffff"/>
        <w:tblLook w:val="04A0" w:firstRow="1" w:lastRow="0" w:firstColumn="1" w:lastColumn="0" w:noHBand="0" w:noVBand="1"/>
      </w:tblPr>
      <w:tblGrid>
        <w:gridCol w:w="3218"/>
        <w:gridCol w:w="2669"/>
      </w:tblGrid>
      <w:tr>
        <w:trPr>
          <w:trHeight w:val="304" w:hRule="atLeast"/>
        </w:trPr>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Phytochemical</w:t>
            </w:r>
          </w:p>
        </w:tc>
        <w:tc>
          <w:tcPr>
            <w:tcW w:w="0" w:type="auto"/>
            <w:tcBorders/>
            <w:shd w:val="clear" w:color="auto" w:fill="ffffff"/>
          </w:tcPr>
          <w:p>
            <w:pPr>
              <w:pStyle w:val="style0"/>
              <w:jc w:val="center"/>
              <w:rPr>
                <w:rFonts w:ascii="Times New Roman" w:cs="Times New Roman" w:hAnsi="Times New Roman"/>
                <w:b w:val="false"/>
                <w:color w:val="auto"/>
                <w:sz w:val="24"/>
                <w:szCs w:val="24"/>
              </w:rPr>
            </w:pPr>
            <w:r>
              <w:rPr>
                <w:rFonts w:ascii="Times New Roman" w:cs="Times New Roman" w:hAnsi="Times New Roman"/>
                <w:bCs w:val="false"/>
                <w:color w:val="auto"/>
                <w:sz w:val="24"/>
                <w:szCs w:val="24"/>
              </w:rPr>
              <w:t>Ethanol Extract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Alkaloids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Flavonoids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Tannins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304"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Saponins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r>
        <w:tblPrEx/>
        <w:trPr>
          <w:trHeight w:val="288" w:hRule="atLeast"/>
        </w:trPr>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b w:val="false"/>
                <w:bCs w:val="false"/>
                <w:color w:val="auto"/>
                <w:sz w:val="24"/>
                <w:szCs w:val="24"/>
              </w:rPr>
              <w:t>Phenolic Compounds</w:t>
            </w:r>
          </w:p>
        </w:tc>
        <w:tc>
          <w:tcPr>
            <w:tcW w:w="0" w:type="auto"/>
            <w:tcBorders/>
            <w:shd w:val="clear" w:color="auto" w:fill="ffffff"/>
          </w:tcPr>
          <w:p>
            <w:pPr>
              <w:pStyle w:val="style0"/>
              <w:rPr>
                <w:rFonts w:ascii="Times New Roman" w:cs="Times New Roman" w:hAnsi="Times New Roman"/>
                <w:color w:val="auto"/>
                <w:sz w:val="24"/>
                <w:szCs w:val="24"/>
              </w:rPr>
            </w:pPr>
            <w:r>
              <w:rPr>
                <w:rFonts w:ascii="Times New Roman" w:cs="Times New Roman" w:hAnsi="Times New Roman"/>
                <w:color w:val="auto"/>
                <w:sz w:val="24"/>
                <w:szCs w:val="24"/>
              </w:rPr>
              <w:t>+</w:t>
            </w:r>
          </w:p>
        </w:tc>
      </w:tr>
    </w:tbl>
    <w:p>
      <w:pPr>
        <w:pStyle w:val="style94"/>
        <w:spacing w:before="0" w:beforeAutospacing="false" w:after="0" w:afterAutospacing="false"/>
        <w:rPr>
          <w:i/>
        </w:rPr>
      </w:pPr>
      <w:r>
        <w:rPr>
          <w:rStyle w:val="style87"/>
        </w:rPr>
        <w:t>Key:</w:t>
      </w:r>
      <w:r>
        <w:rPr>
          <w:i/>
        </w:rPr>
        <w:t xml:space="preserve"> (+) = Present</w:t>
      </w:r>
    </w:p>
    <w:p>
      <w:pPr>
        <w:pStyle w:val="style94"/>
        <w:spacing w:before="0" w:beforeAutospacing="false" w:after="0" w:afterAutospacing="false"/>
        <w:rPr>
          <w:i/>
        </w:rPr>
      </w:pPr>
      <w:r>
        <w:rPr>
          <w:i/>
        </w:rPr>
        <w:t xml:space="preserve">        (-) = Absent</w:t>
      </w:r>
    </w:p>
    <w:p>
      <w:pPr>
        <w:pStyle w:val="style94"/>
        <w:spacing w:before="0" w:beforeAutospacing="false" w:after="0" w:afterAutospacing="false" w:lineRule="auto" w:line="480"/>
        <w:jc w:val="both"/>
        <w:rPr>
          <w:b/>
        </w:rPr>
      </w:pPr>
    </w:p>
    <w:bookmarkStart w:id="51" w:name="_Toc203146326"/>
    <w:p>
      <w:pPr>
        <w:pStyle w:val="style2"/>
        <w:rPr/>
      </w:pPr>
      <w:r>
        <w:t>4.2</w:t>
      </w:r>
      <w:r>
        <w:tab/>
      </w:r>
      <w:r>
        <w:t xml:space="preserve">Antibacterial Activity of Eucalyptus </w:t>
      </w:r>
      <w:r>
        <w:t>globulus</w:t>
      </w:r>
      <w:r>
        <w:t xml:space="preserve"> Extracts Using Agar Well Diffusion Method</w:t>
      </w:r>
      <w:bookmarkEnd w:id="51"/>
    </w:p>
    <w:p>
      <w:pPr>
        <w:pStyle w:val="style94"/>
        <w:spacing w:lineRule="auto" w:line="480"/>
        <w:jc w:val="both"/>
        <w:rPr/>
      </w:pPr>
      <w:r>
        <w:t xml:space="preserve">The antibacterial effects of both aqueous and ethanol extracts of </w:t>
      </w:r>
      <w:r>
        <w:rPr>
          <w:rStyle w:val="style88"/>
        </w:rPr>
        <w:t xml:space="preserve">Eucalyptus </w:t>
      </w:r>
      <w:r>
        <w:rPr>
          <w:rStyle w:val="style88"/>
        </w:rPr>
        <w:t>globulus</w:t>
      </w:r>
      <w:r>
        <w:t xml:space="preserve"> leaves </w:t>
      </w:r>
      <w:r>
        <w:t>were evaluated</w:t>
      </w:r>
      <w:r>
        <w:t xml:space="preserve"> against MRSA and </w:t>
      </w:r>
      <w:r>
        <w:rPr>
          <w:rStyle w:val="style88"/>
        </w:rPr>
        <w:t>Escherichia coli</w:t>
      </w:r>
      <w:r>
        <w:t xml:space="preserve"> using the agar well diffusion method. Different volumes of extracts (100 µl, 200 µl, and 300 µl) were tested, and the zones of inhibition </w:t>
      </w:r>
      <w:r>
        <w:t>were measured</w:t>
      </w:r>
      <w:r>
        <w:t xml:space="preserve"> after 24 hours of incubation at 37°C.The ethanol extract showed larger zones of inhibition against both bacterial strains compared to the aqueous extract, indicating higher antibacterial potency.</w:t>
      </w:r>
    </w:p>
    <w:p>
      <w:pPr>
        <w:pStyle w:val="style0"/>
        <w:spacing w:before="100" w:beforeAutospacing="true" w:after="100" w:afterAutospacing="true" w:lineRule="auto" w:line="240"/>
        <w:rPr>
          <w:rFonts w:ascii="Times New Roman" w:cs="Times New Roman" w:hAnsi="Times New Roman"/>
          <w:b/>
          <w:sz w:val="24"/>
          <w:szCs w:val="24"/>
        </w:rPr>
      </w:pPr>
    </w:p>
    <w:p>
      <w:pPr>
        <w:pStyle w:val="style0"/>
        <w:spacing w:before="100" w:beforeAutospacing="true" w:after="100" w:afterAutospacing="true" w:lineRule="auto" w:line="240"/>
        <w:rPr>
          <w:rFonts w:ascii="Times New Roman" w:cs="Times New Roman" w:eastAsia="Times New Roman" w:hAnsi="Times New Roman"/>
          <w:b/>
          <w:sz w:val="24"/>
          <w:szCs w:val="24"/>
        </w:rPr>
      </w:pPr>
      <w:r>
        <w:rPr>
          <w:rFonts w:ascii="Times New Roman" w:cs="Times New Roman" w:eastAsia="Times New Roman" w:hAnsi="Times New Roman"/>
          <w:b/>
          <w:sz w:val="24"/>
          <w:szCs w:val="24"/>
        </w:rPr>
        <w:t xml:space="preserve">Table 4.2: Zones of Inhibition (mm) of Eucalyptus </w:t>
      </w:r>
      <w:r>
        <w:rPr>
          <w:rFonts w:ascii="Times New Roman" w:cs="Times New Roman" w:eastAsia="Times New Roman" w:hAnsi="Times New Roman"/>
          <w:b/>
          <w:sz w:val="24"/>
          <w:szCs w:val="24"/>
        </w:rPr>
        <w:t>globulus</w:t>
      </w:r>
      <w:r>
        <w:rPr>
          <w:rFonts w:ascii="Times New Roman" w:cs="Times New Roman" w:eastAsia="Times New Roman" w:hAnsi="Times New Roman"/>
          <w:b/>
          <w:sz w:val="24"/>
          <w:szCs w:val="24"/>
        </w:rPr>
        <w:t xml:space="preserve"> Extracts </w:t>
      </w:r>
      <w:r>
        <w:rPr>
          <w:rFonts w:ascii="Times New Roman" w:cs="Times New Roman" w:eastAsia="Times New Roman" w:hAnsi="Times New Roman"/>
          <w:b/>
          <w:sz w:val="24"/>
          <w:szCs w:val="24"/>
        </w:rPr>
        <w:t>Against</w:t>
      </w:r>
      <w:r>
        <w:rPr>
          <w:rFonts w:ascii="Times New Roman" w:cs="Times New Roman" w:eastAsia="Times New Roman" w:hAnsi="Times New Roman"/>
          <w:b/>
          <w:sz w:val="24"/>
          <w:szCs w:val="24"/>
        </w:rPr>
        <w:t xml:space="preserve"> MRSA and </w:t>
      </w:r>
      <w:r>
        <w:rPr>
          <w:rFonts w:ascii="Times New Roman" w:cs="Times New Roman" w:eastAsia="Times New Roman" w:hAnsi="Times New Roman"/>
          <w:b/>
          <w:sz w:val="24"/>
          <w:szCs w:val="24"/>
        </w:rPr>
        <w:t>E. coli</w:t>
      </w:r>
      <w:r>
        <w:rPr>
          <w:rFonts w:ascii="Times New Roman" w:cs="Times New Roman" w:eastAsia="Times New Roman" w:hAnsi="Times New Roman"/>
          <w:b/>
          <w:sz w:val="24"/>
          <w:szCs w:val="24"/>
        </w:rPr>
        <w:t xml:space="preserve"> Using Agar Well Diffusion</w:t>
      </w:r>
    </w:p>
    <w:p>
      <w:pPr>
        <w:pStyle w:val="style0"/>
        <w:spacing w:after="0" w:lineRule="auto" w:line="240"/>
        <w:rPr>
          <w:rFonts w:ascii="Times New Roman" w:cs="Times New Roman" w:eastAsia="Times New Roman" w:hAnsi="Times New Roman"/>
          <w:sz w:val="24"/>
          <w:szCs w:val="24"/>
        </w:rPr>
      </w:pPr>
    </w:p>
    <w:tbl>
      <w:tblPr>
        <w:tblStyle w:val="style4100"/>
        <w:tblW w:w="0" w:type="auto"/>
        <w:shd w:val="clear" w:color="auto" w:fill="ffffff"/>
        <w:tblLook w:val="04A0" w:firstRow="1" w:lastRow="0" w:firstColumn="1" w:lastColumn="0" w:noHBand="0" w:noVBand="1"/>
      </w:tblPr>
      <w:tblGrid>
        <w:gridCol w:w="2786"/>
        <w:gridCol w:w="1303"/>
        <w:gridCol w:w="2641"/>
        <w:gridCol w:w="2628"/>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Type</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Volume (µl)</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Zone of Inhibition (mm) MRSA</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 xml:space="preserve">Zone of Inhibition (mm) </w:t>
            </w:r>
            <w:r>
              <w:rPr>
                <w:rFonts w:ascii="Times New Roman" w:cs="Times New Roman" w:eastAsia="Times New Roman" w:hAnsi="Times New Roman"/>
                <w:i/>
                <w:iCs/>
                <w:sz w:val="24"/>
                <w:szCs w:val="24"/>
              </w:rPr>
              <w:t>E. coli</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0.30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0.35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0.45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Extract</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100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0.55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200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0.65 ± 0.03</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0.70 ± 0.02</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0.04</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0.80 ± 0.03</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Ethanol Control</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r>
        <w:tblPrEx/>
        <w:trPr/>
        <w:tc>
          <w:tcPr>
            <w:tcW w:w="0" w:type="auto"/>
            <w:tcBorders/>
            <w:shd w:val="clear" w:color="auto" w:fill="ffffff"/>
          </w:tcPr>
          <w:p>
            <w:pPr>
              <w:pStyle w:val="style0"/>
              <w:rPr>
                <w:rFonts w:ascii="Times New Roman" w:cs="Times New Roman" w:eastAsia="Times New Roman" w:hAnsi="Times New Roman"/>
                <w:bCs w:val="false"/>
                <w:sz w:val="24"/>
                <w:szCs w:val="24"/>
              </w:rPr>
            </w:pPr>
            <w:r>
              <w:rPr>
                <w:rFonts w:ascii="Times New Roman" w:cs="Times New Roman" w:eastAsia="Times New Roman" w:hAnsi="Times New Roman"/>
                <w:b w:val="false"/>
                <w:sz w:val="24"/>
                <w:szCs w:val="24"/>
              </w:rPr>
              <w:t>Aqueous Control (Ionized Water)</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300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0.00 ± 0.04</w:t>
            </w:r>
          </w:p>
        </w:tc>
      </w:tr>
    </w:tbl>
    <w:p>
      <w:pPr>
        <w:pStyle w:val="style0"/>
        <w:spacing w:before="100" w:beforeAutospacing="true" w:after="100" w:afterAutospacing="true" w:lineRule="auto" w:line="240"/>
        <w:rPr>
          <w:rFonts w:ascii="Times New Roman" w:cs="Times New Roman" w:hAnsi="Times New Roman"/>
          <w:b/>
          <w:sz w:val="24"/>
          <w:szCs w:val="24"/>
        </w:rPr>
      </w:pPr>
    </w:p>
    <w:bookmarkStart w:id="52" w:name="_Toc203146327"/>
    <w:p>
      <w:pPr>
        <w:pStyle w:val="style2"/>
        <w:spacing w:lineRule="auto" w:line="480"/>
        <w:rPr/>
      </w:pPr>
      <w:r>
        <w:t>4.3</w:t>
      </w:r>
      <w:r>
        <w:tab/>
      </w:r>
      <w:r>
        <w:t>Minimum Inhibitory Concentration (MIC) Determination of Ethanol Extract</w:t>
      </w:r>
      <w:bookmarkEnd w:id="52"/>
    </w:p>
    <w:p>
      <w:pPr>
        <w:pStyle w:val="style0"/>
        <w:spacing w:after="0" w:lineRule="auto" w:line="480"/>
        <w:jc w:val="both"/>
        <w:rPr>
          <w:rFonts w:ascii="Times New Roman" w:cs="Times New Roman" w:hAnsi="Times New Roman"/>
          <w:sz w:val="24"/>
          <w:szCs w:val="24"/>
        </w:rPr>
      </w:pPr>
      <w:r>
        <w:rPr>
          <w:rFonts w:ascii="Times New Roman" w:cs="Times New Roman" w:hAnsi="Times New Roman"/>
          <w:sz w:val="24"/>
          <w:szCs w:val="24"/>
        </w:rPr>
        <w:t xml:space="preserve">The results showed that at the 0.15 concentration, No inhibition of bacterial growth </w:t>
      </w:r>
      <w:r>
        <w:rPr>
          <w:rFonts w:ascii="Times New Roman" w:cs="Times New Roman" w:hAnsi="Times New Roman"/>
          <w:sz w:val="24"/>
          <w:szCs w:val="24"/>
        </w:rPr>
        <w:t>was observed</w:t>
      </w:r>
      <w:r>
        <w:rPr>
          <w:rFonts w:ascii="Times New Roman" w:cs="Times New Roman" w:hAnsi="Times New Roman"/>
          <w:sz w:val="24"/>
          <w:szCs w:val="24"/>
        </w:rPr>
        <w:t xml:space="preserve"> for both organisms. Complete inhibition of growth was achieved at the 0.2 concentration for the </w:t>
      </w:r>
      <w:r>
        <w:rPr>
          <w:rFonts w:ascii="Times New Roman" w:cs="Times New Roman" w:hAnsi="Times New Roman"/>
          <w:i/>
          <w:sz w:val="24"/>
          <w:szCs w:val="24"/>
        </w:rPr>
        <w:t xml:space="preserve">Methicillin-Resistant </w:t>
      </w:r>
      <w:r>
        <w:rPr>
          <w:rFonts w:ascii="Times New Roman" w:cs="Times New Roman" w:hAnsi="Times New Roman"/>
          <w:i/>
          <w:iCs/>
          <w:sz w:val="24"/>
          <w:szCs w:val="24"/>
        </w:rPr>
        <w:t>Staphylococcus aureus</w:t>
      </w:r>
      <w:r>
        <w:rPr>
          <w:rFonts w:ascii="Times New Roman" w:cs="Times New Roman" w:hAnsi="Times New Roman"/>
          <w:i/>
          <w:sz w:val="24"/>
          <w:szCs w:val="24"/>
        </w:rPr>
        <w:t xml:space="preserve"> (MRSA), </w:t>
      </w:r>
      <w:r>
        <w:rPr>
          <w:rFonts w:ascii="Times New Roman" w:cs="Times New Roman" w:hAnsi="Times New Roman"/>
          <w:sz w:val="24"/>
          <w:szCs w:val="24"/>
        </w:rPr>
        <w:t xml:space="preserve">indicating that this represents the minimum inhibitory concentration for MRSA and while no inhibition for </w:t>
      </w:r>
      <w:r>
        <w:rPr>
          <w:rFonts w:ascii="Times New Roman" w:cs="Times New Roman" w:hAnsi="Times New Roman"/>
          <w:i/>
          <w:iCs/>
          <w:sz w:val="24"/>
          <w:szCs w:val="24"/>
        </w:rPr>
        <w:t>E. coli</w:t>
      </w:r>
      <w:r>
        <w:rPr>
          <w:rFonts w:ascii="Times New Roman" w:cs="Times New Roman" w:hAnsi="Times New Roman"/>
          <w:sz w:val="24"/>
          <w:szCs w:val="24"/>
        </w:rPr>
        <w:t>.</w:t>
      </w:r>
    </w:p>
    <w:p>
      <w:pPr>
        <w:pStyle w:val="style0"/>
        <w:spacing w:before="100" w:beforeAutospacing="true" w:after="100" w:afterAutospacing="true" w:lineRule="auto" w:line="240"/>
        <w:rPr>
          <w:rFonts w:ascii="Times New Roman" w:cs="Times New Roman" w:eastAsia="Times New Roman" w:hAnsi="Times New Roman"/>
          <w:sz w:val="24"/>
          <w:szCs w:val="24"/>
        </w:rPr>
      </w:pPr>
      <w:r>
        <w:rPr>
          <w:rFonts w:ascii="Times New Roman" w:cs="Times New Roman" w:eastAsia="Times New Roman" w:hAnsi="Times New Roman"/>
          <w:b/>
          <w:bCs/>
          <w:sz w:val="24"/>
          <w:szCs w:val="24"/>
        </w:rPr>
        <w:t xml:space="preserve">Table 4.3: MIC of Ethanol Extract of </w:t>
      </w:r>
      <w:r>
        <w:rPr>
          <w:rFonts w:ascii="Times New Roman" w:cs="Times New Roman" w:eastAsia="Times New Roman" w:hAnsi="Times New Roman"/>
          <w:b/>
          <w:bCs/>
          <w:i/>
          <w:iCs/>
          <w:sz w:val="24"/>
          <w:szCs w:val="24"/>
        </w:rPr>
        <w:t xml:space="preserve">Eucalyptus </w:t>
      </w:r>
      <w:r>
        <w:rPr>
          <w:rFonts w:ascii="Times New Roman" w:cs="Times New Roman" w:eastAsia="Times New Roman" w:hAnsi="Times New Roman"/>
          <w:b/>
          <w:bCs/>
          <w:i/>
          <w:iCs/>
          <w:sz w:val="24"/>
          <w:szCs w:val="24"/>
        </w:rPr>
        <w:t>globulus</w:t>
      </w:r>
      <w:r>
        <w:rPr>
          <w:rFonts w:ascii="Times New Roman" w:cs="Times New Roman" w:eastAsia="Times New Roman" w:hAnsi="Times New Roman"/>
          <w:b/>
          <w:bCs/>
          <w:sz w:val="24"/>
          <w:szCs w:val="24"/>
        </w:rPr>
        <w:t xml:space="preserve"> Against MRSA and </w:t>
      </w:r>
      <w:r>
        <w:rPr>
          <w:rFonts w:ascii="Times New Roman" w:cs="Times New Roman" w:eastAsia="Times New Roman" w:hAnsi="Times New Roman"/>
          <w:b/>
          <w:bCs/>
          <w:i/>
          <w:iCs/>
          <w:sz w:val="24"/>
          <w:szCs w:val="24"/>
        </w:rPr>
        <w:t>E. coli</w:t>
      </w:r>
    </w:p>
    <w:tbl>
      <w:tblPr>
        <w:tblStyle w:val="style4100"/>
        <w:tblW w:w="0" w:type="auto"/>
        <w:shd w:val="clear" w:color="auto" w:fill="ffffff"/>
        <w:tblLook w:val="04A0" w:firstRow="1" w:lastRow="0" w:firstColumn="1" w:lastColumn="0" w:noHBand="0" w:noVBand="1"/>
      </w:tblPr>
      <w:tblGrid>
        <w:gridCol w:w="3086"/>
        <w:gridCol w:w="1807"/>
        <w:gridCol w:w="1685"/>
      </w:tblGrid>
      <w:tr>
        <w:trPr/>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Extract Concentration (v/v)</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MRSA Growth</w:t>
            </w:r>
          </w:p>
        </w:tc>
        <w:tc>
          <w:tcPr>
            <w:tcW w:w="0" w:type="auto"/>
            <w:tcBorders/>
            <w:shd w:val="clear" w:color="auto" w:fill="ffffff"/>
          </w:tcPr>
          <w:p>
            <w:pPr>
              <w:pStyle w:val="style0"/>
              <w:jc w:val="center"/>
              <w:rPr>
                <w:rFonts w:ascii="Times New Roman" w:cs="Times New Roman" w:eastAsia="Times New Roman" w:hAnsi="Times New Roman"/>
                <w:b w:val="false"/>
                <w:bCs w:val="false"/>
                <w:sz w:val="24"/>
                <w:szCs w:val="24"/>
              </w:rPr>
            </w:pPr>
            <w:r>
              <w:rPr>
                <w:rFonts w:ascii="Times New Roman" w:cs="Times New Roman" w:eastAsia="Times New Roman" w:hAnsi="Times New Roman"/>
                <w:i/>
                <w:iCs/>
                <w:sz w:val="24"/>
                <w:szCs w:val="24"/>
              </w:rPr>
              <w:t>E. coli</w:t>
            </w:r>
            <w:r>
              <w:rPr>
                <w:rFonts w:ascii="Times New Roman" w:cs="Times New Roman" w:eastAsia="Times New Roman" w:hAnsi="Times New Roman"/>
                <w:sz w:val="24"/>
                <w:szCs w:val="24"/>
              </w:rPr>
              <w:t xml:space="preserve"> Growth</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0.15</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p>
            <w:pPr>
              <w:pStyle w:val="style0"/>
              <w:rPr>
                <w:rFonts w:ascii="Times New Roman" w:cs="Times New Roman" w:eastAsia="Times New Roman" w:hAnsi="Times New Roman"/>
                <w:sz w:val="24"/>
                <w:szCs w:val="24"/>
              </w:rPr>
            </w:pP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r>
        <w:tblPrEx/>
        <w:trPr/>
        <w:tc>
          <w:tcPr>
            <w:tcW w:w="0" w:type="auto"/>
            <w:tcBorders/>
            <w:shd w:val="clear" w:color="auto" w:fill="ffffff"/>
          </w:tcPr>
          <w:p>
            <w:pPr>
              <w:pStyle w:val="style0"/>
              <w:rPr>
                <w:rFonts w:ascii="Times New Roman" w:cs="Times New Roman" w:eastAsia="Times New Roman" w:hAnsi="Times New Roman"/>
                <w:b w:val="false"/>
                <w:bCs w:val="false"/>
                <w:sz w:val="24"/>
                <w:szCs w:val="24"/>
              </w:rPr>
            </w:pPr>
            <w:r>
              <w:rPr>
                <w:rFonts w:ascii="Times New Roman" w:cs="Times New Roman" w:eastAsia="Times New Roman" w:hAnsi="Times New Roman"/>
                <w:sz w:val="24"/>
                <w:szCs w:val="24"/>
              </w:rPr>
              <w:t>0.20</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Total Inhibition</w:t>
            </w:r>
          </w:p>
        </w:tc>
        <w:tc>
          <w:tcPr>
            <w:tcW w:w="0" w:type="auto"/>
            <w:tcBorders/>
            <w:shd w:val="clear" w:color="auto" w:fill="ffffff"/>
          </w:tcPr>
          <w:p>
            <w:pPr>
              <w:pStyle w:val="style0"/>
              <w:rPr>
                <w:rFonts w:ascii="Times New Roman" w:cs="Times New Roman" w:eastAsia="Times New Roman" w:hAnsi="Times New Roman"/>
                <w:sz w:val="24"/>
                <w:szCs w:val="24"/>
              </w:rPr>
            </w:pPr>
            <w:r>
              <w:rPr>
                <w:rFonts w:ascii="Times New Roman" w:cs="Times New Roman" w:eastAsia="Times New Roman" w:hAnsi="Times New Roman"/>
                <w:sz w:val="24"/>
                <w:szCs w:val="24"/>
              </w:rPr>
              <w:t>No Inhibition</w:t>
            </w:r>
          </w:p>
        </w:tc>
      </w:tr>
    </w:tbl>
    <w:p>
      <w:pPr>
        <w:pStyle w:val="style0"/>
        <w:spacing w:after="0" w:lineRule="auto" w:line="480"/>
        <w:jc w:val="both"/>
        <w:rPr>
          <w:rFonts w:ascii="Times New Roman" w:cs="Times New Roman" w:hAnsi="Times New Roman"/>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p>
      <w:pPr>
        <w:pStyle w:val="style0"/>
        <w:spacing w:after="0" w:lineRule="auto" w:line="480"/>
        <w:jc w:val="both"/>
        <w:rPr>
          <w:rFonts w:ascii="Times New Roman" w:cs="Times New Roman" w:hAnsi="Times New Roman"/>
          <w:b/>
          <w:sz w:val="24"/>
          <w:szCs w:val="24"/>
        </w:rPr>
      </w:pPr>
    </w:p>
    <w:bookmarkStart w:id="53" w:name="_Toc203146328"/>
    <w:p>
      <w:pPr>
        <w:pStyle w:val="style2"/>
        <w:spacing w:lineRule="auto" w:line="480"/>
        <w:rPr/>
      </w:pPr>
      <w:r>
        <w:t>4.5</w:t>
      </w:r>
      <w:r>
        <w:tab/>
      </w:r>
      <w:r>
        <w:t>Discussion</w:t>
      </w:r>
      <w:bookmarkEnd w:id="53"/>
    </w:p>
    <w:p>
      <w:pPr>
        <w:pStyle w:val="style94"/>
        <w:spacing w:before="0" w:beforeAutospacing="false" w:after="0" w:afterAutospacing="false" w:lineRule="auto" w:line="480"/>
        <w:jc w:val="both"/>
        <w:rPr/>
      </w:pPr>
      <w:r>
        <w:t xml:space="preserve">This study was carried out to evaluate the antibacterial efficacy of </w:t>
      </w:r>
      <w:r>
        <w:rPr>
          <w:rStyle w:val="style88"/>
        </w:rPr>
        <w:t xml:space="preserve">Eucalyptus </w:t>
      </w:r>
      <w:r>
        <w:rPr>
          <w:rStyle w:val="style88"/>
        </w:rPr>
        <w:t>globulus</w:t>
      </w:r>
      <w:r>
        <w:t xml:space="preserve"> leaf extracts against two clinically significant bacteria: Methicillin-Resistant </w:t>
      </w:r>
      <w:r>
        <w:rPr>
          <w:rStyle w:val="style88"/>
        </w:rPr>
        <w:t>Staphylococcus aureus</w:t>
      </w:r>
      <w:r>
        <w:t xml:space="preserve"> (MRSA) </w:t>
      </w:r>
      <w:r>
        <w:t>alkaloids</w:t>
      </w:r>
      <w:r>
        <w:t>,and</w:t>
      </w:r>
      <w:r>
        <w:t xml:space="preserve"> </w:t>
      </w:r>
      <w:r>
        <w:rPr>
          <w:rStyle w:val="style88"/>
        </w:rPr>
        <w:t>Escherichia coli</w:t>
      </w:r>
      <w:r>
        <w:t xml:space="preserve">. These organisms were selected due to their public health importance, particularly MRSA, which is resistant to multiple antibiotics, and </w:t>
      </w:r>
      <w:r>
        <w:rPr>
          <w:rStyle w:val="style88"/>
        </w:rPr>
        <w:t>E. coli</w:t>
      </w:r>
      <w:r>
        <w:t>, which is a common cause of gastrointestinal and urinary tract infections. The confirmation of the bacterial isolates using standard biochemical and microbiological techniques ensured the reliability of the experimental results.</w:t>
      </w:r>
    </w:p>
    <w:p>
      <w:pPr>
        <w:pStyle w:val="style94"/>
        <w:spacing w:before="0" w:beforeAutospacing="false" w:after="0" w:afterAutospacing="false" w:lineRule="auto" w:line="480"/>
        <w:ind w:firstLine="720"/>
        <w:jc w:val="both"/>
        <w:rPr/>
      </w:pPr>
      <w:r>
        <w:t>Phytochemical screening of the extracts revealed the presence of several important secondary metabolites, including flavonoids, tannins</w:t>
      </w:r>
      <w:r>
        <w:t>,  and</w:t>
      </w:r>
      <w:r>
        <w:t xml:space="preserve"> phenolic compounds but </w:t>
      </w:r>
      <w:r>
        <w:t>alkanoids</w:t>
      </w:r>
      <w:r>
        <w:t xml:space="preserve"> and </w:t>
      </w:r>
      <w:r>
        <w:t>saponin</w:t>
      </w:r>
      <w:r>
        <w:t xml:space="preserve"> were absent. These compounds </w:t>
      </w:r>
      <w:r>
        <w:t>are known</w:t>
      </w:r>
      <w:r>
        <w:t xml:space="preserve"> for their various biological activities, especially antimicrobial action. Alkaloids, for instance, interfere with microbial DNA replication; flavonoids disrupt microbial cell membranes; tannins can bind to microbial proteins and enzymes; while </w:t>
      </w:r>
      <w:r>
        <w:t>phenolics</w:t>
      </w:r>
      <w:r>
        <w:t xml:space="preserve"> and </w:t>
      </w:r>
      <w:r>
        <w:t>saponins</w:t>
      </w:r>
      <w:r>
        <w:t xml:space="preserve"> possess both bacteriostatic and bactericidal effects (</w:t>
      </w:r>
      <w:r>
        <w:t>Sasidharan</w:t>
      </w:r>
      <w:r>
        <w:t xml:space="preserve"> </w:t>
      </w:r>
      <w:r>
        <w:rPr>
          <w:i/>
        </w:rPr>
        <w:t>et al</w:t>
      </w:r>
      <w:r>
        <w:t xml:space="preserve">., 2011; Singh </w:t>
      </w:r>
      <w:r>
        <w:rPr>
          <w:i/>
        </w:rPr>
        <w:t>et al</w:t>
      </w:r>
      <w:r>
        <w:t xml:space="preserve">., 2021). The presence of these phytochemicals in </w:t>
      </w:r>
      <w:r>
        <w:rPr>
          <w:rStyle w:val="style88"/>
        </w:rPr>
        <w:t xml:space="preserve">Eucalyptus </w:t>
      </w:r>
      <w:r>
        <w:rPr>
          <w:rStyle w:val="style88"/>
        </w:rPr>
        <w:t>globulus</w:t>
      </w:r>
      <w:r>
        <w:t xml:space="preserve"> may explain the observed antibacterial activity.</w:t>
      </w:r>
    </w:p>
    <w:p>
      <w:pPr>
        <w:pStyle w:val="style94"/>
        <w:spacing w:before="0" w:beforeAutospacing="false" w:after="0" w:afterAutospacing="false" w:lineRule="auto" w:line="480"/>
        <w:ind w:firstLine="720"/>
        <w:jc w:val="both"/>
        <w:rPr/>
      </w:pPr>
      <w:r>
        <w:t xml:space="preserve">The antibacterial assay using the agar well diffusion method showed that both the aqueous and ethanol extracts were effective against MRSA and </w:t>
      </w:r>
      <w:r>
        <w:rPr>
          <w:rStyle w:val="style88"/>
        </w:rPr>
        <w:t>E. coli</w:t>
      </w:r>
      <w:r>
        <w:t xml:space="preserve">, but the ethanol extract exhibited greater inhibitory activities. This higher potency of the ethanol extract </w:t>
      </w:r>
      <w:r>
        <w:t>can be attributed</w:t>
      </w:r>
      <w:r>
        <w:t xml:space="preserve"> to the better solubility of bioactive compounds in ethanol compared to water. Ethanol, being an organic solvent, is more effective at extracting non-polar or </w:t>
      </w:r>
      <w:r>
        <w:t>moderately polar</w:t>
      </w:r>
      <w:r>
        <w:t xml:space="preserve"> compounds like flavonoids, essential oils, and certain alkaloids which possess antimicrobial effects (</w:t>
      </w:r>
      <w:r>
        <w:t>Alabi</w:t>
      </w:r>
      <w:r>
        <w:t xml:space="preserve"> </w:t>
      </w:r>
      <w:r>
        <w:rPr>
          <w:i/>
        </w:rPr>
        <w:t>et al</w:t>
      </w:r>
      <w:r>
        <w:t xml:space="preserve">., 2019; </w:t>
      </w:r>
      <w:r>
        <w:t>Ogunyemi</w:t>
      </w:r>
      <w:r>
        <w:t xml:space="preserve"> </w:t>
      </w:r>
      <w:r>
        <w:rPr>
          <w:i/>
        </w:rPr>
        <w:t>et al</w:t>
      </w:r>
      <w:r>
        <w:t xml:space="preserve">., 2022). The increase in inhibition zones with higher extract volumes further </w:t>
      </w:r>
      <w:r>
        <w:t xml:space="preserve">demonstrates a dose-dependent relationship. At 300 µl, the ethanol extract produced a zone of inhibition of 0.80 ± 0.04 mm against MRSA and 0.80 ± 0.03 mm against </w:t>
      </w:r>
      <w:r>
        <w:rPr>
          <w:rStyle w:val="style88"/>
        </w:rPr>
        <w:t>E. coli</w:t>
      </w:r>
      <w:r>
        <w:t xml:space="preserve">, while the aqueous extract produced zones of 0.60 ± 0.05 mm and 0.65 ± 0.04 mm respectively. These findings align with those reported by Mohamed </w:t>
      </w:r>
      <w:r>
        <w:rPr>
          <w:i/>
        </w:rPr>
        <w:t>et al</w:t>
      </w:r>
      <w:r>
        <w:t xml:space="preserve">. (2020), who found that ethanol extracts of </w:t>
      </w:r>
      <w:r>
        <w:rPr>
          <w:rStyle w:val="style88"/>
        </w:rPr>
        <w:t xml:space="preserve">Eucalyptus </w:t>
      </w:r>
      <w:r>
        <w:rPr>
          <w:rStyle w:val="style88"/>
        </w:rPr>
        <w:t>globulus</w:t>
      </w:r>
      <w:r>
        <w:t xml:space="preserve"> showed significantly higher antibacterial activity than aqueous extracts against drug-resistant strains. The results of the MIC test reinforce the potency of the ethanol extract, as complete inhibition of growth was observed at a relatively low concentration of </w:t>
      </w:r>
      <w:r>
        <w:t>0</w:t>
      </w:r>
      <w:r>
        <w:t xml:space="preserve">. 2 v/v </w:t>
      </w:r>
      <w:r>
        <w:t>for  Methicillin</w:t>
      </w:r>
      <w:r>
        <w:t xml:space="preserve">-Resistant </w:t>
      </w:r>
      <w:r>
        <w:rPr>
          <w:rStyle w:val="style88"/>
        </w:rPr>
        <w:t>Staphylococcus aureus</w:t>
      </w:r>
      <w:r>
        <w:t xml:space="preserve"> (MRSA). This suggests that even small quantities of the ethanol extract can exert effective antibacterial action. </w:t>
      </w:r>
      <w:r>
        <w:t xml:space="preserve">Similar MIC values were reported by </w:t>
      </w:r>
      <w:r>
        <w:t>Taiwo</w:t>
      </w:r>
      <w:r>
        <w:t xml:space="preserve"> </w:t>
      </w:r>
      <w:r>
        <w:rPr>
          <w:i/>
        </w:rPr>
        <w:t>et al</w:t>
      </w:r>
      <w:r>
        <w:t xml:space="preserve">. (2021), who tested </w:t>
      </w:r>
      <w:r>
        <w:rPr>
          <w:rStyle w:val="style88"/>
        </w:rPr>
        <w:t xml:space="preserve">Eucalyptus </w:t>
      </w:r>
      <w:r>
        <w:rPr>
          <w:rStyle w:val="style88"/>
        </w:rPr>
        <w:t>globulus</w:t>
      </w:r>
      <w:r>
        <w:t xml:space="preserve"> against multidrug-resistant </w:t>
      </w:r>
      <w:r>
        <w:rPr>
          <w:rStyle w:val="style88"/>
        </w:rPr>
        <w:t>Staphylococcus aureus</w:t>
      </w:r>
      <w:r>
        <w:t xml:space="preserve"> and other Gram-negative pathogens</w:t>
      </w:r>
      <w:r>
        <w:t>.</w:t>
      </w:r>
    </w:p>
    <w:p>
      <w:pPr>
        <w:pStyle w:val="style94"/>
        <w:spacing w:before="0" w:beforeAutospacing="false" w:after="0" w:afterAutospacing="false" w:lineRule="auto" w:line="480"/>
        <w:ind w:firstLine="720"/>
        <w:jc w:val="both"/>
        <w:rPr/>
      </w:pPr>
      <w:r>
        <w:t xml:space="preserve">The difference in activity between MRSA (Gram-positive) and </w:t>
      </w:r>
      <w:r>
        <w:rPr>
          <w:rStyle w:val="style88"/>
        </w:rPr>
        <w:t>E. coli</w:t>
      </w:r>
      <w:r>
        <w:t xml:space="preserve"> (Gram-negative) was minimal in this study, though Gram-negative bacteria </w:t>
      </w:r>
      <w:r>
        <w:t>are generally considered</w:t>
      </w:r>
      <w:r>
        <w:t xml:space="preserve"> more resistant due to their outer membrane, which limits the penetration of antibacterial agents. The similar response from both organisms suggests that the phytochemicals in </w:t>
      </w:r>
      <w:r>
        <w:rPr>
          <w:rStyle w:val="style88"/>
        </w:rPr>
        <w:t xml:space="preserve">Eucalyptus </w:t>
      </w:r>
      <w:r>
        <w:rPr>
          <w:rStyle w:val="style88"/>
        </w:rPr>
        <w:t>globulus</w:t>
      </w:r>
      <w:r>
        <w:t xml:space="preserve"> may act through multiple mechanisms that overcome this structural barrier. This supports earlier findings by </w:t>
      </w:r>
      <w:r>
        <w:t>Akinmoladun</w:t>
      </w:r>
      <w:r>
        <w:t xml:space="preserve"> </w:t>
      </w:r>
      <w:r>
        <w:rPr>
          <w:i/>
        </w:rPr>
        <w:t>et al</w:t>
      </w:r>
      <w:r>
        <w:t xml:space="preserve">. (2020), who noted that </w:t>
      </w:r>
      <w:r>
        <w:rPr>
          <w:rStyle w:val="style88"/>
        </w:rPr>
        <w:t xml:space="preserve">Eucalyptus </w:t>
      </w:r>
      <w:r>
        <w:rPr>
          <w:rStyle w:val="style88"/>
        </w:rPr>
        <w:t>globulus</w:t>
      </w:r>
      <w:r>
        <w:t xml:space="preserve"> extracts could disrupt both Gram-positive and Gram-negative bacterial membranes. The findings of this study have several practical implications. The growing problem of antibiotic resistance, especially in hospital-acquired infections, necessitates the search for new, effective, and affordable antimicrobial agents. Medicinal plants like </w:t>
      </w:r>
      <w:r>
        <w:rPr>
          <w:rStyle w:val="style88"/>
        </w:rPr>
        <w:t xml:space="preserve">Eucalyptus </w:t>
      </w:r>
      <w:r>
        <w:rPr>
          <w:rStyle w:val="style88"/>
        </w:rPr>
        <w:t>globulus</w:t>
      </w:r>
      <w:r>
        <w:t xml:space="preserve"> offer a promising natural alternative or complementary option, especially in resource-limited settings. The ease of plant collection, low toxicity, and </w:t>
      </w:r>
      <w:r>
        <w:t>broad-spectrum activity make them suitable candidates for further development into antimicrobial formulations.</w:t>
      </w:r>
    </w:p>
    <w:p>
      <w:pPr>
        <w:pStyle w:val="style0"/>
        <w:rPr/>
      </w:pPr>
    </w:p>
    <w:p>
      <w:pPr>
        <w:pStyle w:val="style94"/>
        <w:spacing w:lineRule="auto" w:line="480"/>
        <w:jc w:val="both"/>
        <w:rPr/>
      </w:pPr>
    </w:p>
    <w:p>
      <w:pPr>
        <w:pStyle w:val="style94"/>
        <w:spacing w:lineRule="auto" w:line="480"/>
        <w:jc w:val="both"/>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p>
      <w:pPr>
        <w:pStyle w:val="style0"/>
        <w:jc w:val="center"/>
        <w:rPr>
          <w:rFonts w:ascii="Times New Roman" w:cs="Times New Roman" w:hAnsi="Times New Roman"/>
          <w:b/>
          <w:sz w:val="24"/>
          <w:szCs w:val="24"/>
        </w:rPr>
      </w:pPr>
    </w:p>
    <w:bookmarkStart w:id="54" w:name="_Toc203146329"/>
    <w:p>
      <w:pPr>
        <w:pStyle w:val="style1"/>
        <w:jc w:val="center"/>
        <w:rPr/>
      </w:pPr>
      <w:r>
        <w:t>CHAPTER FIVE</w:t>
      </w:r>
      <w:bookmarkEnd w:id="54"/>
    </w:p>
    <w:bookmarkStart w:id="55" w:name="_Toc203146330"/>
    <w:p>
      <w:pPr>
        <w:pStyle w:val="style1"/>
        <w:spacing w:lineRule="auto" w:line="480"/>
        <w:jc w:val="center"/>
        <w:rPr/>
      </w:pPr>
      <w:r>
        <w:t>SUMMARY, CONCLUSION AND RECOMMENDATION</w:t>
      </w:r>
      <w:bookmarkEnd w:id="55"/>
    </w:p>
    <w:bookmarkStart w:id="56" w:name="_Toc203146331"/>
    <w:p>
      <w:pPr>
        <w:pStyle w:val="style2"/>
        <w:spacing w:lineRule="auto" w:line="480"/>
        <w:rPr>
          <w:rFonts w:eastAsia="Calibri"/>
        </w:rPr>
      </w:pPr>
      <w:r>
        <w:rPr>
          <w:rFonts w:eastAsia="Calibri"/>
        </w:rPr>
        <w:t>5.1</w:t>
      </w:r>
      <w:r>
        <w:rPr>
          <w:rFonts w:eastAsia="Calibri"/>
        </w:rPr>
        <w:tab/>
      </w:r>
      <w:r>
        <w:rPr>
          <w:rFonts w:eastAsia="Calibri"/>
        </w:rPr>
        <w:t>Summary</w:t>
      </w:r>
      <w:bookmarkEnd w:id="56"/>
    </w:p>
    <w:p>
      <w:pPr>
        <w:pStyle w:val="style94"/>
        <w:spacing w:lineRule="auto" w:line="480"/>
        <w:jc w:val="both"/>
        <w:rPr/>
      </w:pPr>
      <w:r>
        <w:t xml:space="preserve">This study evaluated the antibacterial efficacy of aqueous and ethanol extracts of </w:t>
      </w:r>
      <w:r>
        <w:rPr>
          <w:rStyle w:val="style88"/>
          <w:rFonts w:eastAsia="宋体"/>
        </w:rPr>
        <w:t xml:space="preserve">Eucalyptus </w:t>
      </w:r>
      <w:r>
        <w:rPr>
          <w:rStyle w:val="style88"/>
          <w:rFonts w:eastAsia="宋体"/>
        </w:rPr>
        <w:t>globulus</w:t>
      </w:r>
      <w:r>
        <w:t xml:space="preserve"> leaves against clinically important bacterial isolates of Methicillin-Resistant </w:t>
      </w:r>
      <w:r>
        <w:rPr>
          <w:rStyle w:val="style88"/>
          <w:rFonts w:eastAsia="宋体"/>
        </w:rPr>
        <w:t>Staphylococcus aureus</w:t>
      </w:r>
      <w:r>
        <w:t xml:space="preserve"> (MRSA) and </w:t>
      </w:r>
      <w:r>
        <w:rPr>
          <w:rStyle w:val="style88"/>
          <w:rFonts w:eastAsia="宋体"/>
        </w:rPr>
        <w:t>Escherichia coli</w:t>
      </w:r>
      <w:r>
        <w:t xml:space="preserve">. The bacterial isolates </w:t>
      </w:r>
      <w:r>
        <w:t>were obtained</w:t>
      </w:r>
      <w:r>
        <w:t xml:space="preserve"> from the University of Ilorin Teaching Hospital and confirmed using standard microbiological and biochemical methods. Preliminary phytochemical screening </w:t>
      </w:r>
      <w:r>
        <w:t xml:space="preserve">revealed  </w:t>
      </w:r>
      <w:r>
        <w:t>no</w:t>
      </w:r>
      <w:r>
        <w:t xml:space="preserve"> </w:t>
      </w:r>
      <w:r>
        <w:t>p</w:t>
      </w:r>
      <w:r>
        <w:t xml:space="preserve">resence of alkaloids and </w:t>
      </w:r>
      <w:r>
        <w:t>saponins</w:t>
      </w:r>
      <w:r>
        <w:t xml:space="preserve"> while  flavonoids, tannins</w:t>
      </w:r>
      <w:r>
        <w:t>, and phenolic compounds</w:t>
      </w:r>
      <w:r>
        <w:t xml:space="preserve"> were present</w:t>
      </w:r>
      <w:r>
        <w:t>. The antibacterial activity assessed by agar well diffusion showed that ethanol extracts had greater inhibitory effects compared to aqueous extracts, with the zone of inhibition increasing with extract volume. The minimum inhibitory concentration (MIC) determination further confirmed that the ethanol extract inhibited bacterial growth at relatively low concentrations.</w:t>
      </w:r>
    </w:p>
    <w:bookmarkStart w:id="57" w:name="_Toc203146332"/>
    <w:p>
      <w:pPr>
        <w:pStyle w:val="style2"/>
        <w:spacing w:lineRule="auto" w:line="480"/>
        <w:rPr/>
      </w:pPr>
      <w:r>
        <w:t>5.2</w:t>
      </w:r>
      <w:r>
        <w:tab/>
      </w:r>
      <w:r>
        <w:t>Conclusion</w:t>
      </w:r>
      <w:bookmarkEnd w:id="57"/>
    </w:p>
    <w:p>
      <w:pPr>
        <w:pStyle w:val="style94"/>
        <w:spacing w:before="0" w:beforeAutospacing="false" w:after="0" w:afterAutospacing="false" w:lineRule="auto" w:line="480"/>
        <w:jc w:val="both"/>
        <w:rPr/>
      </w:pPr>
      <w:r>
        <w:t xml:space="preserve">The findings revealed that </w:t>
      </w:r>
      <w:r>
        <w:rPr>
          <w:rStyle w:val="style88"/>
          <w:rFonts w:eastAsia="宋体"/>
        </w:rPr>
        <w:t xml:space="preserve">Eucalyptus </w:t>
      </w:r>
      <w:r>
        <w:rPr>
          <w:rStyle w:val="style88"/>
          <w:rFonts w:eastAsia="宋体"/>
        </w:rPr>
        <w:t>globulus</w:t>
      </w:r>
      <w:r>
        <w:t xml:space="preserve"> leaf extracts, especially the ethanol extract, possess significant antibacterial activity against MRSA and </w:t>
      </w:r>
      <w:r>
        <w:rPr>
          <w:rStyle w:val="style88"/>
          <w:rFonts w:eastAsia="宋体"/>
        </w:rPr>
        <w:t>E. coli</w:t>
      </w:r>
      <w:r>
        <w:t>. The presence of bioactive phytochemicals</w:t>
      </w:r>
      <w:r>
        <w:t xml:space="preserve"> (flavonoids, tannins, and phenolic compounds)</w:t>
      </w:r>
      <w:r>
        <w:t xml:space="preserve"> in the extracts contributes to this effect. These results support the potential use of </w:t>
      </w:r>
      <w:r>
        <w:rPr>
          <w:rStyle w:val="style88"/>
          <w:rFonts w:eastAsia="宋体"/>
        </w:rPr>
        <w:t xml:space="preserve">Eucalyptus </w:t>
      </w:r>
      <w:r>
        <w:rPr>
          <w:rStyle w:val="style88"/>
          <w:rFonts w:eastAsia="宋体"/>
        </w:rPr>
        <w:t>globulus</w:t>
      </w:r>
      <w:r>
        <w:t xml:space="preserve"> as a natural source of antibacterial agents, particularly in combating resistant bacterial strains.</w:t>
      </w: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p>
      <w:pPr>
        <w:pStyle w:val="style94"/>
        <w:spacing w:before="0" w:beforeAutospacing="false" w:after="0" w:afterAutospacing="false" w:lineRule="auto" w:line="480"/>
        <w:jc w:val="both"/>
        <w:rPr>
          <w:b/>
        </w:rPr>
      </w:pPr>
    </w:p>
    <w:bookmarkStart w:id="58" w:name="_Toc203146333"/>
    <w:p>
      <w:pPr>
        <w:pStyle w:val="style2"/>
        <w:spacing w:lineRule="auto" w:line="480"/>
        <w:rPr/>
      </w:pPr>
      <w:r>
        <w:t>5.3</w:t>
      </w:r>
      <w:r>
        <w:tab/>
      </w:r>
      <w:r>
        <w:t>Recommendations</w:t>
      </w:r>
      <w:bookmarkEnd w:id="58"/>
    </w:p>
    <w:p>
      <w:pPr>
        <w:pStyle w:val="style94"/>
        <w:spacing w:before="0" w:beforeAutospacing="false" w:lineRule="auto" w:line="480"/>
        <w:jc w:val="both"/>
        <w:rPr/>
      </w:pPr>
      <w:r>
        <w:t xml:space="preserve">Based on the findings of this study, the following recommendations </w:t>
      </w:r>
      <w:r>
        <w:t>are made</w:t>
      </w:r>
      <w:r>
        <w:t>:</w:t>
      </w:r>
    </w:p>
    <w:p>
      <w:pPr>
        <w:pStyle w:val="style94"/>
        <w:numPr>
          <w:ilvl w:val="0"/>
          <w:numId w:val="2"/>
        </w:numPr>
        <w:spacing w:lineRule="auto" w:line="480"/>
        <w:jc w:val="both"/>
        <w:rPr/>
      </w:pPr>
      <w:r>
        <w:t>Further research should be conducted to isolate and characterize the specific bioactive compounds responsible for the antibacterial effects observed.</w:t>
      </w:r>
    </w:p>
    <w:p>
      <w:pPr>
        <w:pStyle w:val="style94"/>
        <w:numPr>
          <w:ilvl w:val="0"/>
          <w:numId w:val="2"/>
        </w:numPr>
        <w:spacing w:lineRule="auto" w:line="480"/>
        <w:jc w:val="both"/>
        <w:rPr/>
      </w:pPr>
      <w:r>
        <w:t xml:space="preserve">In vivo studies and toxicity evaluations are necessary to assess the safety and efficacy of </w:t>
      </w:r>
      <w:r>
        <w:rPr>
          <w:rStyle w:val="style88"/>
          <w:rFonts w:eastAsia="宋体"/>
        </w:rPr>
        <w:t xml:space="preserve">Eucalyptus </w:t>
      </w:r>
      <w:r>
        <w:rPr>
          <w:rStyle w:val="style88"/>
          <w:rFonts w:eastAsia="宋体"/>
        </w:rPr>
        <w:t>globulus</w:t>
      </w:r>
      <w:r>
        <w:t xml:space="preserve"> extracts before clinical applications.</w:t>
      </w:r>
    </w:p>
    <w:p>
      <w:pPr>
        <w:pStyle w:val="style94"/>
        <w:numPr>
          <w:ilvl w:val="0"/>
          <w:numId w:val="2"/>
        </w:numPr>
        <w:spacing w:lineRule="auto" w:line="480"/>
        <w:jc w:val="both"/>
        <w:rPr/>
      </w:pPr>
      <w:r>
        <w:t xml:space="preserve">Development of formulations using </w:t>
      </w:r>
      <w:r>
        <w:rPr>
          <w:rStyle w:val="style88"/>
          <w:rFonts w:eastAsia="宋体"/>
        </w:rPr>
        <w:t xml:space="preserve">Eucalyptus </w:t>
      </w:r>
      <w:r>
        <w:rPr>
          <w:rStyle w:val="style88"/>
          <w:rFonts w:eastAsia="宋体"/>
        </w:rPr>
        <w:t>globulus</w:t>
      </w:r>
      <w:r>
        <w:t xml:space="preserve"> extracts for topical or systemic antibacterial therapy could be explored.</w:t>
      </w:r>
    </w:p>
    <w:p>
      <w:pPr>
        <w:pStyle w:val="style94"/>
        <w:numPr>
          <w:ilvl w:val="0"/>
          <w:numId w:val="2"/>
        </w:numPr>
        <w:spacing w:lineRule="auto" w:line="480"/>
        <w:jc w:val="both"/>
        <w:rPr/>
      </w:pPr>
      <w:r>
        <w:t>Continuous monitoring of resistance patterns in clinical isolates is essential to evaluate the long-term effectiveness of plant-based antibacterial agents.</w:t>
      </w:r>
    </w:p>
    <w:p>
      <w:pPr>
        <w:pStyle w:val="style0"/>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94"/>
        <w:spacing w:lineRule="auto" w:line="480"/>
        <w:jc w:val="both"/>
        <w:rPr/>
      </w:pPr>
    </w:p>
    <w:p>
      <w:pPr>
        <w:pStyle w:val="style0"/>
        <w:spacing w:after="100" w:afterAutospacing="true" w:lineRule="auto" w:line="480"/>
        <w:jc w:val="both"/>
        <w:rPr>
          <w:rFonts w:ascii="Times New Roman" w:cs="Times New Roman" w:hAnsi="Times New Roman"/>
          <w:b/>
          <w:sz w:val="24"/>
          <w:szCs w:val="24"/>
        </w:rPr>
      </w:pPr>
    </w:p>
    <w:bookmarkStart w:id="59" w:name="_Toc203146334"/>
    <w:p>
      <w:pPr>
        <w:pStyle w:val="style1"/>
        <w:rPr/>
      </w:pPr>
      <w:r>
        <w:t>REFERENCES</w:t>
      </w:r>
      <w:bookmarkEnd w:id="59"/>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Abdallah, A. M., Al-Omar, M. S., &amp; El-Sayed, E. (2021).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bioactive compounds: An overview. </w:t>
      </w:r>
      <w:r>
        <w:rPr>
          <w:rFonts w:ascii="Times New Roman" w:cs="Times New Roman" w:eastAsia="Times New Roman" w:hAnsi="Times New Roman"/>
          <w:i/>
          <w:iCs/>
          <w:sz w:val="24"/>
          <w:szCs w:val="24"/>
        </w:rPr>
        <w:t>Antioxidants, 10</w:t>
      </w:r>
      <w:r>
        <w:rPr>
          <w:rFonts w:ascii="Times New Roman" w:cs="Times New Roman" w:eastAsia="Times New Roman" w:hAnsi="Times New Roman"/>
          <w:sz w:val="24"/>
          <w:szCs w:val="24"/>
        </w:rPr>
        <w:t>(11), 1746.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M., Khan, M. S., Khan, M. S., &amp; </w:t>
      </w:r>
      <w:r>
        <w:rPr>
          <w:rFonts w:ascii="Times New Roman" w:cs="Times New Roman" w:eastAsia="Times New Roman" w:hAnsi="Times New Roman"/>
          <w:sz w:val="24"/>
          <w:szCs w:val="24"/>
        </w:rPr>
        <w:t>Alouffi</w:t>
      </w:r>
      <w:r>
        <w:rPr>
          <w:rFonts w:ascii="Times New Roman" w:cs="Times New Roman" w:eastAsia="Times New Roman" w:hAnsi="Times New Roman"/>
          <w:sz w:val="24"/>
          <w:szCs w:val="24"/>
        </w:rPr>
        <w:t xml:space="preserve">, S. (2021). A review on the antibacterial potential of medicinal plants and their secondary metabolites against multidrug-resistant bacteria.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1074. https://doi.org/10.3390/antibiotics10091074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Ahmed, S., Khan, M. S., &amp; Khan, M. S. (2021). Plant-derived antimicrobials: A potential solution to combat antibiotic resistance. </w:t>
      </w:r>
      <w:r>
        <w:rPr>
          <w:rFonts w:ascii="Times New Roman" w:cs="Times New Roman" w:eastAsia="Times New Roman" w:hAnsi="Times New Roman"/>
          <w:i/>
          <w:iCs/>
          <w:sz w:val="24"/>
          <w:szCs w:val="24"/>
        </w:rPr>
        <w:t>Saudi Journal of Biological Sciences</w:t>
      </w:r>
      <w:r>
        <w:rPr>
          <w:rFonts w:ascii="Times New Roman" w:cs="Times New Roman" w:eastAsia="Times New Roman" w:hAnsi="Times New Roman"/>
          <w:sz w:val="24"/>
          <w:szCs w:val="24"/>
        </w:rPr>
        <w:t>, 28(9), 4913–4920. https://doi.org/10.1016/j.sjbs.2021.04.053</w:t>
      </w:r>
    </w:p>
    <w:p>
      <w:pPr>
        <w:pStyle w:val="style94"/>
        <w:ind w:left="567" w:hanging="567"/>
        <w:jc w:val="both"/>
        <w:rPr/>
      </w:pPr>
      <w:r>
        <w:t>Akinmoladun</w:t>
      </w:r>
      <w:r>
        <w:t xml:space="preserve">, F. O., </w:t>
      </w:r>
      <w:r>
        <w:t>Olaleye</w:t>
      </w:r>
      <w:r>
        <w:t xml:space="preserve">, T. M., &amp; </w:t>
      </w:r>
      <w:r>
        <w:t>Obuotor</w:t>
      </w:r>
      <w:r>
        <w:t xml:space="preserve">, E. M. (2020). Antibacterial activity of </w:t>
      </w:r>
      <w:r>
        <w:rPr>
          <w:rStyle w:val="style88"/>
        </w:rPr>
        <w:t xml:space="preserve">Eucalyptus </w:t>
      </w:r>
      <w:r>
        <w:rPr>
          <w:rStyle w:val="style88"/>
        </w:rPr>
        <w:t>globulus</w:t>
      </w:r>
      <w:r>
        <w:t xml:space="preserve"> leaf extracts against clinical pathogens. </w:t>
      </w:r>
      <w:r>
        <w:rPr>
          <w:rStyle w:val="style88"/>
        </w:rPr>
        <w:t>Journal of Medicinal Plants Research</w:t>
      </w:r>
      <w:r>
        <w:t>, 14(4), 156-164.</w:t>
      </w:r>
    </w:p>
    <w:p>
      <w:pPr>
        <w:pStyle w:val="style94"/>
        <w:ind w:left="567" w:hanging="567"/>
        <w:jc w:val="both"/>
        <w:rPr/>
      </w:pPr>
      <w:r>
        <w:t>Alabi</w:t>
      </w:r>
      <w:r>
        <w:t xml:space="preserve">, O. J., </w:t>
      </w:r>
      <w:r>
        <w:t>Ogunlade</w:t>
      </w:r>
      <w:r>
        <w:t xml:space="preserve">, B. O., &amp; Salami, A. A. (2019). Comparative evaluation of antibacterial effects of aqueous and ethanol extracts of </w:t>
      </w:r>
      <w:r>
        <w:rPr>
          <w:rStyle w:val="style88"/>
        </w:rPr>
        <w:t>Eucalyptus</w:t>
      </w:r>
      <w:r>
        <w:t xml:space="preserve"> species. </w:t>
      </w:r>
      <w:r>
        <w:rPr>
          <w:rStyle w:val="style88"/>
        </w:rPr>
        <w:t>African Journal of Biotechnology</w:t>
      </w:r>
      <w:r>
        <w:t>, 18(6), 185-191.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Aljaafari</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AlAli</w:t>
      </w:r>
      <w:r>
        <w:rPr>
          <w:rFonts w:ascii="Times New Roman" w:cs="Times New Roman" w:eastAsia="Times New Roman" w:hAnsi="Times New Roman"/>
          <w:sz w:val="24"/>
          <w:szCs w:val="24"/>
        </w:rPr>
        <w:t xml:space="preserve">, A. A., </w:t>
      </w:r>
      <w:r>
        <w:rPr>
          <w:rFonts w:ascii="Times New Roman" w:cs="Times New Roman" w:eastAsia="Times New Roman" w:hAnsi="Times New Roman"/>
          <w:sz w:val="24"/>
          <w:szCs w:val="24"/>
        </w:rPr>
        <w:t>Badulla</w:t>
      </w:r>
      <w:r>
        <w:rPr>
          <w:rFonts w:ascii="Times New Roman" w:cs="Times New Roman" w:eastAsia="Times New Roman" w:hAnsi="Times New Roman"/>
          <w:sz w:val="24"/>
          <w:szCs w:val="24"/>
        </w:rPr>
        <w:t xml:space="preserve">, W. F. A. R., &amp; </w:t>
      </w:r>
      <w:r>
        <w:rPr>
          <w:rFonts w:ascii="Times New Roman" w:cs="Times New Roman" w:eastAsia="Times New Roman" w:hAnsi="Times New Roman"/>
          <w:sz w:val="24"/>
          <w:szCs w:val="24"/>
        </w:rPr>
        <w:t>Venkatesan</w:t>
      </w:r>
      <w:r>
        <w:rPr>
          <w:rFonts w:ascii="Times New Roman" w:cs="Times New Roman" w:eastAsia="Times New Roman" w:hAnsi="Times New Roman"/>
          <w:sz w:val="24"/>
          <w:szCs w:val="24"/>
        </w:rPr>
        <w:t xml:space="preserve">, T. (2022). Essential oils as a novel alternative to combat bacterial resistance: A review. </w:t>
      </w:r>
      <w:r>
        <w:rPr>
          <w:rFonts w:ascii="Times New Roman" w:cs="Times New Roman" w:eastAsia="Times New Roman" w:hAnsi="Times New Roman"/>
          <w:i/>
          <w:iCs/>
          <w:sz w:val="24"/>
          <w:szCs w:val="24"/>
        </w:rPr>
        <w:t>Molecules, 27</w:t>
      </w:r>
      <w:r>
        <w:rPr>
          <w:rFonts w:ascii="Times New Roman" w:cs="Times New Roman" w:eastAsia="Times New Roman" w:hAnsi="Times New Roman"/>
          <w:sz w:val="24"/>
          <w:szCs w:val="24"/>
        </w:rPr>
        <w:t>(1), 145. https://doi.org/10.3390/molecules27010145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Ameen, M., Arora, S., &amp; </w:t>
      </w:r>
      <w:r>
        <w:rPr>
          <w:rFonts w:ascii="Times New Roman" w:cs="Times New Roman" w:eastAsia="Times New Roman" w:hAnsi="Times New Roman"/>
          <w:sz w:val="24"/>
          <w:szCs w:val="24"/>
        </w:rPr>
        <w:t>Parvez</w:t>
      </w:r>
      <w:r>
        <w:rPr>
          <w:rFonts w:ascii="Times New Roman" w:cs="Times New Roman" w:eastAsia="Times New Roman" w:hAnsi="Times New Roman"/>
          <w:sz w:val="24"/>
          <w:szCs w:val="24"/>
        </w:rPr>
        <w:t xml:space="preserve">, M. (2021).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essential oil: A review. </w:t>
      </w:r>
      <w:r>
        <w:rPr>
          <w:rFonts w:ascii="Times New Roman" w:cs="Times New Roman" w:eastAsia="Times New Roman" w:hAnsi="Times New Roman"/>
          <w:i/>
          <w:iCs/>
          <w:sz w:val="24"/>
          <w:szCs w:val="24"/>
        </w:rPr>
        <w:t>International Journal of Microbiological Research, 12</w:t>
      </w:r>
      <w:r>
        <w:rPr>
          <w:rFonts w:ascii="Times New Roman" w:cs="Times New Roman" w:eastAsia="Times New Roman" w:hAnsi="Times New Roman"/>
          <w:sz w:val="24"/>
          <w:szCs w:val="24"/>
        </w:rPr>
        <w:t>(3), 85-92.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Blair, J. M., Webber, M. A., </w:t>
      </w:r>
      <w:r>
        <w:rPr>
          <w:rFonts w:ascii="Times New Roman" w:cs="Times New Roman" w:eastAsia="Times New Roman" w:hAnsi="Times New Roman"/>
          <w:sz w:val="24"/>
          <w:szCs w:val="24"/>
        </w:rPr>
        <w:t>Baylay</w:t>
      </w:r>
      <w:r>
        <w:rPr>
          <w:rFonts w:ascii="Times New Roman" w:cs="Times New Roman" w:eastAsia="Times New Roman" w:hAnsi="Times New Roman"/>
          <w:sz w:val="24"/>
          <w:szCs w:val="24"/>
        </w:rPr>
        <w:t xml:space="preserve">, A. J., &amp;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(2015). Molecular mechanisms of antibiotic resistance. </w:t>
      </w:r>
      <w:r>
        <w:rPr>
          <w:rFonts w:ascii="Times New Roman" w:cs="Times New Roman" w:eastAsia="Times New Roman" w:hAnsi="Times New Roman"/>
          <w:i/>
          <w:iCs/>
          <w:sz w:val="24"/>
          <w:szCs w:val="24"/>
        </w:rPr>
        <w:t>Nature Reviews Microbiology, 13</w:t>
      </w:r>
      <w:r>
        <w:rPr>
          <w:rFonts w:ascii="Times New Roman" w:cs="Times New Roman" w:eastAsia="Times New Roman" w:hAnsi="Times New Roman"/>
          <w:sz w:val="24"/>
          <w:szCs w:val="24"/>
        </w:rPr>
        <w:t>(1), 42-51.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Borges, A., Abreu, A. C., Dias, C., Saavedra, M. J., &amp; </w:t>
      </w:r>
      <w:r>
        <w:rPr>
          <w:rFonts w:ascii="Times New Roman" w:cs="Times New Roman" w:eastAsia="Times New Roman" w:hAnsi="Times New Roman"/>
          <w:sz w:val="24"/>
          <w:szCs w:val="24"/>
        </w:rPr>
        <w:t>Simões</w:t>
      </w:r>
      <w:r>
        <w:rPr>
          <w:rFonts w:ascii="Times New Roman" w:cs="Times New Roman" w:eastAsia="Times New Roman" w:hAnsi="Times New Roman"/>
          <w:sz w:val="24"/>
          <w:szCs w:val="24"/>
        </w:rPr>
        <w:t xml:space="preserve">, M. (2020). New perspectives on the use of phytochemicals as an emergent strategy to control bacterial infections including biofilms. </w:t>
      </w:r>
      <w:r>
        <w:rPr>
          <w:rFonts w:ascii="Times New Roman" w:cs="Times New Roman" w:eastAsia="Times New Roman" w:hAnsi="Times New Roman"/>
          <w:i/>
          <w:iCs/>
          <w:sz w:val="24"/>
          <w:szCs w:val="24"/>
        </w:rPr>
        <w:t>Molecules</w:t>
      </w:r>
      <w:r>
        <w:rPr>
          <w:rFonts w:ascii="Times New Roman" w:cs="Times New Roman" w:eastAsia="Times New Roman" w:hAnsi="Times New Roman"/>
          <w:sz w:val="24"/>
          <w:szCs w:val="24"/>
        </w:rPr>
        <w:t>, 25(13), 3204. https://doi.org/10.3390/molecules25133204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Bouchiat</w:t>
      </w:r>
      <w:r>
        <w:rPr>
          <w:rFonts w:ascii="Times New Roman" w:cs="Times New Roman" w:eastAsia="Times New Roman" w:hAnsi="Times New Roman"/>
          <w:sz w:val="24"/>
          <w:szCs w:val="24"/>
        </w:rPr>
        <w:t xml:space="preserve">, C., </w:t>
      </w:r>
      <w:r>
        <w:rPr>
          <w:rFonts w:ascii="Times New Roman" w:cs="Times New Roman" w:eastAsia="Times New Roman" w:hAnsi="Times New Roman"/>
          <w:sz w:val="24"/>
          <w:szCs w:val="24"/>
        </w:rPr>
        <w:t>Bornet</w:t>
      </w:r>
      <w:r>
        <w:rPr>
          <w:rFonts w:ascii="Times New Roman" w:cs="Times New Roman" w:eastAsia="Times New Roman" w:hAnsi="Times New Roman"/>
          <w:sz w:val="24"/>
          <w:szCs w:val="24"/>
        </w:rPr>
        <w:t xml:space="preserve">, C., &amp; </w:t>
      </w:r>
      <w:r>
        <w:rPr>
          <w:rFonts w:ascii="Times New Roman" w:cs="Times New Roman" w:eastAsia="Times New Roman" w:hAnsi="Times New Roman"/>
          <w:sz w:val="24"/>
          <w:szCs w:val="24"/>
        </w:rPr>
        <w:t>Lemaître</w:t>
      </w:r>
      <w:r>
        <w:rPr>
          <w:rFonts w:ascii="Times New Roman" w:cs="Times New Roman" w:eastAsia="Times New Roman" w:hAnsi="Times New Roman"/>
          <w:sz w:val="24"/>
          <w:szCs w:val="24"/>
        </w:rPr>
        <w:t xml:space="preserve">, N. (2019). Molecular epidemiology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(MRSA) and its management. </w:t>
      </w:r>
      <w:r>
        <w:rPr>
          <w:rFonts w:ascii="Times New Roman" w:cs="Times New Roman" w:eastAsia="Times New Roman" w:hAnsi="Times New Roman"/>
          <w:i/>
          <w:iCs/>
          <w:sz w:val="24"/>
          <w:szCs w:val="24"/>
        </w:rPr>
        <w:t>Clinical Microbiology and Infection, 25</w:t>
      </w:r>
      <w:r>
        <w:rPr>
          <w:rFonts w:ascii="Times New Roman" w:cs="Times New Roman" w:eastAsia="Times New Roman" w:hAnsi="Times New Roman"/>
          <w:sz w:val="24"/>
          <w:szCs w:val="24"/>
        </w:rPr>
        <w:t>(3), 299-307.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sz w:val="24"/>
          <w:szCs w:val="24"/>
        </w:rPr>
        <w:t>Aboud</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Ferhat</w:t>
      </w:r>
      <w:r>
        <w:rPr>
          <w:rFonts w:ascii="Times New Roman" w:cs="Times New Roman" w:eastAsia="Times New Roman" w:hAnsi="Times New Roman"/>
          <w:sz w:val="24"/>
          <w:szCs w:val="24"/>
        </w:rPr>
        <w:t xml:space="preserve">, M. (2020). Eucalyptus essential oil and its antimicrobial properties.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14</w:t>
      </w:r>
      <w:r>
        <w:rPr>
          <w:rFonts w:ascii="Times New Roman" w:cs="Times New Roman" w:eastAsia="Times New Roman" w:hAnsi="Times New Roman"/>
          <w:sz w:val="24"/>
          <w:szCs w:val="24"/>
        </w:rPr>
        <w:t>(28), 69-77.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Boukhatem</w:t>
      </w:r>
      <w:r>
        <w:rPr>
          <w:rFonts w:ascii="Times New Roman" w:cs="Times New Roman" w:eastAsia="Times New Roman" w:hAnsi="Times New Roman"/>
          <w:sz w:val="24"/>
          <w:szCs w:val="24"/>
        </w:rPr>
        <w:t xml:space="preserve">, M. N., </w:t>
      </w:r>
      <w:r>
        <w:rPr>
          <w:rFonts w:ascii="Times New Roman" w:cs="Times New Roman" w:eastAsia="Times New Roman" w:hAnsi="Times New Roman"/>
          <w:i/>
          <w:sz w:val="24"/>
          <w:szCs w:val="24"/>
        </w:rPr>
        <w:t>et al</w:t>
      </w:r>
      <w:r>
        <w:rPr>
          <w:rFonts w:ascii="Times New Roman" w:cs="Times New Roman" w:eastAsia="Times New Roman" w:hAnsi="Times New Roman"/>
          <w:sz w:val="24"/>
          <w:szCs w:val="24"/>
        </w:rPr>
        <w:t xml:space="preserve">. (2020). Eucalyptus essential oils: Biological activities and therapeutic potential. </w:t>
      </w:r>
      <w:r>
        <w:rPr>
          <w:rFonts w:ascii="Times New Roman" w:cs="Times New Roman" w:eastAsia="Times New Roman" w:hAnsi="Times New Roman"/>
          <w:i/>
          <w:iCs/>
          <w:sz w:val="24"/>
          <w:szCs w:val="24"/>
        </w:rPr>
        <w:t>Natural Product Research</w:t>
      </w:r>
      <w:r>
        <w:rPr>
          <w:rFonts w:ascii="Times New Roman" w:cs="Times New Roman" w:eastAsia="Times New Roman" w:hAnsi="Times New Roman"/>
          <w:sz w:val="24"/>
          <w:szCs w:val="24"/>
        </w:rPr>
        <w:t>, 34(18), 2607–2620. https://doi.org/10.1080/14786419.2018.1550070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Centers for Disease Control and Prevention (CDC). (2022). </w:t>
      </w:r>
      <w:r>
        <w:rPr>
          <w:rFonts w:ascii="Times New Roman" w:cs="Times New Roman" w:eastAsia="Times New Roman" w:hAnsi="Times New Roman"/>
          <w:i/>
          <w:iCs/>
          <w:sz w:val="24"/>
          <w:szCs w:val="24"/>
        </w:rPr>
        <w:t>Antibiotic Resistance Threats in the United States, 2022</w:t>
      </w:r>
      <w:r>
        <w:rPr>
          <w:rFonts w:ascii="Times New Roman" w:cs="Times New Roman" w:eastAsia="Times New Roman" w:hAnsi="Times New Roman"/>
          <w:sz w:val="24"/>
          <w:szCs w:val="24"/>
        </w:rPr>
        <w:t xml:space="preserve">. Retrieved from </w:t>
      </w:r>
      <w:r>
        <w:rPr/>
        <w:fldChar w:fldCharType="begin"/>
      </w:r>
      <w:r>
        <w:instrText xml:space="preserve"> HYPERLINK "https://www.cdc.gov" \t "_new" </w:instrText>
      </w:r>
      <w:r>
        <w:rPr/>
        <w:fldChar w:fldCharType="separate"/>
      </w:r>
      <w:r>
        <w:rPr>
          <w:rFonts w:ascii="Times New Roman" w:cs="Times New Roman" w:eastAsia="Times New Roman" w:hAnsi="Times New Roman"/>
          <w:color w:val="0000ff"/>
          <w:sz w:val="24"/>
          <w:szCs w:val="24"/>
          <w:u w:val="single"/>
        </w:rPr>
        <w:t>https://www.cdc.gov</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Cohen, M. L. (2019). Epidemiology of drug resistance: implications for a post-antimicrobial era. </w:t>
      </w:r>
      <w:r>
        <w:rPr>
          <w:rFonts w:ascii="Times New Roman" w:cs="Times New Roman" w:eastAsia="Times New Roman" w:hAnsi="Times New Roman"/>
          <w:i/>
          <w:iCs/>
          <w:sz w:val="24"/>
          <w:szCs w:val="24"/>
        </w:rPr>
        <w:t>Science, 257</w:t>
      </w:r>
      <w:r>
        <w:rPr>
          <w:rFonts w:ascii="Times New Roman" w:cs="Times New Roman" w:eastAsia="Times New Roman" w:hAnsi="Times New Roman"/>
          <w:sz w:val="24"/>
          <w:szCs w:val="24"/>
        </w:rPr>
        <w:t>(5073), 1050-1055.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da 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Byler, K. G.,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as antibacterial agents: A review.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(6), 292. https://doi.org/10.3390/antibiotics9060292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De </w:t>
      </w:r>
      <w:r>
        <w:rPr>
          <w:rFonts w:ascii="Times New Roman" w:cs="Times New Roman" w:eastAsia="Times New Roman" w:hAnsi="Times New Roman"/>
          <w:sz w:val="24"/>
          <w:szCs w:val="24"/>
        </w:rPr>
        <w:t>Morais</w:t>
      </w:r>
      <w:r>
        <w:rPr>
          <w:rFonts w:ascii="Times New Roman" w:cs="Times New Roman" w:eastAsia="Times New Roman" w:hAnsi="Times New Roman"/>
          <w:sz w:val="24"/>
          <w:szCs w:val="24"/>
        </w:rPr>
        <w:t xml:space="preserve">, J. D., Silva, J. P., &amp; Fonseca, S. G. (2020). Eucalyptus essential oil: Industrial production and antimicrobial properties. </w:t>
      </w:r>
      <w:r>
        <w:rPr>
          <w:rFonts w:ascii="Times New Roman" w:cs="Times New Roman" w:eastAsia="Times New Roman" w:hAnsi="Times New Roman"/>
          <w:i/>
          <w:iCs/>
          <w:sz w:val="24"/>
          <w:szCs w:val="24"/>
        </w:rPr>
        <w:t>Journal of Essential Oil Research, 32</w:t>
      </w:r>
      <w:r>
        <w:rPr>
          <w:rFonts w:ascii="Times New Roman" w:cs="Times New Roman" w:eastAsia="Times New Roman" w:hAnsi="Times New Roman"/>
          <w:sz w:val="24"/>
          <w:szCs w:val="24"/>
        </w:rPr>
        <w:t>(5), 417-426.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Deo</w:t>
      </w:r>
      <w:r>
        <w:rPr>
          <w:rFonts w:ascii="Times New Roman" w:cs="Times New Roman" w:eastAsia="Times New Roman" w:hAnsi="Times New Roman"/>
          <w:sz w:val="24"/>
          <w:szCs w:val="24"/>
        </w:rPr>
        <w:t xml:space="preserve">, S. S., Bhat, R. V., &amp; </w:t>
      </w:r>
      <w:r>
        <w:rPr>
          <w:rFonts w:ascii="Times New Roman" w:cs="Times New Roman" w:eastAsia="Times New Roman" w:hAnsi="Times New Roman"/>
          <w:sz w:val="24"/>
          <w:szCs w:val="24"/>
        </w:rPr>
        <w:t>Jayaraj</w:t>
      </w:r>
      <w:r>
        <w:rPr>
          <w:rFonts w:ascii="Times New Roman" w:cs="Times New Roman" w:eastAsia="Times New Roman" w:hAnsi="Times New Roman"/>
          <w:sz w:val="24"/>
          <w:szCs w:val="24"/>
        </w:rPr>
        <w:t xml:space="preserve">, R. (2018). Antibacterial properties of fluoroquinolones. </w:t>
      </w:r>
      <w:r>
        <w:rPr>
          <w:rFonts w:ascii="Times New Roman" w:cs="Times New Roman" w:eastAsia="Times New Roman" w:hAnsi="Times New Roman"/>
          <w:i/>
          <w:iCs/>
          <w:sz w:val="24"/>
          <w:szCs w:val="24"/>
        </w:rPr>
        <w:t>Journal of Microbiology and Infectious Diseases, 12</w:t>
      </w:r>
      <w:r>
        <w:rPr>
          <w:rFonts w:ascii="Times New Roman" w:cs="Times New Roman" w:eastAsia="Times New Roman" w:hAnsi="Times New Roman"/>
          <w:sz w:val="24"/>
          <w:szCs w:val="24"/>
        </w:rPr>
        <w:t>(2), 87-92.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J., &amp; Albuquerque, R. D. D. G. (2020). Antimicrobial and antioxidant activities of plants extracts. </w:t>
      </w:r>
      <w:r>
        <w:rPr>
          <w:rFonts w:ascii="Times New Roman" w:cs="Times New Roman" w:eastAsia="Times New Roman" w:hAnsi="Times New Roman"/>
          <w:i/>
          <w:iCs/>
          <w:sz w:val="24"/>
          <w:szCs w:val="24"/>
        </w:rPr>
        <w:t>Pharmaceuticals</w:t>
      </w:r>
      <w:r>
        <w:rPr>
          <w:rFonts w:ascii="Times New Roman" w:cs="Times New Roman" w:eastAsia="Times New Roman" w:hAnsi="Times New Roman"/>
          <w:sz w:val="24"/>
          <w:szCs w:val="24"/>
        </w:rPr>
        <w:t>, 13(5), 88. https://doi.org/10.3390/ph13050088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Echeverría</w:t>
      </w:r>
      <w:r>
        <w:rPr>
          <w:rFonts w:ascii="Times New Roman" w:cs="Times New Roman" w:eastAsia="Times New Roman" w:hAnsi="Times New Roman"/>
          <w:sz w:val="24"/>
          <w:szCs w:val="24"/>
        </w:rPr>
        <w:t xml:space="preserve">, M. L., &amp; Albuquerque, T. M. (2020). Antibiotics: Mechanisms of action and antibacterial resistance. </w:t>
      </w:r>
      <w:r>
        <w:rPr>
          <w:rFonts w:ascii="Times New Roman" w:cs="Times New Roman" w:eastAsia="Times New Roman" w:hAnsi="Times New Roman"/>
          <w:i/>
          <w:iCs/>
          <w:sz w:val="24"/>
          <w:szCs w:val="24"/>
        </w:rPr>
        <w:t>Antimicrobial Agents and Chemotherapy, 64</w:t>
      </w:r>
      <w:r>
        <w:rPr>
          <w:rFonts w:ascii="Times New Roman" w:cs="Times New Roman" w:eastAsia="Times New Roman" w:hAnsi="Times New Roman"/>
          <w:sz w:val="24"/>
          <w:szCs w:val="24"/>
        </w:rPr>
        <w:t>(8), e02123-19.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E., Moussa, I. M., &amp; El-</w:t>
      </w:r>
      <w:r>
        <w:rPr>
          <w:rFonts w:ascii="Times New Roman" w:cs="Times New Roman" w:eastAsia="Times New Roman" w:hAnsi="Times New Roman"/>
          <w:sz w:val="24"/>
          <w:szCs w:val="24"/>
        </w:rPr>
        <w:t>Gedawy</w:t>
      </w:r>
      <w:r>
        <w:rPr>
          <w:rFonts w:ascii="Times New Roman" w:cs="Times New Roman" w:eastAsia="Times New Roman" w:hAnsi="Times New Roman"/>
          <w:sz w:val="24"/>
          <w:szCs w:val="24"/>
        </w:rPr>
        <w:t xml:space="preserve">, A. (2022). Resistance patterns and genetic characterization of multidrug-resistant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isolated from clinical and food samples.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11(1), 66. https://doi.org/10.3390/antibiotics11010066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Elbehiry</w:t>
      </w:r>
      <w:r>
        <w:rPr>
          <w:rFonts w:ascii="Times New Roman" w:cs="Times New Roman" w:eastAsia="Times New Roman" w:hAnsi="Times New Roman"/>
          <w:sz w:val="24"/>
          <w:szCs w:val="24"/>
        </w:rPr>
        <w:t xml:space="preserve">, A., </w:t>
      </w:r>
      <w:r>
        <w:rPr>
          <w:rFonts w:ascii="Times New Roman" w:cs="Times New Roman" w:eastAsia="Times New Roman" w:hAnsi="Times New Roman"/>
          <w:sz w:val="24"/>
          <w:szCs w:val="24"/>
        </w:rPr>
        <w:t>Marzouk</w:t>
      </w:r>
      <w:r>
        <w:rPr>
          <w:rFonts w:ascii="Times New Roman" w:cs="Times New Roman" w:eastAsia="Times New Roman" w:hAnsi="Times New Roman"/>
          <w:sz w:val="24"/>
          <w:szCs w:val="24"/>
        </w:rPr>
        <w:t xml:space="preserve">, E., Moussa, I. M., </w:t>
      </w:r>
      <w:r>
        <w:rPr>
          <w:rFonts w:ascii="Times New Roman" w:cs="Times New Roman" w:eastAsia="Times New Roman" w:hAnsi="Times New Roman"/>
          <w:sz w:val="24"/>
          <w:szCs w:val="24"/>
        </w:rPr>
        <w:t>Alreshidi</w:t>
      </w:r>
      <w:r>
        <w:rPr>
          <w:rFonts w:ascii="Times New Roman" w:cs="Times New Roman" w:eastAsia="Times New Roman" w:hAnsi="Times New Roman"/>
          <w:sz w:val="24"/>
          <w:szCs w:val="24"/>
        </w:rPr>
        <w:t xml:space="preserve">, M., &amp; </w:t>
      </w:r>
      <w:r>
        <w:rPr>
          <w:rFonts w:ascii="Times New Roman" w:cs="Times New Roman" w:eastAsia="Times New Roman" w:hAnsi="Times New Roman"/>
          <w:sz w:val="24"/>
          <w:szCs w:val="24"/>
        </w:rPr>
        <w:t>Lafi</w:t>
      </w:r>
      <w:r>
        <w:rPr>
          <w:rFonts w:ascii="Times New Roman" w:cs="Times New Roman" w:eastAsia="Times New Roman" w:hAnsi="Times New Roman"/>
          <w:sz w:val="24"/>
          <w:szCs w:val="24"/>
        </w:rPr>
        <w:t xml:space="preserve">, S. (2022). Antimicrobial efficacy of essential oils against multidrug-resistant bacterial strains isolated from food and clinical sources. </w:t>
      </w:r>
      <w:r>
        <w:rPr>
          <w:rFonts w:ascii="Times New Roman" w:cs="Times New Roman" w:eastAsia="Times New Roman" w:hAnsi="Times New Roman"/>
          <w:i/>
          <w:iCs/>
          <w:sz w:val="24"/>
          <w:szCs w:val="24"/>
        </w:rPr>
        <w:t>Antibiotics, 11</w:t>
      </w:r>
      <w:r>
        <w:rPr>
          <w:rFonts w:ascii="Times New Roman" w:cs="Times New Roman" w:eastAsia="Times New Roman" w:hAnsi="Times New Roman"/>
          <w:sz w:val="24"/>
          <w:szCs w:val="24"/>
        </w:rPr>
        <w:t>(8), 1069. https://doi.org/10.3390/antibiotics11081069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Fadeyi</w:t>
      </w:r>
      <w:r>
        <w:rPr>
          <w:rFonts w:ascii="Times New Roman" w:cs="Times New Roman" w:eastAsia="Times New Roman" w:hAnsi="Times New Roman"/>
          <w:sz w:val="24"/>
          <w:szCs w:val="24"/>
        </w:rPr>
        <w:t xml:space="preserve">, O. O., </w:t>
      </w:r>
      <w:r>
        <w:rPr>
          <w:rFonts w:ascii="Times New Roman" w:cs="Times New Roman" w:eastAsia="Times New Roman" w:hAnsi="Times New Roman"/>
          <w:sz w:val="24"/>
          <w:szCs w:val="24"/>
        </w:rPr>
        <w:t>Sobowale</w:t>
      </w:r>
      <w:r>
        <w:rPr>
          <w:rFonts w:ascii="Times New Roman" w:cs="Times New Roman" w:eastAsia="Times New Roman" w:hAnsi="Times New Roman"/>
          <w:sz w:val="24"/>
          <w:szCs w:val="24"/>
        </w:rPr>
        <w:t xml:space="preserve">, S. F., &amp; </w:t>
      </w:r>
      <w:r>
        <w:rPr>
          <w:rFonts w:ascii="Times New Roman" w:cs="Times New Roman" w:eastAsia="Times New Roman" w:hAnsi="Times New Roman"/>
          <w:sz w:val="24"/>
          <w:szCs w:val="24"/>
        </w:rPr>
        <w:t>Olaniyi</w:t>
      </w:r>
      <w:r>
        <w:rPr>
          <w:rFonts w:ascii="Times New Roman" w:cs="Times New Roman" w:eastAsia="Times New Roman" w:hAnsi="Times New Roman"/>
          <w:sz w:val="24"/>
          <w:szCs w:val="24"/>
        </w:rPr>
        <w:t xml:space="preserve">, O. E. (2018). Antibacterial properties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 systematic review.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xml:space="preserve"> Reviews, 12</w:t>
      </w:r>
      <w:r>
        <w:rPr>
          <w:rFonts w:ascii="Times New Roman" w:cs="Times New Roman" w:eastAsia="Times New Roman" w:hAnsi="Times New Roman"/>
          <w:sz w:val="24"/>
          <w:szCs w:val="24"/>
        </w:rPr>
        <w:t>(24), 77-82.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Antibacterial resistance: from molecular mechanisms to clinical applications. </w:t>
      </w:r>
      <w:r>
        <w:rPr>
          <w:rFonts w:ascii="Times New Roman" w:cs="Times New Roman" w:eastAsia="Times New Roman" w:hAnsi="Times New Roman"/>
          <w:i/>
          <w:iCs/>
          <w:sz w:val="24"/>
          <w:szCs w:val="24"/>
        </w:rPr>
        <w:t>Antibiotics, 9</w:t>
      </w:r>
      <w:r>
        <w:rPr>
          <w:rFonts w:ascii="Times New Roman" w:cs="Times New Roman" w:eastAsia="Times New Roman" w:hAnsi="Times New Roman"/>
          <w:sz w:val="24"/>
          <w:szCs w:val="24"/>
        </w:rPr>
        <w:t>(8), 510.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Gajdács</w:t>
      </w:r>
      <w:r>
        <w:rPr>
          <w:rFonts w:ascii="Times New Roman" w:cs="Times New Roman" w:eastAsia="Times New Roman" w:hAnsi="Times New Roman"/>
          <w:sz w:val="24"/>
          <w:szCs w:val="24"/>
        </w:rPr>
        <w:t xml:space="preserve">, M. (2020). The continuing threat of antibiotic resistance: The role of natural compounds and plants in overcoming the problem. </w:t>
      </w:r>
      <w:r>
        <w:rPr>
          <w:rFonts w:ascii="Times New Roman" w:cs="Times New Roman" w:eastAsia="Times New Roman" w:hAnsi="Times New Roman"/>
          <w:i/>
          <w:iCs/>
          <w:sz w:val="24"/>
          <w:szCs w:val="24"/>
        </w:rPr>
        <w:t>Antibiotics</w:t>
      </w:r>
      <w:r>
        <w:rPr>
          <w:rFonts w:ascii="Times New Roman" w:cs="Times New Roman" w:eastAsia="Times New Roman" w:hAnsi="Times New Roman"/>
          <w:sz w:val="24"/>
          <w:szCs w:val="24"/>
        </w:rPr>
        <w:t>, 9(8), 473. https://doi.org/10.3390/antibiotics9080473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Saavedra, M. J., &amp; </w:t>
      </w:r>
      <w:r>
        <w:rPr>
          <w:rFonts w:ascii="Times New Roman" w:cs="Times New Roman" w:eastAsia="Times New Roman" w:hAnsi="Times New Roman"/>
          <w:sz w:val="24"/>
          <w:szCs w:val="24"/>
        </w:rPr>
        <w:t>Henriques</w:t>
      </w:r>
      <w:r>
        <w:rPr>
          <w:rFonts w:ascii="Times New Roman" w:cs="Times New Roman" w:eastAsia="Times New Roman" w:hAnsi="Times New Roman"/>
          <w:sz w:val="24"/>
          <w:szCs w:val="24"/>
        </w:rPr>
        <w:t xml:space="preserve">, M. (2021). Bacterial biofilms in endodontic infections: An update on their resistance and treatment strategies. </w:t>
      </w:r>
      <w:r>
        <w:rPr>
          <w:rFonts w:ascii="Times New Roman" w:cs="Times New Roman" w:eastAsia="Times New Roman" w:hAnsi="Times New Roman"/>
          <w:i/>
          <w:iCs/>
          <w:sz w:val="24"/>
          <w:szCs w:val="24"/>
        </w:rPr>
        <w:t>Critical Reviews in Microbiology</w:t>
      </w:r>
      <w:r>
        <w:rPr>
          <w:rFonts w:ascii="Times New Roman" w:cs="Times New Roman" w:eastAsia="Times New Roman" w:hAnsi="Times New Roman"/>
          <w:sz w:val="24"/>
          <w:szCs w:val="24"/>
        </w:rPr>
        <w:t>, 47(4), 401–411. https://doi.org/10.1080/1040841X.2020.1868913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Gomes, F., Teixeira, P., &amp; </w:t>
      </w:r>
      <w:r>
        <w:rPr>
          <w:rFonts w:ascii="Times New Roman" w:cs="Times New Roman" w:eastAsia="Times New Roman" w:hAnsi="Times New Roman"/>
          <w:sz w:val="24"/>
          <w:szCs w:val="24"/>
        </w:rPr>
        <w:t>Ceri</w:t>
      </w:r>
      <w:r>
        <w:rPr>
          <w:rFonts w:ascii="Times New Roman" w:cs="Times New Roman" w:eastAsia="Times New Roman" w:hAnsi="Times New Roman"/>
          <w:sz w:val="24"/>
          <w:szCs w:val="24"/>
        </w:rPr>
        <w:t xml:space="preserve">, H. (2021). Using essential oils to fight multidrug-resistant bacterial biofilms: Current research and future perspectives. </w:t>
      </w:r>
      <w:r>
        <w:rPr>
          <w:rFonts w:ascii="Times New Roman" w:cs="Times New Roman" w:eastAsia="Times New Roman" w:hAnsi="Times New Roman"/>
          <w:i/>
          <w:iCs/>
          <w:sz w:val="24"/>
          <w:szCs w:val="24"/>
        </w:rPr>
        <w:t>Pathogens, 10</w:t>
      </w:r>
      <w:r>
        <w:rPr>
          <w:rFonts w:ascii="Times New Roman" w:cs="Times New Roman" w:eastAsia="Times New Roman" w:hAnsi="Times New Roman"/>
          <w:sz w:val="24"/>
          <w:szCs w:val="24"/>
        </w:rPr>
        <w:t>(2), 248. https://doi.org/10.3390/pathogens10020248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Gorib</w:t>
      </w:r>
      <w:r>
        <w:rPr>
          <w:rFonts w:ascii="Times New Roman" w:cs="Times New Roman" w:eastAsia="Times New Roman" w:hAnsi="Times New Roman"/>
          <w:sz w:val="24"/>
          <w:szCs w:val="24"/>
        </w:rPr>
        <w:t xml:space="preserve">, M. S., </w:t>
      </w:r>
      <w:r>
        <w:rPr>
          <w:rFonts w:ascii="Times New Roman" w:cs="Times New Roman" w:eastAsia="Times New Roman" w:hAnsi="Times New Roman"/>
          <w:sz w:val="24"/>
          <w:szCs w:val="24"/>
        </w:rPr>
        <w:t>Haque</w:t>
      </w:r>
      <w:r>
        <w:rPr>
          <w:rFonts w:ascii="Times New Roman" w:cs="Times New Roman" w:eastAsia="Times New Roman" w:hAnsi="Times New Roman"/>
          <w:sz w:val="24"/>
          <w:szCs w:val="24"/>
        </w:rPr>
        <w:t xml:space="preserve">, M. A., &amp; Ali, S. (2021). The clinical relevance of </w:t>
      </w:r>
      <w:r>
        <w:rPr>
          <w:rFonts w:ascii="Times New Roman" w:cs="Times New Roman" w:eastAsia="Times New Roman" w:hAnsi="Times New Roman"/>
          <w:sz w:val="24"/>
          <w:szCs w:val="24"/>
        </w:rPr>
        <w:t>polymyxin</w:t>
      </w:r>
      <w:r>
        <w:rPr>
          <w:rFonts w:ascii="Times New Roman" w:cs="Times New Roman" w:eastAsia="Times New Roman" w:hAnsi="Times New Roman"/>
          <w:sz w:val="24"/>
          <w:szCs w:val="24"/>
        </w:rPr>
        <w:t xml:space="preserve"> antibiotics in multidrug-resistant bacteria. </w:t>
      </w:r>
      <w:r>
        <w:rPr>
          <w:rFonts w:ascii="Times New Roman" w:cs="Times New Roman" w:eastAsia="Times New Roman" w:hAnsi="Times New Roman"/>
          <w:i/>
          <w:iCs/>
          <w:sz w:val="24"/>
          <w:szCs w:val="24"/>
        </w:rPr>
        <w:t>Journal of Antimicrobial Chemotherapy, 76</w:t>
      </w:r>
      <w:r>
        <w:rPr>
          <w:rFonts w:ascii="Times New Roman" w:cs="Times New Roman" w:eastAsia="Times New Roman" w:hAnsi="Times New Roman"/>
          <w:sz w:val="24"/>
          <w:szCs w:val="24"/>
        </w:rPr>
        <w:t>(1), 44-56.</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Guerra, B., &amp; Alves, D. (2020).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antibiotic resistance and its epidemiological implications. </w:t>
      </w:r>
      <w:r>
        <w:rPr>
          <w:rFonts w:ascii="Times New Roman" w:cs="Times New Roman" w:eastAsia="Times New Roman" w:hAnsi="Times New Roman"/>
          <w:i/>
          <w:iCs/>
          <w:sz w:val="24"/>
          <w:szCs w:val="24"/>
        </w:rPr>
        <w:t>Antimicrobial Resistance and Infection Control, 9</w:t>
      </w:r>
      <w:r>
        <w:rPr>
          <w:rFonts w:ascii="Times New Roman" w:cs="Times New Roman" w:eastAsia="Times New Roman" w:hAnsi="Times New Roman"/>
          <w:sz w:val="24"/>
          <w:szCs w:val="24"/>
        </w:rPr>
        <w:t>(1), 135-144.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Lefroy</w:t>
      </w:r>
      <w:r>
        <w:rPr>
          <w:rFonts w:ascii="Times New Roman" w:cs="Times New Roman" w:eastAsia="Times New Roman" w:hAnsi="Times New Roman"/>
          <w:sz w:val="24"/>
          <w:szCs w:val="24"/>
        </w:rPr>
        <w:t xml:space="preserve">, T. E., </w:t>
      </w:r>
      <w:r>
        <w:rPr>
          <w:rFonts w:ascii="Times New Roman" w:cs="Times New Roman" w:eastAsia="Times New Roman" w:hAnsi="Times New Roman"/>
          <w:sz w:val="24"/>
          <w:szCs w:val="24"/>
        </w:rPr>
        <w:t>Aylward</w:t>
      </w:r>
      <w:r>
        <w:rPr>
          <w:rFonts w:ascii="Times New Roman" w:cs="Times New Roman" w:eastAsia="Times New Roman" w:hAnsi="Times New Roman"/>
          <w:sz w:val="24"/>
          <w:szCs w:val="24"/>
        </w:rPr>
        <w:t xml:space="preserve">, D., &amp; Smith, M. (2019).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Ecology and commercial potential. </w:t>
      </w:r>
      <w:r>
        <w:rPr>
          <w:rFonts w:ascii="Times New Roman" w:cs="Times New Roman" w:eastAsia="Times New Roman" w:hAnsi="Times New Roman"/>
          <w:i/>
          <w:iCs/>
          <w:sz w:val="24"/>
          <w:szCs w:val="24"/>
        </w:rPr>
        <w:t>Journal of Environmental Management, 45</w:t>
      </w:r>
      <w:r>
        <w:rPr>
          <w:rFonts w:ascii="Times New Roman" w:cs="Times New Roman" w:eastAsia="Times New Roman" w:hAnsi="Times New Roman"/>
          <w:sz w:val="24"/>
          <w:szCs w:val="24"/>
        </w:rPr>
        <w:t>(3), 1502-1511.</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Livermore, D. M. (2020). Antibiotic resistance in the era of antimicrobial stewardship. </w:t>
      </w:r>
      <w:r>
        <w:rPr>
          <w:rFonts w:ascii="Times New Roman" w:cs="Times New Roman" w:eastAsia="Times New Roman" w:hAnsi="Times New Roman"/>
          <w:i/>
          <w:iCs/>
          <w:sz w:val="24"/>
          <w:szCs w:val="24"/>
        </w:rPr>
        <w:t>Clinical Microbiology and Infection, 26</w:t>
      </w:r>
      <w:r>
        <w:rPr>
          <w:rFonts w:ascii="Times New Roman" w:cs="Times New Roman" w:eastAsia="Times New Roman" w:hAnsi="Times New Roman"/>
          <w:sz w:val="24"/>
          <w:szCs w:val="24"/>
        </w:rPr>
        <w:t>(6), 722-730.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Mackenzie, K. M., </w:t>
      </w:r>
      <w:r>
        <w:rPr>
          <w:rFonts w:ascii="Times New Roman" w:cs="Times New Roman" w:eastAsia="Times New Roman" w:hAnsi="Times New Roman"/>
          <w:sz w:val="24"/>
          <w:szCs w:val="24"/>
        </w:rPr>
        <w:t>Popham</w:t>
      </w:r>
      <w:r>
        <w:rPr>
          <w:rFonts w:ascii="Times New Roman" w:cs="Times New Roman" w:eastAsia="Times New Roman" w:hAnsi="Times New Roman"/>
          <w:sz w:val="24"/>
          <w:szCs w:val="24"/>
        </w:rPr>
        <w:t xml:space="preserve">, P. L., &amp; Westwood, T. J. (2019). Medicinal potential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and its components. </w:t>
      </w:r>
      <w:r>
        <w:rPr>
          <w:rFonts w:ascii="Times New Roman" w:cs="Times New Roman" w:eastAsia="Times New Roman" w:hAnsi="Times New Roman"/>
          <w:i/>
          <w:iCs/>
          <w:sz w:val="24"/>
          <w:szCs w:val="24"/>
        </w:rPr>
        <w:t>Journal of Medicinal Plants, 31</w:t>
      </w:r>
      <w:r>
        <w:rPr>
          <w:rFonts w:ascii="Times New Roman" w:cs="Times New Roman" w:eastAsia="Times New Roman" w:hAnsi="Times New Roman"/>
          <w:sz w:val="24"/>
          <w:szCs w:val="24"/>
        </w:rPr>
        <w:t>(7), 890-902.</w:t>
      </w:r>
    </w:p>
    <w:p>
      <w:pPr>
        <w:pStyle w:val="style94"/>
        <w:ind w:left="567" w:hanging="567"/>
        <w:jc w:val="both"/>
        <w:rPr/>
      </w:pPr>
      <w:r>
        <w:t xml:space="preserve">Mohamed, A. S., El-Sayed, H. A., &amp; Hassan, M. F. (2020). Antibacterial and antioxidant activities of </w:t>
      </w:r>
      <w:r>
        <w:rPr>
          <w:rStyle w:val="style88"/>
        </w:rPr>
        <w:t xml:space="preserve">Eucalyptus </w:t>
      </w:r>
      <w:r>
        <w:rPr>
          <w:rStyle w:val="style88"/>
        </w:rPr>
        <w:t>globulus</w:t>
      </w:r>
      <w:r>
        <w:t xml:space="preserve"> extracts against multi-drug resistant bacteria. </w:t>
      </w:r>
      <w:r>
        <w:rPr>
          <w:rStyle w:val="style88"/>
        </w:rPr>
        <w:t>Journal of Herbal Medicine</w:t>
      </w:r>
      <w:r>
        <w:t>, 21, 100-107.</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Nash, K. A., </w:t>
      </w:r>
      <w:r>
        <w:rPr>
          <w:rFonts w:ascii="Times New Roman" w:cs="Times New Roman" w:eastAsia="Times New Roman" w:hAnsi="Times New Roman"/>
          <w:sz w:val="24"/>
          <w:szCs w:val="24"/>
        </w:rPr>
        <w:t>Piddock</w:t>
      </w:r>
      <w:r>
        <w:rPr>
          <w:rFonts w:ascii="Times New Roman" w:cs="Times New Roman" w:eastAsia="Times New Roman" w:hAnsi="Times New Roman"/>
          <w:sz w:val="24"/>
          <w:szCs w:val="24"/>
        </w:rPr>
        <w:t xml:space="preserve">, L. J. V., &amp; </w:t>
      </w:r>
      <w:r>
        <w:rPr>
          <w:rFonts w:ascii="Times New Roman" w:cs="Times New Roman" w:eastAsia="Times New Roman" w:hAnsi="Times New Roman"/>
          <w:sz w:val="24"/>
          <w:szCs w:val="24"/>
        </w:rPr>
        <w:t>Giske</w:t>
      </w:r>
      <w:r>
        <w:rPr>
          <w:rFonts w:ascii="Times New Roman" w:cs="Times New Roman" w:eastAsia="Times New Roman" w:hAnsi="Times New Roman"/>
          <w:sz w:val="24"/>
          <w:szCs w:val="24"/>
        </w:rPr>
        <w:t xml:space="preserve">, C. G. (2019). Emergence of multidrug-resistant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strains in hospital and community settings. </w:t>
      </w:r>
      <w:r>
        <w:rPr>
          <w:rFonts w:ascii="Times New Roman" w:cs="Times New Roman" w:eastAsia="Times New Roman" w:hAnsi="Times New Roman"/>
          <w:i/>
          <w:iCs/>
          <w:sz w:val="24"/>
          <w:szCs w:val="24"/>
        </w:rPr>
        <w:t>Journal of Antimicrobial Chemotherapy, 74</w:t>
      </w:r>
      <w:r>
        <w:rPr>
          <w:rFonts w:ascii="Times New Roman" w:cs="Times New Roman" w:eastAsia="Times New Roman" w:hAnsi="Times New Roman"/>
          <w:sz w:val="24"/>
          <w:szCs w:val="24"/>
        </w:rPr>
        <w:t>(5), 1219-1229.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Nataro</w:t>
      </w:r>
      <w:r>
        <w:rPr>
          <w:rFonts w:ascii="Times New Roman" w:cs="Times New Roman" w:eastAsia="Times New Roman" w:hAnsi="Times New Roman"/>
          <w:sz w:val="24"/>
          <w:szCs w:val="24"/>
        </w:rPr>
        <w:t xml:space="preserve">, J. P., &amp; </w:t>
      </w:r>
      <w:r>
        <w:rPr>
          <w:rFonts w:ascii="Times New Roman" w:cs="Times New Roman" w:eastAsia="Times New Roman" w:hAnsi="Times New Roman"/>
          <w:sz w:val="24"/>
          <w:szCs w:val="24"/>
        </w:rPr>
        <w:t>Kaper</w:t>
      </w:r>
      <w:r>
        <w:rPr>
          <w:rFonts w:ascii="Times New Roman" w:cs="Times New Roman" w:eastAsia="Times New Roman" w:hAnsi="Times New Roman"/>
          <w:sz w:val="24"/>
          <w:szCs w:val="24"/>
        </w:rPr>
        <w:t xml:space="preserve">, J. B. (2019). </w:t>
      </w:r>
      <w:r>
        <w:rPr>
          <w:rFonts w:ascii="Times New Roman" w:cs="Times New Roman" w:eastAsia="Times New Roman" w:hAnsi="Times New Roman"/>
          <w:sz w:val="24"/>
          <w:szCs w:val="24"/>
        </w:rPr>
        <w:t>Diarrheagenic</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Clinical Microbiology Reviews, 32</w:t>
      </w:r>
      <w:r>
        <w:rPr>
          <w:rFonts w:ascii="Times New Roman" w:cs="Times New Roman" w:eastAsia="Times New Roman" w:hAnsi="Times New Roman"/>
          <w:sz w:val="24"/>
          <w:szCs w:val="24"/>
        </w:rPr>
        <w:t>(1), e00001-19.</w:t>
      </w:r>
    </w:p>
    <w:p>
      <w:pPr>
        <w:pStyle w:val="style94"/>
        <w:ind w:left="567" w:hanging="567"/>
        <w:jc w:val="both"/>
        <w:rPr/>
      </w:pPr>
      <w:r>
        <w:t>Ogunyemi</w:t>
      </w:r>
      <w:r>
        <w:t xml:space="preserve">, T. S., </w:t>
      </w:r>
      <w:r>
        <w:t>Adewale</w:t>
      </w:r>
      <w:r>
        <w:t xml:space="preserve">, O. A., &amp; </w:t>
      </w:r>
      <w:r>
        <w:t>Ajayi</w:t>
      </w:r>
      <w:r>
        <w:t xml:space="preserve">, O. A. (2022). Phytochemical and antimicrobial evaluation of ethanol and aqueous extracts of </w:t>
      </w:r>
      <w:r>
        <w:rPr>
          <w:rStyle w:val="style88"/>
        </w:rPr>
        <w:t xml:space="preserve">Eucalyptus </w:t>
      </w:r>
      <w:r>
        <w:rPr>
          <w:rStyle w:val="style88"/>
        </w:rPr>
        <w:t>globulus</w:t>
      </w:r>
      <w:r>
        <w:t xml:space="preserve">. </w:t>
      </w:r>
      <w:r>
        <w:rPr>
          <w:rStyle w:val="style88"/>
        </w:rPr>
        <w:t>Journal of Applied Pharmaceutical Science</w:t>
      </w:r>
      <w:r>
        <w:t>, 12(3), 45-52.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beta-lactamases: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(3), e00052-19.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&amp; </w:t>
      </w:r>
      <w:r>
        <w:rPr>
          <w:rFonts w:ascii="Times New Roman" w:cs="Times New Roman" w:eastAsia="Times New Roman" w:hAnsi="Times New Roman"/>
          <w:sz w:val="24"/>
          <w:szCs w:val="24"/>
        </w:rPr>
        <w:t>Bonomo</w:t>
      </w:r>
      <w:r>
        <w:rPr>
          <w:rFonts w:ascii="Times New Roman" w:cs="Times New Roman" w:eastAsia="Times New Roman" w:hAnsi="Times New Roman"/>
          <w:sz w:val="24"/>
          <w:szCs w:val="24"/>
        </w:rPr>
        <w:t xml:space="preserve">, R. A. (2020). Extended-spectrum β-lactamases: A clinical update.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e00010-19.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Paterson, D. L., Lee, C. C., &amp; Chang, F. Y. (2020). The evolving challenge of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Infection, 48</w:t>
      </w:r>
      <w:r>
        <w:rPr>
          <w:rFonts w:ascii="Times New Roman" w:cs="Times New Roman" w:eastAsia="Times New Roman" w:hAnsi="Times New Roman"/>
          <w:sz w:val="24"/>
          <w:szCs w:val="24"/>
        </w:rPr>
        <w:t>(2), 145-155.</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Prestinaci</w:t>
      </w:r>
      <w:r>
        <w:rPr>
          <w:rFonts w:ascii="Times New Roman" w:cs="Times New Roman" w:eastAsia="Times New Roman" w:hAnsi="Times New Roman"/>
          <w:sz w:val="24"/>
          <w:szCs w:val="24"/>
        </w:rPr>
        <w:t xml:space="preserve">, F., </w:t>
      </w:r>
      <w:r>
        <w:rPr>
          <w:rFonts w:ascii="Times New Roman" w:cs="Times New Roman" w:eastAsia="Times New Roman" w:hAnsi="Times New Roman"/>
          <w:sz w:val="24"/>
          <w:szCs w:val="24"/>
        </w:rPr>
        <w:t>Pezzotti</w:t>
      </w:r>
      <w:r>
        <w:rPr>
          <w:rFonts w:ascii="Times New Roman" w:cs="Times New Roman" w:eastAsia="Times New Roman" w:hAnsi="Times New Roman"/>
          <w:sz w:val="24"/>
          <w:szCs w:val="24"/>
        </w:rPr>
        <w:t xml:space="preserve">, P., &amp; </w:t>
      </w:r>
      <w:r>
        <w:rPr>
          <w:rFonts w:ascii="Times New Roman" w:cs="Times New Roman" w:eastAsia="Times New Roman" w:hAnsi="Times New Roman"/>
          <w:sz w:val="24"/>
          <w:szCs w:val="24"/>
        </w:rPr>
        <w:t>Pantosti</w:t>
      </w:r>
      <w:r>
        <w:rPr>
          <w:rFonts w:ascii="Times New Roman" w:cs="Times New Roman" w:eastAsia="Times New Roman" w:hAnsi="Times New Roman"/>
          <w:sz w:val="24"/>
          <w:szCs w:val="24"/>
        </w:rPr>
        <w:t xml:space="preserve">, A. (2019). Antimicrobial resistance: A global multifaceted phenomenon. </w:t>
      </w:r>
      <w:r>
        <w:rPr>
          <w:rFonts w:ascii="Times New Roman" w:cs="Times New Roman" w:eastAsia="Times New Roman" w:hAnsi="Times New Roman"/>
          <w:i/>
          <w:iCs/>
          <w:sz w:val="24"/>
          <w:szCs w:val="24"/>
        </w:rPr>
        <w:t>Pathogens and Global Health, 113</w:t>
      </w:r>
      <w:r>
        <w:rPr>
          <w:rFonts w:ascii="Times New Roman" w:cs="Times New Roman" w:eastAsia="Times New Roman" w:hAnsi="Times New Roman"/>
          <w:sz w:val="24"/>
          <w:szCs w:val="24"/>
        </w:rPr>
        <w:t>(7), 349–358. https://doi.org/10.1080/20477724.2019.1699494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Fokou</w:t>
      </w:r>
      <w:r>
        <w:rPr>
          <w:rFonts w:ascii="Times New Roman" w:cs="Times New Roman" w:eastAsia="Times New Roman" w:hAnsi="Times New Roman"/>
          <w:sz w:val="24"/>
          <w:szCs w:val="24"/>
        </w:rPr>
        <w:t xml:space="preserve">, P. V. T., &amp; </w:t>
      </w:r>
      <w:r>
        <w:rPr>
          <w:rFonts w:ascii="Times New Roman" w:cs="Times New Roman" w:eastAsia="Times New Roman" w:hAnsi="Times New Roman"/>
          <w:sz w:val="24"/>
          <w:szCs w:val="24"/>
        </w:rPr>
        <w:t>Badii</w:t>
      </w:r>
      <w:r>
        <w:rPr>
          <w:rFonts w:ascii="Times New Roman" w:cs="Times New Roman" w:eastAsia="Times New Roman" w:hAnsi="Times New Roman"/>
          <w:sz w:val="24"/>
          <w:szCs w:val="24"/>
        </w:rPr>
        <w:t xml:space="preserve">, F. (2021). The antimicrobial properties of Eucalyptus essential oils: A systematic review. </w:t>
      </w:r>
      <w:r>
        <w:rPr>
          <w:rFonts w:ascii="Times New Roman" w:cs="Times New Roman" w:eastAsia="Times New Roman" w:hAnsi="Times New Roman"/>
          <w:i/>
          <w:iCs/>
          <w:sz w:val="24"/>
          <w:szCs w:val="24"/>
        </w:rPr>
        <w:t>Antibiotics, 10</w:t>
      </w:r>
      <w:r>
        <w:rPr>
          <w:rFonts w:ascii="Times New Roman" w:cs="Times New Roman" w:eastAsia="Times New Roman" w:hAnsi="Times New Roman"/>
          <w:sz w:val="24"/>
          <w:szCs w:val="24"/>
        </w:rPr>
        <w:t>(9), 1090.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&amp; </w:t>
      </w:r>
      <w:r>
        <w:rPr>
          <w:rFonts w:ascii="Times New Roman" w:cs="Times New Roman" w:eastAsia="Times New Roman" w:hAnsi="Times New Roman"/>
          <w:sz w:val="24"/>
          <w:szCs w:val="24"/>
        </w:rPr>
        <w:t>Sharopov</w:t>
      </w:r>
      <w:r>
        <w:rPr>
          <w:rFonts w:ascii="Times New Roman" w:cs="Times New Roman" w:eastAsia="Times New Roman" w:hAnsi="Times New Roman"/>
          <w:sz w:val="24"/>
          <w:szCs w:val="24"/>
        </w:rPr>
        <w:t xml:space="preserve">, F. (2021). Therapeutic potential of essential oils in bacterial infections: A review. </w:t>
      </w:r>
      <w:r>
        <w:rPr>
          <w:rFonts w:ascii="Times New Roman" w:cs="Times New Roman" w:eastAsia="Times New Roman" w:hAnsi="Times New Roman"/>
          <w:i/>
          <w:iCs/>
          <w:sz w:val="24"/>
          <w:szCs w:val="24"/>
        </w:rPr>
        <w:t>Molecules, 26</w:t>
      </w:r>
      <w:r>
        <w:rPr>
          <w:rFonts w:ascii="Times New Roman" w:cs="Times New Roman" w:eastAsia="Times New Roman" w:hAnsi="Times New Roman"/>
          <w:sz w:val="24"/>
          <w:szCs w:val="24"/>
        </w:rPr>
        <w:t>(17), 4984. https://doi.org/10.3390/molecules26174984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Salehi</w:t>
      </w:r>
      <w:r>
        <w:rPr>
          <w:rFonts w:ascii="Times New Roman" w:cs="Times New Roman" w:eastAsia="Times New Roman" w:hAnsi="Times New Roman"/>
          <w:sz w:val="24"/>
          <w:szCs w:val="24"/>
        </w:rPr>
        <w:t xml:space="preserve">, B., </w:t>
      </w:r>
      <w:r>
        <w:rPr>
          <w:rFonts w:ascii="Times New Roman" w:cs="Times New Roman" w:eastAsia="Times New Roman" w:hAnsi="Times New Roman"/>
          <w:sz w:val="24"/>
          <w:szCs w:val="24"/>
        </w:rPr>
        <w:t>Upadhyay</w:t>
      </w:r>
      <w:r>
        <w:rPr>
          <w:rFonts w:ascii="Times New Roman" w:cs="Times New Roman" w:eastAsia="Times New Roman" w:hAnsi="Times New Roman"/>
          <w:sz w:val="24"/>
          <w:szCs w:val="24"/>
        </w:rPr>
        <w:t xml:space="preserve">, S., Erdogan </w:t>
      </w:r>
      <w:r>
        <w:rPr>
          <w:rFonts w:ascii="Times New Roman" w:cs="Times New Roman" w:eastAsia="Times New Roman" w:hAnsi="Times New Roman"/>
          <w:sz w:val="24"/>
          <w:szCs w:val="24"/>
        </w:rPr>
        <w:t>Orhan</w:t>
      </w:r>
      <w:r>
        <w:rPr>
          <w:rFonts w:ascii="Times New Roman" w:cs="Times New Roman" w:eastAsia="Times New Roman" w:hAnsi="Times New Roman"/>
          <w:sz w:val="24"/>
          <w:szCs w:val="24"/>
        </w:rPr>
        <w:t xml:space="preserve">, I., Kumar </w:t>
      </w:r>
      <w:r>
        <w:rPr>
          <w:rFonts w:ascii="Times New Roman" w:cs="Times New Roman" w:eastAsia="Times New Roman" w:hAnsi="Times New Roman"/>
          <w:sz w:val="24"/>
          <w:szCs w:val="24"/>
        </w:rPr>
        <w:t>Jugran</w:t>
      </w:r>
      <w:r>
        <w:rPr>
          <w:rFonts w:ascii="Times New Roman" w:cs="Times New Roman" w:eastAsia="Times New Roman" w:hAnsi="Times New Roman"/>
          <w:sz w:val="24"/>
          <w:szCs w:val="24"/>
        </w:rPr>
        <w:t xml:space="preserve">, A., LD </w:t>
      </w:r>
      <w:r>
        <w:rPr>
          <w:rFonts w:ascii="Times New Roman" w:cs="Times New Roman" w:eastAsia="Times New Roman" w:hAnsi="Times New Roman"/>
          <w:sz w:val="24"/>
          <w:szCs w:val="24"/>
        </w:rPr>
        <w:t>Jayaweera</w:t>
      </w:r>
      <w:r>
        <w:rPr>
          <w:rFonts w:ascii="Times New Roman" w:cs="Times New Roman" w:eastAsia="Times New Roman" w:hAnsi="Times New Roman"/>
          <w:sz w:val="24"/>
          <w:szCs w:val="24"/>
        </w:rPr>
        <w:t xml:space="preserve">, S., Dias, D. A., ... &amp; </w:t>
      </w:r>
      <w:r>
        <w:rPr>
          <w:rFonts w:ascii="Times New Roman" w:cs="Times New Roman" w:eastAsia="Times New Roman" w:hAnsi="Times New Roman"/>
          <w:sz w:val="24"/>
          <w:szCs w:val="24"/>
        </w:rPr>
        <w:t>Sharifi</w:t>
      </w:r>
      <w:r>
        <w:rPr>
          <w:rFonts w:ascii="Times New Roman" w:cs="Times New Roman" w:eastAsia="Times New Roman" w:hAnsi="Times New Roman"/>
          <w:sz w:val="24"/>
          <w:szCs w:val="24"/>
        </w:rPr>
        <w:t xml:space="preserve">-Rad, J. (2021). Therapeutic potential of Eucalyptus species phytochemicals: A review. </w:t>
      </w:r>
      <w:r>
        <w:rPr>
          <w:rFonts w:ascii="Times New Roman" w:cs="Times New Roman" w:eastAsia="Times New Roman" w:hAnsi="Times New Roman"/>
          <w:i/>
          <w:iCs/>
          <w:sz w:val="24"/>
          <w:szCs w:val="24"/>
        </w:rPr>
        <w:t>Food and Chemical Toxicology</w:t>
      </w:r>
      <w:r>
        <w:rPr>
          <w:rFonts w:ascii="Times New Roman" w:cs="Times New Roman" w:eastAsia="Times New Roman" w:hAnsi="Times New Roman"/>
          <w:sz w:val="24"/>
          <w:szCs w:val="24"/>
        </w:rPr>
        <w:t>, 148, 111974. https://doi.org/10.1016/j.fct.2021.111974</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Sani, A., </w:t>
      </w:r>
      <w:r>
        <w:rPr>
          <w:rFonts w:ascii="Times New Roman" w:cs="Times New Roman" w:eastAsia="Times New Roman" w:hAnsi="Times New Roman"/>
          <w:sz w:val="24"/>
          <w:szCs w:val="24"/>
        </w:rPr>
        <w:t>Sahid</w:t>
      </w:r>
      <w:r>
        <w:rPr>
          <w:rFonts w:ascii="Times New Roman" w:cs="Times New Roman" w:eastAsia="Times New Roman" w:hAnsi="Times New Roman"/>
          <w:sz w:val="24"/>
          <w:szCs w:val="24"/>
        </w:rPr>
        <w:t xml:space="preserve">, I., &amp; </w:t>
      </w:r>
      <w:r>
        <w:rPr>
          <w:rFonts w:ascii="Times New Roman" w:cs="Times New Roman" w:eastAsia="Times New Roman" w:hAnsi="Times New Roman"/>
          <w:sz w:val="24"/>
          <w:szCs w:val="24"/>
        </w:rPr>
        <w:t>Madenda</w:t>
      </w:r>
      <w:r>
        <w:rPr>
          <w:rFonts w:ascii="Times New Roman" w:cs="Times New Roman" w:eastAsia="Times New Roman" w:hAnsi="Times New Roman"/>
          <w:sz w:val="24"/>
          <w:szCs w:val="24"/>
        </w:rPr>
        <w:t xml:space="preserve">, S. M. (2020). Phytochemical and antibacterial activities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essential oil. </w:t>
      </w:r>
      <w:r>
        <w:rPr>
          <w:rFonts w:ascii="Times New Roman" w:cs="Times New Roman" w:eastAsia="Times New Roman" w:hAnsi="Times New Roman"/>
          <w:i/>
          <w:iCs/>
          <w:sz w:val="24"/>
          <w:szCs w:val="24"/>
        </w:rPr>
        <w:t>Journal of Applied Microbiology, 129</w:t>
      </w:r>
      <w:r>
        <w:rPr>
          <w:rFonts w:ascii="Times New Roman" w:cs="Times New Roman" w:eastAsia="Times New Roman" w:hAnsi="Times New Roman"/>
          <w:sz w:val="24"/>
          <w:szCs w:val="24"/>
        </w:rPr>
        <w:t>(5), 1241-1252.</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Serrato</w:t>
      </w:r>
      <w:r>
        <w:rPr>
          <w:rFonts w:ascii="Times New Roman" w:cs="Times New Roman" w:eastAsia="Times New Roman" w:hAnsi="Times New Roman"/>
          <w:sz w:val="24"/>
          <w:szCs w:val="24"/>
        </w:rPr>
        <w:t xml:space="preserve">, L., Pereira, J., &amp; Almeida, M. S. (2020).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extracts inhibit </w:t>
      </w:r>
      <w:r>
        <w:rPr>
          <w:rFonts w:ascii="Times New Roman" w:cs="Times New Roman" w:eastAsia="Times New Roman" w:hAnsi="Times New Roman"/>
          <w:i/>
          <w:iCs/>
          <w:sz w:val="24"/>
          <w:szCs w:val="24"/>
        </w:rPr>
        <w:t>Pseudomonas aeruginosa</w:t>
      </w:r>
      <w:r>
        <w:rPr>
          <w:rFonts w:ascii="Times New Roman" w:cs="Times New Roman" w:eastAsia="Times New Roman" w:hAnsi="Times New Roman"/>
          <w:sz w:val="24"/>
          <w:szCs w:val="24"/>
        </w:rPr>
        <w:t xml:space="preserve"> biofilm formation and planktonic growth. </w:t>
      </w:r>
      <w:r>
        <w:rPr>
          <w:rFonts w:ascii="Times New Roman" w:cs="Times New Roman" w:eastAsia="Times New Roman" w:hAnsi="Times New Roman"/>
          <w:i/>
          <w:iCs/>
          <w:sz w:val="24"/>
          <w:szCs w:val="24"/>
        </w:rPr>
        <w:t>Microorganisms, 8</w:t>
      </w:r>
      <w:r>
        <w:rPr>
          <w:rFonts w:ascii="Times New Roman" w:cs="Times New Roman" w:eastAsia="Times New Roman" w:hAnsi="Times New Roman"/>
          <w:sz w:val="24"/>
          <w:szCs w:val="24"/>
        </w:rPr>
        <w:t>(11), 1759.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D. M., Souza, R. A., &amp; Silva, M. F. (2020). Antibacterial activity of </w:t>
      </w:r>
      <w:r>
        <w:rPr>
          <w:rFonts w:ascii="Times New Roman" w:cs="Times New Roman" w:eastAsia="Times New Roman" w:hAnsi="Times New Roman"/>
          <w:i/>
          <w:iCs/>
          <w:sz w:val="24"/>
          <w:szCs w:val="24"/>
        </w:rPr>
        <w:t xml:space="preserve">Eucalyptus </w:t>
      </w:r>
      <w:r>
        <w:rPr>
          <w:rFonts w:ascii="Times New Roman" w:cs="Times New Roman" w:eastAsia="Times New Roman" w:hAnsi="Times New Roman"/>
          <w:i/>
          <w:iCs/>
          <w:sz w:val="24"/>
          <w:szCs w:val="24"/>
        </w:rPr>
        <w:t>globulus</w:t>
      </w:r>
      <w:r>
        <w:rPr>
          <w:rFonts w:ascii="Times New Roman" w:cs="Times New Roman" w:eastAsia="Times New Roman" w:hAnsi="Times New Roman"/>
          <w:sz w:val="24"/>
          <w:szCs w:val="24"/>
        </w:rPr>
        <w:t xml:space="preserve"> against clinical bacterial isolates. </w:t>
      </w:r>
      <w:r>
        <w:rPr>
          <w:rFonts w:ascii="Times New Roman" w:cs="Times New Roman" w:eastAsia="Times New Roman" w:hAnsi="Times New Roman"/>
          <w:i/>
          <w:iCs/>
          <w:sz w:val="24"/>
          <w:szCs w:val="24"/>
        </w:rPr>
        <w:t xml:space="preserve">Brazilian Journal of </w:t>
      </w:r>
      <w:r>
        <w:rPr>
          <w:rFonts w:ascii="Times New Roman" w:cs="Times New Roman" w:eastAsia="Times New Roman" w:hAnsi="Times New Roman"/>
          <w:i/>
          <w:iCs/>
          <w:sz w:val="24"/>
          <w:szCs w:val="24"/>
        </w:rPr>
        <w:t>Pharmacognosy</w:t>
      </w:r>
      <w:r>
        <w:rPr>
          <w:rFonts w:ascii="Times New Roman" w:cs="Times New Roman" w:eastAsia="Times New Roman" w:hAnsi="Times New Roman"/>
          <w:i/>
          <w:iCs/>
          <w:sz w:val="24"/>
          <w:szCs w:val="24"/>
        </w:rPr>
        <w:t>, 30</w:t>
      </w:r>
      <w:r>
        <w:rPr>
          <w:rFonts w:ascii="Times New Roman" w:cs="Times New Roman" w:eastAsia="Times New Roman" w:hAnsi="Times New Roman"/>
          <w:sz w:val="24"/>
          <w:szCs w:val="24"/>
        </w:rPr>
        <w:t>(6), 763-770.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Silva, J. K. R., </w:t>
      </w:r>
      <w:r>
        <w:rPr>
          <w:rFonts w:ascii="Times New Roman" w:cs="Times New Roman" w:eastAsia="Times New Roman" w:hAnsi="Times New Roman"/>
          <w:sz w:val="24"/>
          <w:szCs w:val="24"/>
        </w:rPr>
        <w:t>Figueiredo</w:t>
      </w:r>
      <w:r>
        <w:rPr>
          <w:rFonts w:ascii="Times New Roman" w:cs="Times New Roman" w:eastAsia="Times New Roman" w:hAnsi="Times New Roman"/>
          <w:sz w:val="24"/>
          <w:szCs w:val="24"/>
        </w:rPr>
        <w:t xml:space="preserve">, P. L. B., &amp; </w:t>
      </w:r>
      <w:r>
        <w:rPr>
          <w:rFonts w:ascii="Times New Roman" w:cs="Times New Roman" w:eastAsia="Times New Roman" w:hAnsi="Times New Roman"/>
          <w:sz w:val="24"/>
          <w:szCs w:val="24"/>
        </w:rPr>
        <w:t>Setzer</w:t>
      </w:r>
      <w:r>
        <w:rPr>
          <w:rFonts w:ascii="Times New Roman" w:cs="Times New Roman" w:eastAsia="Times New Roman" w:hAnsi="Times New Roman"/>
          <w:sz w:val="24"/>
          <w:szCs w:val="24"/>
        </w:rPr>
        <w:t xml:space="preserve">, W. N. (2020). Essential oils from the </w:t>
      </w:r>
      <w:r>
        <w:rPr>
          <w:rFonts w:ascii="Times New Roman" w:cs="Times New Roman" w:eastAsia="Times New Roman" w:hAnsi="Times New Roman"/>
          <w:sz w:val="24"/>
          <w:szCs w:val="24"/>
        </w:rPr>
        <w:t>Myrtaceae</w:t>
      </w:r>
      <w:r>
        <w:rPr>
          <w:rFonts w:ascii="Times New Roman" w:cs="Times New Roman" w:eastAsia="Times New Roman" w:hAnsi="Times New Roman"/>
          <w:sz w:val="24"/>
          <w:szCs w:val="24"/>
        </w:rPr>
        <w:t xml:space="preserve"> family and their antimicrobial activity against resistant pathogens. </w:t>
      </w:r>
      <w:r>
        <w:rPr>
          <w:rFonts w:ascii="Times New Roman" w:cs="Times New Roman" w:eastAsia="Times New Roman" w:hAnsi="Times New Roman"/>
          <w:i/>
          <w:iCs/>
          <w:sz w:val="24"/>
          <w:szCs w:val="24"/>
        </w:rPr>
        <w:t>Molecules, 25</w:t>
      </w:r>
      <w:r>
        <w:rPr>
          <w:rFonts w:ascii="Times New Roman" w:cs="Times New Roman" w:eastAsia="Times New Roman" w:hAnsi="Times New Roman"/>
          <w:sz w:val="24"/>
          <w:szCs w:val="24"/>
        </w:rPr>
        <w:t>(14), 3276. https://doi.org/10.3390/molecules25143276</w:t>
      </w:r>
    </w:p>
    <w:p>
      <w:pPr>
        <w:pStyle w:val="style94"/>
        <w:ind w:left="567" w:hanging="567"/>
        <w:jc w:val="both"/>
        <w:rPr/>
      </w:pPr>
      <w:r>
        <w:t xml:space="preserve">Singh, P., Kaur, N., &amp; Kaur, G. (2021). Role of phytochemicals in combating antibiotic resistance: A review. </w:t>
      </w:r>
      <w:r>
        <w:rPr>
          <w:rStyle w:val="style88"/>
        </w:rPr>
        <w:t>Biomedicine &amp; Pharmacotherapy</w:t>
      </w:r>
      <w:r>
        <w:t>, 134, 111121.</w:t>
      </w:r>
    </w:p>
    <w:p>
      <w:pPr>
        <w:pStyle w:val="style94"/>
        <w:ind w:left="567" w:hanging="567"/>
        <w:jc w:val="both"/>
        <w:rPr/>
      </w:pPr>
      <w:r>
        <w:t>Taiwo</w:t>
      </w:r>
      <w:r>
        <w:t xml:space="preserve">, A. O., </w:t>
      </w:r>
      <w:r>
        <w:t>Lawal</w:t>
      </w:r>
      <w:r>
        <w:t xml:space="preserve">, O. A., &amp; </w:t>
      </w:r>
      <w:r>
        <w:t>Adeyemi</w:t>
      </w:r>
      <w:r>
        <w:t xml:space="preserve">, O. A. (2021). Antibacterial effects of </w:t>
      </w:r>
      <w:r>
        <w:rPr>
          <w:rStyle w:val="style88"/>
        </w:rPr>
        <w:t xml:space="preserve">Eucalyptus </w:t>
      </w:r>
      <w:r>
        <w:rPr>
          <w:rStyle w:val="style88"/>
        </w:rPr>
        <w:t>globulus</w:t>
      </w:r>
      <w:r>
        <w:t xml:space="preserve"> ethanol extracts on multidrug-resistant clinical isolates. </w:t>
      </w:r>
      <w:r>
        <w:rPr>
          <w:rStyle w:val="style88"/>
        </w:rPr>
        <w:t>International Journal of Microbiology</w:t>
      </w:r>
      <w:r>
        <w:t>, 2021, Article ID 8887653.</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Tucker, M. T., Diaz, G. J., &amp; Hernandez, L. (2019). Antibiotic resistance mechanisms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A review. </w:t>
      </w:r>
      <w:r>
        <w:rPr>
          <w:rFonts w:ascii="Times New Roman" w:cs="Times New Roman" w:eastAsia="Times New Roman" w:hAnsi="Times New Roman"/>
          <w:i/>
          <w:iCs/>
          <w:sz w:val="24"/>
          <w:szCs w:val="24"/>
        </w:rPr>
        <w:t>Microorganisms, 7</w:t>
      </w:r>
      <w:r>
        <w:rPr>
          <w:rFonts w:ascii="Times New Roman" w:cs="Times New Roman" w:eastAsia="Times New Roman" w:hAnsi="Times New Roman"/>
          <w:sz w:val="24"/>
          <w:szCs w:val="24"/>
        </w:rPr>
        <w:t>(2), 69-80.</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World Health Organization (WHO). (2020). </w:t>
      </w:r>
      <w:r>
        <w:rPr>
          <w:rFonts w:ascii="Times New Roman" w:cs="Times New Roman" w:eastAsia="Times New Roman" w:hAnsi="Times New Roman"/>
          <w:i/>
          <w:iCs/>
          <w:sz w:val="24"/>
          <w:szCs w:val="24"/>
        </w:rPr>
        <w:t>Antibacterial agents in clinical development: An analysis of the antibacterial clinical development pipeline</w:t>
      </w:r>
      <w:r>
        <w:rPr>
          <w:rFonts w:ascii="Times New Roman" w:cs="Times New Roman" w:eastAsia="Times New Roman" w:hAnsi="Times New Roman"/>
          <w:sz w:val="24"/>
          <w:szCs w:val="24"/>
        </w:rPr>
        <w:t xml:space="preserve">. Retrieved from </w:t>
      </w:r>
      <w:r>
        <w:rPr/>
        <w:fldChar w:fldCharType="begin"/>
      </w:r>
      <w:r>
        <w:instrText xml:space="preserve"> HYPERLINK "https://www.who.int/publications/i/item/9789240000193" \t "_new" </w:instrText>
      </w:r>
      <w:r>
        <w:rPr/>
        <w:fldChar w:fldCharType="separate"/>
      </w:r>
      <w:r>
        <w:rPr>
          <w:rFonts w:ascii="Times New Roman" w:cs="Times New Roman" w:eastAsia="Times New Roman" w:hAnsi="Times New Roman"/>
          <w:color w:val="0000ff"/>
          <w:sz w:val="24"/>
          <w:szCs w:val="24"/>
          <w:u w:val="single"/>
        </w:rPr>
        <w:t>https://www.who.int/publications/i/item/9789240000193</w:t>
      </w:r>
      <w:r>
        <w:rPr/>
        <w:fldChar w:fldCharType="end"/>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 xml:space="preserve">Wu, Q., Zhang, Y., &amp; Wang, X. (2020). The epidemiology of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infections and its antibiotic resistance. </w:t>
      </w:r>
      <w:r>
        <w:rPr>
          <w:rFonts w:ascii="Times New Roman" w:cs="Times New Roman" w:eastAsia="Times New Roman" w:hAnsi="Times New Roman"/>
          <w:i/>
          <w:iCs/>
          <w:sz w:val="24"/>
          <w:szCs w:val="24"/>
        </w:rPr>
        <w:t>Infection Control and Hospital Epidemiology, 41</w:t>
      </w:r>
      <w:r>
        <w:rPr>
          <w:rFonts w:ascii="Times New Roman" w:cs="Times New Roman" w:eastAsia="Times New Roman" w:hAnsi="Times New Roman"/>
          <w:sz w:val="24"/>
          <w:szCs w:val="24"/>
        </w:rPr>
        <w:t>(10), 1211-1218.</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Y., &amp; Zhang, H. (2020). Molecular mechanisms of antimicrobial resistance in </w:t>
      </w:r>
      <w:r>
        <w:rPr>
          <w:rFonts w:ascii="Times New Roman" w:cs="Times New Roman" w:eastAsia="Times New Roman" w:hAnsi="Times New Roman"/>
          <w:i/>
          <w:iCs/>
          <w:sz w:val="24"/>
          <w:szCs w:val="24"/>
        </w:rPr>
        <w:t>Escherichia coli</w:t>
      </w:r>
      <w:r>
        <w:rPr>
          <w:rFonts w:ascii="Times New Roman" w:cs="Times New Roman" w:eastAsia="Times New Roman" w:hAnsi="Times New Roman"/>
          <w:sz w:val="24"/>
          <w:szCs w:val="24"/>
        </w:rPr>
        <w:t xml:space="preserve">. </w:t>
      </w:r>
      <w:r>
        <w:rPr>
          <w:rFonts w:ascii="Times New Roman" w:cs="Times New Roman" w:eastAsia="Times New Roman" w:hAnsi="Times New Roman"/>
          <w:i/>
          <w:iCs/>
          <w:sz w:val="24"/>
          <w:szCs w:val="24"/>
        </w:rPr>
        <w:t>International Journal of Antimicrobial Agents, 56</w:t>
      </w:r>
      <w:r>
        <w:rPr>
          <w:rFonts w:ascii="Times New Roman" w:cs="Times New Roman" w:eastAsia="Times New Roman" w:hAnsi="Times New Roman"/>
          <w:sz w:val="24"/>
          <w:szCs w:val="24"/>
        </w:rPr>
        <w:t>(2), 188-199.</w:t>
      </w:r>
    </w:p>
    <w:p>
      <w:pPr>
        <w:pStyle w:val="style0"/>
        <w:spacing w:before="100" w:beforeAutospacing="true" w:after="100" w:afterAutospacing="true" w:lineRule="auto" w:line="240"/>
        <w:ind w:left="567" w:hanging="567"/>
        <w:jc w:val="both"/>
        <w:rPr>
          <w:rFonts w:ascii="Times New Roman" w:cs="Times New Roman" w:eastAsia="Times New Roman" w:hAnsi="Times New Roman"/>
          <w:sz w:val="24"/>
          <w:szCs w:val="24"/>
        </w:rPr>
      </w:pPr>
      <w:r>
        <w:rPr>
          <w:rFonts w:ascii="Times New Roman" w:cs="Times New Roman" w:eastAsia="Times New Roman" w:hAnsi="Times New Roman"/>
          <w:sz w:val="24"/>
          <w:szCs w:val="24"/>
        </w:rPr>
        <w:t>Zong</w:t>
      </w:r>
      <w:r>
        <w:rPr>
          <w:rFonts w:ascii="Times New Roman" w:cs="Times New Roman" w:eastAsia="Times New Roman" w:hAnsi="Times New Roman"/>
          <w:sz w:val="24"/>
          <w:szCs w:val="24"/>
        </w:rPr>
        <w:t xml:space="preserve">, Z., Zhang, H., &amp; </w:t>
      </w:r>
      <w:r>
        <w:rPr>
          <w:rFonts w:ascii="Times New Roman" w:cs="Times New Roman" w:eastAsia="Times New Roman" w:hAnsi="Times New Roman"/>
          <w:sz w:val="24"/>
          <w:szCs w:val="24"/>
        </w:rPr>
        <w:t>Xie</w:t>
      </w:r>
      <w:r>
        <w:rPr>
          <w:rFonts w:ascii="Times New Roman" w:cs="Times New Roman" w:eastAsia="Times New Roman" w:hAnsi="Times New Roman"/>
          <w:sz w:val="24"/>
          <w:szCs w:val="24"/>
        </w:rPr>
        <w:t xml:space="preserve">, S. (2020). Methicillin-resistant </w:t>
      </w:r>
      <w:r>
        <w:rPr>
          <w:rFonts w:ascii="Times New Roman" w:cs="Times New Roman" w:eastAsia="Times New Roman" w:hAnsi="Times New Roman"/>
          <w:i/>
          <w:iCs/>
          <w:sz w:val="24"/>
          <w:szCs w:val="24"/>
        </w:rPr>
        <w:t>Staphylococcus aureus</w:t>
      </w:r>
      <w:r>
        <w:rPr>
          <w:rFonts w:ascii="Times New Roman" w:cs="Times New Roman" w:eastAsia="Times New Roman" w:hAnsi="Times New Roman"/>
          <w:sz w:val="24"/>
          <w:szCs w:val="24"/>
        </w:rPr>
        <w:t xml:space="preserve"> and its resistance mechanisms. </w:t>
      </w:r>
      <w:r>
        <w:rPr>
          <w:rFonts w:ascii="Times New Roman" w:cs="Times New Roman" w:eastAsia="Times New Roman" w:hAnsi="Times New Roman"/>
          <w:i/>
          <w:iCs/>
          <w:sz w:val="24"/>
          <w:szCs w:val="24"/>
        </w:rPr>
        <w:t>Clinical Microbiology Reviews, 33</w:t>
      </w:r>
      <w:r>
        <w:rPr>
          <w:rFonts w:ascii="Times New Roman" w:cs="Times New Roman" w:eastAsia="Times New Roman" w:hAnsi="Times New Roman"/>
          <w:sz w:val="24"/>
          <w:szCs w:val="24"/>
        </w:rPr>
        <w:t>(1), e00094-19.</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bookmarkStart w:id="60" w:name="_Toc203146335"/>
    <w:p>
      <w:pPr>
        <w:pStyle w:val="style1"/>
        <w:jc w:val="center"/>
        <w:rPr/>
      </w:pPr>
      <w:r>
        <w:t>APPENDIX</w:t>
      </w:r>
      <w:bookmarkEnd w:id="60"/>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r>
        <w:rPr>
          <w:noProof/>
        </w:rPr>
        <w:drawing>
          <wp:anchor distT="0" distB="0" distL="114300" distR="114300" simplePos="false" relativeHeight="9" behindDoc="false" locked="false" layoutInCell="true" allowOverlap="true">
            <wp:simplePos x="0" y="0"/>
            <wp:positionH relativeFrom="column">
              <wp:posOffset>0</wp:posOffset>
            </wp:positionH>
            <wp:positionV relativeFrom="paragraph">
              <wp:posOffset>294640</wp:posOffset>
            </wp:positionV>
            <wp:extent cx="1819275" cy="2057400"/>
            <wp:effectExtent l="0" t="0" r="9525" b="0"/>
            <wp:wrapSquare wrapText="bothSides"/>
            <wp:docPr id="1033"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srcRect l="0" t="0" r="0" b="0"/>
                    <a:stretch/>
                  </pic:blipFill>
                  <pic:spPr>
                    <a:xfrm rot="0">
                      <a:off x="0" y="0"/>
                      <a:ext cx="1819275" cy="2057400"/>
                    </a:xfrm>
                    <a:prstGeom prst="rect"/>
                    <a:ln>
                      <a:noFill/>
                    </a:ln>
                  </pic:spPr>
                </pic:pic>
              </a:graphicData>
            </a:graphic>
            <wp14:sizeRelH relativeFrom="margin">
              <wp14:pctWidth>0</wp14:pctWidth>
            </wp14:sizeRelH>
          </wp:anchor>
        </w:drawing>
      </w:r>
    </w:p>
    <w:p>
      <w:pPr>
        <w:pStyle w:val="style0"/>
        <w:jc w:val="center"/>
        <w:rPr>
          <w:rFonts w:ascii="Times New Roman" w:cs="Times New Roman" w:hAnsi="Times New Roman"/>
          <w:sz w:val="24"/>
          <w:szCs w:val="24"/>
        </w:rPr>
      </w:pPr>
    </w:p>
    <w:p>
      <w:pPr>
        <w:pStyle w:val="style0"/>
        <w:rPr>
          <w:rFonts w:ascii="Times New Roman" w:cs="Times New Roman" w:hAnsi="Times New Roman"/>
          <w:sz w:val="24"/>
          <w:szCs w:val="24"/>
        </w:rPr>
      </w:pPr>
      <w:r>
        <w:rPr>
          <w:rFonts w:ascii="Times New Roman" w:cs="Times New Roman" w:hAnsi="Times New Roman"/>
          <w:sz w:val="24"/>
          <w:szCs w:val="24"/>
        </w:rPr>
        <w:t xml:space="preserve">                                      </w:t>
      </w:r>
      <w:r>
        <w:rPr>
          <w:noProof/>
        </w:rPr>
        <w:drawing>
          <wp:inline distL="0" distT="0" distB="0" distR="0">
            <wp:extent cx="2223770" cy="1609725"/>
            <wp:effectExtent l="0" t="0" r="5080" b="9525"/>
            <wp:docPr id="1034"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srcRect l="0" t="0" r="0" b="0"/>
                    <a:stretch/>
                  </pic:blipFill>
                  <pic:spPr>
                    <a:xfrm rot="0">
                      <a:off x="0" y="0"/>
                      <a:ext cx="2223770" cy="1609725"/>
                    </a:xfrm>
                    <a:prstGeom prst="rect"/>
                    <a:ln>
                      <a:noFill/>
                    </a:ln>
                  </pic:spPr>
                </pic:pic>
              </a:graphicData>
            </a:graphic>
          </wp:inline>
        </w:drawing>
      </w:r>
    </w:p>
    <w:p>
      <w:pPr>
        <w:pStyle w:val="style0"/>
        <w:rPr>
          <w:rFonts w:ascii="Times New Roman" w:cs="Times New Roman" w:hAnsi="Times New Roman"/>
          <w:sz w:val="24"/>
          <w:szCs w:val="24"/>
        </w:rPr>
      </w:pPr>
      <w:r>
        <w:rPr>
          <w:rFonts w:ascii="Times New Roman" w:cs="Times New Roman" w:hAnsi="Times New Roman"/>
          <w:noProof/>
          <w:sz w:val="24"/>
          <w:szCs w:val="24"/>
        </w:rPr>
        <mc:AlternateContent>
          <mc:Choice Requires="wps">
            <w:drawing>
              <wp:anchor distT="0" distB="0" distL="0" distR="0" simplePos="false" relativeHeight="8" behindDoc="false" locked="false" layoutInCell="true" allowOverlap="true">
                <wp:simplePos x="0" y="0"/>
                <wp:positionH relativeFrom="column">
                  <wp:posOffset>-104775</wp:posOffset>
                </wp:positionH>
                <wp:positionV relativeFrom="paragraph">
                  <wp:posOffset>112395</wp:posOffset>
                </wp:positionV>
                <wp:extent cx="2400300" cy="438150"/>
                <wp:effectExtent l="0" t="0" r="19050" b="19050"/>
                <wp:wrapNone/>
                <wp:docPr id="1035" name="Rectangle 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400300" cy="438150"/>
                        </a:xfrm>
                        <a:prstGeom prst="rect"/>
                        <a:solidFill>
                          <a:srgbClr val="ffffff"/>
                        </a:solidFill>
                        <a:ln cmpd="sng" cap="flat" w="12700">
                          <a:solidFill>
                            <a:srgbClr val="000000"/>
                          </a:solidFill>
                          <a:prstDash val="solid"/>
                          <a:miter/>
                          <a:headEnd len="med" w="med" type="none"/>
                          <a:tailEnd len="med" w="med" type="none"/>
                        </a:ln>
                      </wps:spPr>
                      <wps:txbx id="1035">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wps:txbx>
                      <wps:bodyPr lIns="91440" rIns="91440" tIns="45720" bIns="45720" vert="horz" anchor="ctr" wrap="square">
                        <a:prstTxWarp prst="textNoShape"/>
                        <a:noAutofit/>
                      </wps:bodyPr>
                    </wps:wsp>
                  </a:graphicData>
                </a:graphic>
                <wp14:sizeRelH relativeFrom="margin">
                  <wp14:pctWidth>0</wp14:pctWidth>
                </wp14:sizeRelH>
                <wp14:sizeRelV relativeFrom="margin">
                  <wp14:pctHeight>0</wp14:pctHeight>
                </wp14:sizeRelV>
              </wp:anchor>
            </w:drawing>
          </mc:Choice>
          <mc:Fallback>
            <w:pict>
              <v:rect id="1035" fillcolor="white" stroked="t" style="position:absolute;margin-left:-8.25pt;margin-top:8.85pt;width:189.0pt;height:34.5pt;z-index:8;mso-position-horizontal-relative:text;mso-position-vertical-relative:text;mso-width-percent:0;mso-height-percent:0;mso-width-relative:margin;mso-height-relative:margin;mso-wrap-distance-left:0.0pt;mso-wrap-distance-right:0.0pt;visibility:visible;v-text-anchor:middle;">
                <v:stroke joinstyle="miter" weight="1.0pt"/>
                <v:fill/>
                <v:textbox inset="7.2pt,3.6pt,7.2pt,3.6pt">
                  <w:txbxContent>
                    <w:p>
                      <w:pPr>
                        <w:pStyle w:val="style0"/>
                        <w:rPr>
                          <w:rFonts w:ascii="Times New Roman" w:cs="Times New Roman" w:hAnsi="Times New Roman"/>
                          <w:color w:val="000000"/>
                          <w:sz w:val="24"/>
                          <w:szCs w:val="24"/>
                        </w:rPr>
                      </w:pPr>
                      <w:r>
                        <w:rPr>
                          <w:rFonts w:ascii="Times New Roman" w:cs="Times New Roman" w:hAnsi="Times New Roman"/>
                          <w:color w:val="000000"/>
                          <w:sz w:val="24"/>
                          <w:szCs w:val="24"/>
                        </w:rPr>
                        <w:t xml:space="preserve">Plate 2: MIC result of </w:t>
                      </w:r>
                      <w:r>
                        <w:rPr>
                          <w:rFonts w:ascii="Times New Roman" w:cs="Times New Roman" w:hAnsi="Times New Roman"/>
                          <w:i/>
                          <w:color w:val="000000"/>
                          <w:sz w:val="24"/>
                          <w:szCs w:val="24"/>
                        </w:rPr>
                        <w:t>E</w:t>
                      </w:r>
                      <w:r>
                        <w:rPr>
                          <w:rFonts w:ascii="Times New Roman" w:cs="Times New Roman" w:hAnsi="Times New Roman"/>
                          <w:i/>
                          <w:color w:val="000000"/>
                          <w:sz w:val="24"/>
                          <w:szCs w:val="24"/>
                        </w:rPr>
                        <w:t>. coli</w:t>
                      </w:r>
                      <w:r>
                        <w:rPr>
                          <w:rFonts w:ascii="Times New Roman" w:cs="Times New Roman" w:hAnsi="Times New Roman"/>
                          <w:color w:val="000000"/>
                          <w:sz w:val="24"/>
                          <w:szCs w:val="24"/>
                        </w:rPr>
                        <w:t xml:space="preserve"> at 0.2 concentration</w:t>
                      </w:r>
                    </w:p>
                    <w:p>
                      <w:pPr>
                        <w:pStyle w:val="style0"/>
                        <w:jc w:val="center"/>
                        <w:rPr>
                          <w:color w:val="000000"/>
                        </w:rPr>
                      </w:pPr>
                    </w:p>
                  </w:txbxContent>
                </v:textbox>
              </v:rect>
            </w:pict>
          </mc:Fallback>
        </mc:AlternateContent>
      </w:r>
      <w:r>
        <w:rPr>
          <w:rFonts w:ascii="Times New Roman" w:cs="Times New Roman" w:hAnsi="Times New Roman"/>
          <w:sz w:val="24"/>
          <w:szCs w:val="24"/>
        </w:rPr>
        <w:t xml:space="preserve">                          Plate 2: MIC result of </w:t>
      </w:r>
      <w:r>
        <w:rPr>
          <w:rFonts w:ascii="Times New Roman" w:cs="Times New Roman" w:hAnsi="Times New Roman"/>
          <w:i/>
          <w:sz w:val="24"/>
          <w:szCs w:val="24"/>
        </w:rPr>
        <w:t>E. coli</w:t>
      </w:r>
      <w:r>
        <w:rPr>
          <w:rFonts w:ascii="Times New Roman" w:cs="Times New Roman" w:hAnsi="Times New Roman"/>
          <w:sz w:val="24"/>
          <w:szCs w:val="24"/>
        </w:rPr>
        <w:t xml:space="preserve"> at 0.2 concentration</w:t>
      </w: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p>
    <w:p>
      <w:pPr>
        <w:pStyle w:val="style0"/>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3449955</wp:posOffset>
            </wp:positionH>
            <wp:positionV relativeFrom="page">
              <wp:posOffset>923924</wp:posOffset>
            </wp:positionV>
            <wp:extent cx="2974275" cy="2294040"/>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8" cstate="print"/>
                    <a:srcRect l="0" t="0" r="0" b="0"/>
                    <a:stretch/>
                  </pic:blipFill>
                  <pic:spPr>
                    <a:xfrm rot="0">
                      <a:off x="0" y="0"/>
                      <a:ext cx="2974275" cy="2294040"/>
                    </a:xfrm>
                    <a:prstGeom prst="rect"/>
                  </pic:spPr>
                </pic:pic>
              </a:graphicData>
            </a:graphic>
          </wp:anchor>
        </w:drawing>
      </w:r>
      <w:r>
        <w:rPr>
          <w:noProof/>
        </w:rPr>
        <w:drawing>
          <wp:inline distL="0" distT="0" distB="0" distR="0">
            <wp:extent cx="2255506" cy="2345870"/>
            <wp:effectExtent l="0" t="0" r="0" b="0"/>
            <wp:docPr id="1037"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9" cstate="print"/>
                    <a:srcRect l="0" t="0" r="0" b="0"/>
                    <a:stretch/>
                  </pic:blipFill>
                  <pic:spPr>
                    <a:xfrm rot="0">
                      <a:off x="0" y="0"/>
                      <a:ext cx="2255506" cy="2345870"/>
                    </a:xfrm>
                    <a:prstGeom prst="rect"/>
                    <a:ln>
                      <a:noFill/>
                    </a:ln>
                  </pic:spPr>
                </pic:pic>
              </a:graphicData>
            </a:graphic>
          </wp:inline>
        </w:drawing>
      </w:r>
      <w:r>
        <w:rPr>
          <w:noProof/>
          <w:lang w:val="en-US"/>
        </w:rPr>
        <w:t xml:space="preserve">              </w:t>
      </w:r>
    </w:p>
    <w:p>
      <w:pPr>
        <w:pStyle w:val="style0"/>
        <w:rPr>
          <w:rFonts w:ascii="Times New Roman" w:cs="Times New Roman" w:hAnsi="Times New Roman"/>
          <w:sz w:val="24"/>
          <w:szCs w:val="24"/>
        </w:rPr>
      </w:pPr>
      <w:r>
        <w:rPr>
          <w:rFonts w:ascii="Times New Roman" w:cs="Times New Roman" w:hAnsi="Times New Roman"/>
          <w:sz w:val="24"/>
          <w:szCs w:val="24"/>
        </w:rPr>
        <w:t>PLATE 3: MIC result of MRSA at 0.15 con</w:t>
      </w:r>
      <w:r>
        <w:rPr>
          <w:rFonts w:ascii="Times New Roman" w:cs="Times New Roman" w:hAnsi="Times New Roman"/>
          <w:sz w:val="24"/>
          <w:szCs w:val="24"/>
        </w:rPr>
        <w:t>centration</w:t>
      </w:r>
    </w:p>
    <w:p>
      <w:pPr>
        <w:pStyle w:val="style0"/>
        <w:rPr>
          <w:rFonts w:ascii="Times New Roman" w:cs="Times New Roman" w:hAnsi="Times New Roman"/>
          <w:sz w:val="24"/>
          <w:szCs w:val="24"/>
        </w:rPr>
      </w:pPr>
      <w:r>
        <w:rPr>
          <w:rFonts w:ascii="Times New Roman" w:cs="Times New Roman" w:hAnsi="Times New Roman"/>
          <w:sz w:val="24"/>
          <w:szCs w:val="24"/>
        </w:rPr>
        <w:t xml:space="preserve"> </w:t>
      </w: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center"/>
        <w:rPr>
          <w:rFonts w:ascii="Times New Roman" w:cs="Times New Roman" w:hAnsi="Times New Roman"/>
          <w:sz w:val="24"/>
          <w:szCs w:val="24"/>
        </w:rPr>
      </w:pPr>
    </w:p>
    <w:p>
      <w:pPr>
        <w:pStyle w:val="style0"/>
        <w:jc w:val="left"/>
        <w:rPr>
          <w:rFonts w:ascii="Times New Roman" w:cs="Times New Roman" w:hAnsi="Times New Roman"/>
          <w:sz w:val="24"/>
          <w:szCs w:val="24"/>
        </w:rPr>
      </w:pPr>
    </w:p>
    <w:p>
      <w:pPr>
        <w:pStyle w:val="style0"/>
        <w:jc w:val="left"/>
        <w:rPr>
          <w:rFonts w:ascii="Times New Roman" w:cs="Times New Roman" w:hAnsi="Times New Roman"/>
          <w:sz w:val="24"/>
          <w:szCs w:val="24"/>
        </w:rPr>
      </w:pPr>
      <w:r>
        <w:rPr>
          <w:lang w:val="en-US"/>
        </w:rPr>
        <w:t xml:space="preserve">                         </w:t>
      </w:r>
      <w:r>
        <w:rPr/>
        <w:drawing>
          <wp:inline distL="0" distT="0" distB="0" distR="0">
            <wp:extent cx="5069471" cy="7413323"/>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0" cstate="print"/>
                    <a:srcRect l="0" t="0" r="0" b="0"/>
                    <a:stretch/>
                  </pic:blipFill>
                  <pic:spPr>
                    <a:xfrm rot="0">
                      <a:off x="0" y="0"/>
                      <a:ext cx="5069471" cy="7413323"/>
                    </a:xfrm>
                    <a:prstGeom prst="rect"/>
                  </pic:spPr>
                </pic:pic>
              </a:graphicData>
            </a:graphic>
          </wp:inline>
        </w:drawing>
      </w: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framePr w:wrap="none" w:hAnchor="margin" w:vAnchor="text" w:xAlign="center" w:y="1"/>
      <w:jc w:val="center"/>
      <w:rPr>
        <w:rStyle w:val="style41"/>
      </w:rPr>
    </w:pPr>
    <w:r>
      <w:rPr>
        <w:rStyle w:val="style41"/>
      </w:rPr>
      <w:fldChar w:fldCharType="begin"/>
    </w:r>
    <w:r>
      <w:rPr>
        <w:rStyle w:val="style41"/>
      </w:rPr>
      <w:instrText xml:space="preserve"> PAGE </w:instrText>
    </w:r>
    <w:r>
      <w:rPr>
        <w:rStyle w:val="style41"/>
      </w:rPr>
      <w:fldChar w:fldCharType="end"/>
    </w:r>
  </w:p>
  <w:p>
    <w:pPr>
      <w:pStyle w:val="style32"/>
      <w:rPr/>
    </w:pPr>
  </w:p>
</w:ftr>
</file>

<file path=word/footer3.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20</w:t>
    </w:r>
    <w:r>
      <w:rPr>
        <w:noProof/>
      </w:rPr>
      <w:fldChar w:fldCharType="end"/>
    </w:r>
  </w:p>
  <w:p>
    <w:pPr>
      <w:pStyle w:val="style32"/>
      <w:rPr/>
    </w:pP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D6D2D5D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0000001"/>
    <w:multiLevelType w:val="multilevel"/>
    <w:tmpl w:val="4934DF20"/>
    <w:lvl w:ilvl="0">
      <w:start w:val="1"/>
      <w:numFmt w:val="decimal"/>
      <w:lvlText w:val="%1."/>
      <w:lvlJc w:val="left"/>
      <w:pPr>
        <w:tabs>
          <w:tab w:val="left" w:leader="none" w:pos="720"/>
        </w:tabs>
        <w:ind w:left="720" w:hanging="360"/>
      </w:pPr>
    </w:lvl>
    <w:lvl w:ilvl="1">
      <w:start w:val="1"/>
      <w:numFmt w:val="bullet"/>
      <w:lvlText w:val=""/>
      <w:lvlJc w:val="left"/>
      <w:pPr>
        <w:ind w:left="1440" w:hanging="360"/>
      </w:pPr>
      <w:rPr>
        <w:rFonts w:ascii="Symbol" w:cs="Times New Roman" w:eastAsia="Times New Roman" w:hAnsi="Symbol"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
    <w:nsid w:val="00000002"/>
    <w:multiLevelType w:val="multilevel"/>
    <w:tmpl w:val="BEAECE92"/>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2"/>
  </w:num>
  <w:num w:numId="2">
    <w:abstractNumId w:val="1"/>
  </w:num>
  <w:num w:numId="3">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1">
    <w:name w:val="heading 1"/>
    <w:basedOn w:val="style0"/>
    <w:next w:val="style0"/>
    <w:link w:val="style4101"/>
    <w:qFormat/>
    <w:uiPriority w:val="9"/>
    <w:pPr>
      <w:keepNext/>
      <w:keepLines/>
      <w:spacing w:before="240" w:after="0"/>
      <w:outlineLvl w:val="0"/>
    </w:pPr>
    <w:rPr>
      <w:rFonts w:ascii="Times New Roman" w:cs="宋体" w:eastAsia="宋体" w:hAnsi="Times New Roman"/>
      <w:b/>
      <w:color w:val="000000"/>
      <w:sz w:val="24"/>
      <w:szCs w:val="32"/>
    </w:rPr>
  </w:style>
  <w:style w:type="paragraph" w:styleId="style2">
    <w:name w:val="heading 2"/>
    <w:basedOn w:val="style0"/>
    <w:next w:val="style0"/>
    <w:link w:val="style4104"/>
    <w:qFormat/>
    <w:uiPriority w:val="9"/>
    <w:pPr>
      <w:keepNext/>
      <w:keepLines/>
      <w:spacing w:before="40" w:after="0"/>
      <w:outlineLvl w:val="1"/>
    </w:pPr>
    <w:rPr>
      <w:rFonts w:ascii="Times New Roman" w:cs="宋体" w:eastAsia="宋体" w:hAnsi="Times New Roman"/>
      <w:b/>
      <w:color w:val="000000"/>
      <w:sz w:val="24"/>
      <w:szCs w:val="26"/>
    </w:rPr>
  </w:style>
  <w:style w:type="paragraph" w:styleId="style3">
    <w:name w:val="heading 3"/>
    <w:basedOn w:val="style0"/>
    <w:next w:val="style3"/>
    <w:link w:val="style4097"/>
    <w:qFormat/>
    <w:uiPriority w:val="9"/>
    <w:pPr>
      <w:spacing w:before="100" w:beforeAutospacing="true" w:after="100" w:afterAutospacing="true" w:lineRule="auto" w:line="240"/>
      <w:outlineLvl w:val="2"/>
    </w:pPr>
    <w:rPr>
      <w:rFonts w:ascii="Times New Roman" w:cs="Times New Roman" w:eastAsia="Times New Roman" w:hAnsi="Times New Roman"/>
      <w:b/>
      <w:bCs/>
      <w:sz w:val="24"/>
      <w:szCs w:val="27"/>
    </w:rPr>
  </w:style>
  <w:style w:type="paragraph" w:styleId="style5">
    <w:name w:val="heading 5"/>
    <w:basedOn w:val="style0"/>
    <w:next w:val="style0"/>
    <w:link w:val="style4098"/>
    <w:qFormat/>
    <w:uiPriority w:val="9"/>
    <w:pPr>
      <w:keepNext/>
      <w:keepLines/>
      <w:spacing w:before="40" w:after="0"/>
      <w:outlineLvl w:val="4"/>
    </w:pPr>
    <w:rPr>
      <w:rFonts w:ascii="Calibri Light" w:cs="宋体" w:eastAsia="宋体" w:hAnsi="Calibri Light"/>
      <w:color w:val="2e74b5"/>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3 Char_75e338df-53b0-41f5-a6e5-a921ce4e362e"/>
    <w:basedOn w:val="style65"/>
    <w:next w:val="style4097"/>
    <w:link w:val="style3"/>
    <w:uiPriority w:val="9"/>
    <w:rPr>
      <w:rFonts w:ascii="Times New Roman" w:cs="Times New Roman" w:eastAsia="Times New Roman" w:hAnsi="Times New Roman"/>
      <w:b/>
      <w:bCs/>
      <w:sz w:val="24"/>
      <w:szCs w:val="27"/>
    </w:rPr>
  </w:style>
  <w:style w:type="character" w:customStyle="1" w:styleId="style4098">
    <w:name w:val="Heading 5 Char_b99ef231-6a15-40b5-ab90-96338dc6ec7c"/>
    <w:basedOn w:val="style65"/>
    <w:next w:val="style4098"/>
    <w:link w:val="style5"/>
    <w:uiPriority w:val="9"/>
    <w:rPr>
      <w:rFonts w:ascii="Calibri Light" w:cs="宋体" w:eastAsia="宋体" w:hAnsi="Calibri Light"/>
      <w:color w:val="2e74b5"/>
    </w:rPr>
  </w:style>
  <w:style w:type="character" w:styleId="style88">
    <w:name w:val="Emphasis"/>
    <w:basedOn w:val="style65"/>
    <w:next w:val="style88"/>
    <w:qFormat/>
    <w:uiPriority w:val="20"/>
    <w:rPr>
      <w:i/>
      <w:iCs/>
    </w:rPr>
  </w:style>
  <w:style w:type="paragraph" w:styleId="style94">
    <w:name w:val="Normal (Web)"/>
    <w:basedOn w:val="style0"/>
    <w:next w:val="style94"/>
    <w:qFormat/>
    <w:uiPriority w:val="99"/>
    <w:pPr>
      <w:spacing w:before="100" w:beforeAutospacing="true" w:after="100" w:afterAutospacing="true" w:lineRule="auto" w:line="240"/>
    </w:pPr>
    <w:rPr>
      <w:rFonts w:ascii="Times New Roman" w:cs="Times New Roman" w:eastAsia="Times New Roman" w:hAnsi="Times New Roman"/>
      <w:sz w:val="24"/>
      <w:szCs w:val="24"/>
    </w:rPr>
  </w:style>
  <w:style w:type="character" w:styleId="style87">
    <w:name w:val="Strong"/>
    <w:basedOn w:val="style65"/>
    <w:next w:val="style87"/>
    <w:qFormat/>
    <w:uiPriority w:val="22"/>
    <w:rPr>
      <w:b/>
      <w:bCs/>
    </w:rPr>
  </w:style>
  <w:style w:type="table" w:customStyle="1" w:styleId="style4099">
    <w:name w:val="List Table 6 Colorful"/>
    <w:basedOn w:val="style105"/>
    <w:next w:val="style4099"/>
    <w:uiPriority w:val="51"/>
    <w:pPr>
      <w:spacing w:after="0" w:lineRule="auto" w:line="240"/>
    </w:pPr>
    <w:rPr>
      <w:color w:val="000000"/>
    </w:rPr>
    <w:tblPr>
      <w:tblStyleRowBandSize w:val="1"/>
      <w:tblStyleColBandSize w:val="1"/>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paragraph" w:styleId="style179">
    <w:name w:val="List Paragraph"/>
    <w:basedOn w:val="style0"/>
    <w:next w:val="style179"/>
    <w:qFormat/>
    <w:uiPriority w:val="34"/>
    <w:pPr>
      <w:ind w:left="720"/>
      <w:contextualSpacing/>
    </w:pPr>
    <w:rPr/>
  </w:style>
  <w:style w:type="table" w:customStyle="1" w:styleId="style4100">
    <w:name w:val="List Table 6 Colorful1"/>
    <w:basedOn w:val="style105"/>
    <w:next w:val="style4100"/>
    <w:uiPriority w:val="51"/>
    <w:pPr>
      <w:spacing w:after="0" w:lineRule="auto" w:line="240"/>
    </w:pPr>
    <w:rPr>
      <w:color w:val="000000"/>
      <w:sz w:val="20"/>
      <w:szCs w:val="20"/>
    </w:rPr>
    <w:tblPr>
      <w:tblBorders>
        <w:top w:val="single" w:sz="4" w:space="0" w:color="000000"/>
        <w:bottom w:val="single" w:sz="4" w:space="0" w:color="000000"/>
      </w:tblBorders>
    </w:tblPr>
    <w:tblStylePr w:type="firstRow">
      <w:pPr/>
      <w:rPr>
        <w:b/>
        <w:bCs/>
      </w:rPr>
      <w:tblPr/>
      <w:tcPr>
        <w:tcBorders>
          <w:bottom w:val="single" w:sz="4" w:space="0" w:color="000000"/>
        </w:tcBorders>
      </w:tcPr>
    </w:tblStylePr>
    <w:tblStylePr w:type="lastRow">
      <w:pPr/>
      <w:rPr>
        <w:b/>
        <w:bCs/>
      </w:rPr>
      <w:tblPr/>
      <w:tcPr>
        <w:tcBorders>
          <w:top w:val="double" w:sz="4" w:space="0" w:color="000000"/>
        </w:tcBorders>
      </w:tcPr>
    </w:tblStylePr>
    <w:tblStylePr w:type="band1Horz">
      <w:pPr/>
      <w:tblPr/>
      <w:tcPr>
        <w:tcBorders/>
        <w:shd w:val="clear" w:color="auto" w:fill="cccccc"/>
      </w:tcPr>
    </w:tblStylePr>
    <w:tblStylePr w:type="firstCol">
      <w:pPr/>
      <w:rPr>
        <w:b/>
        <w:bCs/>
      </w:rPr>
      <w:tcPr>
        <w:tcBorders/>
      </w:tcPr>
    </w:tblStylePr>
    <w:tblStylePr w:type="lastCol">
      <w:pPr/>
      <w:rPr>
        <w:b/>
        <w:bCs/>
      </w:rPr>
      <w:tcPr>
        <w:tcBorders/>
      </w:tcPr>
    </w:tblStylePr>
    <w:tblStylePr w:type="band1Vert">
      <w:pPr/>
      <w:tblPr/>
      <w:tcPr>
        <w:tcBorders/>
        <w:shd w:val="clear" w:color="auto" w:fill="cccccc"/>
      </w:tcPr>
    </w:tblStylePr>
    <w:tcPr>
      <w:tcBorders/>
    </w:tcPr>
  </w:style>
  <w:style w:type="character" w:customStyle="1" w:styleId="style4101">
    <w:name w:val="Heading 1 Char_82d8ab2a-d055-4f77-b7b8-9f791932797a"/>
    <w:basedOn w:val="style65"/>
    <w:next w:val="style4101"/>
    <w:link w:val="style1"/>
    <w:uiPriority w:val="9"/>
    <w:rPr>
      <w:rFonts w:ascii="Times New Roman" w:cs="宋体" w:eastAsia="宋体" w:hAnsi="Times New Roman"/>
      <w:b/>
      <w:color w:val="000000"/>
      <w:sz w:val="24"/>
      <w:szCs w:val="32"/>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d86806a4-0a7e-4d66-80c8-8230b3b8222a"/>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332bc060-9f5d-4257-ba76-9e02964d2f19"/>
    <w:basedOn w:val="style65"/>
    <w:next w:val="style4103"/>
    <w:link w:val="style32"/>
    <w:uiPriority w:val="99"/>
  </w:style>
  <w:style w:type="character" w:styleId="style41">
    <w:name w:val="page number"/>
    <w:basedOn w:val="style65"/>
    <w:next w:val="style41"/>
    <w:uiPriority w:val="99"/>
  </w:style>
  <w:style w:type="character" w:customStyle="1" w:styleId="style4104">
    <w:name w:val="Heading 2 Char_f0b2b810-a6f0-4ae2-b438-ba0b76a4b44e"/>
    <w:basedOn w:val="style65"/>
    <w:next w:val="style4104"/>
    <w:link w:val="style2"/>
    <w:uiPriority w:val="9"/>
    <w:rPr>
      <w:rFonts w:ascii="Times New Roman" w:cs="宋体" w:eastAsia="宋体" w:hAnsi="Times New Roman"/>
      <w:b/>
      <w:color w:val="000000"/>
      <w:sz w:val="24"/>
      <w:szCs w:val="26"/>
    </w:rPr>
  </w:style>
  <w:style w:type="paragraph" w:styleId="style266">
    <w:name w:val="TOC Heading"/>
    <w:basedOn w:val="style1"/>
    <w:next w:val="style0"/>
    <w:qFormat/>
    <w:uiPriority w:val="39"/>
    <w:pPr>
      <w:outlineLvl w:val="9"/>
    </w:pPr>
    <w:rPr>
      <w:rFonts w:ascii="Calibri Light" w:hAnsi="Calibri Light"/>
      <w:b w:val="false"/>
      <w:color w:val="2e74b5"/>
      <w:sz w:val="32"/>
    </w:rPr>
  </w:style>
  <w:style w:type="paragraph" w:styleId="style19">
    <w:name w:val="toc 1"/>
    <w:basedOn w:val="style0"/>
    <w:next w:val="style0"/>
    <w:uiPriority w:val="39"/>
    <w:pPr>
      <w:spacing w:after="100"/>
    </w:pPr>
    <w:rPr/>
  </w:style>
  <w:style w:type="paragraph" w:styleId="style20">
    <w:name w:val="toc 2"/>
    <w:basedOn w:val="style0"/>
    <w:next w:val="style0"/>
    <w:uiPriority w:val="39"/>
    <w:pPr>
      <w:spacing w:after="100"/>
      <w:ind w:left="220"/>
    </w:pPr>
    <w:rPr/>
  </w:style>
  <w:style w:type="paragraph" w:styleId="style21">
    <w:name w:val="toc 3"/>
    <w:basedOn w:val="style0"/>
    <w:next w:val="style0"/>
    <w:uiPriority w:val="39"/>
    <w:pPr>
      <w:spacing w:after="100"/>
      <w:ind w:left="440"/>
    </w:pPr>
    <w:rPr/>
  </w:style>
  <w:style w:type="character" w:styleId="style85">
    <w:name w:val="Hyperlink"/>
    <w:basedOn w:val="style65"/>
    <w:next w:val="style85"/>
    <w:uiPriority w:val="99"/>
    <w:rPr>
      <w:color w:val="0563c1"/>
      <w:u w:val="single"/>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6.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2.xml"/><Relationship Id="rId9" Type="http://schemas.openxmlformats.org/officeDocument/2006/relationships/image" Target="media/image5.jpeg"/><Relationship Id="rId15" Type="http://schemas.openxmlformats.org/officeDocument/2006/relationships/customXml" Target="../customXml/item1.xml"/><Relationship Id="rId14" Type="http://schemas.openxmlformats.org/officeDocument/2006/relationships/theme" Target="theme/theme1.xml"/><Relationship Id="rId5" Type="http://schemas.openxmlformats.org/officeDocument/2006/relationships/footer" Target="footer3.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E7F2-A323-40B2-ACBF-4A191C31B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Words>7906</Words>
  <Pages>40</Pages>
  <Characters>48826</Characters>
  <Application>WPS Office</Application>
  <DocSecurity>0</DocSecurity>
  <Paragraphs>534</Paragraphs>
  <ScaleCrop>false</ScaleCrop>
  <LinksUpToDate>false</LinksUpToDate>
  <CharactersWithSpaces>56762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2025-07-11T16:07:00Z</dcterms:created>
  <dc:creator>Hassan Musa</dc:creator>
  <lastModifiedBy>Infinix X6817</lastModifiedBy>
  <dcterms:modified xsi:type="dcterms:W3CDTF">2025-07-12T14:23:29Z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8fb661bd0db347a095424f15a2c96fa5</vt:lpwstr>
  </property>
</Properties>
</file>