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536CEFC0" w:rsidR="00E3249C" w:rsidRPr="00621DF8" w:rsidRDefault="008528A6">
      <w:pPr>
        <w:spacing w:line="360" w:lineRule="auto"/>
        <w:jc w:val="center"/>
        <w:rPr>
          <w:rFonts w:ascii="Times New Roman" w:hAnsi="Times New Roman" w:cs="Times New Roman"/>
          <w:b/>
          <w:sz w:val="24"/>
          <w:szCs w:val="24"/>
        </w:rPr>
      </w:pPr>
      <w:r w:rsidRPr="00621DF8">
        <w:rPr>
          <w:rFonts w:ascii="Times New Roman" w:hAnsi="Times New Roman" w:cs="Times New Roman"/>
          <w:b/>
          <w:sz w:val="24"/>
          <w:szCs w:val="24"/>
        </w:rPr>
        <w:t>O</w:t>
      </w:r>
      <w:r w:rsidR="00BF751A" w:rsidRPr="00621DF8">
        <w:rPr>
          <w:rFonts w:ascii="Times New Roman" w:hAnsi="Times New Roman" w:cs="Times New Roman"/>
          <w:b/>
          <w:sz w:val="24"/>
          <w:szCs w:val="24"/>
        </w:rPr>
        <w:t>G</w:t>
      </w:r>
      <w:r w:rsidR="00AD3E39" w:rsidRPr="00621DF8">
        <w:rPr>
          <w:rFonts w:ascii="Times New Roman" w:hAnsi="Times New Roman" w:cs="Times New Roman"/>
          <w:b/>
          <w:sz w:val="24"/>
          <w:szCs w:val="24"/>
        </w:rPr>
        <w:t xml:space="preserve">UNDEJI GIDEON ADEKUNLE </w:t>
      </w:r>
    </w:p>
    <w:p w14:paraId="42C774D2" w14:textId="46E4327B" w:rsidR="00082957" w:rsidRPr="00621DF8" w:rsidRDefault="00082957" w:rsidP="00082957">
      <w:pPr>
        <w:spacing w:line="360" w:lineRule="auto"/>
        <w:jc w:val="center"/>
        <w:rPr>
          <w:rFonts w:ascii="Times New Roman" w:eastAsia="Calibri" w:hAnsi="Times New Roman" w:cs="Times New Roman"/>
          <w:b/>
          <w:sz w:val="24"/>
          <w:szCs w:val="24"/>
          <w:lang w:bidi="ar"/>
        </w:rPr>
      </w:pPr>
    </w:p>
    <w:p w14:paraId="0173C995" w14:textId="7574EDE3"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1C1A1A">
        <w:rPr>
          <w:rFonts w:ascii="Times New Roman" w:eastAsia="Calibri" w:hAnsi="Times New Roman" w:cs="Times New Roman"/>
          <w:b/>
          <w:sz w:val="28"/>
          <w:szCs w:val="22"/>
          <w:lang w:bidi="ar"/>
        </w:rPr>
        <w:t>/0212</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5806CEA0" w14:textId="3F840927" w:rsidR="002073ED" w:rsidRPr="00621DF8" w:rsidRDefault="008B212C" w:rsidP="00933918">
      <w:pPr>
        <w:spacing w:line="360" w:lineRule="auto"/>
        <w:jc w:val="center"/>
        <w:rPr>
          <w:rFonts w:ascii="Times New Roman" w:hAnsi="Times New Roman" w:cs="Times New Roman"/>
          <w:b/>
          <w:sz w:val="24"/>
          <w:szCs w:val="24"/>
        </w:rPr>
      </w:pPr>
      <w:r>
        <w:rPr>
          <w:rFonts w:ascii="Times New Roman" w:eastAsia="Calibri" w:hAnsi="Times New Roman" w:cs="Times New Roman"/>
          <w:sz w:val="24"/>
          <w:szCs w:val="24"/>
          <w:lang w:bidi="ar"/>
        </w:rPr>
        <w:t>This is to certify the project work was carried out and submitted</w:t>
      </w:r>
      <w:r w:rsidR="002073ED">
        <w:rPr>
          <w:rFonts w:ascii="Times New Roman" w:eastAsia="Calibri" w:hAnsi="Times New Roman" w:cs="Times New Roman"/>
          <w:sz w:val="24"/>
          <w:szCs w:val="24"/>
          <w:lang w:bidi="ar"/>
        </w:rPr>
        <w:t xml:space="preserve"> by</w:t>
      </w:r>
      <w:r>
        <w:rPr>
          <w:rFonts w:ascii="Times New Roman" w:eastAsia="Calibri" w:hAnsi="Times New Roman" w:cs="Times New Roman"/>
          <w:sz w:val="24"/>
          <w:szCs w:val="24"/>
          <w:lang w:bidi="ar"/>
        </w:rPr>
        <w:t xml:space="preserve"> </w:t>
      </w:r>
      <w:r w:rsidR="002073ED" w:rsidRPr="00E97B09">
        <w:rPr>
          <w:rFonts w:ascii="Times New Roman" w:hAnsi="Times New Roman" w:cs="Times New Roman"/>
          <w:b/>
          <w:sz w:val="24"/>
          <w:szCs w:val="24"/>
        </w:rPr>
        <w:t xml:space="preserve">OGUNDEJI GIDEON ADEKUNLE </w:t>
      </w:r>
    </w:p>
    <w:p w14:paraId="12C7A9D0" w14:textId="6A5194E9"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 </w:t>
      </w:r>
      <w:r w:rsidR="002073ED">
        <w:rPr>
          <w:rFonts w:ascii="Times New Roman" w:eastAsia="Calibri" w:hAnsi="Times New Roman" w:cs="Times New Roman"/>
          <w:b/>
          <w:bCs/>
          <w:sz w:val="24"/>
          <w:szCs w:val="24"/>
          <w:lang w:bidi="ar"/>
        </w:rPr>
        <w:t xml:space="preserve"> </w:t>
      </w:r>
      <w:r w:rsidR="00B720E2">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of</w:t>
      </w:r>
      <w:r w:rsidR="00BD359E">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Matric Number: </w:t>
      </w:r>
      <w:r>
        <w:rPr>
          <w:rFonts w:ascii="Times New Roman" w:eastAsia="Calibri" w:hAnsi="Times New Roman" w:cs="Times New Roman"/>
          <w:b/>
          <w:bCs/>
          <w:sz w:val="24"/>
          <w:szCs w:val="24"/>
          <w:lang w:bidi="ar"/>
        </w:rPr>
        <w:t>HND/23/EEE/FT/</w:t>
      </w:r>
      <w:r w:rsidR="00BD359E">
        <w:rPr>
          <w:rFonts w:ascii="Times New Roman" w:eastAsia="Calibri" w:hAnsi="Times New Roman" w:cs="Times New Roman"/>
          <w:b/>
          <w:bCs/>
          <w:sz w:val="24"/>
          <w:szCs w:val="24"/>
          <w:lang w:bidi="ar"/>
        </w:rPr>
        <w:t>0212</w:t>
      </w:r>
      <w:r w:rsidR="00E97B09">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 xml:space="preserve">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68F0721" w:rsidR="00737AD2" w:rsidRP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This project is dedicated to God </w:t>
      </w:r>
      <w:r w:rsidR="00737AD2">
        <w:rPr>
          <w:rFonts w:ascii="Times New Roman" w:eastAsia="Calibri" w:hAnsi="Times New Roman" w:cs="Times New Roman"/>
          <w:sz w:val="28"/>
          <w:szCs w:val="22"/>
          <w:lang w:bidi="ar"/>
        </w:rPr>
        <w:t>.</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3DEA" w14:textId="77777777" w:rsidR="008B212C" w:rsidRDefault="008B212C">
      <w:r>
        <w:separator/>
      </w:r>
    </w:p>
  </w:endnote>
  <w:endnote w:type="continuationSeparator" w:id="0">
    <w:p w14:paraId="062C0CF5" w14:textId="77777777" w:rsidR="008B212C" w:rsidRDefault="008B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B52FE" w14:textId="77777777" w:rsidR="008B212C" w:rsidRDefault="008B212C">
      <w:r>
        <w:separator/>
      </w:r>
    </w:p>
  </w:footnote>
  <w:footnote w:type="continuationSeparator" w:id="0">
    <w:p w14:paraId="437751F9" w14:textId="77777777" w:rsidR="008B212C" w:rsidRDefault="008B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7"/>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63651"/>
    <w:rsid w:val="00082957"/>
    <w:rsid w:val="001C1A1A"/>
    <w:rsid w:val="002073ED"/>
    <w:rsid w:val="002B762A"/>
    <w:rsid w:val="00360616"/>
    <w:rsid w:val="00621DF8"/>
    <w:rsid w:val="00737AD2"/>
    <w:rsid w:val="008528A6"/>
    <w:rsid w:val="008B212C"/>
    <w:rsid w:val="00AA76C4"/>
    <w:rsid w:val="00AD3E39"/>
    <w:rsid w:val="00B720E2"/>
    <w:rsid w:val="00BD359E"/>
    <w:rsid w:val="00BF751A"/>
    <w:rsid w:val="00E3249C"/>
    <w:rsid w:val="00E97B09"/>
    <w:rsid w:val="00F06200"/>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5805</Words>
  <Characters>36644</Characters>
  <Application>Microsoft Office Word</Application>
  <DocSecurity>0</DocSecurity>
  <Lines>305</Lines>
  <Paragraphs>84</Paragraphs>
  <ScaleCrop>false</ScaleCrop>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JOHNSON TOBI</cp:lastModifiedBy>
  <cp:revision>2</cp:revision>
  <dcterms:created xsi:type="dcterms:W3CDTF">2025-07-12T13:15:00Z</dcterms:created>
  <dcterms:modified xsi:type="dcterms:W3CDTF">2025-07-12T13:15:00Z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