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702173" w:rsidRPr="00702173" w:rsidRDefault="00702173" w:rsidP="00B718A5">
      <w:pPr>
        <w:spacing w:line="240" w:lineRule="auto"/>
        <w:jc w:val="center"/>
        <w:rPr>
          <w:rFonts w:ascii="Times New Roman" w:hAnsi="Times New Roman" w:cs="Times New Roman"/>
          <w:sz w:val="32"/>
          <w:szCs w:val="32"/>
        </w:rPr>
      </w:pPr>
      <w:r w:rsidRPr="00702173">
        <w:rPr>
          <w:rFonts w:ascii="Times New Roman" w:hAnsi="Times New Roman" w:cs="Times New Roman"/>
          <w:sz w:val="32"/>
          <w:szCs w:val="32"/>
        </w:rPr>
        <w:t xml:space="preserve">SALAWU QUDUS OLUWADAMILARE </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702173">
        <w:rPr>
          <w:rFonts w:ascii="Times New Roman" w:hAnsi="Times New Roman" w:cs="Times New Roman"/>
          <w:sz w:val="32"/>
          <w:szCs w:val="32"/>
        </w:rPr>
        <w:t>211</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702173">
      <w:pPr>
        <w:spacing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ed out and submitted by</w:t>
      </w:r>
      <w:r w:rsidR="00B331D5">
        <w:rPr>
          <w:rFonts w:ascii="Times New Roman" w:hAnsi="Times New Roman" w:cs="Times New Roman"/>
        </w:rPr>
        <w:t xml:space="preserve"> </w:t>
      </w:r>
      <w:r w:rsidR="00610B33">
        <w:rPr>
          <w:rFonts w:ascii="Times New Roman" w:hAnsi="Times New Roman" w:cs="Times New Roman"/>
        </w:rPr>
        <w:t xml:space="preserve"> </w:t>
      </w:r>
      <w:r w:rsidR="00702173" w:rsidRPr="004A76E5">
        <w:rPr>
          <w:rFonts w:ascii="Times New Roman" w:hAnsi="Times New Roman" w:cs="Times New Roman"/>
        </w:rPr>
        <w:t>Salawu Qudus Oluwadamilare</w:t>
      </w:r>
      <w:r w:rsidR="00B331D5"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702173">
        <w:rPr>
          <w:rFonts w:ascii="Times New Roman" w:hAnsi="Times New Roman" w:cs="Times New Roman"/>
        </w:rPr>
        <w:t>211</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CD1CD0">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F12C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F12C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F12C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xml:space="preserv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[2]</w:t>
      </w:r>
      <w:r w:rsidR="003F12C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[2]</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[3]</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[4]</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[5]</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F12C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F12CE" w:rsidP="00407CE6">
      <w:pPr>
        <w:spacing w:line="480" w:lineRule="auto"/>
        <w:rPr>
          <w:rFonts w:asciiTheme="majorBidi" w:hAnsiTheme="majorBidi" w:cstheme="majorBidi"/>
          <w:b/>
          <w:bCs/>
        </w:rPr>
      </w:pPr>
      <w:r w:rsidRPr="003F12C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F12C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F12C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F12C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F12C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FA2" w:rsidRDefault="00817FA2" w:rsidP="005E5D59">
      <w:pPr>
        <w:spacing w:after="0" w:line="240" w:lineRule="auto"/>
      </w:pPr>
      <w:r>
        <w:separator/>
      </w:r>
    </w:p>
  </w:endnote>
  <w:endnote w:type="continuationSeparator" w:id="1">
    <w:p w:rsidR="00817FA2" w:rsidRDefault="00817FA2"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F12CE">
        <w:pPr>
          <w:pStyle w:val="Footer"/>
          <w:jc w:val="center"/>
        </w:pPr>
        <w:fldSimple w:instr=" PAGE   \* MERGEFORMAT ">
          <w:r w:rsidR="00702173">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FA2" w:rsidRDefault="00817FA2" w:rsidP="005E5D59">
      <w:pPr>
        <w:spacing w:after="0" w:line="240" w:lineRule="auto"/>
      </w:pPr>
      <w:r>
        <w:separator/>
      </w:r>
    </w:p>
  </w:footnote>
  <w:footnote w:type="continuationSeparator" w:id="1">
    <w:p w:rsidR="00817FA2" w:rsidRDefault="00817FA2"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3F12CE"/>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C0434"/>
    <w:rsid w:val="00702173"/>
    <w:rsid w:val="00704429"/>
    <w:rsid w:val="00724CD9"/>
    <w:rsid w:val="00766483"/>
    <w:rsid w:val="007A3B19"/>
    <w:rsid w:val="0080556A"/>
    <w:rsid w:val="00817FA2"/>
    <w:rsid w:val="008615A1"/>
    <w:rsid w:val="008714B2"/>
    <w:rsid w:val="0088623E"/>
    <w:rsid w:val="008A5EFD"/>
    <w:rsid w:val="008E3BDF"/>
    <w:rsid w:val="00974DD3"/>
    <w:rsid w:val="0099287E"/>
    <w:rsid w:val="009D683D"/>
    <w:rsid w:val="00A17767"/>
    <w:rsid w:val="00A22683"/>
    <w:rsid w:val="00B17CAA"/>
    <w:rsid w:val="00B331D5"/>
    <w:rsid w:val="00B615FB"/>
    <w:rsid w:val="00B718A5"/>
    <w:rsid w:val="00B74B1E"/>
    <w:rsid w:val="00BC2368"/>
    <w:rsid w:val="00BF4DE9"/>
    <w:rsid w:val="00C717F0"/>
    <w:rsid w:val="00C72085"/>
    <w:rsid w:val="00CC6FF0"/>
    <w:rsid w:val="00CD1CD0"/>
    <w:rsid w:val="00CE5DB2"/>
    <w:rsid w:val="00D71343"/>
    <w:rsid w:val="00D73071"/>
    <w:rsid w:val="00DE6981"/>
    <w:rsid w:val="00E602E0"/>
    <w:rsid w:val="00E65BAD"/>
    <w:rsid w:val="00E703D3"/>
    <w:rsid w:val="00E85E86"/>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44"/>
        <o:r id="V:Rule7" type="connector" idref="#_x0000_s1026"/>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64</Pages>
  <Words>12670</Words>
  <Characters>72219</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53</cp:revision>
  <cp:lastPrinted>2025-07-11T17:30:00Z</cp:lastPrinted>
  <dcterms:created xsi:type="dcterms:W3CDTF">2025-07-10T11:53:00Z</dcterms:created>
  <dcterms:modified xsi:type="dcterms:W3CDTF">2025-07-12T12:12:00Z</dcterms:modified>
</cp:coreProperties>
</file>