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52CAA73B">
      <w:pPr>
        <w:pStyle w:val="8"/>
        <w:jc w:val="center"/>
        <w:rPr>
          <w:rFonts w:hint="default" w:ascii="Times New Roman" w:hAnsi="Times New Roman"/>
          <w:b/>
          <w:sz w:val="40"/>
          <w:szCs w:val="24"/>
          <w:lang w:val="en-US"/>
        </w:rPr>
      </w:pPr>
      <w:bookmarkStart w:id="0" w:name="_GoBack"/>
      <w:r>
        <w:rPr>
          <w:rFonts w:hint="default" w:ascii="Times New Roman" w:hAnsi="Times New Roman"/>
          <w:b/>
          <w:sz w:val="40"/>
          <w:szCs w:val="24"/>
          <w:lang w:val="en-US"/>
        </w:rPr>
        <w:t>SHUAIB SHERIFAT OMOWUMI</w:t>
      </w:r>
      <w:bookmarkEnd w:id="0"/>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ND/23/AGT/FT/0</w:t>
      </w:r>
      <w:r>
        <w:rPr>
          <w:rFonts w:hint="default" w:ascii="Times New Roman" w:hAnsi="Times New Roman"/>
          <w:b/>
          <w:sz w:val="40"/>
          <w:szCs w:val="24"/>
          <w:lang w:val="en-US"/>
        </w:rPr>
        <w:t>204</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SHUAIB SHERIFAT OMOWUMI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204</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Adeshekola</w:t>
      </w:r>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6398F79A">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6F200541">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would like to express my sincere appreciation to my supervisor, Mr. Shuaib O.M, for his guidance throughout this journey. May Almighty Allah reward him abundantly.</w:t>
      </w:r>
    </w:p>
    <w:p w14:paraId="5E09B453">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also extend my heartfelt gratitude to our Head of Department, Mr. Banjoko I.K, and all the departmental lecturers for imparting knowledge and wisdom into our lives. I am truly grateful.</w:t>
      </w:r>
    </w:p>
    <w:p w14:paraId="58C13744">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 xml:space="preserve">To my beloved parents, Mr. and Mrs. </w:t>
      </w:r>
      <w:r>
        <w:rPr>
          <w:rFonts w:hint="default" w:ascii="Times New Roman" w:hAnsi="Times New Roman"/>
          <w:sz w:val="24"/>
          <w:szCs w:val="24"/>
          <w:lang w:val="en-US" w:eastAsia="zh-CN"/>
        </w:rPr>
        <w:t>Shuaib</w:t>
      </w:r>
      <w:r>
        <w:rPr>
          <w:rFonts w:hint="default" w:ascii="Times New Roman" w:hAnsi="Times New Roman"/>
          <w:sz w:val="24"/>
          <w:szCs w:val="24"/>
          <w:lang w:eastAsia="zh-CN"/>
        </w:rPr>
        <w:t xml:space="preserve">, I express my deepest gratitude for your unwavering support, love, and prayers. Your encouragement and sacrifices have been my driving force. Special thanks to my mother, Mrs. </w:t>
      </w:r>
      <w:r>
        <w:rPr>
          <w:rFonts w:hint="default" w:ascii="Times New Roman" w:hAnsi="Times New Roman"/>
          <w:sz w:val="24"/>
          <w:szCs w:val="24"/>
          <w:lang w:val="en-US" w:eastAsia="zh-CN"/>
        </w:rPr>
        <w:t>Shuaib</w:t>
      </w:r>
      <w:r>
        <w:rPr>
          <w:rFonts w:hint="default" w:ascii="Times New Roman" w:hAnsi="Times New Roman"/>
          <w:sz w:val="24"/>
          <w:szCs w:val="24"/>
          <w:lang w:eastAsia="zh-CN"/>
        </w:rPr>
        <w:t>, for being a constant source of inspiration and motivation. May Almighty Allah reward you abundantly.</w:t>
      </w:r>
    </w:p>
    <w:p w14:paraId="2D5B2C0D">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 xml:space="preserve">To my lovely big sister, </w:t>
      </w:r>
      <w:r>
        <w:rPr>
          <w:rFonts w:hint="default" w:ascii="Times New Roman" w:hAnsi="Times New Roman"/>
          <w:sz w:val="24"/>
          <w:szCs w:val="24"/>
          <w:lang w:val="en-US" w:eastAsia="zh-CN"/>
        </w:rPr>
        <w:t>Roheemat Shuaib</w:t>
      </w:r>
      <w:r>
        <w:rPr>
          <w:rFonts w:hint="default" w:ascii="Times New Roman" w:hAnsi="Times New Roman"/>
          <w:sz w:val="24"/>
          <w:szCs w:val="24"/>
          <w:lang w:eastAsia="zh-CN"/>
        </w:rPr>
        <w:t>, I appreciate your love, support, and prayers. Your guidance and encouragement have meant a lot to me.</w:t>
      </w:r>
    </w:p>
    <w:p w14:paraId="7F98ABBF">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eastAsia="zh-CN"/>
        </w:rPr>
        <w:t xml:space="preserve">I am also grateful to </w:t>
      </w:r>
      <w:r>
        <w:rPr>
          <w:rFonts w:hint="default" w:ascii="Times New Roman" w:hAnsi="Times New Roman"/>
          <w:sz w:val="24"/>
          <w:szCs w:val="24"/>
          <w:lang w:val="en-US" w:eastAsia="zh-CN"/>
        </w:rPr>
        <w:t>my darling room mate Aishat. I pray may the Almighty Allah take us to greater height in life.</w:t>
      </w:r>
    </w:p>
    <w:p w14:paraId="16499260">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Lastly, I appreciate everyone who in one way or the other has been supportive.</w:t>
      </w:r>
    </w:p>
    <w:p w14:paraId="2043AD03">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Thanks to you all.</w:t>
      </w:r>
    </w:p>
    <w:p w14:paraId="464C8687">
      <w:pPr>
        <w:spacing w:after="0" w:line="360" w:lineRule="auto"/>
        <w:jc w:val="both"/>
        <w:rPr>
          <w:rFonts w:hint="default" w:ascii="Times New Roman" w:hAnsi="Times New Roman"/>
          <w:sz w:val="24"/>
          <w:szCs w:val="24"/>
          <w:lang w:val="en-US" w:eastAsia="zh-CN"/>
        </w:rPr>
      </w:pPr>
    </w:p>
    <w:p w14:paraId="101B6A3F">
      <w:pPr>
        <w:spacing w:after="0" w:line="360" w:lineRule="auto"/>
        <w:jc w:val="both"/>
        <w:rPr>
          <w:rFonts w:hint="default" w:ascii="Times New Roman" w:hAnsi="Times New Roman"/>
          <w:sz w:val="24"/>
          <w:szCs w:val="24"/>
          <w:lang w:val="en-US" w:eastAsia="zh-CN"/>
        </w:rPr>
      </w:pPr>
    </w:p>
    <w:p w14:paraId="17AE55C8">
      <w:pPr>
        <w:spacing w:after="0" w:line="360" w:lineRule="auto"/>
        <w:jc w:val="both"/>
        <w:rPr>
          <w:rFonts w:hint="default" w:ascii="Times New Roman" w:hAnsi="Times New Roman"/>
          <w:sz w:val="24"/>
          <w:szCs w:val="24"/>
          <w:lang w:val="en-US" w:eastAsia="zh-CN"/>
        </w:rPr>
      </w:pPr>
    </w:p>
    <w:p w14:paraId="26DB2745">
      <w:pPr>
        <w:spacing w:after="0" w:line="360" w:lineRule="auto"/>
        <w:jc w:val="both"/>
        <w:rPr>
          <w:rFonts w:hint="default" w:ascii="Times New Roman" w:hAnsi="Times New Roman"/>
          <w:sz w:val="24"/>
          <w:szCs w:val="24"/>
          <w:lang w:val="en-US" w:eastAsia="zh-CN"/>
        </w:rPr>
      </w:pPr>
    </w:p>
    <w:p w14:paraId="1D269AB8">
      <w:pPr>
        <w:spacing w:after="0" w:line="360" w:lineRule="auto"/>
        <w:jc w:val="both"/>
        <w:rPr>
          <w:rFonts w:hint="default" w:ascii="Times New Roman" w:hAnsi="Times New Roman"/>
          <w:sz w:val="24"/>
          <w:szCs w:val="24"/>
          <w:lang w:val="en-US" w:eastAsia="zh-CN"/>
        </w:rPr>
      </w:pPr>
    </w:p>
    <w:p w14:paraId="2393AEB3">
      <w:pPr>
        <w:spacing w:after="0" w:line="360" w:lineRule="auto"/>
        <w:jc w:val="both"/>
        <w:rPr>
          <w:rFonts w:hint="default" w:ascii="Times New Roman" w:hAnsi="Times New Roman"/>
          <w:sz w:val="24"/>
          <w:szCs w:val="24"/>
          <w:lang w:val="en-US" w:eastAsia="zh-CN"/>
        </w:rPr>
      </w:pPr>
    </w:p>
    <w:p w14:paraId="436E4C13">
      <w:pPr>
        <w:spacing w:after="0" w:line="360" w:lineRule="auto"/>
        <w:jc w:val="both"/>
        <w:rPr>
          <w:rFonts w:hint="default" w:ascii="Times New Roman" w:hAnsi="Times New Roman"/>
          <w:sz w:val="24"/>
          <w:szCs w:val="24"/>
          <w:lang w:val="en-US" w:eastAsia="zh-CN"/>
        </w:rPr>
      </w:pPr>
    </w:p>
    <w:p w14:paraId="1C3BF04C">
      <w:pPr>
        <w:spacing w:after="0" w:line="360" w:lineRule="auto"/>
        <w:jc w:val="both"/>
        <w:rPr>
          <w:rFonts w:hint="default" w:ascii="Times New Roman" w:hAnsi="Times New Roman"/>
          <w:sz w:val="24"/>
          <w:szCs w:val="24"/>
          <w:lang w:val="en-US" w:eastAsia="zh-CN"/>
        </w:rPr>
      </w:pPr>
    </w:p>
    <w:p w14:paraId="38872A9A">
      <w:pPr>
        <w:spacing w:after="0" w:line="360" w:lineRule="auto"/>
        <w:jc w:val="both"/>
        <w:rPr>
          <w:rFonts w:hint="default" w:ascii="Times New Roman" w:hAnsi="Times New Roman"/>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8B9619D"/>
    <w:rsid w:val="1A8F1197"/>
    <w:rsid w:val="22367788"/>
    <w:rsid w:val="2CD72920"/>
    <w:rsid w:val="333B009C"/>
    <w:rsid w:val="368E3906"/>
    <w:rsid w:val="379F3902"/>
    <w:rsid w:val="38735D2A"/>
    <w:rsid w:val="399C0C06"/>
    <w:rsid w:val="40590572"/>
    <w:rsid w:val="41282D76"/>
    <w:rsid w:val="42C30598"/>
    <w:rsid w:val="455543A8"/>
    <w:rsid w:val="485A4042"/>
    <w:rsid w:val="4AD10F83"/>
    <w:rsid w:val="4EA66C77"/>
    <w:rsid w:val="4F1F055D"/>
    <w:rsid w:val="57EB194A"/>
    <w:rsid w:val="64A6153A"/>
    <w:rsid w:val="64E72BEF"/>
    <w:rsid w:val="688B2E04"/>
    <w:rsid w:val="718C3A95"/>
    <w:rsid w:val="78DA18D4"/>
    <w:rsid w:val="7ECE3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15117</Words>
  <Characters>86171</Characters>
  <Lines>718</Lines>
  <Paragraphs>202</Paragraphs>
  <TotalTime>0</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2025-07-12T11:50:04Z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