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67D721E8" w14:textId="0F191608" w:rsidR="003237FA" w:rsidRPr="003237FA" w:rsidRDefault="003237FA" w:rsidP="003237FA">
      <w:pPr>
        <w:jc w:val="center"/>
        <w:rPr>
          <w:rFonts w:ascii="Times New Roman" w:hAnsi="Times New Roman" w:cs="Times New Roman"/>
          <w:b/>
          <w:sz w:val="28"/>
          <w:szCs w:val="28"/>
        </w:rPr>
      </w:pPr>
      <w:r w:rsidRPr="003237FA">
        <w:rPr>
          <w:rFonts w:ascii="Times New Roman" w:hAnsi="Times New Roman" w:cs="Times New Roman"/>
          <w:b/>
          <w:sz w:val="28"/>
          <w:szCs w:val="28"/>
        </w:rPr>
        <w:t xml:space="preserve">OLAYINKA ROFIYAT AYOBAMI </w:t>
      </w:r>
    </w:p>
    <w:p w14:paraId="175B2DC5" w14:textId="47DAC52E" w:rsidR="00B34BAE" w:rsidRDefault="003237FA" w:rsidP="003237FA">
      <w:pPr>
        <w:jc w:val="center"/>
        <w:rPr>
          <w:rFonts w:ascii="Times New Roman" w:hAnsi="Times New Roman" w:cs="Times New Roman"/>
          <w:b/>
          <w:sz w:val="28"/>
          <w:szCs w:val="28"/>
        </w:rPr>
      </w:pPr>
      <w:bookmarkStart w:id="1" w:name="_GoBack"/>
      <w:r w:rsidRPr="003237FA">
        <w:rPr>
          <w:rFonts w:ascii="Times New Roman" w:hAnsi="Times New Roman" w:cs="Times New Roman"/>
          <w:b/>
          <w:sz w:val="28"/>
          <w:szCs w:val="28"/>
        </w:rPr>
        <w:t>HND/23/SLT/FT/0088</w:t>
      </w:r>
    </w:p>
    <w:bookmarkEnd w:id="1"/>
    <w:p w14:paraId="0B3C7637" w14:textId="77777777" w:rsidR="003237FA" w:rsidRDefault="003237FA" w:rsidP="003237FA">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791CAECD" w14:textId="77777777" w:rsidR="00C46923" w:rsidRDefault="00C46923" w:rsidP="00323F17">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5C6ADF17" w14:textId="121D3C45" w:rsidR="00C46923" w:rsidRDefault="00C46923" w:rsidP="00323F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3237FA" w:rsidRPr="003237FA">
        <w:rPr>
          <w:rFonts w:ascii="Times New Roman" w:hAnsi="Times New Roman" w:cs="Times New Roman"/>
          <w:b/>
          <w:sz w:val="28"/>
          <w:szCs w:val="28"/>
        </w:rPr>
        <w:t xml:space="preserve">OLAYINKA ROFIYAT AYOBAMI </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B63396">
        <w:rPr>
          <w:rFonts w:ascii="Times New Roman" w:hAnsi="Times New Roman" w:cs="Times New Roman"/>
          <w:b/>
          <w:bCs/>
          <w:sz w:val="28"/>
          <w:szCs w:val="28"/>
        </w:rPr>
        <w:t>HND/23/SLT/FT/0</w:t>
      </w:r>
      <w:r w:rsidR="003237FA">
        <w:rPr>
          <w:rFonts w:ascii="Times New Roman" w:hAnsi="Times New Roman" w:cs="Times New Roman"/>
          <w:b/>
          <w:bCs/>
          <w:sz w:val="28"/>
          <w:szCs w:val="28"/>
        </w:rPr>
        <w:t>088</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32DF8252" w14:textId="77777777" w:rsidR="00C46923" w:rsidRDefault="00C46923" w:rsidP="00C46923">
      <w:pPr>
        <w:rPr>
          <w:rFonts w:ascii="Times New Roman" w:hAnsi="Times New Roman" w:cs="Times New Roman"/>
          <w:sz w:val="28"/>
          <w:szCs w:val="28"/>
        </w:rPr>
      </w:pPr>
    </w:p>
    <w:p w14:paraId="43974CB2" w14:textId="5F0983A5" w:rsidR="00C46923" w:rsidRDefault="00323F17"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6923">
        <w:rPr>
          <w:rFonts w:ascii="Times New Roman" w:hAnsi="Times New Roman" w:cs="Times New Roman"/>
          <w:sz w:val="28"/>
          <w:szCs w:val="28"/>
        </w:rPr>
        <w:t>…………………………..</w:t>
      </w:r>
    </w:p>
    <w:p w14:paraId="1E661864"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4DC271FE"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379C09EC" w14:textId="77777777" w:rsidR="00C46923" w:rsidRDefault="00C46923" w:rsidP="00C46923">
      <w:pPr>
        <w:spacing w:after="0" w:line="360" w:lineRule="auto"/>
        <w:rPr>
          <w:rFonts w:ascii="Times New Roman" w:hAnsi="Times New Roman" w:cs="Times New Roman"/>
          <w:sz w:val="28"/>
          <w:szCs w:val="28"/>
        </w:rPr>
      </w:pPr>
    </w:p>
    <w:p w14:paraId="783564BE" w14:textId="77777777" w:rsidR="00C46923" w:rsidRDefault="00C46923" w:rsidP="00C46923">
      <w:pPr>
        <w:spacing w:after="0" w:line="360" w:lineRule="auto"/>
        <w:rPr>
          <w:rFonts w:ascii="Times New Roman" w:hAnsi="Times New Roman" w:cs="Times New Roman"/>
          <w:sz w:val="28"/>
          <w:szCs w:val="28"/>
        </w:rPr>
      </w:pPr>
    </w:p>
    <w:p w14:paraId="3366CE33"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A015A11"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0E8E1FD"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132A05F" w14:textId="77777777" w:rsidR="00C46923" w:rsidRDefault="00C46923" w:rsidP="00C46923">
      <w:pPr>
        <w:spacing w:after="0" w:line="360" w:lineRule="auto"/>
        <w:rPr>
          <w:rFonts w:ascii="Times New Roman" w:hAnsi="Times New Roman" w:cs="Times New Roman"/>
          <w:sz w:val="28"/>
          <w:szCs w:val="28"/>
        </w:rPr>
      </w:pPr>
    </w:p>
    <w:p w14:paraId="7E3F20EB"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6DED15A"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3D125ECF"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04CC015F" w14:textId="77777777" w:rsidR="00C46923" w:rsidRDefault="00C46923" w:rsidP="00C46923">
      <w:pPr>
        <w:spacing w:after="0" w:line="360" w:lineRule="auto"/>
        <w:rPr>
          <w:rFonts w:ascii="Times New Roman" w:hAnsi="Times New Roman" w:cs="Times New Roman"/>
          <w:sz w:val="28"/>
          <w:szCs w:val="28"/>
        </w:rPr>
      </w:pPr>
    </w:p>
    <w:p w14:paraId="215D48A5" w14:textId="77777777" w:rsidR="00C46923" w:rsidRDefault="00C46923" w:rsidP="00C46923">
      <w:pPr>
        <w:spacing w:after="0" w:line="360" w:lineRule="auto"/>
        <w:rPr>
          <w:rFonts w:ascii="Times New Roman" w:hAnsi="Times New Roman" w:cs="Times New Roman"/>
          <w:sz w:val="28"/>
          <w:szCs w:val="28"/>
        </w:rPr>
      </w:pPr>
    </w:p>
    <w:p w14:paraId="12B89F16"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4FBBCADC"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14D23F48" w14:textId="02591273" w:rsidR="003237FA" w:rsidRPr="003237FA" w:rsidRDefault="00C46923" w:rsidP="003237FA">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5192CD82" w14:textId="60D26427" w:rsidR="00C46923" w:rsidRPr="00B34BAE" w:rsidRDefault="003237FA" w:rsidP="003237FA">
      <w:pPr>
        <w:spacing w:line="480" w:lineRule="auto"/>
        <w:jc w:val="both"/>
        <w:rPr>
          <w:rFonts w:ascii="Times New Roman" w:hAnsi="Times New Roman" w:cs="Times New Roman"/>
          <w:sz w:val="28"/>
          <w:szCs w:val="28"/>
        </w:rPr>
      </w:pPr>
      <w:r w:rsidRPr="003237FA">
        <w:rPr>
          <w:rFonts w:ascii="Times New Roman" w:hAnsi="Times New Roman" w:cs="Times New Roman"/>
          <w:sz w:val="28"/>
          <w:szCs w:val="28"/>
        </w:rPr>
        <w:t>I dedicate this project to the Almighty God, whose grace, guidance, and strength have seen me through every step of this journey. Without His divine support, this work would not have been possible. To Him be all the glory.</w:t>
      </w:r>
      <w:r w:rsidR="00C46923">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4F03A1FC" w14:textId="6B512E96" w:rsidR="004F458B" w:rsidRPr="00F56B1E" w:rsidRDefault="003237FA" w:rsidP="003237FA">
      <w:pPr>
        <w:spacing w:line="360" w:lineRule="auto"/>
        <w:jc w:val="both"/>
        <w:rPr>
          <w:rFonts w:ascii="Times New Roman" w:hAnsi="Times New Roman" w:cs="Times New Roman"/>
          <w:sz w:val="28"/>
          <w:szCs w:val="28"/>
        </w:rPr>
      </w:pPr>
      <w:r w:rsidRPr="003237FA">
        <w:rPr>
          <w:rFonts w:ascii="Times New Roman" w:hAnsi="Times New Roman" w:cs="Times New Roman"/>
          <w:sz w:val="28"/>
          <w:szCs w:val="28"/>
        </w:rPr>
        <w:t>First and foremost, I give all thanks to God for His unfailing love, mercy, and wisdom throughout the course of this p</w:t>
      </w:r>
      <w:r>
        <w:rPr>
          <w:rFonts w:ascii="Times New Roman" w:hAnsi="Times New Roman" w:cs="Times New Roman"/>
          <w:sz w:val="28"/>
          <w:szCs w:val="28"/>
        </w:rPr>
        <w:t xml:space="preserve">roject and my academic journey. </w:t>
      </w:r>
      <w:r w:rsidRPr="003237FA">
        <w:rPr>
          <w:rFonts w:ascii="Times New Roman" w:hAnsi="Times New Roman" w:cs="Times New Roman"/>
          <w:sz w:val="28"/>
          <w:szCs w:val="28"/>
        </w:rPr>
        <w:t>I extend my heartfelt gratitude to my wonderful parents, Mr. and Mrs. OLAYINKA for their unwavering support, encouragement, and prayers. Your love h</w:t>
      </w:r>
      <w:r>
        <w:rPr>
          <w:rFonts w:ascii="Times New Roman" w:hAnsi="Times New Roman" w:cs="Times New Roman"/>
          <w:sz w:val="28"/>
          <w:szCs w:val="28"/>
        </w:rPr>
        <w:t xml:space="preserve">as been my greatest motivation. </w:t>
      </w:r>
      <w:r w:rsidRPr="003237FA">
        <w:rPr>
          <w:rFonts w:ascii="Times New Roman" w:hAnsi="Times New Roman" w:cs="Times New Roman"/>
          <w:sz w:val="28"/>
          <w:szCs w:val="28"/>
        </w:rPr>
        <w:t>I would also like to express my sincere appreciation to my project supervisor, Mrs. IBRAHIM., for his valuable guidance, insightful suggestions, and constant support throughout the course of this research. Her mentorship made a significant differen</w:t>
      </w:r>
      <w:r>
        <w:rPr>
          <w:rFonts w:ascii="Times New Roman" w:hAnsi="Times New Roman" w:cs="Times New Roman"/>
          <w:sz w:val="28"/>
          <w:szCs w:val="28"/>
        </w:rPr>
        <w:t xml:space="preserve">ce in the outcome of this work. </w:t>
      </w:r>
      <w:r w:rsidRPr="003237FA">
        <w:rPr>
          <w:rFonts w:ascii="Times New Roman" w:hAnsi="Times New Roman" w:cs="Times New Roman"/>
          <w:sz w:val="28"/>
          <w:szCs w:val="28"/>
        </w:rPr>
        <w:t>And also thanks so much my friends Adeola, Abeni and my favorite neighbor Zainab,and everyone who help me through my academic journey nijo 1k,2k thanks guys we all meet at the top . INSH ALLAH</w:t>
      </w:r>
      <w:r w:rsidR="00F56B1E" w:rsidRPr="00F56B1E">
        <w:rPr>
          <w:rFonts w:ascii="Times New Roman" w:hAnsi="Times New Roman" w:cs="Times New Roman"/>
          <w:sz w:val="28"/>
          <w:szCs w:val="28"/>
        </w:rPr>
        <w:t>.</w:t>
      </w:r>
      <w:r w:rsidR="0089797A">
        <w:rPr>
          <w:rFonts w:ascii="Times New Roman" w:eastAsia="Times New Roman" w:hAnsi="Times New Roman" w:cs="Times New Roman"/>
          <w:sz w:val="28"/>
          <w:szCs w:val="28"/>
        </w:rPr>
        <w:br/>
      </w:r>
    </w:p>
    <w:p w14:paraId="482557ED" w14:textId="77777777" w:rsidR="00B63396" w:rsidRDefault="00B63396">
      <w:pPr>
        <w:rPr>
          <w:rFonts w:ascii="Times New Roman" w:hAnsi="Times New Roman" w:cs="Times New Roman"/>
          <w:b/>
          <w:bCs/>
          <w:i/>
          <w:iCs/>
          <w:sz w:val="28"/>
          <w:szCs w:val="28"/>
        </w:rPr>
      </w:pPr>
      <w:r>
        <w:rPr>
          <w:rFonts w:ascii="Times New Roman" w:hAnsi="Times New Roman" w:cs="Times New Roman"/>
          <w:b/>
          <w:bCs/>
          <w:i/>
          <w:iCs/>
          <w:sz w:val="28"/>
          <w:szCs w:val="28"/>
        </w:rPr>
        <w:br w:type="page"/>
      </w:r>
    </w:p>
    <w:p w14:paraId="4E3DA4B8" w14:textId="2E45D5BC" w:rsidR="00C46923" w:rsidRPr="0089797A" w:rsidRDefault="00C46923" w:rsidP="0089797A">
      <w:pPr>
        <w:spacing w:line="480" w:lineRule="auto"/>
        <w:jc w:val="center"/>
        <w:rPr>
          <w:rFonts w:ascii="Times New Roman" w:eastAsia="Times New Roman" w:hAnsi="Times New Roman" w:cs="Times New Roman"/>
          <w:sz w:val="28"/>
          <w:szCs w:val="28"/>
        </w:rPr>
      </w:pPr>
      <w:r>
        <w:rPr>
          <w:rFonts w:ascii="Times New Roman" w:hAnsi="Times New Roman" w:cs="Times New Roman"/>
          <w:b/>
          <w:bCs/>
          <w:i/>
          <w:iCs/>
          <w:sz w:val="28"/>
          <w:szCs w:val="28"/>
        </w:rPr>
        <w:lastRenderedPageBreak/>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The investigation of insects as bio-indicators in food poisoning offers a novel approach to early detection and monitoring of foodborne contaminants. This study evaluates the presence, behavior, and microbial carriage of common synanthropic insects—such as houseflies (Musca domestica), cockroaches (Periplaneta americana), and ants (Formicidae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aureus.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6C1B64">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6C1B64">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6C1B64">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6C1B64">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6C1B64">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6C1B64">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6C1B64">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6C1B64">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6C1B64">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6C1B64">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6C1B64">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6C1B64">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6C1B64">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6C1B64">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6C1B64">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6C1B64">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6C1B64">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6C1B64">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6C1B64">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6C1B64">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6C1B64">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6C1B64">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6C1B64">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6C1B64">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2: Microscopic Examination After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8"/>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Clostridium botulinum</w:t>
      </w:r>
      <w:r w:rsidRPr="00C46923">
        <w:rPr>
          <w:sz w:val="28"/>
          <w:szCs w:val="28"/>
        </w:rPr>
        <w:t>), viruses (norovirus,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(mycotoxins).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(El-Gawad,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r w:rsidRPr="00C46923">
        <w:rPr>
          <w:rStyle w:val="Emphasis"/>
          <w:sz w:val="28"/>
          <w:szCs w:val="28"/>
        </w:rPr>
        <w:t>Musca domestica</w:t>
      </w:r>
      <w:r w:rsidRPr="00C46923">
        <w:rPr>
          <w:sz w:val="28"/>
          <w:szCs w:val="28"/>
        </w:rPr>
        <w:t>), blowflies (</w:t>
      </w:r>
      <w:r w:rsidRPr="00C46923">
        <w:rPr>
          <w:rStyle w:val="Emphasis"/>
          <w:sz w:val="28"/>
          <w:szCs w:val="28"/>
        </w:rPr>
        <w:t>Calliphoridae</w:t>
      </w:r>
      <w:r w:rsidRPr="00C46923">
        <w:rPr>
          <w:sz w:val="28"/>
          <w:szCs w:val="28"/>
        </w:rPr>
        <w:t>), cockroaches (</w:t>
      </w:r>
      <w:r w:rsidRPr="00C46923">
        <w:rPr>
          <w:rStyle w:val="Emphasis"/>
          <w:sz w:val="28"/>
          <w:szCs w:val="28"/>
        </w:rPr>
        <w:t>Blattodea</w:t>
      </w:r>
      <w:r w:rsidRPr="00C46923">
        <w:rPr>
          <w:sz w:val="28"/>
          <w:szCs w:val="28"/>
        </w:rPr>
        <w:t>), and ants (</w:t>
      </w:r>
      <w:r w:rsidRPr="00C46923">
        <w:rPr>
          <w:rStyle w:val="Emphasis"/>
          <w:sz w:val="28"/>
          <w:szCs w:val="28"/>
        </w:rPr>
        <w:t>Formicidae</w:t>
      </w:r>
      <w:r w:rsidRPr="00C46923">
        <w:rPr>
          <w:sz w:val="28"/>
          <w:szCs w:val="28"/>
        </w:rPr>
        <w:t xml:space="preserve">) are known to frequent unsanitary conditions, acting as carriers </w:t>
      </w:r>
      <w:r w:rsidRPr="00C46923">
        <w:rPr>
          <w:sz w:val="28"/>
          <w:szCs w:val="28"/>
        </w:rPr>
        <w:lastRenderedPageBreak/>
        <w:t>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(Aneyo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f hazardous foodborne pathogens(</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in </w:t>
      </w:r>
      <w:r w:rsidRPr="00C46923">
        <w:rPr>
          <w:sz w:val="28"/>
          <w:szCs w:val="28"/>
        </w:rPr>
        <w:lastRenderedPageBreak/>
        <w:t xml:space="preserve">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r w:rsidR="005C6E31" w:rsidRPr="00C46923">
        <w:rPr>
          <w:sz w:val="28"/>
          <w:szCs w:val="28"/>
          <w:shd w:val="clear" w:color="auto" w:fill="FFFFFF"/>
        </w:rPr>
        <w:t xml:space="preserve">Aljamali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(El-Gawad,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presence of bacterial DNA, toxins, or chemical residues. By studying insect microbiomes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r w:rsidR="005C6E31" w:rsidRPr="00C46923">
        <w:rPr>
          <w:sz w:val="28"/>
          <w:szCs w:val="28"/>
          <w:shd w:val="clear" w:color="auto" w:fill="FFFFFF"/>
        </w:rPr>
        <w:t xml:space="preserve">Abajue </w:t>
      </w:r>
      <w:r w:rsidR="004A50E0" w:rsidRPr="00C46923">
        <w:rPr>
          <w:sz w:val="28"/>
          <w:szCs w:val="28"/>
          <w:shd w:val="clear" w:color="auto" w:fill="FFFFFF"/>
        </w:rPr>
        <w:t>and</w:t>
      </w:r>
      <w:r w:rsidR="005C6E31" w:rsidRPr="00C46923">
        <w:rPr>
          <w:sz w:val="28"/>
          <w:szCs w:val="28"/>
          <w:shd w:val="clear" w:color="auto" w:fill="FFFFFF"/>
        </w:rPr>
        <w:t xml:space="preserve"> Ewuim,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(El-Gawad,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r w:rsidR="005C6E31" w:rsidRPr="00C46923">
        <w:rPr>
          <w:sz w:val="28"/>
          <w:szCs w:val="28"/>
          <w:shd w:val="clear" w:color="auto" w:fill="FFFFFF"/>
        </w:rPr>
        <w:t xml:space="preserve">Ribeiro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warnings of contamination, allowing for preventive measures to be taken. By integrating </w:t>
      </w:r>
      <w:r w:rsidRPr="00C46923">
        <w:rPr>
          <w:sz w:val="28"/>
          <w:szCs w:val="28"/>
        </w:rPr>
        <w:lastRenderedPageBreak/>
        <w:t>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r w:rsidR="005C6E31" w:rsidRPr="00C46923">
        <w:rPr>
          <w:sz w:val="28"/>
          <w:szCs w:val="28"/>
          <w:shd w:val="clear" w:color="auto" w:fill="FFFFFF"/>
        </w:rPr>
        <w:t xml:space="preserve">Omoyajowo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r w:rsidRPr="00C46923">
        <w:rPr>
          <w:rStyle w:val="Emphasis"/>
          <w:rFonts w:ascii="Times New Roman" w:hAnsi="Times New Roman" w:cs="Times New Roman"/>
          <w:sz w:val="28"/>
          <w:szCs w:val="28"/>
        </w:rPr>
        <w:t>Musca domestica</w:t>
      </w:r>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Staphylococcus aureus</w:t>
      </w:r>
      <w:r w:rsidRPr="00C46923">
        <w:rPr>
          <w:rFonts w:ascii="Times New Roman" w:hAnsi="Times New Roman" w:cs="Times New Roman"/>
          <w:sz w:val="28"/>
          <w:szCs w:val="28"/>
        </w:rPr>
        <w:t xml:space="preserve">, which are major causative agents of foodborne illnesses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Forensic entomology has emerged as a valuable tool in food poisoning investigations, where insect species and their microbiota are analyzed to </w:t>
      </w:r>
      <w:r w:rsidRPr="00C46923">
        <w:rPr>
          <w:rFonts w:ascii="Times New Roman" w:hAnsi="Times New Roman" w:cs="Times New Roman"/>
          <w:sz w:val="28"/>
          <w:szCs w:val="28"/>
        </w:rPr>
        <w:lastRenderedPageBreak/>
        <w:t xml:space="preserve">determine contamination sources and timelines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r w:rsidRPr="00C46923">
        <w:rPr>
          <w:rStyle w:val="Emphasis"/>
          <w:rFonts w:ascii="Times New Roman" w:hAnsi="Times New Roman" w:cs="Times New Roman"/>
          <w:sz w:val="28"/>
          <w:szCs w:val="28"/>
        </w:rPr>
        <w:t>Calliphoridae</w:t>
      </w:r>
      <w:r w:rsidRPr="00C46923">
        <w:rPr>
          <w:rFonts w:ascii="Times New Roman" w:hAnsi="Times New Roman" w:cs="Times New Roman"/>
          <w:sz w:val="28"/>
          <w:szCs w:val="28"/>
        </w:rPr>
        <w:t xml:space="preserve"> family) can be used to trace bacterial contamination in perishable food products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Recent research highlights that insects can serve as reservoirs for antibiotic-resistant bacteria, further exacerbating foodborne disease risks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Cockroaches (</w:t>
      </w:r>
      <w:r w:rsidRPr="00C46923">
        <w:rPr>
          <w:rStyle w:val="Emphasis"/>
          <w:rFonts w:ascii="Times New Roman" w:hAnsi="Times New Roman" w:cs="Times New Roman"/>
          <w:sz w:val="28"/>
          <w:szCs w:val="28"/>
        </w:rPr>
        <w:t>Periplaneta americana</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Blattella germanica</w:t>
      </w:r>
      <w:r w:rsidRPr="00C46923">
        <w:rPr>
          <w:rFonts w:ascii="Times New Roman" w:hAnsi="Times New Roman" w:cs="Times New Roman"/>
          <w:sz w:val="28"/>
          <w:szCs w:val="28"/>
        </w:rPr>
        <w:t xml:space="preserve">) found in food storage and kitchen environments harbor multidrug-resistant </w:t>
      </w:r>
      <w:r w:rsidRPr="00C46923">
        <w:rPr>
          <w:rStyle w:val="Emphasis"/>
          <w:rFonts w:ascii="Times New Roman" w:hAnsi="Times New Roman" w:cs="Times New Roman"/>
          <w:sz w:val="28"/>
          <w:szCs w:val="28"/>
        </w:rPr>
        <w:t>Klebsiella pneumoniae</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Enterobacter spp.</w:t>
      </w:r>
      <w:r w:rsidRPr="00C46923">
        <w:rPr>
          <w:rFonts w:ascii="Times New Roman" w:hAnsi="Times New Roman" w:cs="Times New Roman"/>
          <w:sz w:val="28"/>
          <w:szCs w:val="28"/>
        </w:rPr>
        <w:t xml:space="preserve"> (Fotedar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The gut microbiota of insects contributes significantly to the persistence and proliferation of foodborne pathogens. Research indicates that </w:t>
      </w:r>
      <w:r w:rsidRPr="00C46923">
        <w:rPr>
          <w:rStyle w:val="Emphasis"/>
          <w:rFonts w:ascii="Times New Roman" w:hAnsi="Times New Roman" w:cs="Times New Roman"/>
          <w:sz w:val="28"/>
          <w:szCs w:val="28"/>
        </w:rPr>
        <w:t>M. domestica</w:t>
      </w:r>
      <w:r w:rsidRPr="00C46923">
        <w:rPr>
          <w:rFonts w:ascii="Times New Roman" w:hAnsi="Times New Roman" w:cs="Times New Roman"/>
          <w:sz w:val="28"/>
          <w:szCs w:val="28"/>
        </w:rPr>
        <w:t xml:space="preserve"> and cockroaches act as secondary reservoirs for pathogens by harboring </w:t>
      </w:r>
      <w:r w:rsidRPr="00C46923">
        <w:rPr>
          <w:rFonts w:ascii="Times New Roman" w:hAnsi="Times New Roman" w:cs="Times New Roman"/>
          <w:sz w:val="28"/>
          <w:szCs w:val="28"/>
        </w:rPr>
        <w:lastRenderedPageBreak/>
        <w:t xml:space="preserve">bacteria in their intestines and regurgitating them onto food surfaces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The interaction between insect microbiota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 monitoring has been incorporated into food safety risk assessment protocols in many regions. The presence of certain insect species correlates with poor hygiene standards and high risks of food contamination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Listeria monocytogenes</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Clostridium perfringens</w:t>
      </w:r>
      <w:r w:rsidRPr="00C46923">
        <w:rPr>
          <w:rFonts w:ascii="Times New Roman" w:hAnsi="Times New Roman" w:cs="Times New Roman"/>
          <w:sz w:val="28"/>
          <w:szCs w:val="28"/>
        </w:rPr>
        <w:t xml:space="preserve">, which are known to cause severe foodborne diseases. Implementing insect surveillance programs as part of Hazard Analysis and Critical Control Points (HACCP) strategies has been proposed to reduce the incidence of food poisoning outbreaks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t xml:space="preserve">Advancements in molecular biology techniques, such as polymerase chain reaction (PCR) and next-generation sequencing (NGS), have enabled the </w:t>
      </w:r>
      <w:r w:rsidRPr="00C46923">
        <w:rPr>
          <w:sz w:val="28"/>
          <w:szCs w:val="28"/>
        </w:rPr>
        <w:lastRenderedPageBreak/>
        <w:t xml:space="preserve">rapid identification of foodborne pathogens in insect vectors (Zurek </w:t>
      </w:r>
      <w:r w:rsidR="004A50E0" w:rsidRPr="00C46923">
        <w:rPr>
          <w:sz w:val="28"/>
          <w:szCs w:val="28"/>
        </w:rPr>
        <w:t>and</w:t>
      </w:r>
      <w:r w:rsidRPr="00C46923">
        <w:rPr>
          <w:sz w:val="28"/>
          <w:szCs w:val="28"/>
        </w:rPr>
        <w:t xml:space="preserve"> Ghosh,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The materials used in this study included sterile sampling containers, forceps, hand gloves, dissecting kits, sterile swabs, microscopes, incubators, and laboratory consumables such as Petri dishes, test tubes, and pipettes. Additionally, different culture media, including nutrient agar, MacConkey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r w:rsidRPr="00C46923">
        <w:rPr>
          <w:rFonts w:ascii="Times New Roman" w:eastAsia="Times New Roman" w:hAnsi="Times New Roman" w:cs="Times New Roman"/>
          <w:i/>
          <w:iCs/>
          <w:sz w:val="28"/>
          <w:szCs w:val="28"/>
        </w:rPr>
        <w:t>Musca domestica</w:t>
      </w:r>
      <w:r w:rsidRPr="00C46923">
        <w:rPr>
          <w:rFonts w:ascii="Times New Roman" w:eastAsia="Times New Roman" w:hAnsi="Times New Roman" w:cs="Times New Roman"/>
          <w:sz w:val="28"/>
          <w:szCs w:val="28"/>
        </w:rPr>
        <w:t>), cockroaches (</w:t>
      </w:r>
      <w:r w:rsidRPr="00C46923">
        <w:rPr>
          <w:rFonts w:ascii="Times New Roman" w:eastAsia="Times New Roman" w:hAnsi="Times New Roman" w:cs="Times New Roman"/>
          <w:i/>
          <w:iCs/>
          <w:sz w:val="28"/>
          <w:szCs w:val="28"/>
        </w:rPr>
        <w:t>Periplaneta americana</w:t>
      </w:r>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then transferred into sterile containers to prevent contamination. Each container </w:t>
      </w:r>
      <w:r w:rsidRPr="00C46923">
        <w:rPr>
          <w:rFonts w:ascii="Times New Roman" w:eastAsia="Times New Roman" w:hAnsi="Times New Roman" w:cs="Times New Roman"/>
          <w:sz w:val="28"/>
          <w:szCs w:val="28"/>
        </w:rPr>
        <w:lastRenderedPageBreak/>
        <w:t>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House flies were sampled from Shakari,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MacConkey agar and selective media such as Xylose Lysine Deoxycholate (XLD) agar and Sabouraud dextrose agar were used for isolating specific pathogens, including </w:t>
      </w:r>
      <w:r w:rsidRPr="00C46923">
        <w:rPr>
          <w:rFonts w:ascii="Times New Roman" w:eastAsia="Times New Roman" w:hAnsi="Times New Roman" w:cs="Times New Roman"/>
          <w:i/>
          <w:iCs/>
          <w:sz w:val="28"/>
          <w:szCs w:val="28"/>
        </w:rPr>
        <w:lastRenderedPageBreak/>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A loopful of the prepared insect homogenates was inoculated onto the prepared culture media using the streaking method. The plates were incubated at 37°C for 24-48 hours for bacterial growth and at 25-30°C for 3-5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lastRenderedPageBreak/>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688"/>
        <w:gridCol w:w="1673"/>
        <w:gridCol w:w="1318"/>
        <w:gridCol w:w="1874"/>
        <w:gridCol w:w="2077"/>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grown on nutrient agar and MacConkey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3.2 Microscopic Examination After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Table 2: Microscopic Examination After Gram Staining</w:t>
      </w:r>
      <w:bookmarkEnd w:id="22"/>
    </w:p>
    <w:tbl>
      <w:tblPr>
        <w:tblStyle w:val="TableGrid"/>
        <w:tblW w:w="0" w:type="auto"/>
        <w:tblLook w:val="04A0" w:firstRow="1" w:lastRow="0" w:firstColumn="1" w:lastColumn="0" w:noHBand="0" w:noVBand="1"/>
      </w:tblPr>
      <w:tblGrid>
        <w:gridCol w:w="2052"/>
        <w:gridCol w:w="1197"/>
        <w:gridCol w:w="1857"/>
        <w:gridCol w:w="948"/>
        <w:gridCol w:w="2576"/>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Microscopic observation confirmed the presence of cocci-shaped purple-colored cells (Gram-positive) on nutrient agar and rod-shaped pink cells (Gram-negative) on MacConkey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996"/>
        <w:gridCol w:w="1560"/>
        <w:gridCol w:w="1927"/>
        <w:gridCol w:w="1255"/>
        <w:gridCol w:w="935"/>
        <w:gridCol w:w="195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MacConkey agar at various dilution levels. Colonies on nutrient agar at 10⁻¹ dilution displayed yellowish, circular, and raised morphology, which aligns with characteristics typical of </w:t>
      </w:r>
      <w:r w:rsidRPr="00C46923">
        <w:rPr>
          <w:i/>
          <w:iCs/>
          <w:sz w:val="28"/>
          <w:szCs w:val="28"/>
        </w:rPr>
        <w:t>Staphylococcus aureus</w:t>
      </w:r>
      <w:r w:rsidRPr="00C46923">
        <w:rPr>
          <w:sz w:val="28"/>
          <w:szCs w:val="28"/>
        </w:rPr>
        <w:t xml:space="preserve">. Similarly, pink, flat, and moist colonies observed on MacConkey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(Adekunle et al., 2022; Tadesse &amp; Abera,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presence of Gram-positive cocci (</w:t>
      </w:r>
      <w:r w:rsidRPr="00C46923">
        <w:rPr>
          <w:i/>
          <w:iCs/>
          <w:sz w:val="28"/>
          <w:szCs w:val="28"/>
        </w:rPr>
        <w:t>S. aureus</w:t>
      </w:r>
      <w:r w:rsidRPr="00C46923">
        <w:rPr>
          <w:sz w:val="28"/>
          <w:szCs w:val="28"/>
        </w:rPr>
        <w:t xml:space="preserve">), while colonies from MacConkey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(Jaleta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Staphylococcus aureus</w:t>
      </w:r>
      <w:r w:rsidRPr="00C46923">
        <w:rPr>
          <w:sz w:val="28"/>
          <w:szCs w:val="28"/>
        </w:rPr>
        <w:t xml:space="preserve">, which is often part of the insect internal flora and a known cause of foodborne illnesses such as gastroenteritis. Similarly, isolate ISO-MAC-1 from MacConkey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(Nwankwo et al., 2023; Mekonnen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(Aslam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(Girmay et al., 2020; Oduori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r w:rsidR="0039767F" w:rsidRPr="00C46923">
        <w:rPr>
          <w:sz w:val="28"/>
          <w:szCs w:val="28"/>
        </w:rPr>
        <w:t>Using insect as bio-indicator for food poisoning present a novel and potential low cost method for monitoring food safety.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Abajue, M. C., and Ewuim, S. C. (2020). Evaluation of activities of dipteran maggots on a poisoned pig cadaver at Nnamdi Azikiwe University Awka, Nigeria.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Adekunle, A. A., Akinyemi, K. O., &amp; Adebayo, T. A. (2022).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Aljamali, N. M., Najim, M., and Alabbasy, A. (2021).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Aneyo, I., Alafia, O., Doherty, F., Udoma, R., Balogun, B., and Adeola, A. (2020). Aerobic microbe community and necrophagous insects associated with decomposition of pig carrion poisoned with lead. </w:t>
      </w:r>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Aslam, A., Qureshi, M. A., &amp; Khan, M. A. (2022). Role of synanthropic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El-Gawad, A., Kenawy, M. A., Badawy, R. M., El-Bar, A., and Marah,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Fotedar, R., Banerjee, U., Singh, S., Shriniwas, and Verma, A. K. (2019). </w:t>
      </w:r>
      <w:r w:rsidRPr="00C46923">
        <w:rPr>
          <w:rStyle w:val="Emphasis"/>
          <w:sz w:val="28"/>
          <w:szCs w:val="28"/>
        </w:rPr>
        <w:t>Cockroaches as vectors of pathogenic bacteria</w:t>
      </w:r>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Girmay, G., Teka, B., &amp; Mihret, A. (2020). Bacterial load and antimicrobial resistance of microorganisms associated with houseflies (</w:t>
      </w:r>
      <w:r w:rsidRPr="00C46923">
        <w:rPr>
          <w:rFonts w:ascii="Times New Roman" w:hAnsi="Times New Roman" w:cs="Times New Roman"/>
          <w:i/>
          <w:iCs/>
          <w:sz w:val="28"/>
          <w:szCs w:val="28"/>
        </w:rPr>
        <w:t>Musca domestica</w:t>
      </w:r>
      <w:r w:rsidRPr="00C46923">
        <w:rPr>
          <w:rFonts w:ascii="Times New Roman" w:hAnsi="Times New Roman" w:cs="Times New Roman"/>
          <w:sz w:val="28"/>
          <w:szCs w:val="28"/>
        </w:rPr>
        <w:t xml:space="preserve">) in food establishments. </w:t>
      </w:r>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Grübel, P., Hoffman, J. S., Chong, F. K., Burstein, N. A., Mepani, C., and Cave, D. R. (2017). </w:t>
      </w:r>
      <w:r w:rsidRPr="00C46923">
        <w:rPr>
          <w:rStyle w:val="Emphasis"/>
          <w:sz w:val="28"/>
          <w:szCs w:val="28"/>
        </w:rPr>
        <w:t xml:space="preserve">Vector potential of houseflies (Musca domestica) </w:t>
      </w:r>
      <w:r w:rsidRPr="00C46923">
        <w:rPr>
          <w:rStyle w:val="Emphasis"/>
          <w:sz w:val="28"/>
          <w:szCs w:val="28"/>
        </w:rPr>
        <w:lastRenderedPageBreak/>
        <w:t>for Helicobacter pylori</w:t>
      </w:r>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Hald, B., Skovgård, H., Pedersen, K., and Bunkenborg, H. (2014). </w:t>
      </w:r>
      <w:r w:rsidRPr="00C46923">
        <w:rPr>
          <w:rStyle w:val="Emphasis"/>
          <w:sz w:val="28"/>
          <w:szCs w:val="28"/>
        </w:rPr>
        <w:t>Insects as vectors of Campylobacter jejuni and Campylobacter coli in chickens</w:t>
      </w:r>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Jaleta, K., Tsegaye, S., &amp; Desta,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Mekonnen, A., Abebe, M., &amp; Tulu, A. (2021). Bacterial contamination of street-vended foods and the role of insects in pathogen transmission in urban markets.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Mian, L. S., Maag, H., and Tacal, J. V. (2012). </w:t>
      </w:r>
      <w:r w:rsidRPr="00C46923">
        <w:rPr>
          <w:rStyle w:val="Emphasis"/>
          <w:sz w:val="28"/>
          <w:szCs w:val="28"/>
        </w:rPr>
        <w:t>Isolation of Salmonella from muscoid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Nwankwo, I. O., Okonkwo, O. E., &amp; Uche, M. C. (2023). Mechanical transmission of enteric bacteria by insects in food preparation environments in Nigeria.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Oduori, M. A., Kimathi, A. N., &amp; Wanyoike, W. (2023).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Omoyajowo, K. O., Adesuyi, A. A., Omoyajowo, K. A., Odipe, O. E., and Ogunyebi,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Ribeiro, J. C., Sousa-Pinto, B., Fonseca, J., Fonseca, S. C., and Cunha, L. M. (2021).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r w:rsidRPr="00C46923">
        <w:rPr>
          <w:sz w:val="28"/>
          <w:szCs w:val="28"/>
          <w:shd w:val="clear" w:color="auto" w:fill="FFFFFF"/>
        </w:rPr>
        <w:t xml:space="preserve">Singh, R., Kumawat, R. K., Singh, G., Jangir, S. S., Kushwaha, P., and Rana, M. (2022).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Tadesse, D., &amp; Abera, B. (2021). Bacteriological profile of flies collected from food establishments: Implications for public health. </w:t>
      </w:r>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Zurek, L., and Ghosh, A. (2014).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AC735" w14:textId="77777777" w:rsidR="006C1B64" w:rsidRDefault="006C1B64" w:rsidP="005C6E31">
      <w:pPr>
        <w:spacing w:after="0" w:line="240" w:lineRule="auto"/>
      </w:pPr>
      <w:r>
        <w:separator/>
      </w:r>
    </w:p>
  </w:endnote>
  <w:endnote w:type="continuationSeparator" w:id="0">
    <w:p w14:paraId="7AA452BC" w14:textId="77777777" w:rsidR="006C1B64" w:rsidRDefault="006C1B64"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3237FA">
          <w:rPr>
            <w:noProof/>
          </w:rPr>
          <w:t>i</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97DF6" w14:textId="77777777" w:rsidR="006C1B64" w:rsidRDefault="006C1B64" w:rsidP="005C6E31">
      <w:pPr>
        <w:spacing w:after="0" w:line="240" w:lineRule="auto"/>
      </w:pPr>
      <w:r>
        <w:separator/>
      </w:r>
    </w:p>
  </w:footnote>
  <w:footnote w:type="continuationSeparator" w:id="0">
    <w:p w14:paraId="4F456A5B" w14:textId="77777777" w:rsidR="006C1B64" w:rsidRDefault="006C1B64"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69"/>
    <w:rsid w:val="00107089"/>
    <w:rsid w:val="00191234"/>
    <w:rsid w:val="001C2247"/>
    <w:rsid w:val="00280381"/>
    <w:rsid w:val="002B0BB5"/>
    <w:rsid w:val="002C7169"/>
    <w:rsid w:val="003237FA"/>
    <w:rsid w:val="00323F17"/>
    <w:rsid w:val="0039767F"/>
    <w:rsid w:val="004A50E0"/>
    <w:rsid w:val="004F458B"/>
    <w:rsid w:val="005B6FAC"/>
    <w:rsid w:val="005C6E31"/>
    <w:rsid w:val="005F2265"/>
    <w:rsid w:val="00632464"/>
    <w:rsid w:val="00645FF4"/>
    <w:rsid w:val="006B44C2"/>
    <w:rsid w:val="006C1B64"/>
    <w:rsid w:val="006E08E1"/>
    <w:rsid w:val="0078606D"/>
    <w:rsid w:val="00792A5D"/>
    <w:rsid w:val="007A5C16"/>
    <w:rsid w:val="0089797A"/>
    <w:rsid w:val="008E05E5"/>
    <w:rsid w:val="00962829"/>
    <w:rsid w:val="00964A76"/>
    <w:rsid w:val="00A34ACE"/>
    <w:rsid w:val="00B34BAE"/>
    <w:rsid w:val="00B52347"/>
    <w:rsid w:val="00B56CCE"/>
    <w:rsid w:val="00B63396"/>
    <w:rsid w:val="00C134B5"/>
    <w:rsid w:val="00C44239"/>
    <w:rsid w:val="00C46923"/>
    <w:rsid w:val="00C77AD7"/>
    <w:rsid w:val="00D02D0B"/>
    <w:rsid w:val="00D415F8"/>
    <w:rsid w:val="00DA0F41"/>
    <w:rsid w:val="00E71726"/>
    <w:rsid w:val="00E87E2C"/>
    <w:rsid w:val="00EE6669"/>
    <w:rsid w:val="00F56B1E"/>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15:chartTrackingRefBased/>
  <w15:docId w15:val="{0A315C7B-AA01-49FB-A557-7BA6919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0222B-D796-4885-9C07-B7353CC13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4667</Words>
  <Characters>26605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2025-06-11T10:58:00Z</cp:lastPrinted>
  <dcterms:created xsi:type="dcterms:W3CDTF">2025-07-12T09:17:00Z</dcterms:created>
  <dcterms:modified xsi:type="dcterms:W3CDTF">2025-07-12T09:17:00Z</dcterms:modified>
</cp:coreProperties>
</file>