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2A8EE" w14:textId="77777777"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77777777"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is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w:t>
      </w:r>
      <w:r w:rsidRPr="00A918A7">
        <w:rPr>
          <w:rFonts w:ascii="Times New Roman" w:hAnsi="Times New Roman" w:cs="Times New Roman"/>
          <w:sz w:val="28"/>
          <w:szCs w:val="28"/>
        </w:rPr>
        <w:lastRenderedPageBreak/>
        <w:t xml:space="preserve">ingestion of 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7B2C2EEB" w14:textId="77777777" w:rsidR="00C35AE1" w:rsidRPr="00C35AE1" w:rsidRDefault="00C35AE1" w:rsidP="00C35AE1">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1.1 PROBLEM STATEMENT</w:t>
      </w:r>
    </w:p>
    <w:p w14:paraId="6910F896" w14:textId="77777777" w:rsidR="00C35AE1" w:rsidRPr="00C35AE1" w:rsidRDefault="00C35AE1" w:rsidP="00C35AE1">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impacts of these toxins makes it challenging to implement effective health guidelines and preventive measures.</w:t>
      </w:r>
    </w:p>
    <w:p w14:paraId="4B1D7F36" w14:textId="77777777" w:rsidR="00C35AE1" w:rsidRDefault="00C35AE1" w:rsidP="00C35AE1">
      <w:pPr>
        <w:spacing w:line="480" w:lineRule="auto"/>
        <w:jc w:val="both"/>
        <w:rPr>
          <w:rFonts w:ascii="Times New Roman" w:hAnsi="Times New Roman" w:cs="Times New Roman"/>
          <w:sz w:val="28"/>
          <w:szCs w:val="28"/>
        </w:rPr>
      </w:pPr>
    </w:p>
    <w:p w14:paraId="45A629F6" w14:textId="77777777" w:rsidR="00C35AE1" w:rsidRDefault="00C35AE1" w:rsidP="00C35AE1">
      <w:pPr>
        <w:spacing w:line="480" w:lineRule="auto"/>
        <w:jc w:val="both"/>
        <w:rPr>
          <w:rFonts w:ascii="Times New Roman" w:hAnsi="Times New Roman" w:cs="Times New Roman"/>
          <w:sz w:val="28"/>
          <w:szCs w:val="28"/>
        </w:rPr>
      </w:pPr>
    </w:p>
    <w:p w14:paraId="12A49910" w14:textId="77777777" w:rsidR="00C35AE1" w:rsidRDefault="00C35AE1" w:rsidP="00C35AE1">
      <w:pPr>
        <w:spacing w:line="480" w:lineRule="auto"/>
        <w:jc w:val="both"/>
        <w:rPr>
          <w:rFonts w:ascii="Times New Roman" w:hAnsi="Times New Roman" w:cs="Times New Roman"/>
          <w:sz w:val="28"/>
          <w:szCs w:val="28"/>
        </w:rPr>
      </w:pPr>
    </w:p>
    <w:p w14:paraId="4F90B45B" w14:textId="77777777" w:rsidR="00C35AE1" w:rsidRDefault="00C35AE1" w:rsidP="00C35AE1">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lastRenderedPageBreak/>
        <w:t xml:space="preserve">  </w:t>
      </w:r>
      <w:r w:rsidRPr="00C35AE1">
        <w:rPr>
          <w:rFonts w:ascii="Times New Roman" w:hAnsi="Times New Roman" w:cs="Times New Roman"/>
          <w:b/>
          <w:sz w:val="28"/>
          <w:szCs w:val="28"/>
        </w:rPr>
        <w:t>1.2 LIMITATIONS OF THE STUDY</w:t>
      </w:r>
    </w:p>
    <w:p w14:paraId="7D63F413" w14:textId="77777777" w:rsidR="00C35AE1" w:rsidRPr="00C35AE1" w:rsidRDefault="00C35AE1" w:rsidP="00C35AE1">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 significant limitation of this research is that it employs crude extracts from Aspergillus </w:t>
      </w:r>
      <w:proofErr w:type="spellStart"/>
      <w:r w:rsidRPr="00C35AE1">
        <w:rPr>
          <w:rFonts w:ascii="Times New Roman" w:hAnsi="Times New Roman" w:cs="Times New Roman"/>
          <w:sz w:val="28"/>
          <w:szCs w:val="28"/>
        </w:rPr>
        <w:t>niger</w:t>
      </w:r>
      <w:proofErr w:type="spellEnd"/>
      <w:r w:rsidRPr="00C35AE1">
        <w:rPr>
          <w:rFonts w:ascii="Times New Roman" w:hAnsi="Times New Roman" w:cs="Times New Roman"/>
          <w:sz w:val="28"/>
          <w:szCs w:val="28"/>
        </w:rPr>
        <w:t xml:space="preserve"> cultures for toxicity testing without isolating or purifying specific mycotoxins like ochratoxin A or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While this method is practical in resource-constrained settings, it hinders the ability to directly link specific physiological or morphological effects to individual toxins. Moreover, the study depends on basic colorimetric and biochemical tests for confirming toxins rather than utilizing advanced analytical techniques such as high-performance liquid chromatography (HPLC) or liquid chromatography-mass spectrometry (LC-MS), which are more specific and sensitive. The toxin production occurs under controlled laboratory conditions, which may not entirely replicate the profiles seen in natural or commercial storage environments. Additionally, the animal studies will be limited in scope, utilizing a small sample size of Wistar rats due to ethical and logistical limitations, and will not involve comprehensive biochemical or histopathological evaluations of tissue damage.</w:t>
      </w:r>
    </w:p>
    <w:p w14:paraId="7E97881E" w14:textId="77777777" w:rsidR="00C35AE1" w:rsidRPr="00C35AE1" w:rsidRDefault="00C35AE1" w:rsidP="00C35AE1">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1.3 SIGNIFICANCE OF THE STUDY</w:t>
      </w:r>
    </w:p>
    <w:p w14:paraId="164DD39F" w14:textId="77777777" w:rsidR="00C35AE1" w:rsidRDefault="00C35AE1" w:rsidP="00C35AE1">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This research has important implications for public health, food safety, and environmental monitoring. By isolating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from actual sources and evaluating the potency of its toxins through in vivo experimentation, this study </w:t>
      </w:r>
      <w:r w:rsidRPr="00C35AE1">
        <w:rPr>
          <w:rFonts w:ascii="Times New Roman" w:hAnsi="Times New Roman" w:cs="Times New Roman"/>
          <w:sz w:val="28"/>
          <w:szCs w:val="28"/>
        </w:rPr>
        <w:lastRenderedPageBreak/>
        <w:t>aims to provide essential insights into the toxicological characteristics of this commonly encountered fungus. The results will enhance the understanding of health risks associated with</w:t>
      </w:r>
      <w:r w:rsidRPr="00C35AE1">
        <w:rPr>
          <w:rFonts w:ascii="Times New Roman" w:hAnsi="Times New Roman" w:cs="Times New Roman"/>
          <w:i/>
          <w:sz w:val="28"/>
          <w:szCs w:val="28"/>
        </w:rPr>
        <w:t xml:space="preserve"> 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indoor environments. Furthermore, the research will illustrate the usefulness of simple and low-cost biochemical methods for confirming toxins, offering practical resources for laboratories and field researchers with limited means. Ultimately, these findings will help in developing evidence-based strategies for mycotoxin management and guide regulatory policies aimed at reducing exposure and mitigating health risks.</w:t>
      </w:r>
    </w:p>
    <w:p w14:paraId="42BC43D1" w14:textId="77777777" w:rsidR="00B51DD8" w:rsidRDefault="003307FC" w:rsidP="00D43FFB">
      <w:pPr>
        <w:spacing w:line="480" w:lineRule="auto"/>
        <w:ind w:firstLine="720"/>
        <w:jc w:val="both"/>
        <w:rPr>
          <w:rFonts w:ascii="Times New Roman" w:hAnsi="Times New Roman" w:cs="Times New Roman"/>
          <w:b/>
          <w:sz w:val="28"/>
          <w:szCs w:val="28"/>
        </w:rPr>
      </w:pPr>
      <w:r w:rsidRPr="003307FC">
        <w:rPr>
          <w:rFonts w:ascii="Times New Roman" w:hAnsi="Times New Roman" w:cs="Times New Roman"/>
          <w:b/>
          <w:sz w:val="28"/>
          <w:szCs w:val="28"/>
        </w:rPr>
        <w:t xml:space="preserve"> LITERATURE REVIEW</w:t>
      </w:r>
    </w:p>
    <w:p w14:paraId="4B828696" w14:textId="77777777" w:rsidR="00D43FFB" w:rsidRPr="00D43FFB" w:rsidRDefault="00D43FFB" w:rsidP="00D43FFB">
      <w:pPr>
        <w:spacing w:line="480" w:lineRule="auto"/>
        <w:jc w:val="both"/>
        <w:rPr>
          <w:rFonts w:ascii="Times New Roman" w:hAnsi="Times New Roman" w:cs="Times New Roman"/>
          <w:b/>
          <w:sz w:val="28"/>
          <w:szCs w:val="28"/>
        </w:rPr>
      </w:pPr>
      <w:r w:rsidRPr="00D43FFB">
        <w:rPr>
          <w:rFonts w:ascii="Times New Roman" w:hAnsi="Times New Roman" w:cs="Times New Roman"/>
          <w:b/>
          <w:sz w:val="28"/>
          <w:szCs w:val="28"/>
        </w:rPr>
        <w:t>1.4</w:t>
      </w:r>
      <w:r>
        <w:rPr>
          <w:rFonts w:ascii="Times New Roman" w:hAnsi="Times New Roman" w:cs="Times New Roman"/>
          <w:b/>
          <w:sz w:val="28"/>
          <w:szCs w:val="28"/>
        </w:rPr>
        <w:t xml:space="preserve"> </w:t>
      </w:r>
      <w:r w:rsidRPr="00D43FFB">
        <w:rPr>
          <w:rFonts w:ascii="Times New Roman" w:hAnsi="Times New Roman" w:cs="Times New Roman"/>
          <w:b/>
          <w:sz w:val="28"/>
          <w:szCs w:val="28"/>
        </w:rPr>
        <w:t xml:space="preserve">Overview of </w:t>
      </w:r>
      <w:r w:rsidRPr="00D43FFB">
        <w:rPr>
          <w:rFonts w:ascii="Times New Roman" w:hAnsi="Times New Roman" w:cs="Times New Roman"/>
          <w:b/>
          <w:i/>
          <w:sz w:val="28"/>
          <w:szCs w:val="28"/>
        </w:rPr>
        <w:t xml:space="preserve">Aspergillus </w:t>
      </w:r>
      <w:proofErr w:type="spellStart"/>
      <w:r w:rsidRPr="00D43FFB">
        <w:rPr>
          <w:rFonts w:ascii="Times New Roman" w:hAnsi="Times New Roman" w:cs="Times New Roman"/>
          <w:b/>
          <w:i/>
          <w:sz w:val="28"/>
          <w:szCs w:val="28"/>
        </w:rPr>
        <w:t>niger</w:t>
      </w:r>
      <w:proofErr w:type="spellEnd"/>
    </w:p>
    <w:p w14:paraId="69720447" w14:textId="77777777" w:rsidR="00D43FFB" w:rsidRPr="00D43FFB" w:rsidRDefault="00D43FFB" w:rsidP="00D43FFB">
      <w:pPr>
        <w:spacing w:line="480" w:lineRule="auto"/>
        <w:jc w:val="both"/>
        <w:rPr>
          <w:rFonts w:ascii="Times New Roman" w:hAnsi="Times New Roman" w:cs="Times New Roman"/>
          <w:sz w:val="28"/>
          <w:szCs w:val="28"/>
        </w:rPr>
      </w:pPr>
      <w:r w:rsidRPr="00D43FFB">
        <w:rPr>
          <w:rFonts w:ascii="Times New Roman" w:hAnsi="Times New Roman" w:cs="Times New Roman"/>
          <w:b/>
          <w:sz w:val="28"/>
          <w:szCs w:val="28"/>
        </w:rPr>
        <w:t xml:space="preserve"> </w:t>
      </w:r>
      <w:r w:rsidRPr="00D43FFB">
        <w:rPr>
          <w:rFonts w:ascii="Times New Roman" w:hAnsi="Times New Roman" w:cs="Times New Roman"/>
          <w:i/>
          <w:sz w:val="28"/>
          <w:szCs w:val="28"/>
        </w:rPr>
        <w:t xml:space="preserve">Aspergillus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is a widely distributed filamentous fungus that belongs to the section </w:t>
      </w:r>
      <w:proofErr w:type="spellStart"/>
      <w:r w:rsidRPr="00D43FFB">
        <w:rPr>
          <w:rFonts w:ascii="Times New Roman" w:hAnsi="Times New Roman" w:cs="Times New Roman"/>
          <w:sz w:val="28"/>
          <w:szCs w:val="28"/>
        </w:rPr>
        <w:t>Nigri</w:t>
      </w:r>
      <w:proofErr w:type="spellEnd"/>
      <w:r w:rsidRPr="00D43FFB">
        <w:rPr>
          <w:rFonts w:ascii="Times New Roman" w:hAnsi="Times New Roman" w:cs="Times New Roman"/>
          <w:sz w:val="28"/>
          <w:szCs w:val="28"/>
        </w:rPr>
        <w:t xml:space="preserve"> of the genus </w:t>
      </w:r>
      <w:r w:rsidRPr="00D43FFB">
        <w:rPr>
          <w:rFonts w:ascii="Times New Roman" w:hAnsi="Times New Roman" w:cs="Times New Roman"/>
          <w:i/>
          <w:sz w:val="28"/>
          <w:szCs w:val="28"/>
        </w:rPr>
        <w:t>Aspergillus</w:t>
      </w:r>
      <w:r w:rsidRPr="00D43FFB">
        <w:rPr>
          <w:rFonts w:ascii="Times New Roman" w:hAnsi="Times New Roman" w:cs="Times New Roman"/>
          <w:sz w:val="28"/>
          <w:szCs w:val="28"/>
        </w:rPr>
        <w:t>. It is one of the most frequently encountered fungal species in nature and is predominantly found in soil, compost, decaying organic matter, stored agricultural products, and water-damaged indoor environments (Ogbonna et al., 2021). Its global prevalence is largely due to its high adaptability to environmental stressors and its capacity for prolific conidial production. Morphologically, it is characterized by large, globose, dark brown to</w:t>
      </w:r>
      <w:r>
        <w:rPr>
          <w:rFonts w:ascii="Times New Roman" w:hAnsi="Times New Roman" w:cs="Times New Roman"/>
          <w:sz w:val="28"/>
          <w:szCs w:val="28"/>
        </w:rPr>
        <w:t xml:space="preserve"> </w:t>
      </w:r>
      <w:r w:rsidRPr="00D43FFB">
        <w:rPr>
          <w:rFonts w:ascii="Times New Roman" w:hAnsi="Times New Roman" w:cs="Times New Roman"/>
          <w:sz w:val="28"/>
          <w:szCs w:val="28"/>
        </w:rPr>
        <w:t xml:space="preserve">black conidial heads, arising from smooth, hyaline conidiophores, which make it </w:t>
      </w:r>
      <w:r w:rsidRPr="00D43FFB">
        <w:rPr>
          <w:rFonts w:ascii="Times New Roman" w:hAnsi="Times New Roman" w:cs="Times New Roman"/>
          <w:sz w:val="28"/>
          <w:szCs w:val="28"/>
        </w:rPr>
        <w:lastRenderedPageBreak/>
        <w:t>readily identifiable under microscopic examination (Khalil et al., 2022).</w:t>
      </w:r>
      <w:r>
        <w:rPr>
          <w:rFonts w:ascii="Times New Roman" w:hAnsi="Times New Roman" w:cs="Times New Roman"/>
          <w:sz w:val="28"/>
          <w:szCs w:val="28"/>
        </w:rPr>
        <w:t xml:space="preserve"> </w:t>
      </w:r>
      <w:r w:rsidRPr="00D43FFB">
        <w:rPr>
          <w:rFonts w:ascii="Times New Roman" w:hAnsi="Times New Roman" w:cs="Times New Roman"/>
          <w:sz w:val="28"/>
          <w:szCs w:val="28"/>
        </w:rPr>
        <w:t xml:space="preserve">In tropical and subtropical climates, where high temperatures and humidity </w:t>
      </w:r>
      <w:proofErr w:type="gramStart"/>
      <w:r w:rsidRPr="00D43FFB">
        <w:rPr>
          <w:rFonts w:ascii="Times New Roman" w:hAnsi="Times New Roman" w:cs="Times New Roman"/>
          <w:sz w:val="28"/>
          <w:szCs w:val="28"/>
        </w:rPr>
        <w:t xml:space="preserve">prevail, </w:t>
      </w:r>
      <w:r>
        <w:rPr>
          <w:rFonts w:ascii="Times New Roman" w:hAnsi="Times New Roman" w:cs="Times New Roman"/>
          <w:sz w:val="28"/>
          <w:szCs w:val="28"/>
        </w:rPr>
        <w:t xml:space="preserve"> </w:t>
      </w:r>
      <w:proofErr w:type="spellStart"/>
      <w:r w:rsidRPr="00D43FFB">
        <w:rPr>
          <w:rFonts w:ascii="Times New Roman" w:hAnsi="Times New Roman" w:cs="Times New Roman"/>
          <w:i/>
          <w:sz w:val="28"/>
          <w:szCs w:val="28"/>
        </w:rPr>
        <w:t>A</w:t>
      </w:r>
      <w:r>
        <w:rPr>
          <w:rFonts w:ascii="Times New Roman" w:hAnsi="Times New Roman" w:cs="Times New Roman"/>
          <w:i/>
          <w:sz w:val="28"/>
          <w:szCs w:val="28"/>
        </w:rPr>
        <w:t>spegillu</w:t>
      </w:r>
      <w:proofErr w:type="spellEnd"/>
      <w:proofErr w:type="gramEnd"/>
      <w:r w:rsidRPr="00D43FFB">
        <w:rPr>
          <w:rFonts w:ascii="Times New Roman" w:hAnsi="Times New Roman" w:cs="Times New Roman"/>
          <w:i/>
          <w:sz w:val="28"/>
          <w:szCs w:val="28"/>
        </w:rPr>
        <w:t xml:space="preserve">.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thrives and becomes a dominant contaminant of food and storage environments. Its presence has been widely reported in grains, nuts, dr</w:t>
      </w:r>
      <w:r>
        <w:rPr>
          <w:rFonts w:ascii="Times New Roman" w:hAnsi="Times New Roman" w:cs="Times New Roman"/>
          <w:sz w:val="28"/>
          <w:szCs w:val="28"/>
        </w:rPr>
        <w:t xml:space="preserve">ied fruits, and spices. A </w:t>
      </w:r>
      <w:r w:rsidRPr="00D43FFB">
        <w:rPr>
          <w:rFonts w:ascii="Times New Roman" w:hAnsi="Times New Roman" w:cs="Times New Roman"/>
          <w:sz w:val="28"/>
          <w:szCs w:val="28"/>
        </w:rPr>
        <w:t xml:space="preserve">survey by Emmanuel et al. (2022) found that over 45% of maize samples from open markets in Nigeria harbored black aspergilli, with </w:t>
      </w:r>
      <w:r w:rsidRPr="00D43FFB">
        <w:rPr>
          <w:rFonts w:ascii="Times New Roman" w:hAnsi="Times New Roman" w:cs="Times New Roman"/>
          <w:i/>
          <w:sz w:val="28"/>
          <w:szCs w:val="28"/>
        </w:rPr>
        <w:t>A</w:t>
      </w:r>
      <w:r>
        <w:rPr>
          <w:rFonts w:ascii="Times New Roman" w:hAnsi="Times New Roman" w:cs="Times New Roman"/>
          <w:i/>
          <w:sz w:val="28"/>
          <w:szCs w:val="28"/>
        </w:rPr>
        <w:t>spergillus</w:t>
      </w:r>
      <w:r w:rsidRPr="00D43FFB">
        <w:rPr>
          <w:rFonts w:ascii="Times New Roman" w:hAnsi="Times New Roman" w:cs="Times New Roman"/>
          <w:i/>
          <w:sz w:val="28"/>
          <w:szCs w:val="28"/>
        </w:rPr>
        <w:t xml:space="preserve">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being the most predominant. Similarly, Hassan et al. (2021) reported significant contamination of groundnut and melon seeds with </w:t>
      </w:r>
      <w:r w:rsidRPr="00D43FFB">
        <w:rPr>
          <w:rFonts w:ascii="Times New Roman" w:hAnsi="Times New Roman" w:cs="Times New Roman"/>
          <w:i/>
          <w:sz w:val="28"/>
          <w:szCs w:val="28"/>
        </w:rPr>
        <w:t xml:space="preserve">A.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in improperly stored household stocks.</w:t>
      </w:r>
    </w:p>
    <w:p w14:paraId="561B0530" w14:textId="77777777" w:rsidR="00D43FFB" w:rsidRDefault="00D43FFB" w:rsidP="00D43FFB">
      <w:pPr>
        <w:spacing w:line="480" w:lineRule="auto"/>
        <w:jc w:val="both"/>
        <w:rPr>
          <w:rFonts w:ascii="Times New Roman" w:hAnsi="Times New Roman" w:cs="Times New Roman"/>
          <w:sz w:val="28"/>
          <w:szCs w:val="28"/>
        </w:rPr>
      </w:pPr>
      <w:r w:rsidRPr="00D43FFB">
        <w:rPr>
          <w:rFonts w:ascii="Times New Roman" w:hAnsi="Times New Roman" w:cs="Times New Roman"/>
          <w:sz w:val="28"/>
          <w:szCs w:val="28"/>
        </w:rPr>
        <w:t xml:space="preserve">Beyond its role as an environmental and food contaminant, </w:t>
      </w:r>
      <w:r w:rsidRPr="00D43FFB">
        <w:rPr>
          <w:rFonts w:ascii="Times New Roman" w:hAnsi="Times New Roman" w:cs="Times New Roman"/>
          <w:i/>
          <w:sz w:val="28"/>
          <w:szCs w:val="28"/>
        </w:rPr>
        <w:t xml:space="preserve">A.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has gained global importance for its industrial applications. It is widely utilized in the large-scale commercial production of organic acids, especially citric acid, where it accounts for more than 90% of global output due to its high yield and process stability (Kumar et al., 2023). In addition, </w:t>
      </w:r>
      <w:r w:rsidRPr="00D43FFB">
        <w:rPr>
          <w:rFonts w:ascii="Times New Roman" w:hAnsi="Times New Roman" w:cs="Times New Roman"/>
          <w:i/>
          <w:sz w:val="28"/>
          <w:szCs w:val="28"/>
        </w:rPr>
        <w:t xml:space="preserve">A.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is exploited for the production of hydrolytic enzymes such as pectinases, amylases, and proteases, which are used across food processing, pharmaceuticals, and textiles (</w:t>
      </w:r>
      <w:proofErr w:type="spellStart"/>
      <w:r w:rsidRPr="00D43FFB">
        <w:rPr>
          <w:rFonts w:ascii="Times New Roman" w:hAnsi="Times New Roman" w:cs="Times New Roman"/>
          <w:sz w:val="28"/>
          <w:szCs w:val="28"/>
        </w:rPr>
        <w:t>Mahato</w:t>
      </w:r>
      <w:proofErr w:type="spellEnd"/>
      <w:r w:rsidRPr="00D43FFB">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D43FFB">
        <w:rPr>
          <w:rFonts w:ascii="Times New Roman" w:hAnsi="Times New Roman" w:cs="Times New Roman"/>
          <w:sz w:val="28"/>
          <w:szCs w:val="28"/>
        </w:rPr>
        <w:t xml:space="preserve">Despite its economic relevance, </w:t>
      </w:r>
      <w:r w:rsidRPr="00D43FFB">
        <w:rPr>
          <w:rFonts w:ascii="Times New Roman" w:hAnsi="Times New Roman" w:cs="Times New Roman"/>
          <w:i/>
          <w:sz w:val="28"/>
          <w:szCs w:val="28"/>
        </w:rPr>
        <w:t>A</w:t>
      </w:r>
      <w:r>
        <w:rPr>
          <w:rFonts w:ascii="Times New Roman" w:hAnsi="Times New Roman" w:cs="Times New Roman"/>
          <w:i/>
          <w:sz w:val="28"/>
          <w:szCs w:val="28"/>
        </w:rPr>
        <w:t>spergillus</w:t>
      </w:r>
      <w:r w:rsidRPr="00D43FFB">
        <w:rPr>
          <w:rFonts w:ascii="Times New Roman" w:hAnsi="Times New Roman" w:cs="Times New Roman"/>
          <w:i/>
          <w:sz w:val="28"/>
          <w:szCs w:val="28"/>
        </w:rPr>
        <w:t xml:space="preserve">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is also recognized as an opportunistic pathogen, especially in immunocompromised patients. Its ability to colonize and cause infection in the external ear canal (otomycosis), sinuses, and, in rare cases, lungs, is well-documented (Fekete et al., 2022). In one hospital-based study by </w:t>
      </w:r>
      <w:proofErr w:type="spellStart"/>
      <w:r w:rsidRPr="00D43FFB">
        <w:rPr>
          <w:rFonts w:ascii="Times New Roman" w:hAnsi="Times New Roman" w:cs="Times New Roman"/>
          <w:sz w:val="28"/>
          <w:szCs w:val="28"/>
        </w:rPr>
        <w:lastRenderedPageBreak/>
        <w:t>Molla</w:t>
      </w:r>
      <w:proofErr w:type="spellEnd"/>
      <w:r w:rsidRPr="00D43FFB">
        <w:rPr>
          <w:rFonts w:ascii="Times New Roman" w:hAnsi="Times New Roman" w:cs="Times New Roman"/>
          <w:sz w:val="28"/>
          <w:szCs w:val="28"/>
        </w:rPr>
        <w:t xml:space="preserve"> et al. (2021), </w:t>
      </w:r>
      <w:r>
        <w:rPr>
          <w:rFonts w:ascii="Times New Roman" w:hAnsi="Times New Roman" w:cs="Times New Roman"/>
          <w:i/>
          <w:sz w:val="28"/>
          <w:szCs w:val="28"/>
        </w:rPr>
        <w:t>Aspergillus</w:t>
      </w:r>
      <w:r w:rsidRPr="00D43FFB">
        <w:rPr>
          <w:rFonts w:ascii="Times New Roman" w:hAnsi="Times New Roman" w:cs="Times New Roman"/>
          <w:i/>
          <w:sz w:val="28"/>
          <w:szCs w:val="28"/>
        </w:rPr>
        <w:t xml:space="preserve">. </w:t>
      </w:r>
      <w:proofErr w:type="spellStart"/>
      <w:r w:rsidRPr="00D43FFB">
        <w:rPr>
          <w:rFonts w:ascii="Times New Roman" w:hAnsi="Times New Roman" w:cs="Times New Roman"/>
          <w:i/>
          <w:sz w:val="28"/>
          <w:szCs w:val="28"/>
        </w:rPr>
        <w:t>niger</w:t>
      </w:r>
      <w:proofErr w:type="spellEnd"/>
      <w:r w:rsidRPr="00D43FFB">
        <w:rPr>
          <w:rFonts w:ascii="Times New Roman" w:hAnsi="Times New Roman" w:cs="Times New Roman"/>
          <w:sz w:val="28"/>
          <w:szCs w:val="28"/>
        </w:rPr>
        <w:t xml:space="preserve"> was isolated in 17% of otomycosis cases, reinforcing its clinical relevance. Its pathogenicity is linked to thermotolerance, conidial resilience, and the production of secondary metabolites that impair host immunity and enable tissue invasion.</w:t>
      </w:r>
      <w:r w:rsidR="007C1DD2">
        <w:rPr>
          <w:rFonts w:ascii="Times New Roman" w:hAnsi="Times New Roman" w:cs="Times New Roman"/>
          <w:sz w:val="28"/>
          <w:szCs w:val="28"/>
        </w:rPr>
        <w:t xml:space="preserve"> </w:t>
      </w:r>
      <w:r w:rsidRPr="00D43FFB">
        <w:rPr>
          <w:rFonts w:ascii="Times New Roman" w:hAnsi="Times New Roman" w:cs="Times New Roman"/>
          <w:sz w:val="28"/>
          <w:szCs w:val="28"/>
        </w:rPr>
        <w:t xml:space="preserve">The ecological, industrial, and medical significance of </w:t>
      </w:r>
      <w:r w:rsidRPr="00D43FFB">
        <w:rPr>
          <w:rFonts w:ascii="Times New Roman" w:hAnsi="Times New Roman" w:cs="Times New Roman"/>
          <w:i/>
          <w:sz w:val="28"/>
          <w:szCs w:val="28"/>
        </w:rPr>
        <w:t xml:space="preserve">Aspergillus </w:t>
      </w:r>
      <w:proofErr w:type="spellStart"/>
      <w:r w:rsidRPr="00D43FFB">
        <w:rPr>
          <w:rFonts w:ascii="Times New Roman" w:hAnsi="Times New Roman" w:cs="Times New Roman"/>
          <w:i/>
          <w:sz w:val="28"/>
          <w:szCs w:val="28"/>
        </w:rPr>
        <w:t>niger</w:t>
      </w:r>
      <w:proofErr w:type="spellEnd"/>
      <w:r w:rsidR="007C1DD2">
        <w:rPr>
          <w:rFonts w:ascii="Times New Roman" w:hAnsi="Times New Roman" w:cs="Times New Roman"/>
          <w:sz w:val="28"/>
          <w:szCs w:val="28"/>
        </w:rPr>
        <w:t xml:space="preserve"> emphasize</w:t>
      </w:r>
      <w:r w:rsidRPr="00D43FFB">
        <w:rPr>
          <w:rFonts w:ascii="Times New Roman" w:hAnsi="Times New Roman" w:cs="Times New Roman"/>
          <w:sz w:val="28"/>
          <w:szCs w:val="28"/>
        </w:rPr>
        <w:t xml:space="preserve"> the need for balanced research that addresses both its beneficial uses and its potential to produce harmful toxins, especially in food and indoor environments. </w:t>
      </w:r>
    </w:p>
    <w:p w14:paraId="65A2E3C4" w14:textId="77777777" w:rsidR="00873231" w:rsidRPr="00873231" w:rsidRDefault="007C1DD2" w:rsidP="00873231">
      <w:pPr>
        <w:rPr>
          <w:rFonts w:ascii="Times New Roman" w:hAnsi="Times New Roman" w:cs="Times New Roman"/>
          <w:b/>
        </w:rPr>
      </w:pPr>
      <w:r w:rsidRPr="007C1DD2">
        <w:rPr>
          <w:rFonts w:ascii="Times New Roman" w:hAnsi="Times New Roman" w:cs="Times New Roman"/>
          <w:b/>
          <w:sz w:val="28"/>
          <w:szCs w:val="28"/>
        </w:rPr>
        <w:t xml:space="preserve">1.5. </w:t>
      </w:r>
      <w:r w:rsidRPr="007C1DD2">
        <w:rPr>
          <w:rFonts w:ascii="Times New Roman" w:hAnsi="Times New Roman" w:cs="Times New Roman"/>
          <w:b/>
          <w:color w:val="252525"/>
          <w:sz w:val="28"/>
          <w:szCs w:val="28"/>
        </w:rPr>
        <w:t xml:space="preserve">Mycotoxins Produced by </w:t>
      </w:r>
      <w:r w:rsidRPr="007C1DD2">
        <w:rPr>
          <w:rFonts w:ascii="Times New Roman" w:hAnsi="Times New Roman" w:cs="Times New Roman"/>
          <w:b/>
          <w:i/>
          <w:color w:val="252525"/>
          <w:sz w:val="28"/>
          <w:szCs w:val="28"/>
        </w:rPr>
        <w:t xml:space="preserve">Aspergillus </w:t>
      </w:r>
      <w:proofErr w:type="spellStart"/>
      <w:r w:rsidRPr="007C1DD2">
        <w:rPr>
          <w:rFonts w:ascii="Times New Roman" w:hAnsi="Times New Roman" w:cs="Times New Roman"/>
          <w:b/>
          <w:i/>
          <w:color w:val="252525"/>
          <w:sz w:val="28"/>
          <w:szCs w:val="28"/>
        </w:rPr>
        <w:t>niger</w:t>
      </w:r>
      <w:proofErr w:type="spellEnd"/>
      <w:r w:rsidRPr="007C1DD2">
        <w:rPr>
          <w:rFonts w:ascii="Times New Roman" w:hAnsi="Times New Roman" w:cs="Times New Roman"/>
          <w:b/>
          <w:color w:val="252525"/>
          <w:sz w:val="28"/>
          <w:szCs w:val="28"/>
        </w:rPr>
        <w:t xml:space="preserve"> </w:t>
      </w:r>
    </w:p>
    <w:p w14:paraId="3508D489" w14:textId="77777777" w:rsidR="00940E7B" w:rsidRPr="00940E7B" w:rsidRDefault="00940E7B" w:rsidP="00940E7B">
      <w:pPr>
        <w:spacing w:line="480" w:lineRule="auto"/>
        <w:jc w:val="both"/>
        <w:rPr>
          <w:rFonts w:ascii="Times New Roman" w:hAnsi="Times New Roman" w:cs="Times New Roman"/>
          <w:sz w:val="28"/>
          <w:szCs w:val="28"/>
        </w:rPr>
      </w:pPr>
      <w:r w:rsidRPr="00940E7B">
        <w:rPr>
          <w:rFonts w:ascii="Times New Roman" w:hAnsi="Times New Roman" w:cs="Times New Roman"/>
          <w:b/>
          <w:sz w:val="28"/>
          <w:szCs w:val="28"/>
        </w:rPr>
        <w:t>Ochratoxin A (OTA)</w:t>
      </w:r>
      <w:r w:rsidR="00873231">
        <w:rPr>
          <w:rFonts w:ascii="Times New Roman" w:hAnsi="Times New Roman" w:cs="Times New Roman"/>
          <w:b/>
          <w:sz w:val="28"/>
          <w:szCs w:val="28"/>
        </w:rPr>
        <w:t>:</w:t>
      </w:r>
      <w:r w:rsidRPr="00940E7B">
        <w:rPr>
          <w:rFonts w:ascii="Times New Roman" w:hAnsi="Times New Roman" w:cs="Times New Roman"/>
          <w:sz w:val="28"/>
          <w:szCs w:val="28"/>
        </w:rPr>
        <w:t xml:space="preserve"> one of the most toxic and well-studied mycotoxins associated with </w:t>
      </w:r>
      <w:r w:rsidRPr="00940E7B">
        <w:rPr>
          <w:rFonts w:ascii="Times New Roman" w:hAnsi="Times New Roman" w:cs="Times New Roman"/>
          <w:i/>
          <w:sz w:val="28"/>
          <w:szCs w:val="28"/>
        </w:rPr>
        <w:t xml:space="preserve">Aspergillus </w:t>
      </w:r>
      <w:proofErr w:type="spellStart"/>
      <w:r w:rsidRPr="00940E7B">
        <w:rPr>
          <w:rFonts w:ascii="Times New Roman" w:hAnsi="Times New Roman" w:cs="Times New Roman"/>
          <w:i/>
          <w:sz w:val="28"/>
          <w:szCs w:val="28"/>
        </w:rPr>
        <w:t>niger</w:t>
      </w:r>
      <w:proofErr w:type="spellEnd"/>
      <w:r w:rsidRPr="00940E7B">
        <w:rPr>
          <w:rFonts w:ascii="Times New Roman" w:hAnsi="Times New Roman" w:cs="Times New Roman"/>
          <w:sz w:val="28"/>
          <w:szCs w:val="28"/>
        </w:rPr>
        <w:t xml:space="preserve"> and some </w:t>
      </w:r>
      <w:r w:rsidRPr="00940E7B">
        <w:rPr>
          <w:rFonts w:ascii="Times New Roman" w:hAnsi="Times New Roman" w:cs="Times New Roman"/>
          <w:i/>
          <w:sz w:val="28"/>
          <w:szCs w:val="28"/>
        </w:rPr>
        <w:t>Penicillium</w:t>
      </w:r>
      <w:r w:rsidRPr="00940E7B">
        <w:rPr>
          <w:rFonts w:ascii="Times New Roman" w:hAnsi="Times New Roman" w:cs="Times New Roman"/>
          <w:sz w:val="28"/>
          <w:szCs w:val="28"/>
        </w:rPr>
        <w:t xml:space="preserve"> species. Chemically, OTA is a chlorinated </w:t>
      </w:r>
      <w:proofErr w:type="spellStart"/>
      <w:r w:rsidRPr="00940E7B">
        <w:rPr>
          <w:rFonts w:ascii="Times New Roman" w:hAnsi="Times New Roman" w:cs="Times New Roman"/>
          <w:sz w:val="28"/>
          <w:szCs w:val="28"/>
        </w:rPr>
        <w:t>isocoumarin</w:t>
      </w:r>
      <w:proofErr w:type="spellEnd"/>
      <w:r w:rsidRPr="00940E7B">
        <w:rPr>
          <w:rFonts w:ascii="Times New Roman" w:hAnsi="Times New Roman" w:cs="Times New Roman"/>
          <w:sz w:val="28"/>
          <w:szCs w:val="28"/>
        </w:rPr>
        <w:t xml:space="preserve"> derivative linked to L-phenylalanine. It is structurally stable, highly resistant to heat, and commonly found in a variety of foodstuffs, including cereals, coffee, dried fruits, wine, and spices. OTA exerts multiple toxic effects. The most prominent is nephrotoxicity, as it accumulates in renal tissues and interferes with mitochondrial respiration, protein synthesis, and DNA repair mechanisms (Milicevic et al., 2021). Chronic exposure has been linked to Balkan Endemic Nephropathy (BEN) and urothelial tumors, particularly in rural populations with long-term ingestion of contaminated foods.</w:t>
      </w:r>
      <w:r>
        <w:rPr>
          <w:rFonts w:ascii="Times New Roman" w:hAnsi="Times New Roman" w:cs="Times New Roman"/>
          <w:sz w:val="28"/>
          <w:szCs w:val="28"/>
        </w:rPr>
        <w:t xml:space="preserve"> </w:t>
      </w:r>
      <w:r w:rsidRPr="00940E7B">
        <w:rPr>
          <w:rFonts w:ascii="Times New Roman" w:hAnsi="Times New Roman" w:cs="Times New Roman"/>
          <w:sz w:val="28"/>
          <w:szCs w:val="28"/>
        </w:rPr>
        <w:t xml:space="preserve">OTA is also </w:t>
      </w:r>
      <w:proofErr w:type="spellStart"/>
      <w:r w:rsidRPr="00192AF5">
        <w:rPr>
          <w:rFonts w:ascii="Times New Roman" w:hAnsi="Times New Roman" w:cs="Times New Roman"/>
          <w:sz w:val="28"/>
          <w:szCs w:val="28"/>
        </w:rPr>
        <w:t>immunotoxic</w:t>
      </w:r>
      <w:proofErr w:type="spellEnd"/>
      <w:r w:rsidRPr="00192AF5">
        <w:rPr>
          <w:rFonts w:ascii="Times New Roman" w:hAnsi="Times New Roman" w:cs="Times New Roman"/>
          <w:sz w:val="28"/>
          <w:szCs w:val="28"/>
        </w:rPr>
        <w:t xml:space="preserve">, hepatotoxic, teratogenic, and has neurotoxic potentials. Studies have demonstrated its ability to suppress the immune response by altering cytokine </w:t>
      </w:r>
      <w:r w:rsidRPr="00192AF5">
        <w:rPr>
          <w:rFonts w:ascii="Times New Roman" w:hAnsi="Times New Roman" w:cs="Times New Roman"/>
          <w:sz w:val="28"/>
          <w:szCs w:val="28"/>
        </w:rPr>
        <w:lastRenderedPageBreak/>
        <w:t>production, reducing lymphocyte proliferation, and compromising macrophage function. This suppression heightens vulnerability to infections, especially in immunocompromised individuals (Kumar et al., 2023).</w:t>
      </w:r>
      <w:r w:rsidR="00873231">
        <w:rPr>
          <w:rFonts w:ascii="Times New Roman" w:hAnsi="Times New Roman" w:cs="Times New Roman"/>
          <w:sz w:val="28"/>
          <w:szCs w:val="28"/>
        </w:rPr>
        <w:t xml:space="preserve"> </w:t>
      </w:r>
      <w:r w:rsidRPr="00192AF5">
        <w:rPr>
          <w:rFonts w:ascii="Times New Roman" w:hAnsi="Times New Roman" w:cs="Times New Roman"/>
          <w:sz w:val="28"/>
          <w:szCs w:val="28"/>
        </w:rPr>
        <w:t>The International Agency for Research on Cancer (IARC) has classified OTA as a Group 2B carcinogen (possibly carcinogenic to humans), based on sufficient evidence in animal models but limited evidence in humans. However, its wide distribution and persistence have prompted international concern and regulatory actions.</w:t>
      </w:r>
      <w:r w:rsidR="00873231">
        <w:rPr>
          <w:rFonts w:ascii="Times New Roman" w:hAnsi="Times New Roman" w:cs="Times New Roman"/>
          <w:sz w:val="28"/>
          <w:szCs w:val="28"/>
        </w:rPr>
        <w:t xml:space="preserve"> </w:t>
      </w:r>
      <w:r w:rsidRPr="00873231">
        <w:rPr>
          <w:rFonts w:ascii="Times New Roman" w:hAnsi="Times New Roman" w:cs="Times New Roman"/>
          <w:sz w:val="28"/>
          <w:szCs w:val="28"/>
        </w:rPr>
        <w:t>OTA contamination often occurs during pre-harvest or poor post-harvest storage conditions, particularly in warm, humid climates that support fungal growth. The co-occurrence of OTA with other mycotoxins</w:t>
      </w:r>
      <w:r w:rsidRPr="00940E7B">
        <w:rPr>
          <w:rFonts w:ascii="Times New Roman" w:hAnsi="Times New Roman" w:cs="Times New Roman"/>
          <w:sz w:val="28"/>
          <w:szCs w:val="28"/>
        </w:rPr>
        <w:t xml:space="preserve"> (such as citrinin and </w:t>
      </w:r>
      <w:proofErr w:type="spellStart"/>
      <w:r w:rsidRPr="00940E7B">
        <w:rPr>
          <w:rFonts w:ascii="Times New Roman" w:hAnsi="Times New Roman" w:cs="Times New Roman"/>
          <w:sz w:val="28"/>
          <w:szCs w:val="28"/>
        </w:rPr>
        <w:t>fumonisins</w:t>
      </w:r>
      <w:proofErr w:type="spellEnd"/>
      <w:r w:rsidRPr="00940E7B">
        <w:rPr>
          <w:rFonts w:ascii="Times New Roman" w:hAnsi="Times New Roman" w:cs="Times New Roman"/>
          <w:sz w:val="28"/>
          <w:szCs w:val="28"/>
        </w:rPr>
        <w:t xml:space="preserve">) </w:t>
      </w:r>
      <w:r w:rsidRPr="00873231">
        <w:rPr>
          <w:rFonts w:ascii="Times New Roman" w:hAnsi="Times New Roman" w:cs="Times New Roman"/>
          <w:sz w:val="28"/>
          <w:szCs w:val="28"/>
        </w:rPr>
        <w:t>increases the health risk due to synergistic toxicity.</w:t>
      </w:r>
      <w:r w:rsidRPr="00940E7B">
        <w:rPr>
          <w:rFonts w:ascii="Times New Roman" w:hAnsi="Times New Roman" w:cs="Times New Roman"/>
          <w:sz w:val="28"/>
          <w:szCs w:val="28"/>
        </w:rPr>
        <w:t xml:space="preserve"> For instance, OTA combined with citrinin has been shown to significantly exacerbate kidney damage and oxidative stress (Zhang et al., 2021).</w:t>
      </w:r>
    </w:p>
    <w:p w14:paraId="3AC75544" w14:textId="263409CB" w:rsidR="00E453F5" w:rsidRDefault="007C1DD2" w:rsidP="007C1DD2">
      <w:pPr>
        <w:spacing w:line="480" w:lineRule="auto"/>
        <w:jc w:val="both"/>
        <w:rPr>
          <w:rFonts w:ascii="Times New Roman" w:hAnsi="Times New Roman" w:cs="Times New Roman"/>
          <w:sz w:val="28"/>
          <w:szCs w:val="28"/>
        </w:rPr>
      </w:pPr>
      <w:r w:rsidRPr="007C1DD2">
        <w:rPr>
          <w:rFonts w:ascii="Times New Roman" w:hAnsi="Times New Roman" w:cs="Times New Roman"/>
          <w:b/>
          <w:sz w:val="28"/>
          <w:szCs w:val="28"/>
        </w:rPr>
        <w:t>Citrinin</w:t>
      </w:r>
      <w:r w:rsidR="00E34BC8">
        <w:rPr>
          <w:rFonts w:ascii="Times New Roman" w:hAnsi="Times New Roman" w:cs="Times New Roman"/>
          <w:sz w:val="28"/>
          <w:szCs w:val="28"/>
        </w:rPr>
        <w:t xml:space="preserve">: </w:t>
      </w:r>
      <w:proofErr w:type="gramStart"/>
      <w:r w:rsidR="00E34BC8">
        <w:rPr>
          <w:rFonts w:ascii="Times New Roman" w:hAnsi="Times New Roman" w:cs="Times New Roman"/>
          <w:sz w:val="28"/>
          <w:szCs w:val="28"/>
        </w:rPr>
        <w:t xml:space="preserve">A </w:t>
      </w:r>
      <w:r w:rsidRPr="007C1DD2">
        <w:rPr>
          <w:rFonts w:ascii="Times New Roman" w:hAnsi="Times New Roman" w:cs="Times New Roman"/>
          <w:sz w:val="28"/>
          <w:szCs w:val="28"/>
        </w:rPr>
        <w:t xml:space="preserve"> low</w:t>
      </w:r>
      <w:proofErr w:type="gramEnd"/>
      <w:r w:rsidRPr="007C1DD2">
        <w:rPr>
          <w:rFonts w:ascii="Times New Roman" w:hAnsi="Times New Roman" w:cs="Times New Roman"/>
          <w:sz w:val="28"/>
          <w:szCs w:val="28"/>
        </w:rPr>
        <w:t xml:space="preserve"> molecular weight polyketide mycotoxin originally isolated from </w:t>
      </w:r>
      <w:r w:rsidRPr="007C1DD2">
        <w:rPr>
          <w:rFonts w:ascii="Times New Roman" w:hAnsi="Times New Roman" w:cs="Times New Roman"/>
          <w:i/>
          <w:sz w:val="28"/>
          <w:szCs w:val="28"/>
        </w:rPr>
        <w:t xml:space="preserve">Penicillium </w:t>
      </w:r>
      <w:proofErr w:type="spellStart"/>
      <w:r w:rsidRPr="007C1DD2">
        <w:rPr>
          <w:rFonts w:ascii="Times New Roman" w:hAnsi="Times New Roman" w:cs="Times New Roman"/>
          <w:i/>
          <w:sz w:val="28"/>
          <w:szCs w:val="28"/>
        </w:rPr>
        <w:t>citrinum</w:t>
      </w:r>
      <w:proofErr w:type="spellEnd"/>
      <w:r w:rsidRPr="007C1DD2">
        <w:rPr>
          <w:rFonts w:ascii="Times New Roman" w:hAnsi="Times New Roman" w:cs="Times New Roman"/>
          <w:sz w:val="28"/>
          <w:szCs w:val="28"/>
        </w:rPr>
        <w:t xml:space="preserve"> but also produced by other fungal species including </w:t>
      </w:r>
      <w:proofErr w:type="spellStart"/>
      <w:r w:rsidRPr="007C1DD2">
        <w:rPr>
          <w:rFonts w:ascii="Times New Roman" w:hAnsi="Times New Roman" w:cs="Times New Roman"/>
          <w:i/>
          <w:sz w:val="28"/>
          <w:szCs w:val="28"/>
        </w:rPr>
        <w:t>Monascus</w:t>
      </w:r>
      <w:proofErr w:type="spellEnd"/>
      <w:r w:rsidRPr="007C1DD2">
        <w:rPr>
          <w:rFonts w:ascii="Times New Roman" w:hAnsi="Times New Roman" w:cs="Times New Roman"/>
          <w:sz w:val="28"/>
          <w:szCs w:val="28"/>
        </w:rPr>
        <w:t xml:space="preserve">, </w:t>
      </w:r>
      <w:r w:rsidRPr="007C1DD2">
        <w:rPr>
          <w:rFonts w:ascii="Times New Roman" w:hAnsi="Times New Roman" w:cs="Times New Roman"/>
          <w:i/>
          <w:sz w:val="28"/>
          <w:szCs w:val="28"/>
        </w:rPr>
        <w:t>Penicillium</w:t>
      </w:r>
      <w:r w:rsidRPr="007C1DD2">
        <w:rPr>
          <w:rFonts w:ascii="Times New Roman" w:hAnsi="Times New Roman" w:cs="Times New Roman"/>
          <w:sz w:val="28"/>
          <w:szCs w:val="28"/>
        </w:rPr>
        <w:t xml:space="preserve">, and certain strains of </w:t>
      </w:r>
      <w:r w:rsidRPr="007C1DD2">
        <w:rPr>
          <w:rFonts w:ascii="Times New Roman" w:hAnsi="Times New Roman" w:cs="Times New Roman"/>
          <w:i/>
          <w:sz w:val="28"/>
          <w:szCs w:val="28"/>
        </w:rPr>
        <w:t>Aspergillus</w:t>
      </w:r>
      <w:r w:rsidRPr="007C1DD2">
        <w:rPr>
          <w:rFonts w:ascii="Times New Roman" w:hAnsi="Times New Roman" w:cs="Times New Roman"/>
          <w:sz w:val="28"/>
          <w:szCs w:val="28"/>
        </w:rPr>
        <w:t xml:space="preserve">, notably </w:t>
      </w:r>
      <w:r w:rsidRPr="007C1DD2">
        <w:rPr>
          <w:rFonts w:ascii="Times New Roman" w:hAnsi="Times New Roman" w:cs="Times New Roman"/>
          <w:i/>
          <w:sz w:val="28"/>
          <w:szCs w:val="28"/>
        </w:rPr>
        <w:t xml:space="preserve">Aspergillus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 under specific stress conditions. Citrinin is known for its </w:t>
      </w:r>
      <w:r w:rsidRPr="00873231">
        <w:rPr>
          <w:rFonts w:ascii="Times New Roman" w:hAnsi="Times New Roman" w:cs="Times New Roman"/>
          <w:sz w:val="28"/>
          <w:szCs w:val="28"/>
        </w:rPr>
        <w:t>nephrotoxic activity, causing cellular damage in the kidneys primarily through oxidative stress</w:t>
      </w:r>
      <w:r w:rsidRPr="007C1DD2">
        <w:rPr>
          <w:rFonts w:ascii="Times New Roman" w:hAnsi="Times New Roman" w:cs="Times New Roman"/>
          <w:sz w:val="28"/>
          <w:szCs w:val="28"/>
        </w:rPr>
        <w:t xml:space="preserve"> and mitochondrial dysfunction (</w:t>
      </w:r>
      <w:proofErr w:type="spellStart"/>
      <w:r w:rsidRPr="007C1DD2">
        <w:rPr>
          <w:rFonts w:ascii="Times New Roman" w:hAnsi="Times New Roman" w:cs="Times New Roman"/>
          <w:sz w:val="28"/>
          <w:szCs w:val="28"/>
        </w:rPr>
        <w:t>Mahato</w:t>
      </w:r>
      <w:proofErr w:type="spellEnd"/>
      <w:r w:rsidRPr="007C1DD2">
        <w:rPr>
          <w:rFonts w:ascii="Times New Roman" w:hAnsi="Times New Roman" w:cs="Times New Roman"/>
          <w:sz w:val="28"/>
          <w:szCs w:val="28"/>
        </w:rPr>
        <w:t xml:space="preserve"> et al., 2023).</w:t>
      </w:r>
      <w:r w:rsidR="00873231">
        <w:rPr>
          <w:rFonts w:ascii="Times New Roman" w:hAnsi="Times New Roman" w:cs="Times New Roman"/>
          <w:sz w:val="28"/>
          <w:szCs w:val="28"/>
        </w:rPr>
        <w:t xml:space="preserve"> </w:t>
      </w:r>
      <w:r w:rsidRPr="007C1DD2">
        <w:rPr>
          <w:rFonts w:ascii="Times New Roman" w:hAnsi="Times New Roman" w:cs="Times New Roman"/>
          <w:sz w:val="28"/>
          <w:szCs w:val="28"/>
        </w:rPr>
        <w:t xml:space="preserve">In terms of chemical stability, citrinin is relatively heat-stable and can persist during processing and storage of </w:t>
      </w:r>
      <w:r w:rsidRPr="007C1DD2">
        <w:rPr>
          <w:rFonts w:ascii="Times New Roman" w:hAnsi="Times New Roman" w:cs="Times New Roman"/>
          <w:sz w:val="28"/>
          <w:szCs w:val="28"/>
        </w:rPr>
        <w:lastRenderedPageBreak/>
        <w:t xml:space="preserve">food products such as rice, maize, wheat, barley, spices, and fermented items. It is </w:t>
      </w:r>
      <w:r w:rsidRPr="00071AC7">
        <w:rPr>
          <w:rFonts w:ascii="Times New Roman" w:hAnsi="Times New Roman" w:cs="Times New Roman"/>
          <w:sz w:val="28"/>
          <w:szCs w:val="28"/>
        </w:rPr>
        <w:t>often found as a co-contaminant with ochratoxin A (OTA), particularly in cereal grains and food environments prone to moisture accumulation. This co-occurrence is concerning, as citrinin and OTA are both nephrotoxic and may have synergistic toxic effects on renal and hepatic</w:t>
      </w:r>
      <w:r w:rsidRPr="007C1DD2">
        <w:rPr>
          <w:rFonts w:ascii="Times New Roman" w:hAnsi="Times New Roman" w:cs="Times New Roman"/>
          <w:sz w:val="28"/>
          <w:szCs w:val="28"/>
        </w:rPr>
        <w:t xml:space="preserve"> systems when combined (Zhang et al., 2021).</w:t>
      </w:r>
      <w:r w:rsidR="00E34BC8">
        <w:rPr>
          <w:rFonts w:ascii="Times New Roman" w:hAnsi="Times New Roman" w:cs="Times New Roman"/>
          <w:sz w:val="28"/>
          <w:szCs w:val="28"/>
        </w:rPr>
        <w:t xml:space="preserve"> </w:t>
      </w:r>
      <w:r w:rsidRPr="007C1DD2">
        <w:rPr>
          <w:rFonts w:ascii="Times New Roman" w:hAnsi="Times New Roman" w:cs="Times New Roman"/>
          <w:sz w:val="28"/>
          <w:szCs w:val="28"/>
        </w:rPr>
        <w:t xml:space="preserve">Although </w:t>
      </w:r>
      <w:r w:rsidRPr="007C1DD2">
        <w:rPr>
          <w:rFonts w:ascii="Times New Roman" w:hAnsi="Times New Roman" w:cs="Times New Roman"/>
          <w:i/>
          <w:sz w:val="28"/>
          <w:szCs w:val="28"/>
        </w:rPr>
        <w:t xml:space="preserve">Aspergillus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 is not a primary producer of citrinin, emerging studies have detected citrinin biosynthesis in certain </w:t>
      </w:r>
      <w:r w:rsidRPr="007C1DD2">
        <w:rPr>
          <w:rFonts w:ascii="Times New Roman" w:hAnsi="Times New Roman" w:cs="Times New Roman"/>
          <w:i/>
          <w:sz w:val="28"/>
          <w:szCs w:val="28"/>
        </w:rPr>
        <w:t xml:space="preserve">A.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 isolates, particularly under nutrient-limited or oxidative stress environments. Stressors such as nitrogen deprivation, high sugar concentration, or acidic pH can trigger secondary metabolite gene clusters responsible for citrinin production in non-classical producers (</w:t>
      </w:r>
      <w:proofErr w:type="spellStart"/>
      <w:r w:rsidRPr="007C1DD2">
        <w:rPr>
          <w:rFonts w:ascii="Times New Roman" w:hAnsi="Times New Roman" w:cs="Times New Roman"/>
          <w:sz w:val="28"/>
          <w:szCs w:val="28"/>
        </w:rPr>
        <w:t>Mahato</w:t>
      </w:r>
      <w:proofErr w:type="spellEnd"/>
      <w:r w:rsidRPr="007C1DD2">
        <w:rPr>
          <w:rFonts w:ascii="Times New Roman" w:hAnsi="Times New Roman" w:cs="Times New Roman"/>
          <w:sz w:val="28"/>
          <w:szCs w:val="28"/>
        </w:rPr>
        <w:t xml:space="preserve"> et al., 2023). This adaptive metabolic response is part of the fungus’s strategy to survive environmental competition or host immune responses.</w:t>
      </w:r>
      <w:r w:rsidR="00071AC7">
        <w:rPr>
          <w:rFonts w:ascii="Times New Roman" w:hAnsi="Times New Roman" w:cs="Times New Roman"/>
          <w:sz w:val="28"/>
          <w:szCs w:val="28"/>
        </w:rPr>
        <w:t xml:space="preserve"> </w:t>
      </w:r>
      <w:r w:rsidRPr="007C1DD2">
        <w:rPr>
          <w:rFonts w:ascii="Times New Roman" w:hAnsi="Times New Roman" w:cs="Times New Roman"/>
          <w:sz w:val="28"/>
          <w:szCs w:val="28"/>
        </w:rPr>
        <w:t xml:space="preserve">Toxicologically, citrinin primarily </w:t>
      </w:r>
      <w:r w:rsidRPr="00071AC7">
        <w:rPr>
          <w:rFonts w:ascii="Times New Roman" w:hAnsi="Times New Roman" w:cs="Times New Roman"/>
          <w:sz w:val="28"/>
          <w:szCs w:val="28"/>
        </w:rPr>
        <w:t xml:space="preserve">affects mitochondrial respiration, </w:t>
      </w:r>
      <w:r w:rsidRPr="007C1DD2">
        <w:rPr>
          <w:rFonts w:ascii="Times New Roman" w:hAnsi="Times New Roman" w:cs="Times New Roman"/>
          <w:sz w:val="28"/>
          <w:szCs w:val="28"/>
        </w:rPr>
        <w:t>resulting in increased production of reactive oxygen species (ROS), lipid peroxidation, and DNA fragmentation. In vitro studies have demonstrated that citrinin exposure leads to a significant reduction in cell viability in renal epithelial cells and may induce apoptosis via caspase activation pathways (Zhang et al., 2021). In vivo, chronic exposure has been linked to renal fibrosis and altered blood biochemistry in animal models.</w:t>
      </w:r>
      <w:r w:rsidR="00071AC7">
        <w:rPr>
          <w:rFonts w:ascii="Times New Roman" w:hAnsi="Times New Roman" w:cs="Times New Roman"/>
          <w:sz w:val="28"/>
          <w:szCs w:val="28"/>
        </w:rPr>
        <w:t xml:space="preserve"> </w:t>
      </w:r>
    </w:p>
    <w:p w14:paraId="0C1ED691" w14:textId="77777777" w:rsidR="007C1DD2" w:rsidRPr="007C1DD2" w:rsidRDefault="007C1DD2" w:rsidP="007C1DD2">
      <w:pPr>
        <w:spacing w:line="480" w:lineRule="auto"/>
        <w:jc w:val="both"/>
        <w:rPr>
          <w:rFonts w:ascii="Times New Roman" w:hAnsi="Times New Roman" w:cs="Times New Roman"/>
          <w:sz w:val="28"/>
          <w:szCs w:val="28"/>
        </w:rPr>
      </w:pPr>
      <w:proofErr w:type="spellStart"/>
      <w:r w:rsidRPr="007C1DD2">
        <w:rPr>
          <w:rFonts w:ascii="Times New Roman" w:hAnsi="Times New Roman" w:cs="Times New Roman"/>
          <w:b/>
          <w:sz w:val="28"/>
          <w:szCs w:val="28"/>
        </w:rPr>
        <w:lastRenderedPageBreak/>
        <w:t>Fumonisin</w:t>
      </w:r>
      <w:proofErr w:type="spellEnd"/>
      <w:r w:rsidRPr="007C1DD2">
        <w:rPr>
          <w:rFonts w:ascii="Times New Roman" w:hAnsi="Times New Roman" w:cs="Times New Roman"/>
          <w:b/>
          <w:sz w:val="28"/>
          <w:szCs w:val="28"/>
        </w:rPr>
        <w:t xml:space="preserve"> B2 (FB2)</w:t>
      </w:r>
      <w:r w:rsidR="00A60AAA">
        <w:rPr>
          <w:rFonts w:ascii="Times New Roman" w:hAnsi="Times New Roman" w:cs="Times New Roman"/>
          <w:b/>
          <w:sz w:val="28"/>
          <w:szCs w:val="28"/>
        </w:rPr>
        <w:t>:</w:t>
      </w:r>
      <w:r w:rsidRPr="007C1DD2">
        <w:rPr>
          <w:rFonts w:ascii="Times New Roman" w:hAnsi="Times New Roman" w:cs="Times New Roman"/>
          <w:sz w:val="28"/>
          <w:szCs w:val="28"/>
        </w:rPr>
        <w:t xml:space="preserve"> is a member of the </w:t>
      </w:r>
      <w:proofErr w:type="spellStart"/>
      <w:r w:rsidRPr="007C1DD2">
        <w:rPr>
          <w:rFonts w:ascii="Times New Roman" w:hAnsi="Times New Roman" w:cs="Times New Roman"/>
          <w:sz w:val="28"/>
          <w:szCs w:val="28"/>
        </w:rPr>
        <w:t>fumonisin</w:t>
      </w:r>
      <w:proofErr w:type="spellEnd"/>
      <w:r w:rsidRPr="007C1DD2">
        <w:rPr>
          <w:rFonts w:ascii="Times New Roman" w:hAnsi="Times New Roman" w:cs="Times New Roman"/>
          <w:sz w:val="28"/>
          <w:szCs w:val="28"/>
        </w:rPr>
        <w:t xml:space="preserve"> family of mycotoxins, which are structurally similar analogues primarily produced by </w:t>
      </w:r>
      <w:r w:rsidRPr="007C1DD2">
        <w:rPr>
          <w:rFonts w:ascii="Times New Roman" w:hAnsi="Times New Roman" w:cs="Times New Roman"/>
          <w:i/>
          <w:sz w:val="28"/>
          <w:szCs w:val="28"/>
        </w:rPr>
        <w:t>Fusarium</w:t>
      </w:r>
      <w:r w:rsidRPr="007C1DD2">
        <w:rPr>
          <w:rFonts w:ascii="Times New Roman" w:hAnsi="Times New Roman" w:cs="Times New Roman"/>
          <w:sz w:val="28"/>
          <w:szCs w:val="28"/>
        </w:rPr>
        <w:t xml:space="preserve"> species. However, increasing evidence over the past decade confirms that certain strains of </w:t>
      </w:r>
      <w:r w:rsidRPr="007C1DD2">
        <w:rPr>
          <w:rFonts w:ascii="Times New Roman" w:hAnsi="Times New Roman" w:cs="Times New Roman"/>
          <w:i/>
          <w:sz w:val="28"/>
          <w:szCs w:val="28"/>
        </w:rPr>
        <w:t xml:space="preserve">Aspergillus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 can also produce FB2 under conducive conditions (Kumar et al., 2023). This discovery has expanded concern over the safety of </w:t>
      </w:r>
      <w:r w:rsidRPr="007C1DD2">
        <w:rPr>
          <w:rFonts w:ascii="Times New Roman" w:hAnsi="Times New Roman" w:cs="Times New Roman"/>
          <w:i/>
          <w:sz w:val="28"/>
          <w:szCs w:val="28"/>
        </w:rPr>
        <w:t xml:space="preserve">A.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especially in food systems, as its dual role in both food fermentation and toxin production can complicate quality control and health assessments.</w:t>
      </w:r>
      <w:r w:rsidR="00A60AAA">
        <w:rPr>
          <w:rFonts w:ascii="Times New Roman" w:hAnsi="Times New Roman" w:cs="Times New Roman"/>
          <w:sz w:val="28"/>
          <w:szCs w:val="28"/>
        </w:rPr>
        <w:t xml:space="preserve"> </w:t>
      </w:r>
      <w:r w:rsidRPr="00A60AAA">
        <w:rPr>
          <w:rFonts w:ascii="Times New Roman" w:hAnsi="Times New Roman" w:cs="Times New Roman"/>
          <w:sz w:val="28"/>
          <w:szCs w:val="28"/>
        </w:rPr>
        <w:t xml:space="preserve">FB2 is a diester of </w:t>
      </w:r>
      <w:proofErr w:type="spellStart"/>
      <w:r w:rsidRPr="00A60AAA">
        <w:rPr>
          <w:rFonts w:ascii="Times New Roman" w:hAnsi="Times New Roman" w:cs="Times New Roman"/>
          <w:sz w:val="28"/>
          <w:szCs w:val="28"/>
        </w:rPr>
        <w:t>tricarballylic</w:t>
      </w:r>
      <w:proofErr w:type="spellEnd"/>
      <w:r w:rsidRPr="00A60AAA">
        <w:rPr>
          <w:rFonts w:ascii="Times New Roman" w:hAnsi="Times New Roman" w:cs="Times New Roman"/>
          <w:sz w:val="28"/>
          <w:szCs w:val="28"/>
        </w:rPr>
        <w:t xml:space="preserve"> acid and a long-chain </w:t>
      </w:r>
      <w:proofErr w:type="spellStart"/>
      <w:r w:rsidRPr="00A60AAA">
        <w:rPr>
          <w:rFonts w:ascii="Times New Roman" w:hAnsi="Times New Roman" w:cs="Times New Roman"/>
          <w:sz w:val="28"/>
          <w:szCs w:val="28"/>
        </w:rPr>
        <w:t>aminopolyol</w:t>
      </w:r>
      <w:proofErr w:type="spellEnd"/>
      <w:r w:rsidRPr="00A60AAA">
        <w:rPr>
          <w:rFonts w:ascii="Times New Roman" w:hAnsi="Times New Roman" w:cs="Times New Roman"/>
          <w:sz w:val="28"/>
          <w:szCs w:val="28"/>
        </w:rPr>
        <w:t xml:space="preserve">, </w:t>
      </w:r>
      <w:r w:rsidRPr="007C1DD2">
        <w:rPr>
          <w:rFonts w:ascii="Times New Roman" w:hAnsi="Times New Roman" w:cs="Times New Roman"/>
          <w:sz w:val="28"/>
          <w:szCs w:val="28"/>
        </w:rPr>
        <w:t xml:space="preserve">lacking the hydroxyl group found in FB1, which slightly alters its toxicity profile but maintains many of the same biological </w:t>
      </w:r>
      <w:r w:rsidRPr="00A60AAA">
        <w:rPr>
          <w:rFonts w:ascii="Times New Roman" w:hAnsi="Times New Roman" w:cs="Times New Roman"/>
          <w:sz w:val="28"/>
          <w:szCs w:val="28"/>
        </w:rPr>
        <w:t xml:space="preserve">effects. Like other </w:t>
      </w:r>
      <w:proofErr w:type="spellStart"/>
      <w:r w:rsidRPr="00A60AAA">
        <w:rPr>
          <w:rFonts w:ascii="Times New Roman" w:hAnsi="Times New Roman" w:cs="Times New Roman"/>
          <w:sz w:val="28"/>
          <w:szCs w:val="28"/>
        </w:rPr>
        <w:t>fumonisins</w:t>
      </w:r>
      <w:proofErr w:type="spellEnd"/>
      <w:r w:rsidRPr="00A60AAA">
        <w:rPr>
          <w:rFonts w:ascii="Times New Roman" w:hAnsi="Times New Roman" w:cs="Times New Roman"/>
          <w:sz w:val="28"/>
          <w:szCs w:val="28"/>
        </w:rPr>
        <w:t xml:space="preserve">, FB2 primarily exerts toxicity by inhibiting ceramide synthase, a key enzyme in the sphingolipid biosynthesis pathway. This disruption results in the accumulation of </w:t>
      </w:r>
      <w:proofErr w:type="spellStart"/>
      <w:r w:rsidRPr="00A60AAA">
        <w:rPr>
          <w:rFonts w:ascii="Times New Roman" w:hAnsi="Times New Roman" w:cs="Times New Roman"/>
          <w:sz w:val="28"/>
          <w:szCs w:val="28"/>
        </w:rPr>
        <w:t>sphinganine</w:t>
      </w:r>
      <w:proofErr w:type="spellEnd"/>
      <w:r w:rsidRPr="00A60AAA">
        <w:rPr>
          <w:rFonts w:ascii="Times New Roman" w:hAnsi="Times New Roman" w:cs="Times New Roman"/>
          <w:sz w:val="28"/>
          <w:szCs w:val="28"/>
        </w:rPr>
        <w:t xml:space="preserve"> and sphingosine, leading to cell membrane dysfunction, oxidative stress, and apoptosis (Shephard, 2022).</w:t>
      </w:r>
      <w:r w:rsidR="00A60AAA">
        <w:rPr>
          <w:rFonts w:ascii="Times New Roman" w:hAnsi="Times New Roman" w:cs="Times New Roman"/>
          <w:sz w:val="28"/>
          <w:szCs w:val="28"/>
        </w:rPr>
        <w:t xml:space="preserve"> </w:t>
      </w:r>
      <w:r w:rsidRPr="00A60AAA">
        <w:rPr>
          <w:rFonts w:ascii="Times New Roman" w:hAnsi="Times New Roman" w:cs="Times New Roman"/>
          <w:sz w:val="28"/>
          <w:szCs w:val="28"/>
        </w:rPr>
        <w:t xml:space="preserve">FB2 has been associated with hepatic and renal toxicity, as well as potential carcinogenicity and neurodevelopmental toxicity in both humans and animals. In epidemiological studies, chronic exposure to </w:t>
      </w:r>
      <w:proofErr w:type="spellStart"/>
      <w:r w:rsidRPr="00A60AAA">
        <w:rPr>
          <w:rFonts w:ascii="Times New Roman" w:hAnsi="Times New Roman" w:cs="Times New Roman"/>
          <w:sz w:val="28"/>
          <w:szCs w:val="28"/>
        </w:rPr>
        <w:t>fumonisins</w:t>
      </w:r>
      <w:proofErr w:type="spellEnd"/>
      <w:r w:rsidRPr="00A60AAA">
        <w:rPr>
          <w:rFonts w:ascii="Times New Roman" w:hAnsi="Times New Roman" w:cs="Times New Roman"/>
          <w:sz w:val="28"/>
          <w:szCs w:val="28"/>
        </w:rPr>
        <w:t xml:space="preserve"> has been linked to esophageal cancer, particularly in maize-consuming </w:t>
      </w:r>
      <w:r w:rsidRPr="007C1DD2">
        <w:rPr>
          <w:rFonts w:ascii="Times New Roman" w:hAnsi="Times New Roman" w:cs="Times New Roman"/>
          <w:sz w:val="28"/>
          <w:szCs w:val="28"/>
        </w:rPr>
        <w:t xml:space="preserve">populations in South Africa, China, and parts of South America. Although FB1 is more extensively studied, FB2 is often found alongside it and can contribute significantly to total </w:t>
      </w:r>
      <w:proofErr w:type="spellStart"/>
      <w:r w:rsidRPr="007C1DD2">
        <w:rPr>
          <w:rFonts w:ascii="Times New Roman" w:hAnsi="Times New Roman" w:cs="Times New Roman"/>
          <w:sz w:val="28"/>
          <w:szCs w:val="28"/>
        </w:rPr>
        <w:t>fumonisin</w:t>
      </w:r>
      <w:proofErr w:type="spellEnd"/>
      <w:r w:rsidRPr="007C1DD2">
        <w:rPr>
          <w:rFonts w:ascii="Times New Roman" w:hAnsi="Times New Roman" w:cs="Times New Roman"/>
          <w:sz w:val="28"/>
          <w:szCs w:val="28"/>
        </w:rPr>
        <w:t xml:space="preserve"> burden in contaminated food (Fox et al., 2023).</w:t>
      </w:r>
      <w:r w:rsidR="00A60AAA">
        <w:rPr>
          <w:rFonts w:ascii="Times New Roman" w:hAnsi="Times New Roman" w:cs="Times New Roman"/>
          <w:sz w:val="28"/>
          <w:szCs w:val="28"/>
        </w:rPr>
        <w:t xml:space="preserve"> </w:t>
      </w:r>
      <w:r w:rsidRPr="007C1DD2">
        <w:rPr>
          <w:rFonts w:ascii="Times New Roman" w:hAnsi="Times New Roman" w:cs="Times New Roman"/>
          <w:sz w:val="28"/>
          <w:szCs w:val="28"/>
        </w:rPr>
        <w:t xml:space="preserve">Recent studies have demonstrated </w:t>
      </w:r>
      <w:r w:rsidRPr="007C1DD2">
        <w:rPr>
          <w:rFonts w:ascii="Times New Roman" w:hAnsi="Times New Roman" w:cs="Times New Roman"/>
          <w:sz w:val="28"/>
          <w:szCs w:val="28"/>
        </w:rPr>
        <w:lastRenderedPageBreak/>
        <w:t xml:space="preserve">the ability of </w:t>
      </w:r>
      <w:r w:rsidRPr="007C1DD2">
        <w:rPr>
          <w:rFonts w:ascii="Times New Roman" w:hAnsi="Times New Roman" w:cs="Times New Roman"/>
          <w:i/>
          <w:sz w:val="28"/>
          <w:szCs w:val="28"/>
        </w:rPr>
        <w:t xml:space="preserve">A.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 to produce FB2 in stored agricultural products such as dried fruits, maize, coffee beans, and spices. Hussain et al. (2021) detected FB2 in </w:t>
      </w:r>
      <w:r w:rsidRPr="007C1DD2">
        <w:rPr>
          <w:rFonts w:ascii="Times New Roman" w:hAnsi="Times New Roman" w:cs="Times New Roman"/>
          <w:i/>
          <w:sz w:val="28"/>
          <w:szCs w:val="28"/>
        </w:rPr>
        <w:t xml:space="preserve">A.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-contaminated spice samples using LC-MS, while Fox et al. (2023) confirmed its production in dried fig and raisin samples under laboratory fermentation conditions. These findings are significant because </w:t>
      </w:r>
      <w:r w:rsidRPr="007C1DD2">
        <w:rPr>
          <w:rFonts w:ascii="Times New Roman" w:hAnsi="Times New Roman" w:cs="Times New Roman"/>
          <w:i/>
          <w:sz w:val="28"/>
          <w:szCs w:val="28"/>
        </w:rPr>
        <w:t xml:space="preserve">A.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 is often used intentionally in industrial fermentations for enzyme and acid production, and FB2 contamination may go unnoticed if routine screening is not conducted.</w:t>
      </w:r>
      <w:r w:rsidR="00A60AAA">
        <w:rPr>
          <w:rFonts w:ascii="Times New Roman" w:hAnsi="Times New Roman" w:cs="Times New Roman"/>
          <w:sz w:val="28"/>
          <w:szCs w:val="28"/>
        </w:rPr>
        <w:t xml:space="preserve"> </w:t>
      </w:r>
      <w:proofErr w:type="spellStart"/>
      <w:r w:rsidRPr="007C1DD2">
        <w:rPr>
          <w:rFonts w:ascii="Times New Roman" w:hAnsi="Times New Roman" w:cs="Times New Roman"/>
          <w:sz w:val="28"/>
          <w:szCs w:val="28"/>
        </w:rPr>
        <w:t>Fumonisin</w:t>
      </w:r>
      <w:proofErr w:type="spellEnd"/>
      <w:r w:rsidRPr="007C1DD2">
        <w:rPr>
          <w:rFonts w:ascii="Times New Roman" w:hAnsi="Times New Roman" w:cs="Times New Roman"/>
          <w:sz w:val="28"/>
          <w:szCs w:val="28"/>
        </w:rPr>
        <w:t xml:space="preserve"> </w:t>
      </w:r>
      <w:r w:rsidRPr="00A60AAA">
        <w:rPr>
          <w:rFonts w:ascii="Times New Roman" w:hAnsi="Times New Roman" w:cs="Times New Roman"/>
          <w:sz w:val="28"/>
          <w:szCs w:val="28"/>
        </w:rPr>
        <w:t>B2 is heat-stable and may persist during cooking or processing, especially in dry</w:t>
      </w:r>
      <w:r w:rsidRPr="007C1DD2">
        <w:rPr>
          <w:rFonts w:ascii="Times New Roman" w:hAnsi="Times New Roman" w:cs="Times New Roman"/>
          <w:sz w:val="28"/>
          <w:szCs w:val="28"/>
        </w:rPr>
        <w:t xml:space="preserve"> foods. Regulatory guidelines for FB2 are not as widely established as for FB1, but some regions—including the European Union—group FB1, FB2, and FB3 together in maximum residue limits (EFSA, 2022).</w:t>
      </w:r>
      <w:r w:rsidR="00A60AAA">
        <w:rPr>
          <w:rFonts w:ascii="Times New Roman" w:hAnsi="Times New Roman" w:cs="Times New Roman"/>
          <w:sz w:val="28"/>
          <w:szCs w:val="28"/>
        </w:rPr>
        <w:t xml:space="preserve"> </w:t>
      </w:r>
      <w:r w:rsidRPr="007C1DD2">
        <w:rPr>
          <w:rFonts w:ascii="Times New Roman" w:hAnsi="Times New Roman" w:cs="Times New Roman"/>
          <w:sz w:val="28"/>
          <w:szCs w:val="28"/>
        </w:rPr>
        <w:t xml:space="preserve">Like other mycotoxins produced by </w:t>
      </w:r>
      <w:r w:rsidRPr="007C1DD2">
        <w:rPr>
          <w:rFonts w:ascii="Times New Roman" w:hAnsi="Times New Roman" w:cs="Times New Roman"/>
          <w:i/>
          <w:sz w:val="28"/>
          <w:szCs w:val="28"/>
        </w:rPr>
        <w:t xml:space="preserve">A. </w:t>
      </w:r>
      <w:proofErr w:type="spellStart"/>
      <w:r w:rsidRPr="007C1DD2">
        <w:rPr>
          <w:rFonts w:ascii="Times New Roman" w:hAnsi="Times New Roman" w:cs="Times New Roman"/>
          <w:i/>
          <w:sz w:val="28"/>
          <w:szCs w:val="28"/>
        </w:rPr>
        <w:t>niger</w:t>
      </w:r>
      <w:proofErr w:type="spellEnd"/>
      <w:r w:rsidRPr="007C1DD2">
        <w:rPr>
          <w:rFonts w:ascii="Times New Roman" w:hAnsi="Times New Roman" w:cs="Times New Roman"/>
          <w:sz w:val="28"/>
          <w:szCs w:val="28"/>
        </w:rPr>
        <w:t xml:space="preserve">, FB2 can co-occur with ochratoxin A and citrinin, especially in humid or nutrient-rich environments. </w:t>
      </w:r>
      <w:proofErr w:type="spellStart"/>
      <w:r w:rsidRPr="007C1DD2">
        <w:rPr>
          <w:rFonts w:ascii="Times New Roman" w:hAnsi="Times New Roman" w:cs="Times New Roman"/>
          <w:sz w:val="28"/>
          <w:szCs w:val="28"/>
        </w:rPr>
        <w:t>Mahato</w:t>
      </w:r>
      <w:proofErr w:type="spellEnd"/>
      <w:r w:rsidRPr="007C1DD2">
        <w:rPr>
          <w:rFonts w:ascii="Times New Roman" w:hAnsi="Times New Roman" w:cs="Times New Roman"/>
          <w:sz w:val="28"/>
          <w:szCs w:val="28"/>
        </w:rPr>
        <w:t xml:space="preserve"> et al. (2023) reported synergistic toxicity in vitro when FB2 was combined with OTA, with marked increases in oxidative stress and mitochondrial damage.</w:t>
      </w:r>
    </w:p>
    <w:p w14:paraId="161A2962" w14:textId="77777777" w:rsidR="00A60AAA" w:rsidRPr="00A60AAA" w:rsidRDefault="007C1DD2" w:rsidP="00A60AAA">
      <w:pPr>
        <w:spacing w:line="480" w:lineRule="auto"/>
        <w:jc w:val="both"/>
        <w:rPr>
          <w:rFonts w:ascii="Times New Roman" w:hAnsi="Times New Roman" w:cs="Times New Roman"/>
          <w:b/>
          <w:sz w:val="28"/>
          <w:szCs w:val="28"/>
        </w:rPr>
      </w:pPr>
      <w:r w:rsidRPr="007C1DD2">
        <w:rPr>
          <w:rFonts w:ascii="Times New Roman" w:hAnsi="Times New Roman" w:cs="Times New Roman"/>
          <w:sz w:val="28"/>
          <w:szCs w:val="28"/>
        </w:rPr>
        <w:t xml:space="preserve"> </w:t>
      </w:r>
      <w:r w:rsidR="00A60AAA" w:rsidRPr="00A60AAA">
        <w:rPr>
          <w:rFonts w:ascii="Times New Roman" w:hAnsi="Times New Roman" w:cs="Times New Roman"/>
          <w:b/>
          <w:sz w:val="28"/>
          <w:szCs w:val="28"/>
        </w:rPr>
        <w:t>Co-occurrence and Synergistic Toxicity</w:t>
      </w:r>
    </w:p>
    <w:p w14:paraId="04B24AA1" w14:textId="77777777" w:rsidR="00A60AAA" w:rsidRDefault="00A60AAA" w:rsidP="00A60AAA">
      <w:pPr>
        <w:spacing w:line="480" w:lineRule="auto"/>
        <w:jc w:val="both"/>
        <w:rPr>
          <w:rFonts w:ascii="Times New Roman" w:hAnsi="Times New Roman" w:cs="Times New Roman"/>
          <w:sz w:val="28"/>
          <w:szCs w:val="28"/>
        </w:rPr>
      </w:pPr>
      <w:r w:rsidRPr="00B42B05">
        <w:rPr>
          <w:rFonts w:ascii="Times New Roman" w:hAnsi="Times New Roman" w:cs="Times New Roman"/>
          <w:i/>
          <w:sz w:val="28"/>
          <w:szCs w:val="28"/>
        </w:rPr>
        <w:t xml:space="preserve">Aspergillus </w:t>
      </w:r>
      <w:proofErr w:type="spellStart"/>
      <w:r w:rsidRPr="00B42B05">
        <w:rPr>
          <w:rFonts w:ascii="Times New Roman" w:hAnsi="Times New Roman" w:cs="Times New Roman"/>
          <w:i/>
          <w:sz w:val="28"/>
          <w:szCs w:val="28"/>
        </w:rPr>
        <w:t>niger</w:t>
      </w:r>
      <w:proofErr w:type="spellEnd"/>
      <w:r w:rsidRPr="00A60AAA">
        <w:rPr>
          <w:rFonts w:ascii="Times New Roman" w:hAnsi="Times New Roman" w:cs="Times New Roman"/>
          <w:sz w:val="28"/>
          <w:szCs w:val="28"/>
        </w:rPr>
        <w:t xml:space="preserve"> has been increasingly recognized for its capacity to produce more than one mycotoxin simultaneously, particularly under stress conditions such as high humidity, nutrient imbalance, or oxidative stress. This multi-toxin profile poses a significant challenge for food safety monitoring and toxicological </w:t>
      </w:r>
      <w:r w:rsidRPr="00A60AAA">
        <w:rPr>
          <w:rFonts w:ascii="Times New Roman" w:hAnsi="Times New Roman" w:cs="Times New Roman"/>
          <w:sz w:val="28"/>
          <w:szCs w:val="28"/>
        </w:rPr>
        <w:lastRenderedPageBreak/>
        <w:t>assessment (</w:t>
      </w:r>
      <w:proofErr w:type="spellStart"/>
      <w:r w:rsidRPr="00A60AAA">
        <w:rPr>
          <w:rFonts w:ascii="Times New Roman" w:hAnsi="Times New Roman" w:cs="Times New Roman"/>
          <w:sz w:val="28"/>
          <w:szCs w:val="28"/>
        </w:rPr>
        <w:t>Mahato</w:t>
      </w:r>
      <w:proofErr w:type="spellEnd"/>
      <w:r w:rsidRPr="00A60AAA">
        <w:rPr>
          <w:rFonts w:ascii="Times New Roman" w:hAnsi="Times New Roman" w:cs="Times New Roman"/>
          <w:sz w:val="28"/>
          <w:szCs w:val="28"/>
        </w:rPr>
        <w:t xml:space="preserve"> et al., 2023).</w:t>
      </w:r>
      <w:r w:rsidR="00B42B05">
        <w:rPr>
          <w:rFonts w:ascii="Times New Roman" w:hAnsi="Times New Roman" w:cs="Times New Roman"/>
          <w:sz w:val="28"/>
          <w:szCs w:val="28"/>
        </w:rPr>
        <w:t xml:space="preserve"> </w:t>
      </w:r>
      <w:r w:rsidRPr="00A60AAA">
        <w:rPr>
          <w:rFonts w:ascii="Times New Roman" w:hAnsi="Times New Roman" w:cs="Times New Roman"/>
          <w:sz w:val="28"/>
          <w:szCs w:val="28"/>
        </w:rPr>
        <w:t>While individual mycotox</w:t>
      </w:r>
      <w:r w:rsidR="00B42B05">
        <w:rPr>
          <w:rFonts w:ascii="Times New Roman" w:hAnsi="Times New Roman" w:cs="Times New Roman"/>
          <w:sz w:val="28"/>
          <w:szCs w:val="28"/>
        </w:rPr>
        <w:t>ins are toxic individually</w:t>
      </w:r>
      <w:r w:rsidRPr="00A60AAA">
        <w:rPr>
          <w:rFonts w:ascii="Times New Roman" w:hAnsi="Times New Roman" w:cs="Times New Roman"/>
          <w:sz w:val="28"/>
          <w:szCs w:val="28"/>
        </w:rPr>
        <w:t xml:space="preserve">, studies have shown that when present together, their combined effects can be additive, synergistic, or occasionally antagonistic. A synergistic interaction implies that the combined toxicity exceeds the sum of their individual effects, leading to more severe damage at lower concentrations. In vitro and in vivo studies have shown that combinations of OTA and citrinin result in elevated levels of oxidative stress, mitochondrial dysfunction, and lipid peroxidation in kidney and liver tissues (Zhang et al., 2021; </w:t>
      </w:r>
      <w:proofErr w:type="spellStart"/>
      <w:r w:rsidRPr="00A60AAA">
        <w:rPr>
          <w:rFonts w:ascii="Times New Roman" w:hAnsi="Times New Roman" w:cs="Times New Roman"/>
          <w:sz w:val="28"/>
          <w:szCs w:val="28"/>
        </w:rPr>
        <w:t>Mahato</w:t>
      </w:r>
      <w:proofErr w:type="spellEnd"/>
      <w:r w:rsidRPr="00A60AAA">
        <w:rPr>
          <w:rFonts w:ascii="Times New Roman" w:hAnsi="Times New Roman" w:cs="Times New Roman"/>
          <w:sz w:val="28"/>
          <w:szCs w:val="28"/>
        </w:rPr>
        <w:t xml:space="preserve"> et al., 2023). Such combined exposure can also dysregulate gene expression related to detoxification enzymes, weakening cellular defense mechanisms.</w:t>
      </w:r>
      <w:r w:rsidR="00B42B05">
        <w:rPr>
          <w:rFonts w:ascii="Times New Roman" w:hAnsi="Times New Roman" w:cs="Times New Roman"/>
          <w:sz w:val="28"/>
          <w:szCs w:val="28"/>
        </w:rPr>
        <w:t xml:space="preserve"> A study by </w:t>
      </w:r>
      <w:proofErr w:type="spellStart"/>
      <w:r w:rsidRPr="00A60AAA">
        <w:rPr>
          <w:rFonts w:ascii="Times New Roman" w:hAnsi="Times New Roman" w:cs="Times New Roman"/>
          <w:sz w:val="28"/>
          <w:szCs w:val="28"/>
        </w:rPr>
        <w:t>Mahato</w:t>
      </w:r>
      <w:proofErr w:type="spellEnd"/>
      <w:r w:rsidRPr="00A60AAA">
        <w:rPr>
          <w:rFonts w:ascii="Times New Roman" w:hAnsi="Times New Roman" w:cs="Times New Roman"/>
          <w:sz w:val="28"/>
          <w:szCs w:val="28"/>
        </w:rPr>
        <w:t xml:space="preserve"> et al. (2023) reported that co-administration of OTA and citrinin to mammalian cell lines led to significantly reduced cell viability and increased production of reactive oxygen species (ROS), compared to cells exposed to each toxin alone. Likewise, Hussain et al. (2021) found that spice samples co-contaminated with OTA and </w:t>
      </w:r>
      <w:proofErr w:type="spellStart"/>
      <w:r w:rsidRPr="00A60AAA">
        <w:rPr>
          <w:rFonts w:ascii="Times New Roman" w:hAnsi="Times New Roman" w:cs="Times New Roman"/>
          <w:sz w:val="28"/>
          <w:szCs w:val="28"/>
        </w:rPr>
        <w:t>fumonisin</w:t>
      </w:r>
      <w:proofErr w:type="spellEnd"/>
      <w:r w:rsidRPr="00A60AAA">
        <w:rPr>
          <w:rFonts w:ascii="Times New Roman" w:hAnsi="Times New Roman" w:cs="Times New Roman"/>
          <w:sz w:val="28"/>
          <w:szCs w:val="28"/>
        </w:rPr>
        <w:t xml:space="preserve"> B2 exhibited a heightened genotoxic response in cell-based assays, suggesting that even low-level contamination could have amplified health consequences.</w:t>
      </w:r>
      <w:r w:rsidR="00B42B05">
        <w:rPr>
          <w:rFonts w:ascii="Times New Roman" w:hAnsi="Times New Roman" w:cs="Times New Roman"/>
          <w:sz w:val="28"/>
          <w:szCs w:val="28"/>
        </w:rPr>
        <w:t xml:space="preserve"> </w:t>
      </w:r>
      <w:r w:rsidRPr="00A60AAA">
        <w:rPr>
          <w:rFonts w:ascii="Times New Roman" w:hAnsi="Times New Roman" w:cs="Times New Roman"/>
          <w:sz w:val="28"/>
          <w:szCs w:val="28"/>
        </w:rPr>
        <w:t>These co-exposure risks are compounded by the stability of these toxins, which allows them to survive typical cooking and food-processing treatments. Moreover, they may occur in the same co</w:t>
      </w:r>
      <w:r w:rsidR="00B42B05">
        <w:rPr>
          <w:rFonts w:ascii="Times New Roman" w:hAnsi="Times New Roman" w:cs="Times New Roman"/>
          <w:sz w:val="28"/>
          <w:szCs w:val="28"/>
        </w:rPr>
        <w:t xml:space="preserve">ntaminated substrates </w:t>
      </w:r>
      <w:r w:rsidRPr="00A60AAA">
        <w:rPr>
          <w:rFonts w:ascii="Times New Roman" w:hAnsi="Times New Roman" w:cs="Times New Roman"/>
          <w:sz w:val="28"/>
          <w:szCs w:val="28"/>
        </w:rPr>
        <w:t>such as maize</w:t>
      </w:r>
      <w:r w:rsidR="00B42B05">
        <w:rPr>
          <w:rFonts w:ascii="Times New Roman" w:hAnsi="Times New Roman" w:cs="Times New Roman"/>
          <w:sz w:val="28"/>
          <w:szCs w:val="28"/>
        </w:rPr>
        <w:t xml:space="preserve">, dried fruits, coffee, or nuts </w:t>
      </w:r>
      <w:r w:rsidRPr="00A60AAA">
        <w:rPr>
          <w:rFonts w:ascii="Times New Roman" w:hAnsi="Times New Roman" w:cs="Times New Roman"/>
          <w:sz w:val="28"/>
          <w:szCs w:val="28"/>
        </w:rPr>
        <w:t xml:space="preserve">without </w:t>
      </w:r>
      <w:r w:rsidRPr="00A60AAA">
        <w:rPr>
          <w:rFonts w:ascii="Times New Roman" w:hAnsi="Times New Roman" w:cs="Times New Roman"/>
          <w:sz w:val="28"/>
          <w:szCs w:val="28"/>
        </w:rPr>
        <w:lastRenderedPageBreak/>
        <w:t>visible signs of spoilage, making detection and control difficult in informal food supply chains.</w:t>
      </w:r>
    </w:p>
    <w:p w14:paraId="46E5B48A" w14:textId="0204A2EF" w:rsidR="00B42B05" w:rsidRDefault="00B42B05" w:rsidP="00B42B05">
      <w:pPr>
        <w:spacing w:line="480" w:lineRule="auto"/>
        <w:jc w:val="both"/>
        <w:rPr>
          <w:rFonts w:ascii="Times New Roman" w:hAnsi="Times New Roman" w:cs="Times New Roman"/>
          <w:b/>
          <w:i/>
          <w:sz w:val="28"/>
          <w:szCs w:val="28"/>
        </w:rPr>
      </w:pPr>
      <w:r w:rsidRPr="00B42B05">
        <w:rPr>
          <w:rFonts w:ascii="Times New Roman" w:hAnsi="Times New Roman" w:cs="Times New Roman"/>
          <w:b/>
          <w:sz w:val="28"/>
          <w:szCs w:val="28"/>
        </w:rPr>
        <w:t xml:space="preserve">1.6 Health Implications of Mycotoxins Produced by </w:t>
      </w:r>
      <w:r w:rsidRPr="00B42B05">
        <w:rPr>
          <w:rFonts w:ascii="Times New Roman" w:hAnsi="Times New Roman" w:cs="Times New Roman"/>
          <w:b/>
          <w:i/>
          <w:sz w:val="28"/>
          <w:szCs w:val="28"/>
        </w:rPr>
        <w:t xml:space="preserve">Aspergillus </w:t>
      </w:r>
      <w:proofErr w:type="spellStart"/>
      <w:r w:rsidRPr="00B42B05">
        <w:rPr>
          <w:rFonts w:ascii="Times New Roman" w:hAnsi="Times New Roman" w:cs="Times New Roman"/>
          <w:b/>
          <w:i/>
          <w:sz w:val="28"/>
          <w:szCs w:val="28"/>
        </w:rPr>
        <w:t>niger</w:t>
      </w:r>
      <w:proofErr w:type="spellEnd"/>
    </w:p>
    <w:p w14:paraId="7E96EAE2" w14:textId="06EB5743" w:rsidR="00B42B05" w:rsidRDefault="00B42B05" w:rsidP="00B42B05">
      <w:pPr>
        <w:spacing w:line="480" w:lineRule="auto"/>
        <w:jc w:val="both"/>
        <w:rPr>
          <w:rFonts w:ascii="Times New Roman" w:hAnsi="Times New Roman" w:cs="Times New Roman"/>
          <w:sz w:val="28"/>
          <w:szCs w:val="28"/>
        </w:rPr>
      </w:pPr>
      <w:r w:rsidRPr="00B42B05">
        <w:rPr>
          <w:rFonts w:ascii="Times New Roman" w:hAnsi="Times New Roman" w:cs="Times New Roman"/>
          <w:i/>
          <w:sz w:val="28"/>
          <w:szCs w:val="28"/>
        </w:rPr>
        <w:t xml:space="preserve">Aspergillus </w:t>
      </w:r>
      <w:proofErr w:type="spellStart"/>
      <w:r w:rsidRPr="00B42B05">
        <w:rPr>
          <w:rFonts w:ascii="Times New Roman" w:hAnsi="Times New Roman" w:cs="Times New Roman"/>
          <w:i/>
          <w:sz w:val="28"/>
          <w:szCs w:val="28"/>
        </w:rPr>
        <w:t>niger</w:t>
      </w:r>
      <w:proofErr w:type="spellEnd"/>
      <w:r>
        <w:rPr>
          <w:rFonts w:ascii="Times New Roman" w:hAnsi="Times New Roman" w:cs="Times New Roman"/>
          <w:sz w:val="28"/>
          <w:szCs w:val="28"/>
        </w:rPr>
        <w:t xml:space="preserve"> is </w:t>
      </w:r>
      <w:r w:rsidRPr="00B42B05">
        <w:rPr>
          <w:rFonts w:ascii="Times New Roman" w:hAnsi="Times New Roman" w:cs="Times New Roman"/>
          <w:sz w:val="28"/>
          <w:szCs w:val="28"/>
        </w:rPr>
        <w:t xml:space="preserve">known to produce several toxic secondary metabolites, notably ochratoxin A (OTA), </w:t>
      </w:r>
      <w:proofErr w:type="spellStart"/>
      <w:r w:rsidRPr="00B42B05">
        <w:rPr>
          <w:rFonts w:ascii="Times New Roman" w:hAnsi="Times New Roman" w:cs="Times New Roman"/>
          <w:sz w:val="28"/>
          <w:szCs w:val="28"/>
        </w:rPr>
        <w:t>fumonisin</w:t>
      </w:r>
      <w:proofErr w:type="spellEnd"/>
      <w:r w:rsidRPr="00B42B05">
        <w:rPr>
          <w:rFonts w:ascii="Times New Roman" w:hAnsi="Times New Roman" w:cs="Times New Roman"/>
          <w:sz w:val="28"/>
          <w:szCs w:val="28"/>
        </w:rPr>
        <w:t xml:space="preserve"> B2 (FB2), and citrinin. These mycotoxins pose significant health risks to both humans and animals when exposure occurs via ingestion, inhalation, or dermal contact. Contamination typically arises under poor storage conditions or from improper handling of food products, particularly in warm and humid environments.</w:t>
      </w:r>
      <w:r>
        <w:rPr>
          <w:rFonts w:ascii="Times New Roman" w:hAnsi="Times New Roman" w:cs="Times New Roman"/>
          <w:sz w:val="28"/>
          <w:szCs w:val="28"/>
        </w:rPr>
        <w:t xml:space="preserve"> Among these toxins, </w:t>
      </w:r>
      <w:proofErr w:type="gramStart"/>
      <w:r>
        <w:rPr>
          <w:rFonts w:ascii="Times New Roman" w:hAnsi="Times New Roman" w:cs="Times New Roman"/>
          <w:sz w:val="28"/>
          <w:szCs w:val="28"/>
        </w:rPr>
        <w:t xml:space="preserve">ochratoxin </w:t>
      </w:r>
      <w:r w:rsidRPr="00B42B05">
        <w:rPr>
          <w:rFonts w:ascii="Times New Roman" w:hAnsi="Times New Roman" w:cs="Times New Roman"/>
          <w:sz w:val="28"/>
          <w:szCs w:val="28"/>
        </w:rPr>
        <w:t xml:space="preserve"> is</w:t>
      </w:r>
      <w:proofErr w:type="gramEnd"/>
      <w:r w:rsidRPr="00B42B05">
        <w:rPr>
          <w:rFonts w:ascii="Times New Roman" w:hAnsi="Times New Roman" w:cs="Times New Roman"/>
          <w:sz w:val="28"/>
          <w:szCs w:val="28"/>
        </w:rPr>
        <w:t xml:space="preserve"> one of the most extensively studied due to its wide occurrence and severe toxicological profile. It is a potent nephrotoxin, immunosuppressant, and possible carcinogen. The International Agency for Research on Cancer (IARC) classifies OTA as a Group 2B compound—possibly carcinogenic to humans. OTA tends to accumulate in the kidneys where it interferes with protein synthesis and DNA repair mechanisms, potentially leading to renal tumors and chronic kidney disease. In human populations, OTA exposure is frequently linked to consumption of contaminated cereals, coffee, and dried fruits. Recent studies, such as those by Milicevic et al. (2021) and Cao et al. (2022), highlight the vulnerability of infants and immunocompromised individuals to OTA, especially in regions where food safety regulations are weak or inconsistently enforced.</w:t>
      </w:r>
      <w:r w:rsidR="00FB384F">
        <w:rPr>
          <w:rFonts w:ascii="Times New Roman" w:hAnsi="Times New Roman" w:cs="Times New Roman"/>
          <w:sz w:val="28"/>
          <w:szCs w:val="28"/>
        </w:rPr>
        <w:t xml:space="preserve"> </w:t>
      </w:r>
      <w:proofErr w:type="spellStart"/>
      <w:r w:rsidRPr="00B42B05">
        <w:rPr>
          <w:rFonts w:ascii="Times New Roman" w:hAnsi="Times New Roman" w:cs="Times New Roman"/>
          <w:sz w:val="28"/>
          <w:szCs w:val="28"/>
        </w:rPr>
        <w:t>Fumonisin</w:t>
      </w:r>
      <w:proofErr w:type="spellEnd"/>
      <w:r w:rsidRPr="00B42B05">
        <w:rPr>
          <w:rFonts w:ascii="Times New Roman" w:hAnsi="Times New Roman" w:cs="Times New Roman"/>
          <w:sz w:val="28"/>
          <w:szCs w:val="28"/>
        </w:rPr>
        <w:t xml:space="preserve"> B2, while less </w:t>
      </w:r>
      <w:r w:rsidRPr="00B42B05">
        <w:rPr>
          <w:rFonts w:ascii="Times New Roman" w:hAnsi="Times New Roman" w:cs="Times New Roman"/>
          <w:sz w:val="28"/>
          <w:szCs w:val="28"/>
        </w:rPr>
        <w:lastRenderedPageBreak/>
        <w:t xml:space="preserve">extensively researched than its analog </w:t>
      </w:r>
      <w:proofErr w:type="spellStart"/>
      <w:r w:rsidRPr="00B42B05">
        <w:rPr>
          <w:rFonts w:ascii="Times New Roman" w:hAnsi="Times New Roman" w:cs="Times New Roman"/>
          <w:sz w:val="28"/>
          <w:szCs w:val="28"/>
        </w:rPr>
        <w:t>fumonisin</w:t>
      </w:r>
      <w:proofErr w:type="spellEnd"/>
      <w:r w:rsidRPr="00B42B05">
        <w:rPr>
          <w:rFonts w:ascii="Times New Roman" w:hAnsi="Times New Roman" w:cs="Times New Roman"/>
          <w:sz w:val="28"/>
          <w:szCs w:val="28"/>
        </w:rPr>
        <w:t xml:space="preserve"> B1, exhibits comparable structural and functional toxicity. It primarily disrupts sphingolipid metabolism, a critical component of cell membrane integrity and signaling. This disruption can result in apoptosis, organ failure, and has been associated with liver and kidney toxicity, as well as neural tube defects in animal models. Though direct human evidence remains limited, chronic exposure is suspected to contribute to esophageal cancer in populations with high maize consumption, particularly in parts of sub-Saharan Africa and Asia (Righetti et al., 2021; EFSA, 2022). As climate change and inadequate storage continue to promote fungal proliferation in food crops, the threat posed by </w:t>
      </w:r>
      <w:proofErr w:type="spellStart"/>
      <w:r w:rsidRPr="00B42B05">
        <w:rPr>
          <w:rFonts w:ascii="Times New Roman" w:hAnsi="Times New Roman" w:cs="Times New Roman"/>
          <w:sz w:val="28"/>
          <w:szCs w:val="28"/>
        </w:rPr>
        <w:t>fumonisin</w:t>
      </w:r>
      <w:proofErr w:type="spellEnd"/>
      <w:r w:rsidRPr="00B42B05">
        <w:rPr>
          <w:rFonts w:ascii="Times New Roman" w:hAnsi="Times New Roman" w:cs="Times New Roman"/>
          <w:sz w:val="28"/>
          <w:szCs w:val="28"/>
        </w:rPr>
        <w:t xml:space="preserve"> B2 is likely to increase.</w:t>
      </w:r>
      <w:r w:rsidR="00FB384F">
        <w:rPr>
          <w:rFonts w:ascii="Times New Roman" w:hAnsi="Times New Roman" w:cs="Times New Roman"/>
          <w:sz w:val="28"/>
          <w:szCs w:val="28"/>
        </w:rPr>
        <w:t xml:space="preserve"> </w:t>
      </w:r>
      <w:r w:rsidRPr="00B42B05">
        <w:rPr>
          <w:rFonts w:ascii="Times New Roman" w:hAnsi="Times New Roman" w:cs="Times New Roman"/>
          <w:sz w:val="28"/>
          <w:szCs w:val="28"/>
        </w:rPr>
        <w:t xml:space="preserve">Citrinin, another important mycotoxin produced by </w:t>
      </w:r>
      <w:r w:rsidRPr="00B42B05">
        <w:rPr>
          <w:rFonts w:ascii="Times New Roman" w:hAnsi="Times New Roman" w:cs="Times New Roman"/>
          <w:i/>
          <w:sz w:val="28"/>
          <w:szCs w:val="28"/>
        </w:rPr>
        <w:t xml:space="preserve">A. </w:t>
      </w:r>
      <w:proofErr w:type="spellStart"/>
      <w:r w:rsidRPr="00B42B05">
        <w:rPr>
          <w:rFonts w:ascii="Times New Roman" w:hAnsi="Times New Roman" w:cs="Times New Roman"/>
          <w:i/>
          <w:sz w:val="28"/>
          <w:szCs w:val="28"/>
        </w:rPr>
        <w:t>niger</w:t>
      </w:r>
      <w:proofErr w:type="spellEnd"/>
      <w:r w:rsidRPr="00B42B05">
        <w:rPr>
          <w:rFonts w:ascii="Times New Roman" w:hAnsi="Times New Roman" w:cs="Times New Roman"/>
          <w:sz w:val="28"/>
          <w:szCs w:val="28"/>
        </w:rPr>
        <w:t xml:space="preserve">, is primarily known for its nephrotoxic and hepatotoxic effects. It interferes with mitochondrial function, induces oxidative stress, and causes DNA damage, often triggering cell death in renal and hepatic tissues. When citrinin occurs simultaneously with OTA, as is often the case, the </w:t>
      </w:r>
      <w:r w:rsidR="00FB384F">
        <w:rPr>
          <w:rFonts w:ascii="Times New Roman" w:hAnsi="Times New Roman" w:cs="Times New Roman"/>
          <w:sz w:val="28"/>
          <w:szCs w:val="28"/>
        </w:rPr>
        <w:t xml:space="preserve">toxic effects are amplified due </w:t>
      </w:r>
      <w:r w:rsidRPr="00B42B05">
        <w:rPr>
          <w:rFonts w:ascii="Times New Roman" w:hAnsi="Times New Roman" w:cs="Times New Roman"/>
          <w:sz w:val="28"/>
          <w:szCs w:val="28"/>
        </w:rPr>
        <w:t xml:space="preserve">to synergistic interactions. Studies, including those by </w:t>
      </w:r>
      <w:proofErr w:type="spellStart"/>
      <w:r w:rsidRPr="00B42B05">
        <w:rPr>
          <w:rFonts w:ascii="Times New Roman" w:hAnsi="Times New Roman" w:cs="Times New Roman"/>
          <w:sz w:val="28"/>
          <w:szCs w:val="28"/>
        </w:rPr>
        <w:t>Mahato</w:t>
      </w:r>
      <w:proofErr w:type="spellEnd"/>
      <w:r w:rsidRPr="00B42B05">
        <w:rPr>
          <w:rFonts w:ascii="Times New Roman" w:hAnsi="Times New Roman" w:cs="Times New Roman"/>
          <w:sz w:val="28"/>
          <w:szCs w:val="28"/>
        </w:rPr>
        <w:t xml:space="preserve"> et al. (2023), suggest that this combination significantly worsens kidney damage. Moreover, citrinin has demonstrated immunosuppressive and teratogenic effects in animal studies, prompting regulatory agencies to advocate for stricter surveillance.</w:t>
      </w:r>
      <w:r w:rsidR="00FB384F">
        <w:rPr>
          <w:rFonts w:ascii="Times New Roman" w:hAnsi="Times New Roman" w:cs="Times New Roman"/>
          <w:sz w:val="28"/>
          <w:szCs w:val="28"/>
        </w:rPr>
        <w:t xml:space="preserve"> </w:t>
      </w:r>
      <w:r w:rsidRPr="00B42B05">
        <w:rPr>
          <w:rFonts w:ascii="Times New Roman" w:hAnsi="Times New Roman" w:cs="Times New Roman"/>
          <w:sz w:val="28"/>
          <w:szCs w:val="28"/>
        </w:rPr>
        <w:t xml:space="preserve">A growing body of literature emphasizes the public health concern surrounding co-exposure to multiple mycotoxins. When two or more toxins coexist </w:t>
      </w:r>
      <w:r w:rsidRPr="00B42B05">
        <w:rPr>
          <w:rFonts w:ascii="Times New Roman" w:hAnsi="Times New Roman" w:cs="Times New Roman"/>
          <w:sz w:val="28"/>
          <w:szCs w:val="28"/>
        </w:rPr>
        <w:lastRenderedPageBreak/>
        <w:t xml:space="preserve">in the same food product, their toxic effects may be additive or even synergistic. For instance, combined exposure to OTA and citrinin results in more severe nephrotoxicity than either compound alone. Such interactions are especially concerning in regions where poor storage practices and inadequate food safety controls facilitate widespread mycotoxin contamination. In addition to dietary risks, occupational exposure to </w:t>
      </w:r>
      <w:r w:rsidRPr="00B42B05">
        <w:rPr>
          <w:rFonts w:ascii="Times New Roman" w:hAnsi="Times New Roman" w:cs="Times New Roman"/>
          <w:i/>
          <w:sz w:val="28"/>
          <w:szCs w:val="28"/>
        </w:rPr>
        <w:t xml:space="preserve">A. </w:t>
      </w:r>
      <w:proofErr w:type="spellStart"/>
      <w:r w:rsidRPr="00B42B05">
        <w:rPr>
          <w:rFonts w:ascii="Times New Roman" w:hAnsi="Times New Roman" w:cs="Times New Roman"/>
          <w:i/>
          <w:sz w:val="28"/>
          <w:szCs w:val="28"/>
        </w:rPr>
        <w:t>niger</w:t>
      </w:r>
      <w:proofErr w:type="spellEnd"/>
      <w:r w:rsidRPr="00B42B05">
        <w:rPr>
          <w:rFonts w:ascii="Times New Roman" w:hAnsi="Times New Roman" w:cs="Times New Roman"/>
          <w:sz w:val="28"/>
          <w:szCs w:val="28"/>
        </w:rPr>
        <w:t xml:space="preserve"> spores and associated mycotoxins presents another major health challenge. Workers in agricultural settings, food processing industries, and waste management facilities are often exposed to airborne spores and contaminated dust. This exposure has been linked to respiratory illnesses, allergic reactions, and chronic conditions like hypersensitivity pneumonitis. Individuals with preexisting conditions such as asthma or compromised immunity are particularly susceptible (</w:t>
      </w:r>
      <w:proofErr w:type="spellStart"/>
      <w:r w:rsidRPr="00B42B05">
        <w:rPr>
          <w:rFonts w:ascii="Times New Roman" w:hAnsi="Times New Roman" w:cs="Times New Roman"/>
          <w:sz w:val="28"/>
          <w:szCs w:val="28"/>
        </w:rPr>
        <w:t>Baldin</w:t>
      </w:r>
      <w:proofErr w:type="spellEnd"/>
      <w:r w:rsidRPr="00B42B05">
        <w:rPr>
          <w:rFonts w:ascii="Times New Roman" w:hAnsi="Times New Roman" w:cs="Times New Roman"/>
          <w:sz w:val="28"/>
          <w:szCs w:val="28"/>
        </w:rPr>
        <w:t xml:space="preserve"> &amp; Valdes, 2020).</w:t>
      </w:r>
      <w:r w:rsidR="00FB384F">
        <w:rPr>
          <w:rFonts w:ascii="Times New Roman" w:hAnsi="Times New Roman" w:cs="Times New Roman"/>
          <w:sz w:val="28"/>
          <w:szCs w:val="28"/>
        </w:rPr>
        <w:t xml:space="preserve"> </w:t>
      </w:r>
      <w:r w:rsidRPr="00B42B05">
        <w:rPr>
          <w:rFonts w:ascii="Times New Roman" w:hAnsi="Times New Roman" w:cs="Times New Roman"/>
          <w:sz w:val="28"/>
          <w:szCs w:val="28"/>
        </w:rPr>
        <w:t xml:space="preserve">A major concern regarding these mycotoxins is their heat stability. Unlike many microbial contaminants that are destroyed during cooking, mycotoxins such as OTA, FB2, and citrinin remain intact and toxic after typical food processing. This means that even cooked or dried foods can retain dangerous levels of contamination, posing long-term health risks. Chronic exposure has been associated with serious outcomes, including cancers, immune dysfunction, developmental delays in children, and increased vulnerability to infections. Studies by EFSA (2022) and Kumar et al. (2023) reinforce the need </w:t>
      </w:r>
      <w:r w:rsidRPr="00B42B05">
        <w:rPr>
          <w:rFonts w:ascii="Times New Roman" w:hAnsi="Times New Roman" w:cs="Times New Roman"/>
          <w:sz w:val="28"/>
          <w:szCs w:val="28"/>
        </w:rPr>
        <w:lastRenderedPageBreak/>
        <w:t>for integrated approaches involving regular food testing, improved agricultural practices, and public health education to minimize exposure.</w:t>
      </w:r>
    </w:p>
    <w:p w14:paraId="7EBDCDB8" w14:textId="77777777" w:rsidR="00883215" w:rsidRPr="00883215" w:rsidRDefault="00883215" w:rsidP="00883215">
      <w:pPr>
        <w:spacing w:line="480" w:lineRule="auto"/>
        <w:jc w:val="both"/>
        <w:rPr>
          <w:rFonts w:ascii="Times New Roman" w:hAnsi="Times New Roman" w:cs="Times New Roman"/>
          <w:b/>
          <w:sz w:val="28"/>
          <w:szCs w:val="28"/>
        </w:rPr>
      </w:pPr>
      <w:r w:rsidRPr="00883215">
        <w:rPr>
          <w:rFonts w:ascii="Times New Roman" w:hAnsi="Times New Roman" w:cs="Times New Roman"/>
          <w:b/>
          <w:sz w:val="28"/>
          <w:szCs w:val="28"/>
        </w:rPr>
        <w:t xml:space="preserve">1.7 Detection and Quantification of </w:t>
      </w:r>
      <w:r w:rsidRPr="00883215">
        <w:rPr>
          <w:rFonts w:ascii="Times New Roman" w:hAnsi="Times New Roman" w:cs="Times New Roman"/>
          <w:b/>
          <w:i/>
          <w:sz w:val="28"/>
          <w:szCs w:val="28"/>
        </w:rPr>
        <w:t xml:space="preserve">Aspergillus </w:t>
      </w:r>
      <w:proofErr w:type="spellStart"/>
      <w:r w:rsidRPr="00883215">
        <w:rPr>
          <w:rFonts w:ascii="Times New Roman" w:hAnsi="Times New Roman" w:cs="Times New Roman"/>
          <w:b/>
          <w:i/>
          <w:sz w:val="28"/>
          <w:szCs w:val="28"/>
        </w:rPr>
        <w:t>niger</w:t>
      </w:r>
      <w:proofErr w:type="spellEnd"/>
      <w:r w:rsidRPr="00883215">
        <w:rPr>
          <w:rFonts w:ascii="Times New Roman" w:hAnsi="Times New Roman" w:cs="Times New Roman"/>
          <w:b/>
          <w:sz w:val="28"/>
          <w:szCs w:val="28"/>
        </w:rPr>
        <w:t xml:space="preserve"> Mycotoxins </w:t>
      </w:r>
    </w:p>
    <w:p w14:paraId="6BC52499" w14:textId="7DBDBCAA" w:rsidR="00883215" w:rsidRPr="00883215" w:rsidRDefault="00883215" w:rsidP="00883215">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such as ochratoxin A (OTA),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and citrinin, 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value.</w:t>
      </w:r>
      <w:r w:rsidR="00E34BC8">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w:t>
      </w:r>
      <w:r w:rsidRPr="00883215">
        <w:rPr>
          <w:rFonts w:ascii="Times New Roman" w:hAnsi="Times New Roman" w:cs="Times New Roman"/>
          <w:sz w:val="28"/>
          <w:szCs w:val="28"/>
        </w:rPr>
        <w:lastRenderedPageBreak/>
        <w:t xml:space="preserve">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p>
    <w:p w14:paraId="0519E6F7" w14:textId="77777777" w:rsidR="00883215" w:rsidRPr="00883215" w:rsidRDefault="00883215" w:rsidP="00883215">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p>
    <w:p w14:paraId="4DBE3C10" w14:textId="77777777" w:rsidR="00883215" w:rsidRDefault="00883215" w:rsidP="00883215">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pks. Zhang et al. (2021) demonstrated that qPCR results </w:t>
      </w:r>
      <w:r w:rsidRPr="00883215">
        <w:rPr>
          <w:rFonts w:ascii="Times New Roman" w:hAnsi="Times New Roman" w:cs="Times New Roman"/>
          <w:sz w:val="28"/>
          <w:szCs w:val="28"/>
        </w:rPr>
        <w:lastRenderedPageBreak/>
        <w:t>correlated positively with LC-MS/MS 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sidR="000575A4">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sidR="000575A4">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sidR="000575A4">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p>
    <w:p w14:paraId="4172EE44" w14:textId="77777777" w:rsidR="00E34BC8" w:rsidRDefault="00E34BC8" w:rsidP="00883215">
      <w:pPr>
        <w:spacing w:line="480" w:lineRule="auto"/>
        <w:jc w:val="both"/>
        <w:rPr>
          <w:rFonts w:ascii="Times New Roman" w:hAnsi="Times New Roman" w:cs="Times New Roman"/>
          <w:b/>
          <w:sz w:val="28"/>
          <w:szCs w:val="28"/>
        </w:rPr>
      </w:pPr>
    </w:p>
    <w:p w14:paraId="161323B5" w14:textId="72FBD04C" w:rsidR="000575A4" w:rsidRPr="000575A4" w:rsidRDefault="000575A4" w:rsidP="00883215">
      <w:pPr>
        <w:spacing w:line="480" w:lineRule="auto"/>
        <w:jc w:val="both"/>
        <w:rPr>
          <w:rFonts w:ascii="Times New Roman" w:hAnsi="Times New Roman" w:cs="Times New Roman"/>
          <w:b/>
          <w:sz w:val="28"/>
          <w:szCs w:val="28"/>
        </w:rPr>
      </w:pPr>
      <w:r w:rsidRPr="00E43285">
        <w:rPr>
          <w:rFonts w:ascii="Times New Roman" w:hAnsi="Times New Roman" w:cs="Times New Roman"/>
          <w:b/>
          <w:sz w:val="28"/>
          <w:szCs w:val="28"/>
        </w:rPr>
        <w:lastRenderedPageBreak/>
        <w:t>Aims and Objective of the Research</w:t>
      </w:r>
    </w:p>
    <w:p w14:paraId="774D8DD3" w14:textId="77777777"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 xml:space="preserve">This study aims to examine the potency of its toxins </w:t>
      </w:r>
      <w:proofErr w:type="gramStart"/>
      <w:r>
        <w:rPr>
          <w:rFonts w:ascii="Times New Roman" w:eastAsia="Calibri" w:hAnsi="Times New Roman"/>
          <w:color w:val="252525"/>
          <w:sz w:val="28"/>
          <w:szCs w:val="28"/>
        </w:rPr>
        <w:t>through  laboratory</w:t>
      </w:r>
      <w:proofErr w:type="gramEnd"/>
      <w:r>
        <w:rPr>
          <w:rFonts w:ascii="Times New Roman" w:eastAsia="Calibri" w:hAnsi="Times New Roman"/>
          <w:color w:val="252525"/>
          <w:sz w:val="28"/>
          <w:szCs w:val="28"/>
        </w:rPr>
        <w:t xml:space="preserve"> analysis and experimental testing.</w:t>
      </w:r>
    </w:p>
    <w:p w14:paraId="7546C4E5" w14:textId="7777777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AEB29A1" w14:textId="6EEAAA06" w:rsidR="00462973" w:rsidRDefault="00462973" w:rsidP="00462973">
      <w:pPr>
        <w:spacing w:line="480" w:lineRule="auto"/>
        <w:jc w:val="both"/>
        <w:rPr>
          <w:rFonts w:ascii="Times New Roman" w:eastAsia="Calibri" w:hAnsi="Times New Roman"/>
          <w:color w:val="252525"/>
          <w:sz w:val="28"/>
          <w:szCs w:val="28"/>
        </w:rPr>
      </w:pPr>
    </w:p>
    <w:p w14:paraId="3B8994E7" w14:textId="28222AFA" w:rsidR="00462973" w:rsidRDefault="00462973" w:rsidP="00462973">
      <w:pPr>
        <w:spacing w:line="480" w:lineRule="auto"/>
        <w:jc w:val="both"/>
        <w:rPr>
          <w:rFonts w:ascii="Times New Roman" w:eastAsia="Calibri" w:hAnsi="Times New Roman"/>
          <w:color w:val="252525"/>
          <w:sz w:val="28"/>
          <w:szCs w:val="28"/>
        </w:rPr>
      </w:pPr>
    </w:p>
    <w:p w14:paraId="41D7701E" w14:textId="00F50AB1" w:rsidR="00462973" w:rsidRDefault="00462973" w:rsidP="00462973">
      <w:pPr>
        <w:spacing w:line="480" w:lineRule="auto"/>
        <w:jc w:val="both"/>
        <w:rPr>
          <w:rFonts w:ascii="Times New Roman" w:eastAsia="Calibri" w:hAnsi="Times New Roman"/>
          <w:color w:val="252525"/>
          <w:sz w:val="28"/>
          <w:szCs w:val="28"/>
        </w:rPr>
      </w:pPr>
    </w:p>
    <w:p w14:paraId="53A7C8F8" w14:textId="66D5B36D" w:rsidR="00462973" w:rsidRDefault="00462973" w:rsidP="00462973">
      <w:pPr>
        <w:spacing w:line="480" w:lineRule="auto"/>
        <w:jc w:val="both"/>
        <w:rPr>
          <w:rFonts w:ascii="Times New Roman" w:eastAsia="Calibri" w:hAnsi="Times New Roman"/>
          <w:color w:val="252525"/>
          <w:sz w:val="28"/>
          <w:szCs w:val="28"/>
        </w:rPr>
      </w:pPr>
    </w:p>
    <w:p w14:paraId="2F514007" w14:textId="5B1227CE" w:rsidR="00462973" w:rsidRDefault="00462973" w:rsidP="00462973">
      <w:pPr>
        <w:spacing w:line="480" w:lineRule="auto"/>
        <w:jc w:val="both"/>
        <w:rPr>
          <w:rFonts w:ascii="Times New Roman" w:eastAsia="Calibri" w:hAnsi="Times New Roman"/>
          <w:color w:val="252525"/>
          <w:sz w:val="28"/>
          <w:szCs w:val="28"/>
        </w:rPr>
      </w:pPr>
    </w:p>
    <w:p w14:paraId="628DECD0" w14:textId="79C2E5BD" w:rsidR="00462973" w:rsidRDefault="00462973" w:rsidP="00462973">
      <w:pPr>
        <w:spacing w:line="480" w:lineRule="auto"/>
        <w:jc w:val="both"/>
        <w:rPr>
          <w:rFonts w:ascii="Times New Roman" w:eastAsia="Calibri" w:hAnsi="Times New Roman"/>
          <w:color w:val="252525"/>
          <w:sz w:val="28"/>
          <w:szCs w:val="28"/>
        </w:rPr>
      </w:pPr>
    </w:p>
    <w:p w14:paraId="44F47F5E" w14:textId="72C70ECA" w:rsidR="00462973" w:rsidRDefault="00462973"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77777777"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4F50F7E6"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and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w:t>
      </w:r>
      <w:r>
        <w:rPr>
          <w:rFonts w:ascii="Times New Roman" w:hAnsi="Times New Roman" w:cs="Times New Roman"/>
          <w:sz w:val="28"/>
          <w:szCs w:val="28"/>
        </w:rPr>
        <w:lastRenderedPageBreak/>
        <w:t>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7777777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and gently stirred.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77777777" w:rsidR="00462973" w:rsidRPr="00821FD4" w:rsidRDefault="00462973"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The rotten cashew was rinsed with distilled water and the decayed part was homogenized in 10ml of sterile distilled water using a sterile inoculating loop and thoroughly agitated for some minute to ensure even mixing to give 10</w:t>
      </w:r>
      <w:r w:rsidRPr="0096091E">
        <w:rPr>
          <w:rFonts w:ascii="Times New Roman" w:hAnsi="Times New Roman" w:cs="Times New Roman"/>
          <w:sz w:val="28"/>
          <w:szCs w:val="28"/>
          <w:vertAlign w:val="superscript"/>
        </w:rPr>
        <w:t>-2</w:t>
      </w:r>
      <w:r>
        <w:rPr>
          <w:rFonts w:ascii="Times New Roman" w:hAnsi="Times New Roman" w:cs="Times New Roman"/>
          <w:sz w:val="28"/>
          <w:szCs w:val="28"/>
        </w:rPr>
        <w:t xml:space="preserve"> dilution, further dilution were made  up to</w:t>
      </w:r>
      <w:r>
        <w:rPr>
          <w:rFonts w:ascii="Arial" w:eastAsia="Arial" w:hAnsi="Arial" w:cs="Arial"/>
          <w:color w:val="252525"/>
          <w:sz w:val="47"/>
        </w:rPr>
        <w:t xml:space="preserve"> </w:t>
      </w:r>
      <w:r w:rsidRPr="007E3C13">
        <w:rPr>
          <w:rFonts w:ascii="Times New Roman" w:eastAsia="Arial" w:hAnsi="Times New Roman" w:cs="Times New Roman"/>
          <w:color w:val="252525"/>
          <w:sz w:val="28"/>
          <w:szCs w:val="28"/>
        </w:rPr>
        <w:t>10</w:t>
      </w:r>
      <w:r w:rsidRPr="0096091E">
        <w:rPr>
          <w:rFonts w:ascii="Times New Roman" w:eastAsia="Arial" w:hAnsi="Times New Roman" w:cs="Times New Roman"/>
          <w:color w:val="252525"/>
          <w:sz w:val="28"/>
          <w:szCs w:val="28"/>
          <w:vertAlign w:val="superscript"/>
        </w:rPr>
        <w:t>⁻3</w:t>
      </w:r>
      <w:r>
        <w:rPr>
          <w:rFonts w:ascii="Times New Roman" w:eastAsia="Arial" w:hAnsi="Times New Roman" w:cs="Times New Roman"/>
          <w:color w:val="252525"/>
          <w:sz w:val="28"/>
          <w:szCs w:val="28"/>
        </w:rPr>
        <w:t xml:space="preserve"> then </w:t>
      </w:r>
      <w:r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Pr>
          <w:rFonts w:ascii="Times New Roman" w:eastAsia="Arial" w:hAnsi="Times New Roman" w:cs="Times New Roman"/>
          <w:color w:val="252525"/>
          <w:sz w:val="28"/>
          <w:szCs w:val="28"/>
        </w:rPr>
        <w:t>3</w:t>
      </w:r>
      <w:r w:rsidRPr="007E3C13">
        <w:rPr>
          <w:rFonts w:ascii="Times New Roman" w:eastAsia="Arial" w:hAnsi="Times New Roman" w:cs="Times New Roman"/>
          <w:color w:val="252525"/>
          <w:sz w:val="28"/>
          <w:szCs w:val="28"/>
        </w:rPr>
        <w:t xml:space="preserve"> to </w:t>
      </w:r>
      <w:r>
        <w:rPr>
          <w:rFonts w:ascii="Times New Roman" w:eastAsia="Arial" w:hAnsi="Times New Roman" w:cs="Times New Roman"/>
          <w:color w:val="252525"/>
          <w:sz w:val="28"/>
          <w:szCs w:val="28"/>
        </w:rPr>
        <w:t>5</w:t>
      </w:r>
      <w:r w:rsidRPr="007E3C13">
        <w:rPr>
          <w:rFonts w:ascii="Times New Roman" w:eastAsia="Arial" w:hAnsi="Times New Roman" w:cs="Times New Roman"/>
          <w:color w:val="252525"/>
          <w:sz w:val="28"/>
          <w:szCs w:val="28"/>
        </w:rPr>
        <w:t xml:space="preserve"> days</w:t>
      </w:r>
      <w:r>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lastRenderedPageBreak/>
        <w:t>2.</w:t>
      </w:r>
      <w:r>
        <w:rPr>
          <w:rFonts w:ascii="Times New Roman" w:hAnsi="Times New Roman" w:cs="Times New Roman"/>
          <w:b/>
          <w:sz w:val="28"/>
          <w:szCs w:val="28"/>
        </w:rPr>
        <w:t>3.2 Morphological Characteristics of Isolates</w:t>
      </w:r>
    </w:p>
    <w:p w14:paraId="6AED5276" w14:textId="755D7DFC"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p>
    <w:p w14:paraId="2D815A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p>
    <w:p w14:paraId="56686ED3" w14:textId="77777777" w:rsidR="00462973" w:rsidRPr="006F1558" w:rsidRDefault="00462973" w:rsidP="00462973">
      <w:pPr>
        <w:pStyle w:val="ListParagraph"/>
        <w:numPr>
          <w:ilvl w:val="0"/>
          <w:numId w:val="5"/>
        </w:numPr>
        <w:spacing w:after="160" w:line="480" w:lineRule="auto"/>
        <w:jc w:val="both"/>
        <w:rPr>
          <w:rFonts w:ascii="Times New Roman" w:hAnsi="Times New Roman" w:cs="Times New Roman"/>
          <w:b/>
          <w:sz w:val="28"/>
          <w:szCs w:val="28"/>
        </w:rPr>
      </w:pPr>
      <w:r w:rsidRPr="006F1558">
        <w:rPr>
          <w:rFonts w:ascii="Times New Roman" w:hAnsi="Times New Roman" w:cs="Times New Roman"/>
          <w:b/>
          <w:sz w:val="28"/>
          <w:szCs w:val="28"/>
        </w:rPr>
        <w:t>Lactophenol Cotton Blue Stain</w:t>
      </w:r>
    </w:p>
    <w:p w14:paraId="7F708724" w14:textId="77777777" w:rsidR="00462973" w:rsidRPr="006F1558" w:rsidRDefault="00462973" w:rsidP="00462973">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conidiophores terminating in globose vesicles with biseriate 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Pr="006F1558">
        <w:rPr>
          <w:rFonts w:ascii="Times New Roman" w:hAnsi="Times New Roman" w:cs="Times New Roman"/>
          <w:sz w:val="28"/>
          <w:szCs w:val="28"/>
        </w:rPr>
        <w:t xml:space="preserve">. </w:t>
      </w: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77777777"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w:t>
      </w:r>
      <w:r w:rsidRPr="00BB68BB">
        <w:rPr>
          <w:rFonts w:ascii="Times New Roman" w:hAnsi="Times New Roman" w:cs="Times New Roman"/>
          <w:sz w:val="28"/>
          <w:szCs w:val="28"/>
        </w:rPr>
        <w:lastRenderedPageBreak/>
        <w:t xml:space="preserve">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lastRenderedPageBreak/>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6 days for signs of change in physical appearance, behavior, feeding pattern, and body weight. Daily parameters such as body weight, activeness, </w:t>
      </w:r>
      <w:r>
        <w:rPr>
          <w:rFonts w:ascii="Times New Roman" w:hAnsi="Times New Roman" w:cs="Times New Roman"/>
          <w:sz w:val="28"/>
          <w:szCs w:val="28"/>
        </w:rPr>
        <w:lastRenderedPageBreak/>
        <w:t>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4C176ED" w14:textId="1EB712FA"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six day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p>
    <w:p w14:paraId="705FBFFB" w14:textId="2455051C" w:rsidR="00462973" w:rsidRDefault="00462973" w:rsidP="00462973">
      <w:pPr>
        <w:spacing w:line="480" w:lineRule="auto"/>
        <w:jc w:val="both"/>
        <w:rPr>
          <w:rFonts w:ascii="Times New Roman" w:hAnsi="Times New Roman" w:cs="Times New Roman"/>
          <w:sz w:val="28"/>
          <w:szCs w:val="28"/>
        </w:rPr>
      </w:pPr>
    </w:p>
    <w:p w14:paraId="6CB1BFA3" w14:textId="7A11C074" w:rsidR="00462973" w:rsidRDefault="00462973" w:rsidP="00462973">
      <w:pPr>
        <w:spacing w:line="480" w:lineRule="auto"/>
        <w:jc w:val="both"/>
        <w:rPr>
          <w:rFonts w:ascii="Times New Roman" w:hAnsi="Times New Roman" w:cs="Times New Roman"/>
          <w:sz w:val="28"/>
          <w:szCs w:val="28"/>
        </w:rPr>
      </w:pPr>
    </w:p>
    <w:p w14:paraId="1611263E" w14:textId="2AF4D4FE" w:rsidR="00462973" w:rsidRDefault="00462973" w:rsidP="00462973">
      <w:pPr>
        <w:spacing w:line="480" w:lineRule="auto"/>
        <w:jc w:val="both"/>
        <w:rPr>
          <w:rFonts w:ascii="Times New Roman" w:hAnsi="Times New Roman" w:cs="Times New Roman"/>
          <w:sz w:val="28"/>
          <w:szCs w:val="28"/>
        </w:rPr>
      </w:pPr>
    </w:p>
    <w:p w14:paraId="0D9BDE28" w14:textId="2FA65BC1" w:rsidR="00462973" w:rsidRDefault="00462973" w:rsidP="00462973">
      <w:pPr>
        <w:spacing w:line="480" w:lineRule="auto"/>
        <w:jc w:val="both"/>
        <w:rPr>
          <w:rFonts w:ascii="Times New Roman" w:hAnsi="Times New Roman" w:cs="Times New Roman"/>
          <w:sz w:val="28"/>
          <w:szCs w:val="28"/>
        </w:rPr>
      </w:pPr>
    </w:p>
    <w:p w14:paraId="1C1ACFEF" w14:textId="4BA7CEFA" w:rsidR="00462973" w:rsidRDefault="00462973" w:rsidP="00462973">
      <w:pPr>
        <w:spacing w:line="480" w:lineRule="auto"/>
        <w:jc w:val="both"/>
        <w:rPr>
          <w:rFonts w:ascii="Times New Roman" w:hAnsi="Times New Roman" w:cs="Times New Roman"/>
          <w:sz w:val="28"/>
          <w:szCs w:val="28"/>
        </w:rPr>
      </w:pPr>
    </w:p>
    <w:p w14:paraId="7FBC2DC6" w14:textId="713506C7" w:rsidR="00462973" w:rsidRDefault="00462973" w:rsidP="00462973">
      <w:pPr>
        <w:spacing w:line="480" w:lineRule="auto"/>
        <w:jc w:val="both"/>
        <w:rPr>
          <w:rFonts w:ascii="Times New Roman" w:hAnsi="Times New Roman" w:cs="Times New Roman"/>
          <w:sz w:val="28"/>
          <w:szCs w:val="28"/>
        </w:rPr>
      </w:pPr>
    </w:p>
    <w:p w14:paraId="1A51F841" w14:textId="55ADA81C" w:rsidR="00462973" w:rsidRDefault="00462973" w:rsidP="00462973">
      <w:pPr>
        <w:spacing w:line="480" w:lineRule="auto"/>
        <w:jc w:val="both"/>
        <w:rPr>
          <w:rFonts w:ascii="Times New Roman" w:hAnsi="Times New Roman" w:cs="Times New Roman"/>
          <w:sz w:val="28"/>
          <w:szCs w:val="28"/>
        </w:rPr>
      </w:pPr>
    </w:p>
    <w:p w14:paraId="0217137E" w14:textId="4A5369AB" w:rsidR="00462973" w:rsidRDefault="00462973" w:rsidP="00462973">
      <w:pPr>
        <w:spacing w:line="480" w:lineRule="auto"/>
        <w:jc w:val="both"/>
        <w:rPr>
          <w:rFonts w:ascii="Times New Roman" w:hAnsi="Times New Roman" w:cs="Times New Roman"/>
          <w:sz w:val="28"/>
          <w:szCs w:val="28"/>
        </w:rPr>
      </w:pPr>
    </w:p>
    <w:p w14:paraId="7D0994FE" w14:textId="73A5DD3D" w:rsidR="00462973" w:rsidRDefault="00462973" w:rsidP="00462973">
      <w:pPr>
        <w:spacing w:line="480" w:lineRule="auto"/>
        <w:jc w:val="both"/>
        <w:rPr>
          <w:rFonts w:ascii="Times New Roman" w:hAnsi="Times New Roman" w:cs="Times New Roman"/>
          <w:sz w:val="28"/>
          <w:szCs w:val="28"/>
        </w:rPr>
      </w:pPr>
    </w:p>
    <w:p w14:paraId="34E02635" w14:textId="16269D24" w:rsidR="00462973" w:rsidRDefault="00462973" w:rsidP="00462973">
      <w:pPr>
        <w:spacing w:line="480" w:lineRule="auto"/>
        <w:jc w:val="both"/>
        <w:rPr>
          <w:rFonts w:ascii="Times New Roman" w:hAnsi="Times New Roman" w:cs="Times New Roman"/>
          <w:sz w:val="28"/>
          <w:szCs w:val="28"/>
        </w:rPr>
      </w:pPr>
    </w:p>
    <w:p w14:paraId="125D6138" w14:textId="77777777"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57A188B"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E32CE6">
        <w:rPr>
          <w:rFonts w:ascii="Times New Roman" w:hAnsi="Times New Roman" w:cs="Times New Roman"/>
          <w:b/>
          <w:sz w:val="28"/>
          <w:szCs w:val="28"/>
        </w:rPr>
        <w:t>Table 1</w:t>
      </w:r>
    </w:p>
    <w:p w14:paraId="2DD945DE" w14:textId="5A3ACA8B"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Characterization and Identification of Fungal Isolate</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7AA24218" w14:textId="677A2616"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6">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35BC9DF4" w14:textId="77777777" w:rsidR="00DD34A1" w:rsidRDefault="00DD34A1" w:rsidP="00DD34A1">
      <w:pPr>
        <w:spacing w:line="240" w:lineRule="auto"/>
        <w:jc w:val="both"/>
        <w:rPr>
          <w:rFonts w:ascii="Times New Roman" w:hAnsi="Times New Roman" w:cs="Times New Roman"/>
          <w:sz w:val="28"/>
          <w:szCs w:val="28"/>
        </w:rPr>
      </w:pPr>
    </w:p>
    <w:p w14:paraId="62B88AEB" w14:textId="77777777" w:rsidR="00DD34A1" w:rsidRDefault="00DD34A1" w:rsidP="00DD34A1">
      <w:pPr>
        <w:spacing w:line="240" w:lineRule="auto"/>
        <w:jc w:val="both"/>
        <w:rPr>
          <w:rFonts w:ascii="Times New Roman" w:hAnsi="Times New Roman" w:cs="Times New Roman"/>
          <w:sz w:val="28"/>
          <w:szCs w:val="28"/>
        </w:rPr>
      </w:pPr>
    </w:p>
    <w:p w14:paraId="21F46222" w14:textId="20045EE0" w:rsidR="00BE71EB" w:rsidRDefault="00DD34A1"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Table 2:</w:t>
      </w:r>
    </w:p>
    <w:p w14:paraId="583B1B38" w14:textId="319702BA" w:rsidR="00DD34A1" w:rsidRDefault="00DD34A1" w:rsidP="00DD34A1">
      <w:pPr>
        <w:spacing w:line="240" w:lineRule="auto"/>
        <w:jc w:val="both"/>
        <w:rPr>
          <w:rFonts w:ascii="Times New Roman" w:hAnsi="Times New Roman" w:cs="Times New Roman"/>
          <w:i/>
          <w:sz w:val="28"/>
          <w:szCs w:val="28"/>
        </w:rPr>
      </w:pPr>
      <w:r w:rsidRPr="00DD34A1">
        <w:rPr>
          <w:rFonts w:ascii="Times New Roman" w:hAnsi="Times New Roman" w:cs="Times New Roman"/>
          <w:i/>
          <w:sz w:val="28"/>
          <w:szCs w:val="28"/>
        </w:rPr>
        <w:t xml:space="preserve">Wistar rat identification for different toxin conc. </w:t>
      </w:r>
      <w:r>
        <w:rPr>
          <w:rFonts w:ascii="Times New Roman" w:hAnsi="Times New Roman" w:cs="Times New Roman"/>
          <w:i/>
          <w:sz w:val="28"/>
          <w:szCs w:val="28"/>
        </w:rPr>
        <w:t>Inoculation</w:t>
      </w:r>
    </w:p>
    <w:tbl>
      <w:tblPr>
        <w:tblStyle w:val="TableGrid"/>
        <w:tblW w:w="10548" w:type="dxa"/>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4164"/>
      </w:tblGrid>
      <w:tr w:rsidR="00DD34A1" w14:paraId="6E3B636B" w14:textId="77777777" w:rsidTr="00DD34A1">
        <w:tc>
          <w:tcPr>
            <w:tcW w:w="3192" w:type="dxa"/>
          </w:tcPr>
          <w:p w14:paraId="387E06BE" w14:textId="0671C33E" w:rsidR="00DD34A1" w:rsidRDefault="00DD34A1" w:rsidP="00DD34A1">
            <w:pPr>
              <w:rPr>
                <w:rFonts w:ascii="Times New Roman" w:hAnsi="Times New Roman" w:cs="Times New Roman"/>
                <w:sz w:val="28"/>
                <w:szCs w:val="28"/>
              </w:rPr>
            </w:pPr>
            <w:r>
              <w:rPr>
                <w:rFonts w:ascii="Times New Roman" w:hAnsi="Times New Roman" w:cs="Times New Roman"/>
                <w:sz w:val="28"/>
                <w:szCs w:val="28"/>
              </w:rPr>
              <w:t>Rat ID</w:t>
            </w:r>
          </w:p>
        </w:tc>
        <w:tc>
          <w:tcPr>
            <w:tcW w:w="3192" w:type="dxa"/>
          </w:tcPr>
          <w:p w14:paraId="55D5789F" w14:textId="26240AFB" w:rsidR="00DD34A1" w:rsidRDefault="00DD34A1" w:rsidP="00DD34A1">
            <w:pPr>
              <w:jc w:val="center"/>
              <w:rPr>
                <w:rFonts w:ascii="Times New Roman" w:hAnsi="Times New Roman" w:cs="Times New Roman"/>
                <w:sz w:val="28"/>
                <w:szCs w:val="28"/>
              </w:rPr>
            </w:pP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code</w:t>
            </w:r>
          </w:p>
        </w:tc>
        <w:tc>
          <w:tcPr>
            <w:tcW w:w="4164" w:type="dxa"/>
          </w:tcPr>
          <w:p w14:paraId="79813E2E" w14:textId="41ECA6D2"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 xml:space="preserve">Conc. </w:t>
            </w:r>
            <w:proofErr w:type="spellStart"/>
            <w:r>
              <w:rPr>
                <w:rFonts w:ascii="Times New Roman" w:hAnsi="Times New Roman" w:cs="Times New Roman"/>
                <w:sz w:val="28"/>
                <w:szCs w:val="28"/>
              </w:rPr>
              <w:t>adminstered</w:t>
            </w:r>
            <w:proofErr w:type="spellEnd"/>
          </w:p>
        </w:tc>
      </w:tr>
      <w:tr w:rsidR="00DD34A1" w14:paraId="23DC36CE" w14:textId="77777777" w:rsidTr="00DD34A1">
        <w:tc>
          <w:tcPr>
            <w:tcW w:w="3192" w:type="dxa"/>
          </w:tcPr>
          <w:p w14:paraId="25B20649" w14:textId="5CB64784" w:rsidR="00DD34A1" w:rsidRDefault="00DD34A1" w:rsidP="00DD34A1">
            <w:pPr>
              <w:rPr>
                <w:rFonts w:ascii="Times New Roman" w:hAnsi="Times New Roman" w:cs="Times New Roman"/>
                <w:sz w:val="28"/>
                <w:szCs w:val="28"/>
              </w:rPr>
            </w:pPr>
            <w:r>
              <w:rPr>
                <w:rFonts w:ascii="Times New Roman" w:hAnsi="Times New Roman" w:cs="Times New Roman"/>
                <w:sz w:val="28"/>
                <w:szCs w:val="28"/>
              </w:rPr>
              <w:t>Rat 1</w:t>
            </w:r>
          </w:p>
          <w:p w14:paraId="57E26D3E" w14:textId="38FCDAE1" w:rsidR="00DD34A1" w:rsidRDefault="00DD34A1" w:rsidP="00DD34A1">
            <w:pPr>
              <w:rPr>
                <w:rFonts w:ascii="Times New Roman" w:hAnsi="Times New Roman" w:cs="Times New Roman"/>
                <w:sz w:val="28"/>
                <w:szCs w:val="28"/>
              </w:rPr>
            </w:pPr>
            <w:r>
              <w:rPr>
                <w:rFonts w:ascii="Times New Roman" w:hAnsi="Times New Roman" w:cs="Times New Roman"/>
                <w:sz w:val="28"/>
                <w:szCs w:val="28"/>
              </w:rPr>
              <w:t>Rat 2</w:t>
            </w:r>
          </w:p>
          <w:p w14:paraId="5765C6A6" w14:textId="2430F807" w:rsidR="00DD34A1" w:rsidRDefault="00DD34A1" w:rsidP="00DD34A1">
            <w:pPr>
              <w:rPr>
                <w:rFonts w:ascii="Times New Roman" w:hAnsi="Times New Roman" w:cs="Times New Roman"/>
                <w:sz w:val="28"/>
                <w:szCs w:val="28"/>
              </w:rPr>
            </w:pPr>
            <w:r>
              <w:rPr>
                <w:rFonts w:ascii="Times New Roman" w:hAnsi="Times New Roman" w:cs="Times New Roman"/>
                <w:sz w:val="28"/>
                <w:szCs w:val="28"/>
              </w:rPr>
              <w:t>Rat 3</w:t>
            </w:r>
          </w:p>
          <w:p w14:paraId="05A7F3E5" w14:textId="7EA5B835" w:rsidR="00DD34A1" w:rsidRDefault="00DD34A1" w:rsidP="00DD34A1">
            <w:pPr>
              <w:rPr>
                <w:rFonts w:ascii="Times New Roman" w:hAnsi="Times New Roman" w:cs="Times New Roman"/>
                <w:sz w:val="28"/>
                <w:szCs w:val="28"/>
              </w:rPr>
            </w:pPr>
            <w:r>
              <w:rPr>
                <w:rFonts w:ascii="Times New Roman" w:hAnsi="Times New Roman" w:cs="Times New Roman"/>
                <w:sz w:val="28"/>
                <w:szCs w:val="28"/>
              </w:rPr>
              <w:t>Rat 4</w:t>
            </w:r>
          </w:p>
          <w:p w14:paraId="7761F1AF" w14:textId="577E5C91" w:rsidR="00DD34A1" w:rsidRDefault="00DD34A1" w:rsidP="00DD34A1">
            <w:pPr>
              <w:rPr>
                <w:rFonts w:ascii="Times New Roman" w:hAnsi="Times New Roman" w:cs="Times New Roman"/>
                <w:sz w:val="28"/>
                <w:szCs w:val="28"/>
              </w:rPr>
            </w:pPr>
          </w:p>
        </w:tc>
        <w:tc>
          <w:tcPr>
            <w:tcW w:w="3192" w:type="dxa"/>
          </w:tcPr>
          <w:p w14:paraId="5290BDA0" w14:textId="208507BE"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Red</w:t>
            </w:r>
          </w:p>
          <w:p w14:paraId="5F5D8D6F" w14:textId="7C83DDFC"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Blue</w:t>
            </w:r>
          </w:p>
          <w:p w14:paraId="486BD856" w14:textId="68209DDC"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Green</w:t>
            </w:r>
          </w:p>
          <w:p w14:paraId="0381C37C" w14:textId="0593F997"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Black</w:t>
            </w:r>
          </w:p>
        </w:tc>
        <w:tc>
          <w:tcPr>
            <w:tcW w:w="4164" w:type="dxa"/>
          </w:tcPr>
          <w:p w14:paraId="27399D00" w14:textId="77777777"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100%</w:t>
            </w:r>
          </w:p>
          <w:p w14:paraId="6A85D858" w14:textId="77777777"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80%</w:t>
            </w:r>
          </w:p>
          <w:p w14:paraId="70ABF9EB" w14:textId="77777777"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60%</w:t>
            </w:r>
          </w:p>
          <w:p w14:paraId="243517BB" w14:textId="482EC36F" w:rsidR="00DD34A1" w:rsidRDefault="00DD34A1" w:rsidP="00DD34A1">
            <w:pPr>
              <w:jc w:val="center"/>
              <w:rPr>
                <w:rFonts w:ascii="Times New Roman" w:hAnsi="Times New Roman" w:cs="Times New Roman"/>
                <w:sz w:val="28"/>
                <w:szCs w:val="28"/>
              </w:rPr>
            </w:pPr>
            <w:r>
              <w:rPr>
                <w:rFonts w:ascii="Times New Roman" w:hAnsi="Times New Roman" w:cs="Times New Roman"/>
                <w:sz w:val="28"/>
                <w:szCs w:val="28"/>
              </w:rPr>
              <w:t>50%</w:t>
            </w:r>
          </w:p>
        </w:tc>
      </w:tr>
    </w:tbl>
    <w:p w14:paraId="6FE2BBA8" w14:textId="77777777" w:rsidR="003E67F0" w:rsidRDefault="003E67F0" w:rsidP="003E67F0">
      <w:pPr>
        <w:spacing w:line="240" w:lineRule="auto"/>
        <w:jc w:val="both"/>
        <w:rPr>
          <w:rFonts w:ascii="Times New Roman" w:hAnsi="Times New Roman" w:cs="Times New Roman"/>
          <w:sz w:val="28"/>
          <w:szCs w:val="28"/>
        </w:rPr>
      </w:pPr>
    </w:p>
    <w:p w14:paraId="3BB71335" w14:textId="77777777" w:rsidR="00A15154" w:rsidRDefault="00E46BB7" w:rsidP="00A1515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p>
    <w:p w14:paraId="09C3D0AA" w14:textId="64E837F1"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p w14:paraId="0372BABC" w14:textId="23100AC7" w:rsidR="00E46BB7" w:rsidRDefault="00E46BB7" w:rsidP="003E67F0">
            <w:pPr>
              <w:rPr>
                <w:rFonts w:ascii="Times New Roman" w:hAnsi="Times New Roman" w:cs="Times New Roman"/>
                <w:sz w:val="28"/>
                <w:szCs w:val="28"/>
              </w:rPr>
            </w:pPr>
            <w:r>
              <w:rPr>
                <w:rFonts w:ascii="Times New Roman" w:hAnsi="Times New Roman" w:cs="Times New Roman"/>
                <w:sz w:val="28"/>
                <w:szCs w:val="28"/>
              </w:rPr>
              <w:t xml:space="preserve">Day one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15B57783"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feeding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w:t>
            </w:r>
            <w:r>
              <w:rPr>
                <w:rFonts w:ascii="Times New Roman" w:hAnsi="Times New Roman" w:cs="Times New Roman"/>
                <w:sz w:val="28"/>
                <w:szCs w:val="28"/>
              </w:rPr>
              <w:t>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w:t>
            </w:r>
            <w:r>
              <w:rPr>
                <w:rFonts w:ascii="Times New Roman" w:hAnsi="Times New Roman" w:cs="Times New Roman"/>
                <w:sz w:val="28"/>
                <w:szCs w:val="28"/>
              </w:rPr>
              <w:t>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7764580E" w14:textId="3CE23D75"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5C7790" w14:textId="5B42BB64" w:rsidR="00AA4509" w:rsidRDefault="00AD5713"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3 Days of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54A54F83" w14:textId="77777777" w:rsidR="00A15154" w:rsidRDefault="00A15154"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p>
    <w:p w14:paraId="52819B2D" w14:textId="16C175E7" w:rsidR="00AD5713" w:rsidRDefault="00A15154" w:rsidP="00DD34A1">
      <w:pPr>
        <w:spacing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Post-Mortem Gross Pathological Findings</w:t>
      </w:r>
      <w:r>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13543EA7" w14:textId="1C5C3E73" w:rsidR="006348C7" w:rsidRDefault="006348C7" w:rsidP="006348C7">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19D48B49" w14:textId="77777777" w:rsidR="00765B6F" w:rsidRDefault="00765B6F" w:rsidP="006348C7">
            <w:pPr>
              <w:jc w:val="center"/>
              <w:rPr>
                <w:rFonts w:ascii="Times New Roman" w:hAnsi="Times New Roman" w:cs="Times New Roman"/>
                <w:sz w:val="28"/>
                <w:szCs w:val="28"/>
              </w:rPr>
            </w:pPr>
          </w:p>
          <w:p w14:paraId="78ED7804" w14:textId="53165F8B" w:rsidR="006348C7" w:rsidRDefault="00765B6F" w:rsidP="006348C7">
            <w:pPr>
              <w:jc w:val="center"/>
              <w:rPr>
                <w:rFonts w:ascii="Times New Roman" w:hAnsi="Times New Roman" w:cs="Times New Roman"/>
                <w:sz w:val="28"/>
                <w:szCs w:val="28"/>
              </w:rPr>
            </w:pPr>
            <w:r>
              <w:rPr>
                <w:rFonts w:ascii="Times New Roman" w:hAnsi="Times New Roman" w:cs="Times New Roman"/>
                <w:sz w:val="28"/>
                <w:szCs w:val="28"/>
              </w:rPr>
              <w:t>Slight discoloration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lock</w:t>
            </w:r>
            <w:r>
              <w:rPr>
                <w:rFonts w:ascii="Times New Roman" w:hAnsi="Times New Roman" w:cs="Times New Roman"/>
                <w:sz w:val="28"/>
                <w:szCs w:val="28"/>
              </w:rPr>
              <w:t xml:space="preserve">ed </w:t>
            </w:r>
            <w:r>
              <w:rPr>
                <w:rFonts w:ascii="Times New Roman" w:hAnsi="Times New Roman" w:cs="Times New Roman"/>
                <w:sz w:val="28"/>
                <w:szCs w:val="28"/>
              </w:rPr>
              <w:t>intestine</w:t>
            </w:r>
            <w:r>
              <w:rPr>
                <w:rFonts w:ascii="Times New Roman" w:hAnsi="Times New Roman" w:cs="Times New Roman"/>
                <w:sz w:val="28"/>
                <w:szCs w:val="28"/>
              </w:rPr>
              <w:t xml:space="preserve"> with two color discoloration</w:t>
            </w:r>
          </w:p>
          <w:p w14:paraId="3CE24E93" w14:textId="77777777" w:rsidR="006348C7" w:rsidRDefault="006348C7" w:rsidP="00765B6F">
            <w:pPr>
              <w:jc w:val="center"/>
              <w:rPr>
                <w:rFonts w:ascii="Times New Roman" w:hAnsi="Times New Roman" w:cs="Times New Roman"/>
                <w:sz w:val="28"/>
                <w:szCs w:val="28"/>
              </w:rPr>
            </w:pPr>
          </w:p>
          <w:p w14:paraId="5EDAEEFB" w14:textId="77777777" w:rsidR="00765B6F" w:rsidRDefault="006348C7" w:rsidP="00765B6F">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A0F77FD" w:rsidR="00765B6F" w:rsidRDefault="00765B6F" w:rsidP="00765B6F">
            <w:pPr>
              <w:spacing w:after="200"/>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r>
    </w:tbl>
    <w:p w14:paraId="7FEA45DC" w14:textId="7B2AEB77" w:rsidR="00A15154" w:rsidRDefault="00A15154" w:rsidP="00DD34A1">
      <w:pPr>
        <w:spacing w:line="240" w:lineRule="auto"/>
        <w:jc w:val="both"/>
        <w:rPr>
          <w:rFonts w:ascii="Times New Roman" w:hAnsi="Times New Roman" w:cs="Times New Roman"/>
          <w:sz w:val="28"/>
          <w:szCs w:val="28"/>
        </w:rPr>
      </w:pPr>
    </w:p>
    <w:p w14:paraId="38981DCE" w14:textId="3EBC3F21" w:rsidR="00765B6F" w:rsidRDefault="00765B6F" w:rsidP="00DD34A1">
      <w:pPr>
        <w:spacing w:line="240" w:lineRule="auto"/>
        <w:jc w:val="both"/>
        <w:rPr>
          <w:rFonts w:ascii="Times New Roman" w:hAnsi="Times New Roman" w:cs="Times New Roman"/>
          <w:sz w:val="28"/>
          <w:szCs w:val="28"/>
        </w:rPr>
      </w:pPr>
    </w:p>
    <w:p w14:paraId="195A45FA" w14:textId="373B3F31" w:rsidR="00765B6F" w:rsidRDefault="00765B6F" w:rsidP="00DD34A1">
      <w:pPr>
        <w:spacing w:line="240" w:lineRule="auto"/>
        <w:jc w:val="both"/>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proofErr w:type="gramStart"/>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proofErr w:type="gramStart"/>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A</w:t>
      </w:r>
      <w:r w:rsidRPr="006B5D2E">
        <w:rPr>
          <w:rFonts w:ascii="Times New Roman" w:hAnsi="Times New Roman" w:cs="Times New Roman"/>
          <w:sz w:val="28"/>
          <w:szCs w:val="28"/>
        </w:rPr>
        <w:t>dopt</w:t>
      </w:r>
      <w:r w:rsidRPr="006B5D2E">
        <w:rPr>
          <w:rFonts w:ascii="Times New Roman" w:hAnsi="Times New Roman" w:cs="Times New Roman"/>
          <w:sz w:val="28"/>
          <w:szCs w:val="28"/>
        </w:rPr>
        <w:t>ing</w:t>
      </w:r>
      <w:r w:rsidRPr="006B5D2E">
        <w:rPr>
          <w:rFonts w:ascii="Times New Roman" w:hAnsi="Times New Roman" w:cs="Times New Roman"/>
          <w:sz w:val="28"/>
          <w:szCs w:val="28"/>
        </w:rPr>
        <w:t xml:space="preserve">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8"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9"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0"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11"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12"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13"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14"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15"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16"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17"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M., Adeoye, A. O., &amp; Yakubu, M. E. (202</w:t>
      </w:r>
      <w:bookmarkStart w:id="0" w:name="_GoBack"/>
      <w:bookmarkEnd w:id="0"/>
      <w:r w:rsidRPr="00F50E89">
        <w:rPr>
          <w:rFonts w:ascii="Times New Roman" w:hAnsi="Times New Roman" w:cs="Times New Roman"/>
          <w:sz w:val="28"/>
          <w:szCs w:val="28"/>
        </w:rPr>
        <w:t xml:space="preserve">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18"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19"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0"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21"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22"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5"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6"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6"/>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575A4"/>
    <w:rsid w:val="00067BF8"/>
    <w:rsid w:val="00071AC7"/>
    <w:rsid w:val="0011187F"/>
    <w:rsid w:val="001269D3"/>
    <w:rsid w:val="00161A26"/>
    <w:rsid w:val="00192AF5"/>
    <w:rsid w:val="002352E7"/>
    <w:rsid w:val="003307FC"/>
    <w:rsid w:val="003E67F0"/>
    <w:rsid w:val="00462973"/>
    <w:rsid w:val="004D02C9"/>
    <w:rsid w:val="006348C7"/>
    <w:rsid w:val="006B5D2E"/>
    <w:rsid w:val="00765B6F"/>
    <w:rsid w:val="007C1DD2"/>
    <w:rsid w:val="007E5CA2"/>
    <w:rsid w:val="00873231"/>
    <w:rsid w:val="00883215"/>
    <w:rsid w:val="00940E7B"/>
    <w:rsid w:val="009D521B"/>
    <w:rsid w:val="009F5B77"/>
    <w:rsid w:val="00A14106"/>
    <w:rsid w:val="00A15154"/>
    <w:rsid w:val="00A60AAA"/>
    <w:rsid w:val="00A918A7"/>
    <w:rsid w:val="00AA4509"/>
    <w:rsid w:val="00AB3F88"/>
    <w:rsid w:val="00AD5713"/>
    <w:rsid w:val="00B42B05"/>
    <w:rsid w:val="00B51DD8"/>
    <w:rsid w:val="00BE71EB"/>
    <w:rsid w:val="00BE7B4F"/>
    <w:rsid w:val="00C13044"/>
    <w:rsid w:val="00C20BC6"/>
    <w:rsid w:val="00C35AE1"/>
    <w:rsid w:val="00C602ED"/>
    <w:rsid w:val="00C92C9A"/>
    <w:rsid w:val="00D23785"/>
    <w:rsid w:val="00D43FFB"/>
    <w:rsid w:val="00DD34A1"/>
    <w:rsid w:val="00E32CE6"/>
    <w:rsid w:val="00E34BC8"/>
    <w:rsid w:val="00E453F5"/>
    <w:rsid w:val="00E46BB7"/>
    <w:rsid w:val="00F134DD"/>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5C2E648A-037B-4357-8E4C-569AEC7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7124452" TargetMode="External"/><Relationship Id="rId13" Type="http://schemas.openxmlformats.org/officeDocument/2006/relationships/hyperlink" Target="https://doi.org/10.3389/fmicb.2023.1190325" TargetMode="External"/><Relationship Id="rId18" Type="http://schemas.openxmlformats.org/officeDocument/2006/relationships/hyperlink" Target="https://doi.org/10.1016/j.fct.2023.113559" TargetMode="External"/><Relationship Id="rId3" Type="http://schemas.openxmlformats.org/officeDocument/2006/relationships/settings" Target="settings.xml"/><Relationship Id="rId21" Type="http://schemas.openxmlformats.org/officeDocument/2006/relationships/hyperlink" Target="https://doi.org/10.1016/j.jscs.2010.06.006" TargetMode="External"/><Relationship Id="rId7" Type="http://schemas.openxmlformats.org/officeDocument/2006/relationships/chart" Target="charts/chart1.xml"/><Relationship Id="rId12" Type="http://schemas.openxmlformats.org/officeDocument/2006/relationships/hyperlink" Target="https://doi.org/10.5897/AJFS2021.2101" TargetMode="External"/><Relationship Id="rId17" Type="http://schemas.openxmlformats.org/officeDocument/2006/relationships/hyperlink" Target="https://doi.org/10.3389/fmicb.2023.1089642" TargetMode="External"/><Relationship Id="rId2" Type="http://schemas.openxmlformats.org/officeDocument/2006/relationships/styles" Target="styles.xml"/><Relationship Id="rId16" Type="http://schemas.openxmlformats.org/officeDocument/2006/relationships/hyperlink" Target="https://doi.org/10.1016/j.ijfoodmicro.2023.109915" TargetMode="External"/><Relationship Id="rId20" Type="http://schemas.openxmlformats.org/officeDocument/2006/relationships/hyperlink" Target="https://doi.org/10.1007/s00216-020-03063-w"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doi.org/10.1093/mmy/myac014"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doi.org/10.1016/j.ijfoodmicro.2023.109915" TargetMode="External"/><Relationship Id="rId23" Type="http://schemas.openxmlformats.org/officeDocument/2006/relationships/fontTable" Target="fontTable.xml"/><Relationship Id="rId10" Type="http://schemas.openxmlformats.org/officeDocument/2006/relationships/hyperlink" Target="https://doi.org/10.3390/toxins14010044" TargetMode="External"/><Relationship Id="rId19" Type="http://schemas.openxmlformats.org/officeDocument/2006/relationships/hyperlink" Target="https://doi.org/10.1016/j.fct.2023.113559" TargetMode="External"/><Relationship Id="rId4" Type="http://schemas.openxmlformats.org/officeDocument/2006/relationships/webSettings" Target="webSettings.xml"/><Relationship Id="rId9" Type="http://schemas.openxmlformats.org/officeDocument/2006/relationships/hyperlink" Target="https://doi.org/10.3390/toxins14020094" TargetMode="External"/><Relationship Id="rId14" Type="http://schemas.openxmlformats.org/officeDocument/2006/relationships/hyperlink" Target="https://doi.org/10.1016/j.envres.2022.114906" TargetMode="External"/><Relationship Id="rId22" Type="http://schemas.openxmlformats.org/officeDocument/2006/relationships/hyperlink" Target="https://doi.org/10.1111/jam.14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673423039"/>
        <c:axId val="648147967"/>
      </c:barChart>
      <c:catAx>
        <c:axId val="67342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147967"/>
        <c:crosses val="autoZero"/>
        <c:auto val="1"/>
        <c:lblAlgn val="ctr"/>
        <c:lblOffset val="100"/>
        <c:noMultiLvlLbl val="0"/>
      </c:catAx>
      <c:valAx>
        <c:axId val="648147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3423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39</Pages>
  <Words>7221</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9</cp:revision>
  <dcterms:created xsi:type="dcterms:W3CDTF">2025-04-23T13:38:00Z</dcterms:created>
  <dcterms:modified xsi:type="dcterms:W3CDTF">2025-05-26T06:08:00Z</dcterms:modified>
</cp:coreProperties>
</file>