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A17767" w:rsidRPr="00543517" w:rsidRDefault="00543517" w:rsidP="00B718A5">
      <w:pPr>
        <w:spacing w:line="240" w:lineRule="auto"/>
        <w:jc w:val="center"/>
        <w:rPr>
          <w:rFonts w:ascii="Times New Roman" w:hAnsi="Times New Roman" w:cs="Times New Roman"/>
          <w:sz w:val="32"/>
          <w:szCs w:val="32"/>
        </w:rPr>
      </w:pPr>
      <w:r w:rsidRPr="00543517">
        <w:rPr>
          <w:rFonts w:ascii="Times New Roman" w:hAnsi="Times New Roman" w:cs="Times New Roman"/>
          <w:sz w:val="32"/>
          <w:szCs w:val="32"/>
        </w:rPr>
        <w:t>BELLO ABDULFATAI</w:t>
      </w:r>
      <w:r w:rsidR="00A17767" w:rsidRPr="00543517">
        <w:rPr>
          <w:rFonts w:ascii="Times New Roman" w:hAnsi="Times New Roman" w:cs="Times New Roman"/>
          <w:sz w:val="32"/>
          <w:szCs w:val="32"/>
        </w:rPr>
        <w:t xml:space="preserve"> </w:t>
      </w:r>
    </w:p>
    <w:p w:rsidR="00766483" w:rsidRPr="00766483" w:rsidRDefault="00543517"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HND/23/EEE/FT/0146</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B718A5" w:rsidRDefault="0029398E" w:rsidP="00543517">
      <w:pPr>
        <w:spacing w:line="480" w:lineRule="auto"/>
        <w:jc w:val="both"/>
        <w:rPr>
          <w:rFonts w:asciiTheme="majorBidi" w:hAnsiTheme="majorBidi" w:cstheme="majorBidi"/>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by </w:t>
      </w:r>
      <w:r w:rsidR="00543517" w:rsidRPr="004A76E5">
        <w:rPr>
          <w:rFonts w:ascii="Times New Roman" w:hAnsi="Times New Roman" w:cs="Times New Roman"/>
        </w:rPr>
        <w:t>Bello Abdulfatai</w:t>
      </w:r>
      <w:r w:rsidR="00543517"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0146</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B718A5">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[1]</w:t>
      </w:r>
      <w:r w:rsidR="0088623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88623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88623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88623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[1]</w:t>
      </w:r>
      <w:r w:rsidR="0088623E" w:rsidRPr="00DC49F8">
        <w:rPr>
          <w:rFonts w:ascii="Times New Roman" w:hAnsi="Times New Roman"/>
        </w:rPr>
        <w:fldChar w:fldCharType="end"/>
      </w:r>
      <w:r w:rsidRPr="00DC49F8">
        <w:rPr>
          <w:rFonts w:ascii="Times New Roman" w:hAnsi="Times New Roman"/>
        </w:rPr>
        <w:t xml:space="preserve">,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[2]</w:t>
      </w:r>
      <w:r w:rsidR="0088623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[2]</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[3]</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[4]</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[5]</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88623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88623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88623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88623E" w:rsidP="00407CE6">
      <w:pPr>
        <w:spacing w:line="480" w:lineRule="auto"/>
        <w:rPr>
          <w:rFonts w:asciiTheme="majorBidi" w:hAnsiTheme="majorBidi" w:cstheme="majorBidi"/>
          <w:b/>
          <w:bCs/>
        </w:rPr>
      </w:pPr>
      <w:r w:rsidRPr="0088623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88623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88623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88623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88623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F5B" w:rsidRDefault="00A91F5B" w:rsidP="005E5D59">
      <w:pPr>
        <w:spacing w:after="0" w:line="240" w:lineRule="auto"/>
      </w:pPr>
      <w:r>
        <w:separator/>
      </w:r>
    </w:p>
  </w:endnote>
  <w:endnote w:type="continuationSeparator" w:id="1">
    <w:p w:rsidR="00A91F5B" w:rsidRDefault="00A91F5B"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88623E">
        <w:pPr>
          <w:pStyle w:val="Footer"/>
          <w:jc w:val="center"/>
        </w:pPr>
        <w:fldSimple w:instr=" PAGE   \* MERGEFORMAT ">
          <w:r w:rsidR="00543517">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F5B" w:rsidRDefault="00A91F5B" w:rsidP="005E5D59">
      <w:pPr>
        <w:spacing w:after="0" w:line="240" w:lineRule="auto"/>
      </w:pPr>
      <w:r>
        <w:separator/>
      </w:r>
    </w:p>
  </w:footnote>
  <w:footnote w:type="continuationSeparator" w:id="1">
    <w:p w:rsidR="00A91F5B" w:rsidRDefault="00A91F5B"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0482"/>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407CE6"/>
    <w:rsid w:val="00432D13"/>
    <w:rsid w:val="0043668A"/>
    <w:rsid w:val="00457E91"/>
    <w:rsid w:val="00463B07"/>
    <w:rsid w:val="004953EA"/>
    <w:rsid w:val="004A4690"/>
    <w:rsid w:val="004D0634"/>
    <w:rsid w:val="004D2B23"/>
    <w:rsid w:val="0053468E"/>
    <w:rsid w:val="00543517"/>
    <w:rsid w:val="0054759E"/>
    <w:rsid w:val="00561DD1"/>
    <w:rsid w:val="00586DCE"/>
    <w:rsid w:val="005B5A60"/>
    <w:rsid w:val="005E5D59"/>
    <w:rsid w:val="00602791"/>
    <w:rsid w:val="00610B33"/>
    <w:rsid w:val="006C0434"/>
    <w:rsid w:val="00704429"/>
    <w:rsid w:val="00724CD9"/>
    <w:rsid w:val="00766483"/>
    <w:rsid w:val="007A3B19"/>
    <w:rsid w:val="0080556A"/>
    <w:rsid w:val="008615A1"/>
    <w:rsid w:val="008714B2"/>
    <w:rsid w:val="0088623E"/>
    <w:rsid w:val="008A5EFD"/>
    <w:rsid w:val="008E3BDF"/>
    <w:rsid w:val="00974DD3"/>
    <w:rsid w:val="0099287E"/>
    <w:rsid w:val="009D683D"/>
    <w:rsid w:val="00A17767"/>
    <w:rsid w:val="00A22683"/>
    <w:rsid w:val="00A91F5B"/>
    <w:rsid w:val="00B17CAA"/>
    <w:rsid w:val="00B615FB"/>
    <w:rsid w:val="00B718A5"/>
    <w:rsid w:val="00B74B1E"/>
    <w:rsid w:val="00BC2368"/>
    <w:rsid w:val="00BF4DE9"/>
    <w:rsid w:val="00C717F0"/>
    <w:rsid w:val="00C72085"/>
    <w:rsid w:val="00CE5DB2"/>
    <w:rsid w:val="00D71343"/>
    <w:rsid w:val="00D73071"/>
    <w:rsid w:val="00DE6981"/>
    <w:rsid w:val="00E602E0"/>
    <w:rsid w:val="00E65BAD"/>
    <w:rsid w:val="00E703D3"/>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_x0000_s1026"/>
        <o:r id="V:Rule7" type="connector" idref="#_x0000_s1044"/>
        <o:r id="V:Rule8" type="connector" idref="#_x0000_s1042"/>
        <o:r id="V:Rule9" type="connector" idref="#_x0000_s1041"/>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64</Pages>
  <Words>12666</Words>
  <Characters>72202</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42</cp:revision>
  <cp:lastPrinted>2025-07-11T17:30:00Z</cp:lastPrinted>
  <dcterms:created xsi:type="dcterms:W3CDTF">2025-07-10T11:53:00Z</dcterms:created>
  <dcterms:modified xsi:type="dcterms:W3CDTF">2025-07-11T23:53:00Z</dcterms:modified>
</cp:coreProperties>
</file>