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HND/23/SLT/FT/0</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351</w:t>
      </w: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jc w:val="left"/>
        <w:rPr>
          <w:rFonts w:ascii="Times New Roman" w:cs="Times New Roman" w:hAnsi="Times New Roman"/>
          <w:b/>
          <w:sz w:val="28"/>
          <w:szCs w:val="28"/>
        </w:rPr>
      </w:pPr>
      <w:r>
        <w:rPr>
          <w:rFonts w:ascii="Times New Roman" w:cs="Times New Roman" w:hAnsi="Times New Roman"/>
          <w:b/>
          <w:sz w:val="28"/>
          <w:szCs w:val="28"/>
        </w:rPr>
        <w:t>BEING A RESEARCH POROJECT SUBMITTED TO THE DEPARTMENT OF SCIENCE LABORATORY TECHNOLOGY, INSTITUTE OF APPLIED</w:t>
      </w:r>
    </w:p>
    <w:p>
      <w:pPr>
        <w:pStyle w:val="style0"/>
        <w:spacing w:after="160" w:lineRule="auto" w:line="259"/>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SCIENCE,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KWARA</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STATE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ILORIN.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pStyle w:val="style0"/>
        <w:jc w:val="left"/>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27089</Characters>
  <Application>WPS Office</Application>
  <DocSecurity>0</DocSecurity>
  <Paragraphs>260</Paragraphs>
  <ScaleCrop>false</ScaleCrop>
  <LinksUpToDate>false</LinksUpToDate>
  <CharactersWithSpaces>31575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2025-07-11T21:59:29Z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