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084" w:rsidRDefault="00F50084" w:rsidP="00F50084">
      <w:pPr>
        <w:spacing w:before="240" w:line="480" w:lineRule="auto"/>
        <w:jc w:val="center"/>
        <w:rPr>
          <w:rFonts w:ascii="Tahoma" w:hAnsi="Tahoma" w:cs="Tahoma"/>
          <w:b/>
          <w:sz w:val="32"/>
          <w:szCs w:val="26"/>
        </w:rPr>
      </w:pPr>
      <w:r>
        <w:rPr>
          <w:noProof/>
        </w:rPr>
        <w:drawing>
          <wp:anchor distT="0" distB="0" distL="114300" distR="114300" simplePos="0" relativeHeight="251659264" behindDoc="0" locked="0" layoutInCell="1" allowOverlap="1">
            <wp:simplePos x="0" y="0"/>
            <wp:positionH relativeFrom="column">
              <wp:posOffset>2438400</wp:posOffset>
            </wp:positionH>
            <wp:positionV relativeFrom="paragraph">
              <wp:posOffset>-123825</wp:posOffset>
            </wp:positionV>
            <wp:extent cx="876300" cy="638175"/>
            <wp:effectExtent l="0" t="0" r="0" b="9525"/>
            <wp:wrapNone/>
            <wp:docPr id="26" name="Picture 26"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pic:spPr>
                </pic:pic>
              </a:graphicData>
            </a:graphic>
            <wp14:sizeRelH relativeFrom="margin">
              <wp14:pctWidth>0</wp14:pctWidth>
            </wp14:sizeRelH>
            <wp14:sizeRelV relativeFrom="margin">
              <wp14:pctHeight>0</wp14:pctHeight>
            </wp14:sizeRelV>
          </wp:anchor>
        </w:drawing>
      </w:r>
    </w:p>
    <w:p w:rsidR="00F50084" w:rsidRDefault="00F50084" w:rsidP="00F50084">
      <w:pPr>
        <w:spacing w:before="240" w:line="480" w:lineRule="auto"/>
        <w:jc w:val="center"/>
        <w:rPr>
          <w:rFonts w:ascii="Tahoma" w:hAnsi="Tahoma" w:cs="Tahoma"/>
          <w:b/>
          <w:sz w:val="32"/>
          <w:szCs w:val="26"/>
        </w:rPr>
      </w:pPr>
      <w:r>
        <w:rPr>
          <w:rFonts w:ascii="Tahoma" w:hAnsi="Tahoma" w:cs="Tahoma"/>
          <w:b/>
          <w:sz w:val="32"/>
          <w:szCs w:val="26"/>
        </w:rPr>
        <w:t xml:space="preserve">AMELIORATIVE EFFECTS OF </w:t>
      </w:r>
      <w:r>
        <w:rPr>
          <w:rFonts w:ascii="Tahoma" w:hAnsi="Tahoma" w:cs="Tahoma"/>
          <w:b/>
          <w:i/>
          <w:sz w:val="32"/>
          <w:szCs w:val="26"/>
        </w:rPr>
        <w:t>Sida acuta</w:t>
      </w:r>
      <w:r>
        <w:rPr>
          <w:rFonts w:ascii="Tahoma" w:hAnsi="Tahoma" w:cs="Tahoma"/>
          <w:b/>
          <w:sz w:val="32"/>
          <w:szCs w:val="26"/>
        </w:rPr>
        <w:t xml:space="preserve"> ON INDOMETHACIN-INDUCED ULCEROGENIC RATS</w:t>
      </w:r>
    </w:p>
    <w:p w:rsidR="00F50084" w:rsidRDefault="00F50084" w:rsidP="00F50084">
      <w:pPr>
        <w:spacing w:line="480" w:lineRule="auto"/>
        <w:jc w:val="center"/>
        <w:rPr>
          <w:rFonts w:ascii="Tahoma" w:hAnsi="Tahoma" w:cs="Tahoma"/>
          <w:b/>
          <w:bCs/>
          <w:sz w:val="38"/>
          <w:szCs w:val="26"/>
        </w:rPr>
      </w:pPr>
      <w:r>
        <w:rPr>
          <w:rFonts w:ascii="Tahoma" w:hAnsi="Tahoma" w:cs="Tahoma"/>
          <w:b/>
          <w:bCs/>
          <w:sz w:val="38"/>
          <w:szCs w:val="26"/>
        </w:rPr>
        <w:t>Presented By:</w:t>
      </w:r>
    </w:p>
    <w:p w:rsidR="00F50084" w:rsidRDefault="008740CA" w:rsidP="00F50084">
      <w:pPr>
        <w:jc w:val="center"/>
        <w:rPr>
          <w:rFonts w:ascii="Tahoma" w:hAnsi="Tahoma" w:cs="Tahoma"/>
          <w:b/>
          <w:bCs/>
          <w:sz w:val="42"/>
          <w:szCs w:val="26"/>
        </w:rPr>
      </w:pPr>
      <w:r>
        <w:rPr>
          <w:rFonts w:ascii="Tahoma" w:hAnsi="Tahoma" w:cs="Tahoma"/>
          <w:b/>
          <w:bCs/>
          <w:sz w:val="42"/>
          <w:szCs w:val="26"/>
        </w:rPr>
        <w:t>JIMOH KUBURAT</w:t>
      </w:r>
      <w:r w:rsidR="00F50084">
        <w:rPr>
          <w:rFonts w:ascii="Tahoma" w:hAnsi="Tahoma" w:cs="Tahoma"/>
          <w:b/>
          <w:bCs/>
          <w:sz w:val="42"/>
          <w:szCs w:val="26"/>
        </w:rPr>
        <w:t xml:space="preserve"> </w:t>
      </w:r>
      <w:r>
        <w:rPr>
          <w:rFonts w:ascii="Tahoma" w:hAnsi="Tahoma" w:cs="Tahoma"/>
          <w:b/>
          <w:bCs/>
          <w:sz w:val="42"/>
          <w:szCs w:val="26"/>
        </w:rPr>
        <w:t>DAMILOLA</w:t>
      </w:r>
      <w:r w:rsidR="00F50084">
        <w:rPr>
          <w:rFonts w:ascii="Tahoma" w:hAnsi="Tahoma" w:cs="Tahoma"/>
          <w:b/>
          <w:bCs/>
          <w:sz w:val="42"/>
          <w:szCs w:val="26"/>
        </w:rPr>
        <w:t xml:space="preserve"> </w:t>
      </w:r>
    </w:p>
    <w:p w:rsidR="00F50084" w:rsidRDefault="008740CA" w:rsidP="00F50084">
      <w:pPr>
        <w:jc w:val="center"/>
        <w:rPr>
          <w:rFonts w:ascii="Tahoma" w:hAnsi="Tahoma" w:cs="Tahoma"/>
          <w:b/>
          <w:bCs/>
          <w:sz w:val="36"/>
          <w:szCs w:val="26"/>
        </w:rPr>
      </w:pPr>
      <w:r>
        <w:rPr>
          <w:rFonts w:ascii="Tahoma" w:hAnsi="Tahoma" w:cs="Tahoma"/>
          <w:b/>
          <w:bCs/>
          <w:sz w:val="36"/>
          <w:szCs w:val="26"/>
        </w:rPr>
        <w:t>HND/23/SLT/FT/0819</w:t>
      </w:r>
    </w:p>
    <w:p w:rsidR="00F50084" w:rsidRDefault="00F50084" w:rsidP="00F50084">
      <w:pPr>
        <w:spacing w:line="480" w:lineRule="auto"/>
        <w:jc w:val="center"/>
        <w:rPr>
          <w:rFonts w:ascii="Tahoma" w:hAnsi="Tahoma" w:cs="Tahoma"/>
          <w:b/>
          <w:bCs/>
          <w:sz w:val="26"/>
          <w:szCs w:val="26"/>
        </w:rPr>
      </w:pPr>
    </w:p>
    <w:p w:rsidR="00F50084" w:rsidRPr="00F50084" w:rsidRDefault="00F50084" w:rsidP="00F50084">
      <w:pPr>
        <w:spacing w:line="480" w:lineRule="auto"/>
        <w:jc w:val="center"/>
        <w:rPr>
          <w:rFonts w:ascii="Tahoma" w:hAnsi="Tahoma" w:cs="Tahoma"/>
          <w:b/>
          <w:bCs/>
          <w:sz w:val="16"/>
          <w:szCs w:val="26"/>
        </w:rPr>
      </w:pPr>
      <w:r w:rsidRPr="00F50084">
        <w:rPr>
          <w:rFonts w:ascii="Tahoma" w:hAnsi="Tahoma" w:cs="Tahoma"/>
          <w:b/>
          <w:bCs/>
          <w:sz w:val="22"/>
          <w:szCs w:val="26"/>
        </w:rPr>
        <w:t>A RESEARCH PROJECT SUBMITTED TO THE DEPARTMENT OF SCIENCE LABORATORY TECHNOLOGY (BIOCHEMISTRY UNIT), INSTITUTE OF APPLIED SCIENCES, (IAS) KWARA STATE POLYTECHNIC, ILORIN.</w:t>
      </w:r>
    </w:p>
    <w:p w:rsidR="00F50084" w:rsidRPr="00F50084" w:rsidRDefault="00F50084" w:rsidP="00F50084">
      <w:pPr>
        <w:spacing w:line="480" w:lineRule="auto"/>
        <w:jc w:val="center"/>
        <w:rPr>
          <w:rFonts w:ascii="Tahoma" w:hAnsi="Tahoma" w:cs="Tahoma"/>
          <w:b/>
          <w:bCs/>
          <w:sz w:val="22"/>
          <w:szCs w:val="26"/>
        </w:rPr>
      </w:pPr>
      <w:r w:rsidRPr="00F50084">
        <w:rPr>
          <w:rFonts w:ascii="Tahoma" w:hAnsi="Tahoma" w:cs="Tahoma"/>
          <w:b/>
          <w:bCs/>
          <w:sz w:val="22"/>
          <w:szCs w:val="26"/>
        </w:rPr>
        <w:t>IN PARTIAL FULFUILMENT OF THE REQUIREMENTS FOR THE AWARD OF HIGHER NATIONAL DIPLOMA (HND) IN SCIENCE LABORATORY TECHNOLOGY.</w:t>
      </w:r>
    </w:p>
    <w:p w:rsidR="00F50084" w:rsidRDefault="00F50084" w:rsidP="00F50084">
      <w:pPr>
        <w:jc w:val="center"/>
        <w:rPr>
          <w:rFonts w:ascii="Tahoma" w:hAnsi="Tahoma" w:cs="Tahoma"/>
          <w:b/>
          <w:bCs/>
          <w:sz w:val="24"/>
          <w:szCs w:val="26"/>
        </w:rPr>
      </w:pPr>
      <w:r>
        <w:rPr>
          <w:rFonts w:ascii="Tahoma" w:hAnsi="Tahoma" w:cs="Tahoma"/>
          <w:b/>
          <w:bCs/>
          <w:sz w:val="24"/>
          <w:szCs w:val="26"/>
        </w:rPr>
        <w:t>SUPERVISED BY</w:t>
      </w:r>
    </w:p>
    <w:p w:rsidR="00F50084" w:rsidRDefault="00F50084" w:rsidP="00F50084">
      <w:pPr>
        <w:jc w:val="center"/>
        <w:rPr>
          <w:b/>
          <w:color w:val="000000"/>
          <w:sz w:val="26"/>
        </w:rPr>
      </w:pPr>
      <w:r>
        <w:rPr>
          <w:b/>
          <w:color w:val="000000"/>
          <w:sz w:val="26"/>
        </w:rPr>
        <w:t xml:space="preserve">DR. (MRS.) HASSAN, I.R. </w:t>
      </w:r>
    </w:p>
    <w:p w:rsidR="00F50084" w:rsidRDefault="00F50084" w:rsidP="00F50084">
      <w:pPr>
        <w:ind w:left="5760" w:firstLine="720"/>
        <w:jc w:val="center"/>
        <w:rPr>
          <w:rFonts w:asciiTheme="minorHAnsi" w:hAnsiTheme="minorHAnsi" w:cstheme="minorBidi"/>
          <w:b/>
          <w:color w:val="000000"/>
          <w:sz w:val="26"/>
          <w:szCs w:val="22"/>
        </w:rPr>
      </w:pPr>
      <w:r>
        <w:rPr>
          <w:rFonts w:ascii="Tahoma" w:hAnsi="Tahoma" w:cs="Tahoma"/>
          <w:b/>
          <w:color w:val="000000"/>
          <w:szCs w:val="38"/>
        </w:rPr>
        <w:t xml:space="preserve">     JULY, 2025</w:t>
      </w:r>
    </w:p>
    <w:p w:rsidR="00F50084" w:rsidRDefault="00F50084" w:rsidP="00F50084">
      <w:pPr>
        <w:spacing w:line="360" w:lineRule="auto"/>
        <w:jc w:val="center"/>
        <w:rPr>
          <w:b/>
          <w:color w:val="000000"/>
          <w:sz w:val="24"/>
          <w:szCs w:val="24"/>
        </w:rPr>
      </w:pPr>
      <w:r>
        <w:rPr>
          <w:b/>
          <w:color w:val="000000"/>
          <w:sz w:val="24"/>
          <w:szCs w:val="24"/>
        </w:rPr>
        <w:lastRenderedPageBreak/>
        <w:t>CERTIFICATION</w:t>
      </w:r>
    </w:p>
    <w:p w:rsidR="00F50084" w:rsidRDefault="00F50084" w:rsidP="00F50084">
      <w:pPr>
        <w:spacing w:line="360" w:lineRule="auto"/>
        <w:ind w:left="-90" w:firstLine="90"/>
        <w:jc w:val="both"/>
        <w:rPr>
          <w:color w:val="000000"/>
          <w:sz w:val="24"/>
          <w:szCs w:val="24"/>
        </w:rPr>
      </w:pPr>
      <w:r>
        <w:rPr>
          <w:color w:val="000000"/>
          <w:sz w:val="24"/>
          <w:szCs w:val="24"/>
        </w:rPr>
        <w:t xml:space="preserve">This is to certify that this project research was written by </w:t>
      </w:r>
      <w:r w:rsidR="008740CA">
        <w:rPr>
          <w:b/>
          <w:color w:val="000000"/>
          <w:sz w:val="24"/>
          <w:szCs w:val="24"/>
        </w:rPr>
        <w:t>JIMOH</w:t>
      </w:r>
      <w:r>
        <w:rPr>
          <w:b/>
          <w:color w:val="000000"/>
          <w:sz w:val="24"/>
          <w:szCs w:val="24"/>
        </w:rPr>
        <w:t xml:space="preserve"> </w:t>
      </w:r>
      <w:r w:rsidR="008740CA">
        <w:rPr>
          <w:b/>
          <w:color w:val="000000"/>
          <w:sz w:val="24"/>
          <w:szCs w:val="24"/>
        </w:rPr>
        <w:t>KUBURAT DAMILOLA</w:t>
      </w:r>
      <w:r>
        <w:rPr>
          <w:b/>
          <w:color w:val="000000"/>
          <w:sz w:val="24"/>
          <w:szCs w:val="24"/>
        </w:rPr>
        <w:t xml:space="preserve"> </w:t>
      </w:r>
      <w:r w:rsidR="00140F9E">
        <w:rPr>
          <w:b/>
          <w:color w:val="000000"/>
          <w:sz w:val="24"/>
          <w:szCs w:val="24"/>
        </w:rPr>
        <w:t>HND/23/SLT/FT/0</w:t>
      </w:r>
      <w:r w:rsidR="008740CA">
        <w:rPr>
          <w:b/>
          <w:color w:val="000000"/>
          <w:sz w:val="24"/>
          <w:szCs w:val="24"/>
        </w:rPr>
        <w:t>819</w:t>
      </w:r>
      <w:r>
        <w:rPr>
          <w:color w:val="000000"/>
          <w:sz w:val="24"/>
          <w:szCs w:val="24"/>
        </w:rPr>
        <w:t>, and submitted to the Department of Science Laboratory Technology (Biochemistry Unit), Institute of Applied Sciences (IAS), Kwara State Polytechnic, Ilorin and has been read and approved as a partial fulfillment for the award of Higher National Diploma (HND) in Science Laboratory Technology.</w:t>
      </w:r>
    </w:p>
    <w:p w:rsidR="00F50084" w:rsidRDefault="00F50084" w:rsidP="00F50084">
      <w:pPr>
        <w:spacing w:line="360" w:lineRule="auto"/>
        <w:ind w:left="-90" w:firstLine="90"/>
        <w:jc w:val="both"/>
        <w:rPr>
          <w:color w:val="000000"/>
          <w:sz w:val="24"/>
          <w:szCs w:val="24"/>
        </w:rPr>
      </w:pPr>
    </w:p>
    <w:p w:rsidR="00F50084" w:rsidRDefault="00F50084" w:rsidP="00F50084">
      <w:pPr>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spacing w:line="240" w:lineRule="auto"/>
        <w:ind w:left="-90" w:firstLine="90"/>
        <w:rPr>
          <w:color w:val="000000"/>
          <w:sz w:val="24"/>
          <w:szCs w:val="24"/>
        </w:rPr>
      </w:pPr>
      <w:r>
        <w:rPr>
          <w:b/>
          <w:color w:val="000000"/>
          <w:sz w:val="24"/>
          <w:szCs w:val="24"/>
        </w:rPr>
        <w:t>DR. (MRS.) HASSAN, I.R.</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240" w:lineRule="auto"/>
        <w:ind w:left="-90" w:firstLine="90"/>
        <w:rPr>
          <w:color w:val="000000"/>
          <w:sz w:val="24"/>
          <w:szCs w:val="24"/>
        </w:rPr>
      </w:pPr>
      <w:r>
        <w:rPr>
          <w:b/>
          <w:color w:val="000000"/>
          <w:sz w:val="24"/>
          <w:szCs w:val="24"/>
        </w:rPr>
        <w:t>SUPERVISOR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rsidR="00F50084" w:rsidRDefault="00F50084" w:rsidP="00F50084">
      <w:pPr>
        <w:rPr>
          <w:color w:val="000000"/>
          <w:sz w:val="24"/>
          <w:szCs w:val="24"/>
        </w:rPr>
      </w:pPr>
    </w:p>
    <w:p w:rsidR="00F50084" w:rsidRDefault="00F50084" w:rsidP="00F50084">
      <w:pPr>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spacing w:line="240" w:lineRule="auto"/>
        <w:ind w:left="-90" w:firstLine="90"/>
        <w:rPr>
          <w:b/>
          <w:color w:val="000000"/>
          <w:sz w:val="24"/>
          <w:szCs w:val="24"/>
        </w:rPr>
      </w:pPr>
      <w:r>
        <w:rPr>
          <w:b/>
          <w:color w:val="000000"/>
          <w:sz w:val="24"/>
          <w:szCs w:val="24"/>
        </w:rPr>
        <w:t>MRS. SALAUDEEN, K.A.</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240" w:lineRule="auto"/>
        <w:ind w:left="-90" w:firstLine="90"/>
        <w:rPr>
          <w:color w:val="000000"/>
          <w:sz w:val="24"/>
          <w:szCs w:val="24"/>
        </w:rPr>
      </w:pPr>
      <w:r>
        <w:rPr>
          <w:b/>
          <w:color w:val="000000"/>
          <w:sz w:val="24"/>
          <w:szCs w:val="24"/>
        </w:rPr>
        <w:t>HEAD OF UNIT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rsidR="00F50084" w:rsidRDefault="00F50084" w:rsidP="00F50084">
      <w:pPr>
        <w:tabs>
          <w:tab w:val="left" w:pos="2202"/>
        </w:tabs>
        <w:ind w:left="-90" w:firstLine="90"/>
        <w:rPr>
          <w:b/>
          <w:color w:val="000000"/>
          <w:sz w:val="24"/>
          <w:szCs w:val="24"/>
        </w:rPr>
      </w:pPr>
      <w:r>
        <w:rPr>
          <w:b/>
          <w:color w:val="000000"/>
          <w:sz w:val="24"/>
          <w:szCs w:val="24"/>
        </w:rPr>
        <w:tab/>
      </w:r>
    </w:p>
    <w:p w:rsidR="00F50084" w:rsidRDefault="00F50084" w:rsidP="00F50084">
      <w:pPr>
        <w:ind w:left="-90" w:firstLine="9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p>
    <w:p w:rsidR="00F50084" w:rsidRDefault="00F50084" w:rsidP="00F50084">
      <w:pPr>
        <w:tabs>
          <w:tab w:val="center" w:pos="5233"/>
        </w:tabs>
        <w:spacing w:line="240" w:lineRule="auto"/>
        <w:rPr>
          <w:b/>
          <w:color w:val="000000"/>
          <w:sz w:val="24"/>
          <w:szCs w:val="24"/>
        </w:rPr>
      </w:pPr>
      <w:r>
        <w:rPr>
          <w:b/>
          <w:color w:val="000000"/>
          <w:sz w:val="24"/>
          <w:szCs w:val="24"/>
        </w:rPr>
        <w:t>DR. USMAN, ABDULKAREEM</w:t>
      </w:r>
      <w:r>
        <w:rPr>
          <w:b/>
          <w:color w:val="000000"/>
          <w:sz w:val="24"/>
          <w:szCs w:val="24"/>
        </w:rPr>
        <w:tab/>
      </w:r>
      <w:r>
        <w:rPr>
          <w:b/>
          <w:color w:val="000000"/>
          <w:sz w:val="24"/>
          <w:szCs w:val="24"/>
        </w:rPr>
        <w:tab/>
        <w:t xml:space="preserve">                DATE</w:t>
      </w:r>
    </w:p>
    <w:p w:rsidR="00F50084" w:rsidRDefault="00F50084" w:rsidP="00F50084">
      <w:pPr>
        <w:spacing w:line="240" w:lineRule="auto"/>
        <w:rPr>
          <w:color w:val="000000"/>
          <w:sz w:val="24"/>
          <w:szCs w:val="24"/>
        </w:rPr>
      </w:pPr>
      <w:r>
        <w:rPr>
          <w:b/>
          <w:color w:val="000000"/>
          <w:sz w:val="24"/>
          <w:szCs w:val="24"/>
        </w:rPr>
        <w:t>HEAD 0F DEPARTMENT</w:t>
      </w:r>
      <w:r>
        <w:rPr>
          <w:color w:val="000000"/>
          <w:sz w:val="24"/>
          <w:szCs w:val="24"/>
        </w:rPr>
        <w:tab/>
      </w:r>
    </w:p>
    <w:p w:rsidR="00F50084" w:rsidRDefault="00F50084" w:rsidP="00F50084">
      <w:pPr>
        <w:spacing w:line="240" w:lineRule="auto"/>
        <w:rPr>
          <w:color w:val="000000"/>
          <w:sz w:val="24"/>
          <w:szCs w:val="24"/>
        </w:rPr>
      </w:pP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r>
    </w:p>
    <w:p w:rsidR="00F50084" w:rsidRDefault="00F50084" w:rsidP="00F50084">
      <w:pPr>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ind w:left="-90" w:firstLine="90"/>
        <w:rPr>
          <w:color w:val="000000"/>
          <w:sz w:val="24"/>
          <w:szCs w:val="24"/>
        </w:rPr>
      </w:pPr>
      <w:r>
        <w:rPr>
          <w:b/>
          <w:color w:val="000000"/>
          <w:sz w:val="24"/>
          <w:szCs w:val="24"/>
        </w:rPr>
        <w:t xml:space="preserve">EXTERNAL EXAMINER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480" w:lineRule="auto"/>
        <w:rPr>
          <w:sz w:val="24"/>
          <w:szCs w:val="24"/>
        </w:rPr>
      </w:pPr>
    </w:p>
    <w:p w:rsidR="00F50084" w:rsidRDefault="00F50084" w:rsidP="00F50084">
      <w:pPr>
        <w:spacing w:line="480" w:lineRule="auto"/>
        <w:rPr>
          <w:sz w:val="24"/>
          <w:szCs w:val="24"/>
        </w:rPr>
      </w:pPr>
    </w:p>
    <w:p w:rsidR="00F50084" w:rsidRDefault="00F50084" w:rsidP="00F50084">
      <w:pPr>
        <w:spacing w:line="480" w:lineRule="auto"/>
        <w:jc w:val="center"/>
        <w:rPr>
          <w:sz w:val="24"/>
          <w:szCs w:val="24"/>
        </w:rPr>
      </w:pPr>
      <w:r>
        <w:rPr>
          <w:b/>
          <w:sz w:val="24"/>
          <w:szCs w:val="24"/>
        </w:rPr>
        <w:lastRenderedPageBreak/>
        <w:t>DEDICATION</w:t>
      </w:r>
    </w:p>
    <w:p w:rsidR="00F50084" w:rsidRDefault="00F50084" w:rsidP="00F50084">
      <w:pPr>
        <w:spacing w:before="240" w:line="480" w:lineRule="auto"/>
        <w:jc w:val="both"/>
        <w:rPr>
          <w:sz w:val="26"/>
          <w:szCs w:val="24"/>
        </w:rPr>
      </w:pPr>
      <w:r>
        <w:rPr>
          <w:sz w:val="24"/>
          <w:szCs w:val="24"/>
        </w:rPr>
        <w:tab/>
      </w:r>
      <w:r>
        <w:rPr>
          <w:sz w:val="26"/>
          <w:szCs w:val="24"/>
        </w:rPr>
        <w:t>This project is dedicated to Almighty God, the beneficent, the most merciful who has been supplying me with abundance wisdom, knowledge, understanding and for his love, kindness, favor, grace and mercy over me throughout this course of study and for giving me the privilege and strength to successfully complete this course.</w:t>
      </w:r>
    </w:p>
    <w:p w:rsidR="00F50084" w:rsidRDefault="00F50084" w:rsidP="00F50084">
      <w:pPr>
        <w:spacing w:line="360" w:lineRule="auto"/>
        <w:jc w:val="center"/>
        <w:rPr>
          <w:b/>
          <w:sz w:val="24"/>
          <w:szCs w:val="24"/>
        </w:rPr>
      </w:pPr>
    </w:p>
    <w:p w:rsidR="00F50084" w:rsidRDefault="00F50084" w:rsidP="00F50084">
      <w:pPr>
        <w:spacing w:line="480" w:lineRule="auto"/>
        <w:jc w:val="center"/>
        <w:rPr>
          <w:b/>
          <w:sz w:val="24"/>
          <w:szCs w:val="24"/>
        </w:rPr>
      </w:pPr>
    </w:p>
    <w:p w:rsidR="00F50084" w:rsidRDefault="00F50084" w:rsidP="00F50084">
      <w:pPr>
        <w:spacing w:line="480" w:lineRule="auto"/>
        <w:jc w:val="both"/>
        <w:rPr>
          <w:b/>
          <w:sz w:val="24"/>
          <w:szCs w:val="24"/>
        </w:rPr>
      </w:pPr>
      <w:r>
        <w:rPr>
          <w:b/>
          <w:sz w:val="24"/>
          <w:szCs w:val="24"/>
        </w:rPr>
        <w:tab/>
      </w:r>
      <w:r>
        <w:rPr>
          <w:b/>
          <w:sz w:val="24"/>
          <w:szCs w:val="24"/>
        </w:rPr>
        <w:tab/>
      </w:r>
      <w:r>
        <w:rPr>
          <w:b/>
          <w:sz w:val="24"/>
          <w:szCs w:val="24"/>
        </w:rPr>
        <w:tab/>
      </w:r>
      <w:r>
        <w:rPr>
          <w:b/>
          <w:sz w:val="24"/>
          <w:szCs w:val="24"/>
        </w:rPr>
        <w:tab/>
      </w: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jc w:val="center"/>
        <w:rPr>
          <w:b/>
          <w:sz w:val="24"/>
          <w:szCs w:val="24"/>
        </w:rPr>
      </w:pPr>
      <w:r>
        <w:rPr>
          <w:b/>
          <w:sz w:val="24"/>
          <w:szCs w:val="24"/>
        </w:rPr>
        <w:lastRenderedPageBreak/>
        <w:t>ACKNOWLEDGEMENT</w:t>
      </w:r>
    </w:p>
    <w:p w:rsidR="008740CA" w:rsidRPr="008740CA" w:rsidRDefault="008740CA" w:rsidP="008740CA">
      <w:pPr>
        <w:spacing w:line="480" w:lineRule="auto"/>
        <w:jc w:val="both"/>
        <w:rPr>
          <w:sz w:val="26"/>
          <w:szCs w:val="24"/>
        </w:rPr>
      </w:pPr>
      <w:r w:rsidRPr="008740CA">
        <w:rPr>
          <w:sz w:val="26"/>
          <w:szCs w:val="24"/>
        </w:rPr>
        <w:t>I would like to express my heartfelt gratitude to all those who supported me through</w:t>
      </w:r>
      <w:r>
        <w:rPr>
          <w:sz w:val="26"/>
          <w:szCs w:val="24"/>
        </w:rPr>
        <w:t>out the course of this project.</w:t>
      </w:r>
    </w:p>
    <w:p w:rsidR="008740CA" w:rsidRPr="008740CA" w:rsidRDefault="008740CA" w:rsidP="008740CA">
      <w:pPr>
        <w:spacing w:line="480" w:lineRule="auto"/>
        <w:jc w:val="both"/>
        <w:rPr>
          <w:sz w:val="26"/>
          <w:szCs w:val="24"/>
        </w:rPr>
      </w:pPr>
      <w:r w:rsidRPr="008740CA">
        <w:rPr>
          <w:sz w:val="26"/>
          <w:szCs w:val="24"/>
        </w:rPr>
        <w:t>First and foremost, I am deeply thankful to Dr.</w:t>
      </w:r>
      <w:r>
        <w:rPr>
          <w:sz w:val="26"/>
          <w:szCs w:val="24"/>
        </w:rPr>
        <w:t xml:space="preserve"> </w:t>
      </w:r>
      <w:bookmarkStart w:id="0" w:name="_GoBack"/>
      <w:bookmarkEnd w:id="0"/>
      <w:r w:rsidRPr="008740CA">
        <w:rPr>
          <w:sz w:val="26"/>
          <w:szCs w:val="24"/>
        </w:rPr>
        <w:t>(Mrs). Hassan I.R  my project supervisor, for their invaluable guidance, constructive feedback, and unwavering support from the inception of this project to its completion. Their insights and encouragement played a significant role in sh</w:t>
      </w:r>
      <w:r>
        <w:rPr>
          <w:sz w:val="26"/>
          <w:szCs w:val="24"/>
        </w:rPr>
        <w:t>aping the outcome of this work.</w:t>
      </w:r>
    </w:p>
    <w:p w:rsidR="008740CA" w:rsidRPr="008740CA" w:rsidRDefault="008740CA" w:rsidP="008740CA">
      <w:pPr>
        <w:spacing w:line="480" w:lineRule="auto"/>
        <w:jc w:val="both"/>
        <w:rPr>
          <w:sz w:val="26"/>
          <w:szCs w:val="24"/>
        </w:rPr>
      </w:pPr>
      <w:r w:rsidRPr="008740CA">
        <w:rPr>
          <w:sz w:val="26"/>
          <w:szCs w:val="24"/>
        </w:rPr>
        <w:t>I would also like to extend my appreciation to the (HOU ) Mrs. Salaudeen K.A and (HOD) DR. USMAN ABDULKAREEM for providing the necessary resources and a conducive environmen</w:t>
      </w:r>
      <w:r>
        <w:rPr>
          <w:sz w:val="26"/>
          <w:szCs w:val="24"/>
        </w:rPr>
        <w:t>t for research and development.</w:t>
      </w:r>
    </w:p>
    <w:p w:rsidR="008740CA" w:rsidRPr="008740CA" w:rsidRDefault="008740CA" w:rsidP="008740CA">
      <w:pPr>
        <w:spacing w:line="480" w:lineRule="auto"/>
        <w:jc w:val="both"/>
        <w:rPr>
          <w:sz w:val="26"/>
          <w:szCs w:val="24"/>
        </w:rPr>
      </w:pPr>
      <w:r w:rsidRPr="008740CA">
        <w:rPr>
          <w:sz w:val="26"/>
          <w:szCs w:val="24"/>
        </w:rPr>
        <w:t>A special thanks to my colleagues and friends for their constant motivation, encouragement, and assistance during the chall</w:t>
      </w:r>
      <w:r>
        <w:rPr>
          <w:sz w:val="26"/>
          <w:szCs w:val="24"/>
        </w:rPr>
        <w:t>enging moments of this project.</w:t>
      </w:r>
    </w:p>
    <w:p w:rsidR="008740CA" w:rsidRPr="008740CA" w:rsidRDefault="008740CA" w:rsidP="008740CA">
      <w:pPr>
        <w:spacing w:line="480" w:lineRule="auto"/>
        <w:jc w:val="both"/>
        <w:rPr>
          <w:sz w:val="26"/>
          <w:szCs w:val="24"/>
        </w:rPr>
      </w:pPr>
      <w:r w:rsidRPr="008740CA">
        <w:rPr>
          <w:sz w:val="26"/>
          <w:szCs w:val="24"/>
        </w:rPr>
        <w:t xml:space="preserve">Last but not least, I am immensely grateful to my family for their patience, love, and unending </w:t>
      </w:r>
      <w:r>
        <w:rPr>
          <w:sz w:val="26"/>
          <w:szCs w:val="24"/>
        </w:rPr>
        <w:t>support throughout the journey.</w:t>
      </w:r>
    </w:p>
    <w:p w:rsidR="00F50084" w:rsidRDefault="008740CA" w:rsidP="008740CA">
      <w:pPr>
        <w:spacing w:line="480" w:lineRule="auto"/>
        <w:jc w:val="both"/>
        <w:rPr>
          <w:sz w:val="26"/>
          <w:szCs w:val="24"/>
        </w:rPr>
      </w:pPr>
      <w:r w:rsidRPr="008740CA">
        <w:rPr>
          <w:sz w:val="26"/>
          <w:szCs w:val="24"/>
        </w:rPr>
        <w:t>This project would not have been possible without the contribution and encouragement of each and every one of you. Thank you.</w:t>
      </w:r>
    </w:p>
    <w:p w:rsidR="008740CA" w:rsidRDefault="008740CA" w:rsidP="008740CA">
      <w:pPr>
        <w:rPr>
          <w:sz w:val="26"/>
          <w:szCs w:val="24"/>
        </w:rPr>
      </w:pPr>
    </w:p>
    <w:p w:rsidR="008740CA" w:rsidRDefault="008740CA" w:rsidP="008740CA">
      <w:pPr>
        <w:rPr>
          <w:b/>
          <w:sz w:val="26"/>
          <w:szCs w:val="26"/>
        </w:rPr>
      </w:pPr>
    </w:p>
    <w:p w:rsidR="00B95E43" w:rsidRPr="004C682A" w:rsidRDefault="00B95E43" w:rsidP="008740CA">
      <w:pPr>
        <w:jc w:val="center"/>
        <w:rPr>
          <w:b/>
          <w:sz w:val="24"/>
          <w:szCs w:val="26"/>
        </w:rPr>
      </w:pPr>
      <w:r w:rsidRPr="004C682A">
        <w:rPr>
          <w:b/>
          <w:sz w:val="24"/>
          <w:szCs w:val="26"/>
        </w:rPr>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r w:rsidRPr="004C682A">
        <w:rPr>
          <w:b/>
          <w:sz w:val="24"/>
          <w:szCs w:val="26"/>
        </w:rPr>
        <w:t>iv</w:t>
      </w:r>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lastRenderedPageBreak/>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2,2-azino-bis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2,2-dipheny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may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access to healthcare and eradication programs for </w:t>
      </w:r>
      <w:r w:rsidRPr="004C682A">
        <w:rPr>
          <w:i/>
          <w:color w:val="000000" w:themeColor="text1"/>
          <w:sz w:val="24"/>
          <w:szCs w:val="26"/>
        </w:rPr>
        <w:t>H. pylori</w:t>
      </w:r>
      <w:r w:rsidRPr="004C682A">
        <w:rPr>
          <w:color w:val="000000" w:themeColor="text1"/>
          <w:sz w:val="24"/>
          <w:szCs w:val="26"/>
        </w:rPr>
        <w:t xml:space="preserve"> are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Helicobacter pylori</w:t>
      </w:r>
      <w:r w:rsidRPr="004C682A">
        <w:rPr>
          <w:color w:val="000000" w:themeColor="text1"/>
          <w:sz w:val="24"/>
          <w:szCs w:val="26"/>
        </w:rPr>
        <w:t xml:space="preserve"> is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Venous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occur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Helicobacter pylori</w:t>
      </w:r>
      <w:r w:rsidRPr="004C682A">
        <w:rPr>
          <w:color w:val="000000" w:themeColor="text1"/>
          <w:szCs w:val="26"/>
        </w:rPr>
        <w:t xml:space="preserve"> colonizes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have normal levels. Elevated serum levels have been found in peptic ulcer disease patients with increased psychopathology, especially poor coping ability, hostility, and hypersensitivity.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ulceration,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Table 1: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Ulceration on the left tongue margin with no induration.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13: Oral ulcerations due to nicorandil. Multiple ulcers on bilateral buccal mucosa and bilateral tongue margins.</w:t>
      </w:r>
    </w:p>
    <w:p w:rsidR="005F3A20" w:rsidRPr="004C682A" w:rsidRDefault="005F3A20" w:rsidP="005F3A20">
      <w:pPr>
        <w:spacing w:after="0" w:line="480" w:lineRule="auto"/>
        <w:jc w:val="both"/>
        <w:rPr>
          <w:color w:val="000000" w:themeColor="text1"/>
          <w:sz w:val="24"/>
          <w:szCs w:val="26"/>
          <w:shd w:val="clear" w:color="auto" w:fill="FFFFFF"/>
        </w:rPr>
      </w:pP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2017). Additionally, H. pylori releases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pylori is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tetracycline and bismuth citrate. Ranitidine has been combined with bismuth citrate </w:t>
      </w:r>
      <w:r w:rsidRPr="004C682A">
        <w:rPr>
          <w:color w:val="000000" w:themeColor="text1"/>
          <w:sz w:val="24"/>
          <w:szCs w:val="26"/>
        </w:rPr>
        <w:lastRenderedPageBreak/>
        <w:t>(RBC), clarithromycin or amoxycillin. In 70% of patients the peptic ulcer healed within 4 weeks, but only 41-48% of the Helicobacter organism were eradicated. In a randomized study of 900 patients with peptic complaints an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Burm.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2019). 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contribute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high,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a relatively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a high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2,2-azino-bis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[2,2′-azino-bis(3-ethylbenzothiazoline-6-sulphonic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2,2-diphenyl-1-pycrylhydraxyl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2,2-diphenyl-1-picrylhydrazyl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bleeding,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kD.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an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form,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SOD is ubiquitous to all forms of life. Four different types of metal centers have been detected in SOD, dividing this family into Cu,Zn-, Fe-, Mn- and Ni-SODs. The evolution of SOD and other antioxidant enzymes was probably triggered by production of O2 by photosynthetic organisms about 2 billion years ago. Two major kinds of SOD appeared independently in prokaryotes at that time, Cu,Zn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r w:rsidRPr="004C682A">
        <w:rPr>
          <w:rStyle w:val="A0"/>
          <w:color w:val="000000" w:themeColor="text1"/>
          <w:sz w:val="24"/>
          <w:szCs w:val="26"/>
        </w:rPr>
        <w:t>Therefore,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obtained from the Animal Laboratory House, Kwara State Polytechnic, Ilorin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washed,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500g of blended stubborn grass was weighed into a bowl and dissolved with 2.5mL of ethanol. The mixture was left for 72 hours, then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Rats </w:t>
      </w:r>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We ensured the groups had similar average weights at the start of the experiment to eliminate initial weight disparities as a confounding factor. we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One gram (1g) of dry extract was weighed and boil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basis.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times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into,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was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volume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NB;Tetraphenylboron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The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12) was used to assayed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(2,4,6-tripyridyl-s-triazine),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2,2'-Azino-bis(3-ethylbenzothiazoline-6-sulfonic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2,2-Diphenyl-1-picrylhydrazyl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color w:val="000000" w:themeColor="text1"/>
          <w:sz w:val="24"/>
          <w:szCs w:val="26"/>
        </w:rPr>
        <w:t xml:space="preserve">where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  treatment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Preparing the Indomethacin Solution: We measured out the indomethacin, then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Then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Total Tannin Result Using Uv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r w:rsidRPr="004C682A">
        <w:rPr>
          <w:b/>
          <w:bCs/>
          <w:color w:val="000000" w:themeColor="text1"/>
          <w:szCs w:val="26"/>
        </w:rPr>
        <w:t>Conc(ppm)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high,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 Sample</w:t>
      </w:r>
      <w:r w:rsidRPr="004C682A">
        <w:rPr>
          <w:rFonts w:eastAsia="Times New Roman"/>
          <w:color w:val="000000" w:themeColor="text1"/>
          <w:sz w:val="24"/>
          <w:szCs w:val="26"/>
        </w:rPr>
        <w:t xml:space="preserve"> have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Moisture Content: Moisture content in both samples is low, which is ideal for preserving the quality and shelf life of the samples. t</w:t>
      </w:r>
      <w:r w:rsidR="00C42904">
        <w:rPr>
          <w:rFonts w:eastAsia="Times New Roman"/>
          <w:color w:val="000000" w:themeColor="text1"/>
          <w:sz w:val="24"/>
          <w:szCs w:val="26"/>
        </w:rPr>
        <w:t xml:space="preserve">he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ash contents, This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This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3775640"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3775641"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3775642"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3775643"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3775644"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3775645"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3775646"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3775647"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3775648"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3775649"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3775650"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3775651"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3775652"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9" type="#_x0000_t75" style="width:412.5pt;height:251.25pt" o:ole="">
            <v:imagedata r:id="rId62" o:title=""/>
          </v:shape>
          <o:OLEObject Type="Embed" ProgID="Prism8.Document" ShapeID="_x0000_i1039" DrawAspect="Content" ObjectID="_1813775653" r:id="rId63"/>
        </w:object>
      </w:r>
      <w:r w:rsidRPr="004C682A">
        <w:rPr>
          <w:sz w:val="26"/>
        </w:rPr>
        <w:object w:dxaOrig="8734" w:dyaOrig="6300">
          <v:shape id="_x0000_i1038" type="#_x0000_t75" style="width:409.5pt;height:277.5pt" o:ole="">
            <v:imagedata r:id="rId64" o:title=""/>
          </v:shape>
          <o:OLEObject Type="Embed" ProgID="Prism8.Document" ShapeID="_x0000_i1038" DrawAspect="Content" ObjectID="_1813775654"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1" type="#_x0000_t75" style="width:393pt;height:247.5pt" o:ole="">
            <v:imagedata r:id="rId66" o:title=""/>
          </v:shape>
          <o:OLEObject Type="Embed" ProgID="Prism8.Document" ShapeID="_x0000_i1041" DrawAspect="Content" ObjectID="_1813775655" r:id="rId67"/>
        </w:object>
      </w:r>
      <w:r w:rsidRPr="004C682A">
        <w:rPr>
          <w:sz w:val="26"/>
        </w:rPr>
        <w:object w:dxaOrig="8446" w:dyaOrig="6034">
          <v:shape id="_x0000_i1040" type="#_x0000_t75" style="width:390pt;height:272.25pt" o:ole="">
            <v:imagedata r:id="rId68" o:title=""/>
          </v:shape>
          <o:OLEObject Type="Embed" ProgID="Prism8.Document" ShapeID="_x0000_i1040" DrawAspect="Content" ObjectID="_1813775656"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3" type="#_x0000_t75" style="width:415.5pt;height:330.75pt" o:ole="">
            <v:imagedata r:id="rId70" o:title=""/>
          </v:shape>
          <o:OLEObject Type="Embed" ProgID="Prism8.Document" ShapeID="_x0000_i1043" DrawAspect="Content" ObjectID="_1813775657" r:id="rId71"/>
        </w:object>
      </w:r>
      <w:r w:rsidR="007E70D5" w:rsidRPr="004C682A">
        <w:rPr>
          <w:sz w:val="26"/>
        </w:rPr>
        <w:object w:dxaOrig="8842" w:dyaOrig="6034">
          <v:shape id="_x0000_i1044" type="#_x0000_t75" style="width:429.75pt;height:261pt" o:ole="">
            <v:imagedata r:id="rId72" o:title=""/>
          </v:shape>
          <o:OLEObject Type="Embed" ProgID="Prism8.Document" ShapeID="_x0000_i1044" DrawAspect="Content" ObjectID="_1813775658" r:id="rId73"/>
        </w:object>
      </w:r>
      <w:r w:rsidRPr="004C682A">
        <w:rPr>
          <w:sz w:val="26"/>
        </w:rPr>
        <w:object w:dxaOrig="8453" w:dyaOrig="6034">
          <v:shape id="_x0000_i1042" type="#_x0000_t75" style="width:393pt;height:246.75pt" o:ole="">
            <v:imagedata r:id="rId74" o:title=""/>
          </v:shape>
          <o:OLEObject Type="Embed" ProgID="Prism8.Document" ShapeID="_x0000_i1042" DrawAspect="Content" ObjectID="_1813775659"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6" type="#_x0000_t75" style="width:411.75pt;height:285pt" o:ole="">
            <v:imagedata r:id="rId40" o:title=""/>
          </v:shape>
          <o:OLEObject Type="Embed" ProgID="Prism8.Document" ShapeID="_x0000_i1046" DrawAspect="Content" ObjectID="_1813775660" r:id="rId76"/>
        </w:object>
      </w:r>
      <w:r w:rsidRPr="004C682A">
        <w:rPr>
          <w:sz w:val="26"/>
        </w:rPr>
        <w:object w:dxaOrig="8623" w:dyaOrig="6034">
          <v:shape id="_x0000_i1045" type="#_x0000_t75" style="width:411.75pt;height:262.5pt" o:ole="">
            <v:imagedata r:id="rId77" o:title=""/>
          </v:shape>
          <o:OLEObject Type="Embed" ProgID="Prism8.Document" ShapeID="_x0000_i1045" DrawAspect="Content" ObjectID="_1813775661"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3775662"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3775663"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3775664"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3775665"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3775666"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 indicating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Red blood cell (RBC) counts showed notable stability across the groups, ranging from 5.00 × 10¹²/L to 6.00 × 10¹²/L. Groups 1 is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Saponins was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was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exhibited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weight gain</w:t>
      </w:r>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Ca)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Mineral composition and nutritional evaluation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Oladipo, J. O., &amp; Oloyede, F. A. (2021).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Adeniyi, S., Orjiekwe, C., Ehiagbonare, J. and Arimah, B. (2010). 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(2023). Clinical and demographic review of corneal ulcers in University of Ilorin Teaching Hospital. </w:t>
      </w:r>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Towards a healthy stomach? Helicobacter pylori prevalence has dramatically decreased over 23 years in adults in a Swedish community. </w:t>
      </w:r>
      <w:r w:rsidRPr="004C682A">
        <w:rPr>
          <w:i/>
          <w:color w:val="000000" w:themeColor="text1"/>
          <w:sz w:val="24"/>
          <w:szCs w:val="26"/>
        </w:rPr>
        <w:t>United European Gastroenterol.</w:t>
      </w:r>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Ajayi, T. O., Adebayo, O. A., &amp; Ojo, A. A. (2022).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Akilandeswari, S., Senthamarai, R., Valarmathi, R., Shanthi, S., Prema, S., (2010). Screening of gastric antiulcer activity of Sida acuta Burm.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Akinpelu, B. A., Odetunde, J. A., &amp; Adeyemi, F. O. (2021).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Armstrong, D. G., Boulton, A. J., &amp; Bus, S. A. (2020). Diabetic foot ulcers and their recurrence.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Armstrong, D. G., Boulton, A. J., &amp; Bus, S. A. (2021). Diabetic foot ulcers and their recurrence.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Asha A, Farsana S. and Baiju EC. (2018). Phytochemical profiling and antibacterial activity of selected Sida species against common human pathogenic bacteria: An in vitro study. </w:t>
      </w:r>
      <w:r w:rsidRPr="004C682A">
        <w:rPr>
          <w:i/>
          <w:color w:val="000000" w:themeColor="text1"/>
          <w:sz w:val="24"/>
          <w:szCs w:val="26"/>
        </w:rPr>
        <w:t>Journal of Pharmacognosy and Phytochemistry.</w:t>
      </w:r>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Understanding the role of dressings in pressure ulcer prevention and management. </w:t>
      </w:r>
      <w:r w:rsidRPr="004C682A">
        <w:rPr>
          <w:i/>
          <w:color w:val="000000" w:themeColor="text1"/>
          <w:sz w:val="24"/>
          <w:szCs w:val="26"/>
        </w:rPr>
        <w:t>British Journal of Community Nursing,</w:t>
      </w:r>
      <w:r w:rsidRPr="004C682A">
        <w:rPr>
          <w:color w:val="000000" w:themeColor="text1"/>
          <w:sz w:val="24"/>
          <w:szCs w:val="26"/>
        </w:rPr>
        <w:t xml:space="preserve"> 24(6), S6-S10.</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 (2022). Corneal ulcers.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Baranoski, S., &amp; Ayello, E. A. (2020). Wound care essentials: Practice principles. Lippincott Williams &amp; Wilkins.</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 . Le Infezioni in Medicina.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Bennett, R. N., &amp; Wallsgrove, R. M. (2019).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Bergstrom, N., Braden, B. J., &amp; Laguzza, A. (2018). The Braden Scale for Predicting Pressure Sore Risk. Nursing Research, 41(2),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 ...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Boateng, J. S., &amp; Catanzano, O. (2015).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Conte, M. S., Bradbury, A. W., Kolh, P., White, J. V., Dick, F., Fitridge, R., ... &amp; Mills, J. L. (2019). Global vascular guidelines on chronic limb-threatening ischemia. European Journal of Vascular and Endovascular Surgery, 58(1), S1-S109.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Crispian Scully and Rosemary Shotts (2000). Mouth ulcers and other causes of orofacial soreness and pain.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Daglia, M. (2017). Polyphenols as antimicrobial agents.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Dinda, B., Das, N., Dinda, S., Dinda, M., &amp; SilSarma, I. (2015).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Phytochemical constituents and mineral composition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Edwards, R., &amp; Harding, K. G. (2020). Bacteria and wound healing.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2009;3(9):621-24.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Eming, S. A., Martin, P., &amp; Tomic-Canic, M. (2014). Wound repair and regeneration: Mechanisms, signaling, and translation. Science Translational Medicine, 6(265), 265sr6.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Eming, S. A., Martin, P., &amp; Tomic-Canic, M. (2019). Wound repair and regeneration: Mechanisms, signaling, and translation. Science Translational Medicine, 6(265), 265sr6.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1;2(4):89.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Ezekwesili, C. N., Nwodo, O. F., Obidoa, O., &amp; Aboh, F. O. (2018).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Nwodo, O. F., Obidoa, O., &amp; Aboh, F. O. (2018).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Nwodo, O. F., Obidoa, O., &amp; Aboh, F. O. (2018). Selenium and antioxidant properties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Fitzpatrick, S. G., Cohen, D. M., &amp; Clark, A. N. (2019).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2014;348:g3174.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 ... &amp; Criqui, M. H. (2020). Comparison of global estimates of prevalence and risk factors for peripheral artery disease.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Fraga, C. G., Croft, K. D., &amp; Kennedy, D. O. (2019). The role of tannins in health benefits. </w:t>
      </w:r>
      <w:r w:rsidRPr="004C682A">
        <w:rPr>
          <w:rStyle w:val="Emphasis"/>
          <w:color w:val="000000" w:themeColor="text1"/>
          <w:szCs w:val="26"/>
        </w:rPr>
        <w:t>Molecular Nutrition &amp; Food Research, 63</w:t>
      </w:r>
      <w:r w:rsidRPr="004C682A">
        <w:rPr>
          <w:color w:val="000000" w:themeColor="text1"/>
          <w:szCs w:val="26"/>
        </w:rPr>
        <w:t>(8), 1801234.</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Fraga, C. G., Croft, K. D., Kennedy, D. O., &amp; Tomás-Barberán, F. A. (2019). The role of flavonoids in disease prevention and health promotion.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Fraga, C. G., Croft, K. D., Kennedy, D. O., &amp; Tomás-Barberán, F. A. (2019). The role of phenolic compounds in disease prevention and health promotion.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Fraga, C. G., Croft, K. D., Kennedy, D. O., &amp; Tomás-Barberán, F. A. (2019). Role of minerals in plant-derived nutrition and disease prevention.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Gorecki, C., Closs, S. J., Nixon, J., &amp; Briggs, M. (2019).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Gorecki, C., Closs, S. J., Nixon, J., &amp; Briggs, M. (2019).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Goren, A., Ruppert, K., Degenholtz, H. B., &amp; Greer, N. (2019).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 ... &amp; Vowden, P. (2015). Health economic burden that wounds impose on the National Health Service in the UK. BMJ Open, 5(12), e009283.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Guo, S., &amp; DiPietro, L. A. (2010).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Hagerman, A. E., &amp; Butler, L. G. (2020).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Hagerman, A. E., &amp; Butler, L. G. (2020). The role of flavonoids in cardiovascular health.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Hagerman, A. E., &amp; Butler, L. G. (2020). The role of phenols in cardiovascular health.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Hagerman, A. E., &amp; Butler, L. G. (2020).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Jaul, E., Barron, J., Rosenzweig, J. P., &amp; Menczel, J. (2018). An overview of comorbidities and the development of pressure ulcers among older adults.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KALYANAKRISHNAN RAMAKRISHNAN, MD, FRCSE, and ROBERT C. SALINAS, MD (2007). Peptic Ulcer Disease.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r w:rsidRPr="004C682A">
        <w:rPr>
          <w:color w:val="000000" w:themeColor="text1"/>
          <w:sz w:val="24"/>
          <w:szCs w:val="26"/>
          <w:shd w:val="clear" w:color="auto" w:fill="FFFFFF"/>
        </w:rPr>
        <w:t>Sida acuta Burm. f.: a medicinal plant with numerous potencies. </w:t>
      </w:r>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Kayode, J. (2006). Conservation of indigenous medicinal botanicals in Ekiti State, Nigeria.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Khare, C.P. (2008). Indian medicinal plants: an illustrated dictionary (Vol. I). Springer Science and Business Media.</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Khare, M., Srivastava, S.K., Singh, A.K., 2002. Chemistry and pharmacology of genus Sida (Malvaceae)—a review.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ed.). Saunders. p. 1230. ISBN 0-7216-0187-1.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ed.). Saunders. p. 1230. ISBN 0-7216-0187-1.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Kurata JH, Nogawa AN. Meta-analysis of risk factors for peptic ulcer. Nonsteroidal anti-inflammatory drugs, Helicobacter pylori, and smoking. J Clin Gastroenterol 1997;24:2-17.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Laine, L., Jensen, D. M., &amp; Saini, S. D. (2021). Clinical practice guidelines for the management of peptic ulcer disease. Gastroenterology, 160(6), 1832-1851.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Laine, L., Jensen, D. M., &amp; Saini, S. D. (2021). Clinical practice guidelines for the management of peptic ulcer disease. Gastroenterology, 160(6), 1832-1851.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Lauret ME, Rodriguez-Pelaez M, Perez I, Rodrigo L (2015) Peptic Ulcer Disease.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Liesegang, T. J. (2019). Bacterial and fungal keratitis. Clinical Microbiology Reviews, 32(3), e00103-18.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Liesegang, T. J. (2019). Bacterial and fungal keratitis. Clinical Microbiology Reviews, 32(3), e00103-18.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Malairajan, P., Gopalakrishnan, G., Narasimhan, S., JessikalaVeni, K., 2006. Antiulcer activity of Sida acuta Burm. Natural Product Sciences 12, 150-152.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Malfertheiner, P., Kandulski, A., &amp; Venerito, M. (2017). Helicobacter pylori infection and the pathophysiology of peptic ulcer disease.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Malfertheiner, P., Kandulski, A., &amp; Venerito, M. (2017). Helicobacter pylori infection and the pathophysiology of peptic ulcer disease.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Mann A, Gbate M, Umar AN (2003). Sida acuta subspecie acuta. Medicinal and economic palnt of Nupeland, Jube Evans Books and Publication, p. 241.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Martin, P. (1997). Wound healing—aiming for perfect skin regeneration. Science, 276(5309), 75-81.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Máthé, Á. and Khan, I.A. (2022). Introduction to Medicinal and Aromatic Plants in India.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Mbagwu, F. N., &amp; Okoro, U. M. (2017). 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F. N., &amp; Okoro, U. M. (2017). Anti-inflammatory and analgesic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F. N., &amp; Okoro, U. M. (2017).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H. O., &amp; Okoro, F. A. (2017). 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H. O., &amp; Okoro, F. A. (2017). 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2023;61:396-407.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Mohideen, S., Sasikala, E., &amp; Gopal, V. (2002).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Mustoe, T. A., O’Shaughnessy, K., &amp; Kloeters, O. (2006). Chronic wound pathogenesis and current treatment strategies: A unifying hypothesis. Plastic and Reconstructive Surgery, 117(7S), 35S-41S.</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2003;71:6573-81.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Nussbaum, S. R., Carter, M. J., Fife, C. E., DaVanzo, J., Haught, R., Nusgart, M., &amp; Cartwright, D. (2018). An economic evaluation of the impact, cost, and Medicare policy implications of chronic nonhealing wounds.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E. A., Salawu, O. T., &amp; Adebayo, A. M. (2019). Chemical composition and medicinal potentials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E. A., Salawu, O. T., &amp; Adebayo, A. M. (2019). Chemical composition and medicinal potentials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Ogunyemi, O. M., Adewoyin, F. B., &amp; Olukemi, O. A. (2019). 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O. M., Adewoyin, F. B., &amp; Olukemi, O. A. (2019). Phytochemical screening and biological activities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O. M., Adewoyin, F. B., &amp; Olukemi, O. A. (2019). Phytochemical screening and mineral analysis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Okokon, J. E., Udoh, A. M., &amp; Akpan, A. B. (2018).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Olajide, O. A., Awe, S. O., &amp; Makinde, J. M. (2019).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O. A., Awe, S. O., &amp; Makinde, J. M. (2019).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O. A., Awe, S. O., &amp; Makinde, J. M. (2019).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S. O., Balogun, A. G., &amp; Adeyeye, O. T. (2019). Antifungal activity of </w:t>
      </w:r>
      <w:r w:rsidRPr="004C682A">
        <w:rPr>
          <w:rStyle w:val="Emphasis"/>
          <w:color w:val="000000" w:themeColor="text1"/>
          <w:szCs w:val="26"/>
        </w:rPr>
        <w:t>Sida acuta</w:t>
      </w:r>
      <w:r w:rsidRPr="004C682A">
        <w:rPr>
          <w:color w:val="000000" w:themeColor="text1"/>
          <w:szCs w:val="26"/>
        </w:rPr>
        <w:t xml:space="preserve"> against pathogenic fungi.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S. O., Balogun, A. G., &amp; Adeyeye, O. T. (2019). Antifungal activity of </w:t>
      </w:r>
      <w:r w:rsidRPr="004C682A">
        <w:rPr>
          <w:rStyle w:val="Emphasis"/>
          <w:color w:val="000000" w:themeColor="text1"/>
          <w:szCs w:val="26"/>
        </w:rPr>
        <w:t>Sida acuta</w:t>
      </w:r>
      <w:r w:rsidRPr="004C682A">
        <w:rPr>
          <w:color w:val="000000" w:themeColor="text1"/>
          <w:szCs w:val="26"/>
        </w:rPr>
        <w:t xml:space="preserve"> against pathogenic fungi.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 ...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Philip, B. K., Muralidharan, A., Natarajan, B., Varadamurthy, S., Venkataraman, S., 2008. Preliminary evaluation of anti-pyretic and anti-ulcerogenic activities of Sida cordifolia methanolic extract.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Porter, S. R., &amp; Leao, J. C. (2005).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Raimi, M.M.; Oyekanmi, A.M. and Adegoke, B.M. (2014). Proximate, phytochemical and micronutrient composition of Sida acuta.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 (2023). Treatment approach to corneal ulcer- Major Review.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Sadeghian, G., Ziaei, H., &amp; Nilforoushzadeh, M. A. (2020). Cutaneous infections leading to ulceration.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Epstein J, Sonis S. Oral mucositis: a challenging complication of radiotherapy, chemotherapy, and radiochemotherapy: Part 2. diagnosis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 ...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r w:rsidRPr="004C682A">
        <w:rPr>
          <w:i/>
          <w:iCs/>
          <w:color w:val="000000" w:themeColor="text1"/>
          <w:sz w:val="24"/>
          <w:szCs w:val="26"/>
          <w:shd w:val="clear" w:color="auto" w:fill="FFFFFF"/>
        </w:rPr>
        <w:t>Sida acuta Burm.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 …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rPr>
        <w:t>Srinivasan, N., &amp; Murali, R. (2022). An overview of the traditional importance, phytochemistry, and pharmacological properties of Sida acuta Burm.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 (2023). Corneal Ulcer.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Stern, A., &amp; Neuman, M. (2019). Pathophysiology and prevention of pressure ulcers.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Sung JJ, Kuipers EJ, El-Serag HB. Systematic review: the global incidence and prevalence of peptic ulcer disease. Aliment Pharmacol Ther 2009;29:938-46.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Sung, J. J. Y., Kuipers, E. J., &amp; El-Serag, H. B. (2020).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Sung, J. J. Y., Kuipers, E. J., &amp; El-Serag, H. B. (2020).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Tcheghebe, O. T., Seukep, A. J., &amp; Tatong, F. N. (2017). Ethnomedicinal uses, phytochemical and pharmacological profiles, and toxicity of Sida acuta Burm. F.: a review article. </w:t>
      </w:r>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Pimple*1 , Sakshi N. Nagre1 , Bhushan R. Gandhare2 , Sadhana P. Gautam3 , Pooja P. Hulke4 (2024). A Systematic Review On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Uche, C. Z., Nwafor, I. G., &amp; Ekong, U. S. (2020). 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C. Z., Nwafor, I. G., &amp; Ekong, U. S. (2020). Antioxidant properties of phenol-rich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C. Z., Nwafor, I. G., &amp; Ekong, U. S. (2020).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 (2015). Guidelines for the Management of Corneal Ulcer.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Yogarajah, S., &amp; Setterfield, J. (2021). </w:t>
      </w:r>
      <w:r w:rsidRPr="004C682A">
        <w:rPr>
          <w:rFonts w:eastAsia="Times New Roman"/>
          <w:i/>
          <w:iCs/>
          <w:color w:val="000000" w:themeColor="text1"/>
          <w:sz w:val="24"/>
          <w:szCs w:val="26"/>
        </w:rPr>
        <w:t>Mouth ulcers and diseases of the oral cavity. Medicine.</w:t>
      </w:r>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Zeouk, I. and Bekhti, K. (2020).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Beakers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BC9" w:rsidRDefault="00AC0BC9" w:rsidP="00E45839">
      <w:pPr>
        <w:spacing w:after="0" w:line="240" w:lineRule="auto"/>
      </w:pPr>
      <w:r>
        <w:separator/>
      </w:r>
    </w:p>
  </w:endnote>
  <w:endnote w:type="continuationSeparator" w:id="0">
    <w:p w:rsidR="00AC0BC9" w:rsidRDefault="00AC0BC9"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7514FB" w:rsidRDefault="007514FB">
        <w:pPr>
          <w:pStyle w:val="Footer"/>
          <w:jc w:val="center"/>
        </w:pPr>
        <w:r>
          <w:fldChar w:fldCharType="begin"/>
        </w:r>
        <w:r>
          <w:instrText xml:space="preserve"> PAGE   \* MERGEFORMAT </w:instrText>
        </w:r>
        <w:r>
          <w:fldChar w:fldCharType="separate"/>
        </w:r>
        <w:r w:rsidR="008740CA">
          <w:rPr>
            <w:noProof/>
          </w:rPr>
          <w:t>iv</w:t>
        </w:r>
        <w:r>
          <w:rPr>
            <w:noProof/>
          </w:rPr>
          <w:fldChar w:fldCharType="end"/>
        </w:r>
      </w:p>
    </w:sdtContent>
  </w:sdt>
  <w:p w:rsidR="007514FB" w:rsidRDefault="007514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BC9" w:rsidRDefault="00AC0BC9" w:rsidP="00E45839">
      <w:pPr>
        <w:spacing w:after="0" w:line="240" w:lineRule="auto"/>
      </w:pPr>
      <w:r>
        <w:separator/>
      </w:r>
    </w:p>
  </w:footnote>
  <w:footnote w:type="continuationSeparator" w:id="0">
    <w:p w:rsidR="00AC0BC9" w:rsidRDefault="00AC0BC9"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0F9E"/>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55B3C"/>
    <w:rsid w:val="004C682A"/>
    <w:rsid w:val="004C6FDE"/>
    <w:rsid w:val="004D60C9"/>
    <w:rsid w:val="004D69EB"/>
    <w:rsid w:val="004F4F53"/>
    <w:rsid w:val="005431D9"/>
    <w:rsid w:val="00552A1D"/>
    <w:rsid w:val="005963F5"/>
    <w:rsid w:val="005B42D1"/>
    <w:rsid w:val="005E6160"/>
    <w:rsid w:val="005F3A20"/>
    <w:rsid w:val="006166B6"/>
    <w:rsid w:val="00636657"/>
    <w:rsid w:val="006578E0"/>
    <w:rsid w:val="00666471"/>
    <w:rsid w:val="00686071"/>
    <w:rsid w:val="0069571C"/>
    <w:rsid w:val="006B7EA5"/>
    <w:rsid w:val="006C3F71"/>
    <w:rsid w:val="007108A0"/>
    <w:rsid w:val="0073533B"/>
    <w:rsid w:val="007411D1"/>
    <w:rsid w:val="007514FB"/>
    <w:rsid w:val="0077393C"/>
    <w:rsid w:val="00796EE5"/>
    <w:rsid w:val="007A63E1"/>
    <w:rsid w:val="007B0CDA"/>
    <w:rsid w:val="007E70D5"/>
    <w:rsid w:val="008740CA"/>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AC0BC9"/>
    <w:rsid w:val="00B573D0"/>
    <w:rsid w:val="00B801FD"/>
    <w:rsid w:val="00B95E43"/>
    <w:rsid w:val="00BB4E23"/>
    <w:rsid w:val="00BF2998"/>
    <w:rsid w:val="00C01D9C"/>
    <w:rsid w:val="00C42904"/>
    <w:rsid w:val="00C6447B"/>
    <w:rsid w:val="00C7577C"/>
    <w:rsid w:val="00C8717E"/>
    <w:rsid w:val="00C972A5"/>
    <w:rsid w:val="00CD6728"/>
    <w:rsid w:val="00CE0931"/>
    <w:rsid w:val="00D375FD"/>
    <w:rsid w:val="00D427CB"/>
    <w:rsid w:val="00D471D0"/>
    <w:rsid w:val="00D76801"/>
    <w:rsid w:val="00D80C6B"/>
    <w:rsid w:val="00DA6115"/>
    <w:rsid w:val="00DA7019"/>
    <w:rsid w:val="00DC1BC1"/>
    <w:rsid w:val="00E116A2"/>
    <w:rsid w:val="00E13104"/>
    <w:rsid w:val="00E45839"/>
    <w:rsid w:val="00E5296B"/>
    <w:rsid w:val="00E627F9"/>
    <w:rsid w:val="00EA6B97"/>
    <w:rsid w:val="00F15C1E"/>
    <w:rsid w:val="00F50084"/>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15789">
      <w:bodyDiv w:val="1"/>
      <w:marLeft w:val="0"/>
      <w:marRight w:val="0"/>
      <w:marTop w:val="0"/>
      <w:marBottom w:val="0"/>
      <w:divBdr>
        <w:top w:val="none" w:sz="0" w:space="0" w:color="auto"/>
        <w:left w:val="none" w:sz="0" w:space="0" w:color="auto"/>
        <w:bottom w:val="none" w:sz="0" w:space="0" w:color="auto"/>
        <w:right w:val="none" w:sz="0" w:space="0" w:color="auto"/>
      </w:divBdr>
    </w:div>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329014989">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oleObject" Target="embeddings/oleObject6.bin"/><Relationship Id="rId50" Type="http://schemas.openxmlformats.org/officeDocument/2006/relationships/image" Target="media/image29.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1.emf"/><Relationship Id="rId79" Type="http://schemas.openxmlformats.org/officeDocument/2006/relationships/image" Target="media/image43.emf"/><Relationship Id="rId87"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17.bin"/><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emf"/><Relationship Id="rId80" Type="http://schemas.openxmlformats.org/officeDocument/2006/relationships/oleObject" Target="embeddings/oleObject23.bin"/><Relationship Id="rId85" Type="http://schemas.openxmlformats.org/officeDocument/2006/relationships/image" Target="media/image46.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jpg"/><Relationship Id="rId41" Type="http://schemas.openxmlformats.org/officeDocument/2006/relationships/oleObject" Target="embeddings/oleObject3.bin"/><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oleObject" Target="embeddings/oleObject20.bin"/><Relationship Id="rId83" Type="http://schemas.openxmlformats.org/officeDocument/2006/relationships/image" Target="media/image45.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4.emf"/><Relationship Id="rId86" Type="http://schemas.openxmlformats.org/officeDocument/2006/relationships/oleObject" Target="embeddings/oleObject26.bin"/><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33127936"/>
        <c:axId val="1134153728"/>
      </c:scatterChart>
      <c:valAx>
        <c:axId val="1133127936"/>
        <c:scaling>
          <c:orientation val="minMax"/>
        </c:scaling>
        <c:delete val="0"/>
        <c:axPos val="b"/>
        <c:numFmt formatCode="General" sourceLinked="1"/>
        <c:majorTickMark val="out"/>
        <c:minorTickMark val="none"/>
        <c:tickLblPos val="nextTo"/>
        <c:crossAx val="1134153728"/>
        <c:crosses val="autoZero"/>
        <c:crossBetween val="midCat"/>
      </c:valAx>
      <c:valAx>
        <c:axId val="1134153728"/>
        <c:scaling>
          <c:orientation val="minMax"/>
        </c:scaling>
        <c:delete val="0"/>
        <c:axPos val="l"/>
        <c:majorGridlines/>
        <c:numFmt formatCode="General" sourceLinked="1"/>
        <c:majorTickMark val="out"/>
        <c:minorTickMark val="none"/>
        <c:tickLblPos val="nextTo"/>
        <c:crossAx val="113312793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634DD-687C-494D-BA67-9FCB8DBCD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168</Pages>
  <Words>28157</Words>
  <Characters>160498</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24</cp:revision>
  <cp:lastPrinted>2025-07-10T10:36:00Z</cp:lastPrinted>
  <dcterms:created xsi:type="dcterms:W3CDTF">2025-07-09T10:08:00Z</dcterms:created>
  <dcterms:modified xsi:type="dcterms:W3CDTF">2025-07-11T20:38:00Z</dcterms:modified>
</cp:coreProperties>
</file>