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cs="Times New Roman" w:hAnsi="Times New Roman"/>
          <w:b/>
          <w:sz w:val="24"/>
          <w:szCs w:val="24"/>
        </w:rPr>
      </w:pPr>
      <w:r>
        <w:rPr>
          <w:noProof/>
          <w:sz w:val="24"/>
          <w:szCs w:val="24"/>
        </w:rPr>
        <w:drawing>
          <wp:inline distL="0" distT="0" distB="0" distR="0">
            <wp:extent cx="1121410" cy="1017905"/>
            <wp:effectExtent l="0" t="0" r="2540" b="0"/>
            <wp:docPr id="1026" name="Picture 1" descr="C:\Users\PC\Desktop\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121410" cy="1017905"/>
                    </a:xfrm>
                    <a:prstGeom prst="rect"/>
                    <a:ln>
                      <a:noFill/>
                    </a:ln>
                  </pic:spPr>
                </pic:pic>
              </a:graphicData>
            </a:graphic>
          </wp:inline>
        </w:drawing>
      </w: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ISOLATION AND CHARACTERISATION OF MYCOBIOME IN</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AGRICULTURAL FIELDS</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BY</w:t>
      </w:r>
    </w:p>
    <w:p>
      <w:pPr>
        <w:pStyle w:val="style0"/>
        <w:spacing w:after="0" w:lineRule="auto" w:line="480"/>
        <w:jc w:val="center"/>
        <w:rPr>
          <w:rFonts w:ascii="Arial" w:cs="Arial" w:hAnsi="Arial"/>
          <w:b/>
          <w:color w:val="222222"/>
          <w:shd w:val="clear" w:color="auto" w:fill="ffffff"/>
        </w:rPr>
      </w:pPr>
      <w:r>
        <w:rPr>
          <w:rFonts w:ascii="Arial" w:cs="Arial" w:hAnsi="Arial"/>
          <w:b/>
          <w:color w:val="222222"/>
          <w:shd w:val="clear" w:color="auto" w:fill="ffffff"/>
        </w:rPr>
        <w:t>Eluomuno Angelina</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ND/23/SLT/PT/0</w:t>
      </w:r>
      <w:r>
        <w:rPr>
          <w:rFonts w:ascii="Times New Roman" w:cs="Times New Roman" w:hAnsi="Times New Roman"/>
          <w:b/>
          <w:sz w:val="24"/>
          <w:szCs w:val="24"/>
          <w:lang w:val="en-US"/>
        </w:rPr>
        <w:t>226</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 PROJECT SUBMITTED TO THE DEPARTMENT OF SCIENCE LABORATORY TECHNOLOGY, INSTITUTE OF APPLIED SCIENCES (IAS),</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KWARA STATE POLYTECHNIC, ILORIN,</w:t>
      </w:r>
    </w:p>
    <w:p>
      <w:pPr>
        <w:pStyle w:val="style94"/>
        <w:spacing w:beforeAutospacing="false" w:after="150" w:afterAutospacing="false" w:lineRule="atLeast" w:line="21"/>
        <w:jc w:val="center"/>
        <w:rPr>
          <w:b/>
        </w:rPr>
      </w:pPr>
      <w:r>
        <w:rPr>
          <w:b/>
        </w:rPr>
        <w:t>IN PARTIAL FULFILMENT OF THE REQUIREMENTS FOR THE AWARD OF NATIONAL DIPLOMA (ND) DEGREE IN SCIENCE LABORATORY TECHNOLOGY,INSTITUTE OF APPLIED SCIENCES (IAS),MICROBIOLOGY UNIT.KWARA STATE POLYTECHNIC ILORIN</w:t>
      </w:r>
    </w:p>
    <w:p>
      <w:pPr>
        <w:pStyle w:val="style94"/>
        <w:spacing w:beforeAutospacing="false" w:after="150" w:afterAutospacing="false" w:lineRule="atLeast" w:line="21"/>
        <w:jc w:val="center"/>
        <w:rPr>
          <w:rFonts w:eastAsia="-webkit-standard"/>
        </w:rPr>
      </w:pPr>
      <w:r>
        <w:rPr>
          <w:rFonts w:eastAsia="-webkit-standard"/>
        </w:rPr>
        <w:t> </w:t>
      </w:r>
    </w:p>
    <w:p>
      <w:pPr>
        <w:pStyle w:val="style0"/>
        <w:spacing w:after="0" w:lineRule="auto" w:line="480"/>
        <w:jc w:val="center"/>
        <w:rPr>
          <w:rFonts w:ascii="Times New Roman" w:cs="Times New Roman" w:hAnsi="Times New Roman"/>
          <w:b/>
          <w:bCs/>
          <w:sz w:val="28"/>
          <w:szCs w:val="28"/>
        </w:rPr>
      </w:pPr>
      <w:r>
        <w:rPr>
          <w:rFonts w:eastAsia="-webkit-standard"/>
        </w:rPr>
        <w:t> </w:t>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ab/>
      </w:r>
      <w:r>
        <w:rPr>
          <w:rFonts w:eastAsia="-webkit-standard"/>
        </w:rPr>
        <w:t>JULY</w:t>
      </w:r>
      <w:r>
        <w:rPr>
          <w:rFonts w:eastAsia="-webkit-standard"/>
          <w:b/>
        </w:rPr>
        <w:t>,2025</w:t>
      </w:r>
      <w:r>
        <w:rPr>
          <w:rFonts w:eastAsia="-webkit-standard"/>
          <w:b/>
        </w:rPr>
        <w:t>.</w:t>
      </w:r>
      <w:r>
        <w:rPr>
          <w:rFonts w:ascii="Times New Roman" w:cs="Times New Roman" w:hAnsi="Times New Roman"/>
          <w:b/>
          <w:bCs/>
          <w:sz w:val="28"/>
          <w:szCs w:val="28"/>
        </w:rPr>
        <w:t xml:space="preserve"> </w:t>
      </w: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p>
    <w:p>
      <w:pPr>
        <w:pStyle w:val="style0"/>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t>CERTIFICATION</w:t>
      </w:r>
    </w:p>
    <w:p>
      <w:pPr>
        <w:pStyle w:val="style0"/>
        <w:spacing w:after="0"/>
        <w:jc w:val="both"/>
        <w:rPr>
          <w:rFonts w:ascii="Times New Roman" w:cs="Times New Roman" w:hAnsi="Times New Roman"/>
          <w:sz w:val="28"/>
          <w:szCs w:val="28"/>
        </w:rPr>
      </w:pPr>
      <w:r>
        <w:rPr>
          <w:rFonts w:ascii="Times New Roman" w:cs="Times New Roman" w:hAnsi="Times New Roman"/>
          <w:sz w:val="28"/>
          <w:szCs w:val="28"/>
        </w:rPr>
        <w:t>This is certify that this project is the original work carried out and reported by</w:t>
      </w:r>
      <w:r>
        <w:rPr>
          <w:rFonts w:ascii="Times New Roman" w:cs="Times New Roman" w:hAnsi="Times New Roman"/>
          <w:sz w:val="28"/>
          <w:szCs w:val="28"/>
          <w:lang w:val="en-US"/>
        </w:rPr>
        <w:t xml:space="preserve"> </w:t>
      </w:r>
      <w:r>
        <w:rPr>
          <w:rFonts w:ascii="Times New Roman" w:cs="Times New Roman" w:hAnsi="Times New Roman"/>
          <w:sz w:val="28"/>
          <w:szCs w:val="28"/>
        </w:rPr>
        <w:t>Eluomuno Angelina</w:t>
      </w:r>
      <w:r>
        <w:rPr>
          <w:rFonts w:ascii="Arial" w:cs="Arial" w:hAnsi="Arial"/>
          <w:b/>
          <w:color w:val="222222"/>
          <w:shd w:val="clear" w:color="auto" w:fill="ffffff"/>
          <w:lang w:val="en-US"/>
        </w:rPr>
        <w:t xml:space="preserve"> </w:t>
      </w:r>
      <w:r>
        <w:rPr>
          <w:rFonts w:ascii="Times New Roman" w:cs="Times New Roman" w:hAnsi="Times New Roman"/>
          <w:sz w:val="28"/>
          <w:szCs w:val="28"/>
        </w:rPr>
        <w:t xml:space="preserve">with </w:t>
      </w:r>
      <w:r>
        <w:rPr>
          <w:rFonts w:ascii="Times New Roman" w:cs="Times New Roman" w:hAnsi="Times New Roman"/>
          <w:sz w:val="28"/>
          <w:szCs w:val="28"/>
        </w:rPr>
        <w:t>matric</w:t>
      </w:r>
      <w:r>
        <w:rPr>
          <w:rFonts w:ascii="Times New Roman" w:cs="Times New Roman" w:hAnsi="Times New Roman"/>
          <w:sz w:val="28"/>
          <w:szCs w:val="28"/>
        </w:rPr>
        <w:t xml:space="preserve"> number </w:t>
      </w:r>
      <w:r>
        <w:rPr>
          <w:rFonts w:ascii="Times New Roman" w:cs="Times New Roman" w:hAnsi="Times New Roman"/>
          <w:b/>
          <w:sz w:val="28"/>
          <w:szCs w:val="28"/>
        </w:rPr>
        <w:t>ND/23/SLT/PT/0</w:t>
      </w:r>
      <w:r>
        <w:rPr>
          <w:rFonts w:ascii="Times New Roman" w:cs="Times New Roman" w:hAnsi="Times New Roman"/>
          <w:b/>
          <w:sz w:val="28"/>
          <w:szCs w:val="28"/>
          <w:lang w:val="en-US"/>
        </w:rPr>
        <w:t>226</w:t>
      </w:r>
      <w:r>
        <w:rPr>
          <w:rFonts w:ascii="Times New Roman" w:cs="Times New Roman" w:hAnsi="Times New Roman"/>
          <w:b/>
          <w:bCs/>
          <w:sz w:val="28"/>
          <w:szCs w:val="28"/>
        </w:rPr>
        <w:t xml:space="preserve"> </w:t>
      </w:r>
      <w:r>
        <w:rPr>
          <w:rFonts w:ascii="Times New Roman" w:cs="Times New Roman" w:hAnsi="Times New Roman"/>
          <w:sz w:val="28"/>
          <w:szCs w:val="28"/>
        </w:rPr>
        <w:t xml:space="preserve">to the Department of Science Laboratory Technology, Microbiology unit, Institute of Applied Sciences (IAS) Kwara State Polytechnic Ilorin and it has been approved In partial fulfillment of the requirements for the Award </w:t>
      </w:r>
      <w:r>
        <w:rPr>
          <w:rFonts w:ascii="Times New Roman" w:cs="Times New Roman" w:hAnsi="Times New Roman"/>
          <w:sz w:val="28"/>
          <w:szCs w:val="28"/>
        </w:rPr>
        <w:t>of  National</w:t>
      </w:r>
      <w:r>
        <w:rPr>
          <w:rFonts w:ascii="Times New Roman" w:cs="Times New Roman" w:hAnsi="Times New Roman"/>
          <w:sz w:val="28"/>
          <w:szCs w:val="28"/>
        </w:rPr>
        <w:t xml:space="preserve"> Diploma (ND) In Science Laboratory Technology</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__________________________                                   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MISS. AHMED T.</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lang w:val="en-US"/>
        </w:rPr>
        <w:t xml:space="preserve">                </w:t>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(PROJECT SUPERVISOR)</w:t>
      </w: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w:t>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lang w:val="en-US"/>
        </w:rPr>
        <w:t xml:space="preserve">       </w:t>
      </w: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 ____________________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MISS. AHMED T. </w:t>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(HOU MICROBIOLOGY) </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__________________________                                 ___________________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DR. USMAN A.</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 xml:space="preserve">(HEAD OF DEPARTMENT) </w:t>
      </w: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p>
    <w:p>
      <w:pPr>
        <w:pStyle w:val="style0"/>
        <w:spacing w:after="0" w:lineRule="auto" w:line="240"/>
        <w:rPr>
          <w:rFonts w:ascii="Times New Roman" w:cs="Times New Roman" w:hAnsi="Times New Roman"/>
          <w:sz w:val="28"/>
          <w:szCs w:val="28"/>
        </w:rPr>
      </w:pPr>
      <w:r>
        <w:rPr>
          <w:rFonts w:ascii="Times New Roman" w:cs="Times New Roman" w:hAnsi="Times New Roman"/>
          <w:sz w:val="28"/>
          <w:szCs w:val="28"/>
        </w:rPr>
        <w:t>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__________________</w:t>
      </w:r>
    </w:p>
    <w:p>
      <w:pPr>
        <w:pStyle w:val="style0"/>
        <w:spacing w:after="0" w:lineRule="auto" w:line="240"/>
        <w:rPr>
          <w:rFonts w:ascii="Times New Roman" w:cs="Times New Roman" w:hAnsi="Times New Roman"/>
          <w:b/>
          <w:sz w:val="28"/>
          <w:szCs w:val="28"/>
        </w:rPr>
      </w:pPr>
      <w:r>
        <w:rPr>
          <w:rFonts w:ascii="Times New Roman" w:cs="Times New Roman" w:hAnsi="Times New Roman"/>
          <w:b/>
          <w:sz w:val="28"/>
          <w:szCs w:val="28"/>
        </w:rPr>
        <w:t>External Examiner</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DATE</w:t>
      </w:r>
    </w:p>
    <w:p>
      <w:pPr>
        <w:pStyle w:val="style0"/>
        <w:spacing w:after="0" w:lineRule="auto" w:line="480"/>
        <w:jc w:val="center"/>
        <w:rPr>
          <w:rFonts w:ascii="Times New Roman" w:cs="Times New Roman" w:hAnsi="Times New Roman"/>
          <w:b/>
          <w:bCs/>
          <w:sz w:val="28"/>
          <w:szCs w:val="28"/>
        </w:rPr>
      </w:pP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after="0" w:lineRule="auto" w:line="48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DEDICATION</w:t>
      </w:r>
    </w:p>
    <w:p>
      <w:pPr>
        <w:pStyle w:val="style0"/>
        <w:spacing w:after="0" w:lineRule="auto" w:line="480"/>
        <w:jc w:val="left"/>
        <w:rPr>
          <w:rFonts w:ascii="Times New Roman" w:cs="Times New Roman" w:hAnsi="Times New Roman"/>
          <w:b w:val="false"/>
          <w:bCs w:val="false"/>
          <w:color w:val="000000"/>
          <w:sz w:val="28"/>
          <w:szCs w:val="28"/>
        </w:rPr>
      </w:pPr>
      <w:r>
        <w:rPr>
          <w:rFonts w:ascii="Times New Roman" w:cs="Times New Roman" w:hAnsi="Times New Roman"/>
          <w:b w:val="false"/>
          <w:bCs w:val="false"/>
          <w:color w:val="000000"/>
          <w:sz w:val="28"/>
          <w:szCs w:val="28"/>
          <w:lang w:val="en-US"/>
        </w:rPr>
        <w:t>This work is dedicated to the Almighty God for His grace, wisdom, and strength in my life. I also dedicate this project to my beloved parents and family for their unwavering support and encouragement. Your sacrifices and prayers remain a solid foundation for my success Lastly, I dedicate it to all students of Science Laboratory Technology striving for excellence-may this work serve as motivation and inspiration to keep pushing forward</w:t>
      </w: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left"/>
        <w:rPr>
          <w:rFonts w:ascii="Times New Roman" w:cs="Times New Roman" w:hAnsi="Times New Roman"/>
          <w:b/>
          <w:bCs/>
          <w:color w:val="000000"/>
          <w:sz w:val="28"/>
          <w:szCs w:val="28"/>
        </w:rPr>
      </w:pPr>
    </w:p>
    <w:p>
      <w:pPr>
        <w:pStyle w:val="style0"/>
        <w:spacing w:after="0" w:lineRule="auto" w:line="480"/>
        <w:jc w:val="left"/>
        <w:rPr>
          <w:rFonts w:ascii="Times New Roman" w:cs="Times New Roman" w:hAnsi="Times New Roman"/>
          <w:b/>
          <w:bCs/>
          <w:color w:val="000000"/>
          <w:sz w:val="28"/>
          <w:szCs w:val="28"/>
        </w:rPr>
      </w:pPr>
    </w:p>
    <w:p>
      <w:pPr>
        <w:pStyle w:val="style0"/>
        <w:spacing w:after="0" w:lineRule="auto" w:line="480"/>
        <w:jc w:val="left"/>
        <w:rPr>
          <w:rFonts w:ascii="Times New Roman" w:cs="Times New Roman" w:hAnsi="Times New Roman"/>
          <w:b/>
          <w:bCs/>
          <w:color w:val="000000"/>
          <w:sz w:val="28"/>
          <w:szCs w:val="28"/>
        </w:rPr>
      </w:pPr>
    </w:p>
    <w:p>
      <w:pPr>
        <w:pStyle w:val="style0"/>
        <w:spacing w:after="0" w:lineRule="auto" w:line="480"/>
        <w:jc w:val="left"/>
        <w:rPr>
          <w:rFonts w:ascii="Times New Roman" w:cs="Times New Roman" w:hAnsi="Times New Roman"/>
          <w:b/>
          <w:bCs/>
          <w:color w:val="000000"/>
          <w:sz w:val="28"/>
          <w:szCs w:val="28"/>
        </w:rPr>
      </w:pPr>
    </w:p>
    <w:p>
      <w:pPr>
        <w:pStyle w:val="style0"/>
        <w:spacing w:after="0" w:lineRule="auto" w:line="480"/>
        <w:jc w:val="left"/>
        <w:rPr>
          <w:rFonts w:ascii="Times New Roman" w:cs="Times New Roman" w:hAnsi="Times New Roman"/>
          <w:b/>
          <w:bCs/>
          <w:color w:val="000000"/>
          <w:sz w:val="28"/>
          <w:szCs w:val="28"/>
        </w:rPr>
      </w:pPr>
    </w:p>
    <w:p>
      <w:pPr>
        <w:pStyle w:val="style0"/>
        <w:spacing w:after="0" w:lineRule="auto" w:line="480"/>
        <w:jc w:val="left"/>
        <w:rPr>
          <w:rFonts w:ascii="Times New Roman" w:cs="Times New Roman" w:hAnsi="Times New Roman"/>
          <w:b/>
          <w:bCs/>
          <w:color w:val="000000"/>
          <w:sz w:val="28"/>
          <w:szCs w:val="28"/>
        </w:rPr>
      </w:pPr>
    </w:p>
    <w:p>
      <w:pPr>
        <w:pStyle w:val="style0"/>
        <w:spacing w:after="0" w:lineRule="auto" w:line="480"/>
        <w:jc w:val="left"/>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ACKNOWLEDGEMENTS</w:t>
      </w:r>
    </w:p>
    <w:p>
      <w:pPr>
        <w:pStyle w:val="style0"/>
        <w:numPr>
          <w:ilvl w:val="0"/>
          <w:numId w:val="0"/>
        </w:numPr>
        <w:jc w:val="left"/>
        <w:rPr>
          <w:rFonts w:ascii="Times New Roman" w:cs="Times New Roman" w:hAnsi="Times New Roman"/>
          <w:b w:val="false"/>
          <w:bCs w:val="false"/>
          <w:color w:val="auto"/>
          <w:sz w:val="28"/>
          <w:szCs w:val="28"/>
        </w:rPr>
      </w:pPr>
      <w:r>
        <w:rPr>
          <w:rFonts w:ascii="Times New Roman" w:cs="Times New Roman" w:hAnsi="Times New Roman"/>
          <w:b w:val="false"/>
          <w:bCs w:val="false"/>
          <w:color w:val="auto"/>
          <w:sz w:val="28"/>
          <w:szCs w:val="28"/>
          <w:lang w:val="en-US"/>
        </w:rPr>
        <w:t>I, Eluomuno Angelina, with Matric Number ND/23/SLT/PT/0226, sincerely express my profound gratitude to God Almighty for His guidance, strength, and protection throughout the course of this programme.My heartfelt appreciation goes to my lecturers in the Department of Science Laboratory Technology, Kwara State Polytechnic, liorin, for their dedication, knowledge, and support throughout my academic journey. Special thanks to my project supervisor (insert name if applicable), whose invaluable guidance and encouragement made this work a reality.I am also thankful to my parents, family, and friends for their moral and financial support, prayers, and encouragement. Your love and belief in me kept me going even in challenging times.To all my coursemates and colleagues in the ND II SLT PT class, thank you for the teamwork, understanding, and friendship. You all made the journey worthwhile.</w:t>
      </w:r>
    </w:p>
    <w:p>
      <w:pPr>
        <w:pStyle w:val="style266"/>
        <w:jc w:val="left"/>
        <w:rPr>
          <w:rFonts w:ascii="Times New Roman" w:cs="Times New Roman" w:hAnsi="Times New Roman"/>
          <w:b/>
          <w:color w:val="auto"/>
          <w:sz w:val="28"/>
          <w:szCs w:val="28"/>
        </w:rPr>
      </w:pPr>
    </w:p>
    <w:p>
      <w:pPr>
        <w:pStyle w:val="style0"/>
        <w:numPr>
          <w:ilvl w:val="0"/>
          <w:numId w:val="0"/>
        </w:numPr>
        <w:jc w:val="left"/>
        <w:rPr>
          <w:rFonts w:ascii="Times New Roman" w:cs="Times New Roman" w:hAnsi="Times New Roman"/>
          <w:b/>
          <w:color w:val="auto"/>
          <w:sz w:val="28"/>
          <w:szCs w:val="28"/>
        </w:rPr>
      </w:pPr>
    </w:p>
    <w:p>
      <w:pPr>
        <w:pStyle w:val="style0"/>
        <w:numPr>
          <w:ilvl w:val="0"/>
          <w:numId w:val="0"/>
        </w:numPr>
        <w:jc w:val="left"/>
        <w:rPr>
          <w:rFonts w:ascii="Times New Roman" w:cs="Times New Roman" w:hAnsi="Times New Roman"/>
          <w:b/>
          <w:color w:val="auto"/>
          <w:sz w:val="28"/>
          <w:szCs w:val="28"/>
        </w:rPr>
      </w:pPr>
    </w:p>
    <w:p>
      <w:pPr>
        <w:pStyle w:val="style0"/>
        <w:numPr>
          <w:ilvl w:val="0"/>
          <w:numId w:val="0"/>
        </w:numPr>
        <w:jc w:val="left"/>
        <w:rPr>
          <w:rFonts w:ascii="Times New Roman" w:cs="Times New Roman" w:hAnsi="Times New Roman"/>
          <w:b/>
          <w:color w:val="auto"/>
          <w:sz w:val="28"/>
          <w:szCs w:val="28"/>
        </w:rPr>
      </w:pPr>
    </w:p>
    <w:p>
      <w:pPr>
        <w:pStyle w:val="style0"/>
        <w:numPr>
          <w:ilvl w:val="0"/>
          <w:numId w:val="0"/>
        </w:numPr>
        <w:jc w:val="left"/>
        <w:rPr>
          <w:rFonts w:ascii="Times New Roman" w:cs="Times New Roman" w:hAnsi="Times New Roman"/>
          <w:b/>
          <w:color w:val="auto"/>
          <w:sz w:val="28"/>
          <w:szCs w:val="28"/>
        </w:rPr>
      </w:pPr>
    </w:p>
    <w:p>
      <w:pPr>
        <w:pStyle w:val="style0"/>
        <w:numPr>
          <w:ilvl w:val="0"/>
          <w:numId w:val="0"/>
        </w:numPr>
        <w:jc w:val="left"/>
        <w:rPr>
          <w:rFonts w:ascii="Times New Roman" w:cs="Times New Roman" w:hAnsi="Times New Roman"/>
          <w:b/>
          <w:color w:val="auto"/>
          <w:sz w:val="28"/>
          <w:szCs w:val="28"/>
        </w:rPr>
      </w:pPr>
    </w:p>
    <w:p>
      <w:pPr>
        <w:pStyle w:val="style0"/>
        <w:numPr>
          <w:ilvl w:val="0"/>
          <w:numId w:val="0"/>
        </w:numPr>
        <w:jc w:val="left"/>
        <w:rPr>
          <w:rFonts w:ascii="Times New Roman" w:cs="Times New Roman" w:hAnsi="Times New Roman"/>
          <w:b/>
          <w:color w:val="auto"/>
          <w:sz w:val="28"/>
          <w:szCs w:val="28"/>
        </w:rPr>
      </w:pPr>
    </w:p>
    <w:p>
      <w:pPr>
        <w:pStyle w:val="style0"/>
        <w:numPr>
          <w:ilvl w:val="0"/>
          <w:numId w:val="0"/>
        </w:numPr>
        <w:jc w:val="left"/>
        <w:rPr>
          <w:rFonts w:ascii="Times New Roman" w:cs="Times New Roman" w:hAnsi="Times New Roman"/>
          <w:b/>
          <w:color w:val="auto"/>
          <w:sz w:val="28"/>
          <w:szCs w:val="28"/>
        </w:rPr>
      </w:pPr>
    </w:p>
    <w:p>
      <w:pPr>
        <w:pStyle w:val="style0"/>
        <w:numPr>
          <w:ilvl w:val="0"/>
          <w:numId w:val="0"/>
        </w:numPr>
        <w:jc w:val="left"/>
        <w:rPr>
          <w:rFonts w:ascii="Times New Roman" w:cs="Times New Roman" w:hAnsi="Times New Roman"/>
          <w:b/>
          <w:color w:val="auto"/>
          <w:sz w:val="28"/>
          <w:szCs w:val="28"/>
        </w:rPr>
      </w:pPr>
    </w:p>
    <w:p>
      <w:pPr>
        <w:pStyle w:val="style0"/>
        <w:numPr>
          <w:ilvl w:val="0"/>
          <w:numId w:val="0"/>
        </w:numPr>
        <w:jc w:val="left"/>
        <w:rPr>
          <w:rFonts w:ascii="Times New Roman" w:cs="Times New Roman" w:hAnsi="Times New Roman"/>
          <w:b/>
          <w:color w:val="auto"/>
          <w:sz w:val="28"/>
          <w:szCs w:val="28"/>
        </w:rPr>
      </w:pPr>
    </w:p>
    <w:p>
      <w:pPr>
        <w:pStyle w:val="style0"/>
        <w:numPr>
          <w:ilvl w:val="0"/>
          <w:numId w:val="0"/>
        </w:numPr>
        <w:jc w:val="left"/>
        <w:rPr>
          <w:rFonts w:ascii="Times New Roman" w:cs="Times New Roman" w:hAnsi="Times New Roman"/>
          <w:b/>
          <w:color w:val="auto"/>
          <w:sz w:val="28"/>
          <w:szCs w:val="28"/>
        </w:rPr>
      </w:pPr>
    </w:p>
    <w:p>
      <w:pPr>
        <w:pStyle w:val="style0"/>
        <w:numPr>
          <w:ilvl w:val="0"/>
          <w:numId w:val="0"/>
        </w:numPr>
        <w:jc w:val="left"/>
        <w:rPr>
          <w:rFonts w:ascii="Times New Roman" w:cs="Times New Roman" w:hAnsi="Times New Roman"/>
          <w:b/>
          <w:color w:val="auto"/>
          <w:sz w:val="28"/>
          <w:szCs w:val="28"/>
        </w:rPr>
      </w:pPr>
    </w:p>
    <w:p>
      <w:pPr>
        <w:pStyle w:val="style0"/>
        <w:numPr>
          <w:ilvl w:val="0"/>
          <w:numId w:val="0"/>
        </w:numPr>
        <w:jc w:val="left"/>
        <w:rPr>
          <w:rFonts w:ascii="Times New Roman" w:cs="Times New Roman" w:hAnsi="Times New Roman"/>
          <w:b/>
          <w:color w:val="auto"/>
          <w:sz w:val="28"/>
          <w:szCs w:val="28"/>
        </w:rPr>
      </w:pPr>
    </w:p>
    <w:p>
      <w:pPr>
        <w:pStyle w:val="style266"/>
        <w:jc w:val="center"/>
        <w:rPr>
          <w:rFonts w:ascii="Times New Roman" w:cs="Times New Roman" w:hAnsi="Times New Roman"/>
          <w:b/>
          <w:color w:val="auto"/>
          <w:sz w:val="28"/>
          <w:szCs w:val="28"/>
        </w:rPr>
      </w:pPr>
    </w:p>
    <w:p>
      <w:pPr>
        <w:pStyle w:val="style266"/>
        <w:jc w:val="center"/>
        <w:rPr>
          <w:rFonts w:ascii="Times New Roman" w:cs="Times New Roman" w:hAnsi="Times New Roman"/>
          <w:b/>
          <w:color w:val="auto"/>
          <w:sz w:val="28"/>
          <w:szCs w:val="28"/>
        </w:rPr>
      </w:pPr>
      <w:r>
        <w:rPr>
          <w:rFonts w:ascii="Times New Roman" w:cs="Times New Roman" w:hAnsi="Times New Roman"/>
          <w:b/>
          <w:color w:val="auto"/>
          <w:sz w:val="28"/>
          <w:szCs w:val="28"/>
        </w:rPr>
        <w:t>TABLE OF CONTENTS</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TITLE PAGE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CERTIFICATION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DEDICATION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iii</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ACKNOWLEDGEMENTS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iv</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TABLE OF CONTENTS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v-vi</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LIST TABLES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vii</w:t>
      </w:r>
    </w:p>
    <w:p>
      <w:pPr>
        <w:pStyle w:val="style0"/>
        <w:spacing w:lineRule="auto" w:line="276"/>
        <w:jc w:val="both"/>
        <w:rPr>
          <w:rFonts w:ascii="Times New Roman" w:cs="Times New Roman" w:hAnsi="Times New Roman"/>
          <w:sz w:val="28"/>
          <w:szCs w:val="28"/>
        </w:rPr>
      </w:pPr>
      <w:r>
        <w:rPr>
          <w:rFonts w:ascii="Times New Roman" w:cs="Times New Roman" w:hAnsi="Times New Roman"/>
          <w:sz w:val="28"/>
          <w:szCs w:val="28"/>
        </w:rPr>
        <w:t xml:space="preserve">ABSTRACT                                                              </w:t>
      </w:r>
      <w:r>
        <w:rPr>
          <w:rFonts w:ascii="Times New Roman" w:cs="Times New Roman" w:hAnsi="Times New Roman"/>
          <w:sz w:val="28"/>
          <w:szCs w:val="28"/>
          <w:lang w:val="en-US"/>
        </w:rPr>
        <w:t xml:space="preserve"> </w:t>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viii</w:t>
      </w:r>
    </w:p>
    <w:p>
      <w:pPr>
        <w:pStyle w:val="style19"/>
        <w:tabs>
          <w:tab w:val="right" w:leader="dot" w:pos="9350"/>
        </w:tabs>
        <w:rPr>
          <w:rFonts w:ascii="Times New Roman" w:cs="Times New Roman" w:hAnsi="Times New Roman"/>
          <w:noProof/>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TOC \o "1-3" \h \z \u </w:instrText>
      </w:r>
      <w:r>
        <w:rPr>
          <w:rFonts w:ascii="Times New Roman" w:cs="Times New Roman" w:hAnsi="Times New Roman"/>
          <w:sz w:val="28"/>
          <w:szCs w:val="28"/>
        </w:rPr>
        <w:fldChar w:fldCharType="separate"/>
      </w:r>
      <w:r>
        <w:rPr/>
        <w:fldChar w:fldCharType="begin"/>
      </w:r>
      <w:r>
        <w:instrText xml:space="preserve"> HYPERLINK \l "_Toc202598460" </w:instrText>
      </w:r>
      <w:r>
        <w:rPr/>
        <w:fldChar w:fldCharType="separate"/>
      </w:r>
      <w:r>
        <w:rPr>
          <w:rStyle w:val="style85"/>
          <w:rFonts w:ascii="Times New Roman" w:cs="Times New Roman" w:hAnsi="Times New Roman"/>
          <w:noProof/>
          <w:sz w:val="28"/>
          <w:szCs w:val="28"/>
        </w:rPr>
        <w:t>CHAPTER ONE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"_Toc202598461" </w:instrText>
      </w:r>
      <w:r>
        <w:rPr/>
        <w:fldChar w:fldCharType="separate"/>
      </w:r>
      <w:r>
        <w:rPr>
          <w:rStyle w:val="style85"/>
          <w:rFonts w:ascii="Times New Roman" w:cs="Times New Roman" w:hAnsi="Times New Roman"/>
          <w:noProof/>
          <w:sz w:val="28"/>
          <w:szCs w:val="28"/>
        </w:rPr>
        <w:t>1.0 INTRODUCTION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"_Toc202598462" </w:instrText>
      </w:r>
      <w:r>
        <w:rPr/>
        <w:fldChar w:fldCharType="separate"/>
      </w:r>
      <w:r>
        <w:rPr>
          <w:rStyle w:val="style85"/>
          <w:rFonts w:ascii="Times New Roman" w:cs="Times New Roman" w:hAnsi="Times New Roman"/>
          <w:noProof/>
          <w:sz w:val="28"/>
          <w:szCs w:val="28"/>
        </w:rPr>
        <w:t>1.1 Literature Review</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4</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"_Toc202598463" </w:instrText>
      </w:r>
      <w:r>
        <w:rPr/>
        <w:fldChar w:fldCharType="separate"/>
      </w:r>
      <w:r>
        <w:rPr>
          <w:rStyle w:val="style85"/>
          <w:rFonts w:ascii="Times New Roman" w:cs="Times New Roman" w:hAnsi="Times New Roman"/>
          <w:noProof/>
          <w:sz w:val="28"/>
          <w:szCs w:val="28"/>
        </w:rPr>
        <w:t>1.2 Statement of problem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"_Toc202598464" </w:instrText>
      </w:r>
      <w:r>
        <w:rPr/>
        <w:fldChar w:fldCharType="separate"/>
      </w:r>
      <w:r>
        <w:rPr>
          <w:rStyle w:val="style85"/>
          <w:rFonts w:ascii="Times New Roman" w:cs="Times New Roman" w:hAnsi="Times New Roman"/>
          <w:noProof/>
          <w:sz w:val="28"/>
          <w:szCs w:val="28"/>
        </w:rPr>
        <w:t>1.3 Aim</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"_Toc202598465" </w:instrText>
      </w:r>
      <w:r>
        <w:rPr/>
        <w:fldChar w:fldCharType="separate"/>
      </w:r>
      <w:r>
        <w:rPr>
          <w:rStyle w:val="style85"/>
          <w:rFonts w:ascii="Times New Roman" w:cs="Times New Roman" w:hAnsi="Times New Roman"/>
          <w:noProof/>
          <w:sz w:val="28"/>
          <w:szCs w:val="28"/>
        </w:rPr>
        <w:t>1.4 Objectives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"_Toc202598466" </w:instrText>
      </w:r>
      <w:r>
        <w:rPr/>
        <w:fldChar w:fldCharType="separate"/>
      </w:r>
      <w:r>
        <w:rPr>
          <w:rStyle w:val="style85"/>
          <w:rFonts w:ascii="Times New Roman" w:cs="Times New Roman" w:eastAsia="Times New Roman" w:hAnsi="Times New Roman"/>
          <w:noProof/>
          <w:sz w:val="28"/>
          <w:szCs w:val="28"/>
        </w:rPr>
        <w:t>CHAPTER TWO</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"_Toc202598467" </w:instrText>
      </w:r>
      <w:r>
        <w:rPr/>
        <w:fldChar w:fldCharType="separate"/>
      </w:r>
      <w:r>
        <w:rPr>
          <w:rStyle w:val="style85"/>
          <w:rFonts w:ascii="Times New Roman" w:cs="Times New Roman" w:eastAsia="Times New Roman" w:hAnsi="Times New Roman"/>
          <w:noProof/>
          <w:sz w:val="28"/>
          <w:szCs w:val="28"/>
        </w:rPr>
        <w:t>2.0 Materials and Methods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"_Toc202598468" </w:instrText>
      </w:r>
      <w:r>
        <w:rPr/>
        <w:fldChar w:fldCharType="separate"/>
      </w:r>
      <w:r>
        <w:rPr>
          <w:rStyle w:val="style85"/>
          <w:rFonts w:ascii="Times New Roman" w:cs="Times New Roman" w:eastAsia="Times New Roman" w:hAnsi="Times New Roman"/>
          <w:noProof/>
          <w:sz w:val="28"/>
          <w:szCs w:val="28"/>
        </w:rPr>
        <w:t>2.1 Materials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"_Toc202598469" </w:instrText>
      </w:r>
      <w:r>
        <w:rPr/>
        <w:fldChar w:fldCharType="separate"/>
      </w:r>
      <w:r>
        <w:rPr>
          <w:rStyle w:val="style85"/>
          <w:rFonts w:ascii="Times New Roman" w:cs="Times New Roman" w:eastAsia="Times New Roman" w:hAnsi="Times New Roman"/>
          <w:noProof/>
          <w:sz w:val="28"/>
          <w:szCs w:val="28"/>
        </w:rPr>
        <w:t>2.1.1 Media and Reagents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_Toc202598469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"_Toc202598470" </w:instrText>
      </w:r>
      <w:r>
        <w:rPr/>
        <w:fldChar w:fldCharType="separate"/>
      </w:r>
      <w:r>
        <w:rPr>
          <w:rStyle w:val="style85"/>
          <w:rFonts w:ascii="Times New Roman" w:cs="Times New Roman" w:eastAsia="Times New Roman" w:hAnsi="Times New Roman"/>
          <w:noProof/>
          <w:sz w:val="28"/>
          <w:szCs w:val="28"/>
        </w:rPr>
        <w:t>2.2 Preparation of Sample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"_Toc202598471" </w:instrText>
      </w:r>
      <w:r>
        <w:rPr/>
        <w:fldChar w:fldCharType="separate"/>
      </w:r>
      <w:r>
        <w:rPr>
          <w:rStyle w:val="style85"/>
          <w:rFonts w:ascii="Times New Roman" w:cs="Times New Roman" w:eastAsia="Times New Roman" w:hAnsi="Times New Roman"/>
          <w:noProof/>
          <w:sz w:val="28"/>
          <w:szCs w:val="28"/>
        </w:rPr>
        <w:t>2.3 Preparation of Media</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"_Toc202598472" </w:instrText>
      </w:r>
      <w:r>
        <w:rPr/>
        <w:fldChar w:fldCharType="separate"/>
      </w:r>
      <w:r>
        <w:rPr>
          <w:rStyle w:val="style85"/>
          <w:rFonts w:ascii="Times New Roman" w:cs="Times New Roman" w:eastAsia="Times New Roman" w:hAnsi="Times New Roman"/>
          <w:noProof/>
          <w:sz w:val="28"/>
          <w:szCs w:val="28"/>
        </w:rPr>
        <w:t>2.4 Isolation of Fungi</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"_Toc202598473" </w:instrText>
      </w:r>
      <w:r>
        <w:rPr/>
        <w:fldChar w:fldCharType="separate"/>
      </w:r>
      <w:r>
        <w:rPr>
          <w:rStyle w:val="style85"/>
          <w:rFonts w:ascii="Times New Roman" w:cs="Times New Roman" w:eastAsia="Times New Roman" w:hAnsi="Times New Roman"/>
          <w:noProof/>
          <w:sz w:val="28"/>
          <w:szCs w:val="28"/>
        </w:rPr>
        <w:t>2.5 Colony Counting</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_Toc202598473 \h </w:instrText>
      </w:r>
      <w:r>
        <w:rPr>
          <w:rFonts w:ascii="Times New Roman" w:cs="Times New Roman" w:hAnsi="Times New Roman"/>
          <w:noProof/>
          <w:webHidden/>
          <w:sz w:val="28"/>
          <w:szCs w:val="28"/>
        </w:rPr>
        <w:fldChar w:fldCharType="separate"/>
      </w:r>
      <w:r>
        <w:rPr>
          <w:rFonts w:ascii="Times New Roman" w:cs="Times New Roman" w:hAnsi="Times New Roman"/>
          <w:b/>
          <w:bCs/>
          <w:noProof/>
          <w:webHidden/>
          <w:sz w:val="28"/>
          <w:szCs w:val="28"/>
        </w:rPr>
        <w:t>Error! Bookmark not defined.</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"_Toc202598474" </w:instrText>
      </w:r>
      <w:r>
        <w:rPr/>
        <w:fldChar w:fldCharType="separate"/>
      </w:r>
      <w:r>
        <w:rPr>
          <w:rStyle w:val="style85"/>
          <w:rFonts w:ascii="Times New Roman" w:cs="Times New Roman" w:eastAsia="Times New Roman" w:hAnsi="Times New Roman"/>
          <w:noProof/>
          <w:sz w:val="28"/>
          <w:szCs w:val="28"/>
        </w:rPr>
        <w:t>2.6 Macroscopic and Microscopic Characterisation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"_Toc202598475" </w:instrText>
      </w:r>
      <w:r>
        <w:rPr/>
        <w:fldChar w:fldCharType="separate"/>
      </w:r>
      <w:r>
        <w:rPr>
          <w:rStyle w:val="style85"/>
          <w:rFonts w:ascii="Times New Roman" w:cs="Times New Roman" w:hAnsi="Times New Roman"/>
          <w:b/>
          <w:noProof/>
          <w:sz w:val="28"/>
          <w:szCs w:val="28"/>
        </w:rPr>
        <w:t>3.0 RESULT</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20"/>
        <w:tabs>
          <w:tab w:val="right" w:leader="dot" w:pos="9350"/>
        </w:tabs>
        <w:rPr>
          <w:rFonts w:ascii="Times New Roman" w:cs="Times New Roman" w:hAnsi="Times New Roman"/>
          <w:noProof/>
          <w:sz w:val="28"/>
          <w:szCs w:val="28"/>
        </w:rPr>
      </w:pPr>
      <w:r>
        <w:rPr/>
        <w:fldChar w:fldCharType="begin"/>
      </w:r>
      <w:r>
        <w:instrText xml:space="preserve"> HYPERLINK \l "_Toc202598476" </w:instrText>
      </w:r>
      <w:r>
        <w:rPr/>
        <w:fldChar w:fldCharType="separate"/>
      </w:r>
      <w:r>
        <w:rPr>
          <w:rStyle w:val="style85"/>
          <w:rFonts w:ascii="Times New Roman" w:cs="Times New Roman" w:hAnsi="Times New Roman"/>
          <w:noProof/>
          <w:sz w:val="28"/>
          <w:szCs w:val="28"/>
        </w:rPr>
        <w:t>3.1 Soil pH at Different Locations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20"/>
        <w:tabs>
          <w:tab w:val="right" w:leader="dot" w:pos="9350"/>
        </w:tabs>
        <w:rPr>
          <w:rFonts w:ascii="Times New Roman" w:cs="Times New Roman" w:hAnsi="Times New Roman"/>
          <w:noProof/>
          <w:sz w:val="28"/>
          <w:szCs w:val="28"/>
        </w:rPr>
      </w:pPr>
      <w:r>
        <w:rPr/>
        <w:fldChar w:fldCharType="begin"/>
      </w:r>
      <w:r>
        <w:instrText xml:space="preserve"> HYPERLINK \l "_Toc202598478" </w:instrText>
      </w:r>
      <w:r>
        <w:rPr/>
        <w:fldChar w:fldCharType="separate"/>
      </w:r>
      <w:r>
        <w:rPr>
          <w:rStyle w:val="style85"/>
          <w:rFonts w:ascii="Times New Roman" w:cs="Times New Roman" w:hAnsi="Times New Roman"/>
          <w:noProof/>
          <w:sz w:val="28"/>
          <w:szCs w:val="28"/>
        </w:rPr>
        <w:t>3.2 Colony Count from Mixed Cultures (after Serial Dilution)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_Toc202598478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20"/>
        <w:tabs>
          <w:tab w:val="right" w:leader="dot" w:pos="9350"/>
        </w:tabs>
        <w:rPr>
          <w:rFonts w:ascii="Times New Roman" w:cs="Times New Roman" w:hAnsi="Times New Roman"/>
          <w:noProof/>
          <w:sz w:val="28"/>
          <w:szCs w:val="28"/>
        </w:rPr>
      </w:pPr>
      <w:r>
        <w:rPr/>
        <w:fldChar w:fldCharType="begin"/>
      </w:r>
      <w:r>
        <w:instrText xml:space="preserve"> HYPERLINK \l "_Toc202598480" </w:instrText>
      </w:r>
      <w:r>
        <w:rPr/>
        <w:fldChar w:fldCharType="separate"/>
      </w:r>
      <w:r>
        <w:rPr>
          <w:rStyle w:val="style85"/>
          <w:rFonts w:ascii="Times New Roman" w:cs="Times New Roman" w:hAnsi="Times New Roman"/>
          <w:noProof/>
          <w:sz w:val="28"/>
          <w:szCs w:val="28"/>
        </w:rPr>
        <w:t>3.3 Subculture Results (Number of Pure Fungal Isolates)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14</w:t>
      </w:r>
      <w:r>
        <w:rPr>
          <w:rFonts w:ascii="Times New Roman" w:cs="Times New Roman" w:hAnsi="Times New Roman"/>
          <w:noProof/>
          <w:webHidden/>
          <w:sz w:val="28"/>
          <w:szCs w:val="28"/>
        </w:rPr>
        <w:fldChar w:fldCharType="end"/>
      </w:r>
      <w:r>
        <w:rPr/>
        <w:fldChar w:fldCharType="end"/>
      </w:r>
    </w:p>
    <w:p>
      <w:pPr>
        <w:pStyle w:val="style20"/>
        <w:tabs>
          <w:tab w:val="right" w:leader="dot" w:pos="9350"/>
        </w:tabs>
        <w:rPr>
          <w:rFonts w:ascii="Times New Roman" w:cs="Times New Roman" w:hAnsi="Times New Roman"/>
          <w:noProof/>
          <w:sz w:val="28"/>
          <w:szCs w:val="28"/>
        </w:rPr>
      </w:pPr>
      <w:r>
        <w:rPr/>
        <w:fldChar w:fldCharType="begin"/>
      </w:r>
      <w:r>
        <w:instrText xml:space="preserve"> HYPERLINK \l "_Toc202598482" </w:instrText>
      </w:r>
      <w:r>
        <w:rPr/>
        <w:fldChar w:fldCharType="separate"/>
      </w:r>
      <w:r>
        <w:rPr>
          <w:rStyle w:val="style85"/>
          <w:rFonts w:ascii="Times New Roman" w:cs="Times New Roman" w:hAnsi="Times New Roman"/>
          <w:noProof/>
          <w:sz w:val="28"/>
          <w:szCs w:val="28"/>
        </w:rPr>
        <w:t>3.4 Identified Fungal Species with Macroscopic and Microscopic Characteristics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noProof/>
          <w:webHidden/>
          <w:sz w:val="28"/>
          <w:szCs w:val="28"/>
        </w:rPr>
        <w:fldChar w:fldCharType="end"/>
      </w:r>
      <w:r>
        <w:rPr/>
        <w:fldChar w:fldCharType="end"/>
      </w:r>
      <w:r>
        <w:rPr/>
        <w:fldChar w:fldCharType="begin"/>
      </w:r>
      <w:r>
        <w:instrText xml:space="preserve"> HYPERLINK \l "_Toc202598483" </w:instrText>
      </w:r>
      <w:r>
        <w:rPr/>
        <w:fldChar w:fldCharType="separate"/>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"_Toc202598484" </w:instrText>
      </w:r>
      <w:r>
        <w:rPr/>
        <w:fldChar w:fldCharType="separate"/>
      </w:r>
      <w:r>
        <w:rPr>
          <w:rStyle w:val="style85"/>
          <w:rFonts w:ascii="Times New Roman" w:cs="Times New Roman" w:hAnsi="Times New Roman"/>
          <w:b/>
          <w:noProof/>
          <w:sz w:val="28"/>
          <w:szCs w:val="28"/>
        </w:rPr>
        <w:t>CHAPTER FOUR</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"_Toc202598485" </w:instrText>
      </w:r>
      <w:r>
        <w:rPr/>
        <w:fldChar w:fldCharType="separate"/>
      </w:r>
      <w:r>
        <w:rPr>
          <w:rStyle w:val="style85"/>
          <w:rFonts w:ascii="Times New Roman" w:cs="Times New Roman" w:hAnsi="Times New Roman"/>
          <w:b/>
          <w:noProof/>
          <w:sz w:val="28"/>
          <w:szCs w:val="28"/>
        </w:rPr>
        <w:t>4.0 DISCUSSION AND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"_Toc202598486" </w:instrText>
      </w:r>
      <w:r>
        <w:rPr/>
        <w:fldChar w:fldCharType="separate"/>
      </w:r>
      <w:r>
        <w:rPr>
          <w:rStyle w:val="style85"/>
          <w:rFonts w:ascii="Times New Roman" w:cs="Times New Roman" w:hAnsi="Times New Roman"/>
          <w:b/>
          <w:noProof/>
          <w:sz w:val="28"/>
          <w:szCs w:val="28"/>
        </w:rPr>
        <w:t>4.2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"_Toc202598487" </w:instrText>
      </w:r>
      <w:r>
        <w:rPr/>
        <w:fldChar w:fldCharType="separate"/>
      </w:r>
      <w:r>
        <w:rPr>
          <w:rStyle w:val="style85"/>
          <w:rFonts w:ascii="Times New Roman" w:cs="Times New Roman" w:hAnsi="Times New Roman"/>
          <w:b/>
          <w:noProof/>
          <w:sz w:val="28"/>
          <w:szCs w:val="28"/>
        </w:rPr>
        <w:t>REFERENCES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_Toc202598487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20</w:t>
      </w:r>
      <w:r>
        <w:rPr>
          <w:rFonts w:ascii="Times New Roman" w:cs="Times New Roman" w:hAnsi="Times New Roman"/>
          <w:noProof/>
          <w:webHidden/>
          <w:sz w:val="28"/>
          <w:szCs w:val="28"/>
        </w:rPr>
        <w:fldChar w:fldCharType="end"/>
      </w:r>
      <w:r>
        <w:rPr/>
        <w:fldChar w:fldCharType="end"/>
      </w:r>
    </w:p>
    <w:p>
      <w:pPr>
        <w:pStyle w:val="style0"/>
        <w:rPr>
          <w:rFonts w:ascii="Times New Roman" w:cs="Times New Roman" w:hAnsi="Times New Roman"/>
        </w:rPr>
      </w:pPr>
      <w:r>
        <w:rPr>
          <w:rFonts w:ascii="Times New Roman" w:cs="Times New Roman" w:hAnsi="Times New Roman"/>
          <w:b/>
          <w:bCs/>
          <w:noProof/>
          <w:sz w:val="28"/>
          <w:szCs w:val="28"/>
        </w:rPr>
        <w:fldChar w:fldCharType="end"/>
      </w:r>
    </w:p>
    <w:p>
      <w:pPr>
        <w:pStyle w:val="style0"/>
        <w:spacing w:lineRule="auto" w:line="360"/>
        <w:jc w:val="both"/>
        <w:rPr>
          <w:rFonts w:ascii="Times New Roman" w:cs="Times New Roman" w:hAnsi="Times New Roman"/>
          <w:sz w:val="28"/>
          <w:szCs w:val="28"/>
        </w:rPr>
      </w:pPr>
    </w:p>
    <w:p>
      <w:pPr>
        <w:pStyle w:val="style0"/>
        <w:spacing w:lineRule="auto" w:line="360"/>
        <w:jc w:val="both"/>
        <w:rPr>
          <w:rFonts w:ascii="Times New Roman" w:cs="Times New Roman" w:hAnsi="Times New Roman"/>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rPr>
          <w:rFonts w:ascii="Times New Roman" w:cs="Times New Roman" w:hAnsi="Times New Roman"/>
          <w:b/>
          <w:sz w:val="28"/>
          <w:szCs w:val="28"/>
        </w:rPr>
      </w:pPr>
      <w:r>
        <w:rPr>
          <w:rFonts w:ascii="Times New Roman" w:cs="Times New Roman" w:hAnsi="Times New Roman"/>
          <w:b/>
          <w:sz w:val="28"/>
          <w:szCs w:val="28"/>
        </w:rPr>
        <w:br w:type="page"/>
      </w:r>
    </w:p>
    <w:p>
      <w:pPr>
        <w:pStyle w:val="style0"/>
        <w:spacing w:lineRule="auto" w:line="360"/>
        <w:jc w:val="center"/>
        <w:rPr>
          <w:rFonts w:ascii="Times New Roman" w:cs="Times New Roman" w:hAnsi="Times New Roman"/>
          <w:b/>
          <w:sz w:val="28"/>
          <w:szCs w:val="28"/>
        </w:rPr>
      </w:pPr>
      <w:r>
        <w:rPr>
          <w:rFonts w:ascii="Times New Roman" w:cs="Times New Roman" w:hAnsi="Times New Roman"/>
          <w:b/>
          <w:sz w:val="28"/>
          <w:szCs w:val="28"/>
        </w:rPr>
        <w:t>LIST OF TABLES</w:t>
      </w:r>
    </w:p>
    <w:p>
      <w:pPr>
        <w:pStyle w:val="style0"/>
        <w:rPr>
          <w:rFonts w:ascii="Times New Roman" w:cs="Times New Roman" w:hAnsi="Times New Roman"/>
          <w:sz w:val="28"/>
          <w:szCs w:val="28"/>
        </w:rPr>
      </w:pPr>
      <w:r>
        <w:rPr>
          <w:rFonts w:ascii="Times New Roman" w:cs="Times New Roman" w:hAnsi="Times New Roman"/>
          <w:sz w:val="28"/>
          <w:szCs w:val="28"/>
        </w:rPr>
        <w:t xml:space="preserve">Table 1: </w:t>
      </w:r>
      <w:r>
        <w:rPr>
          <w:rFonts w:ascii="Times New Roman" w:cs="Times New Roman" w:hAnsi="Times New Roman"/>
          <w:sz w:val="28"/>
          <w:szCs w:val="28"/>
        </w:rPr>
        <w:t>Soil pH at different location</w:t>
      </w:r>
      <w:r>
        <w:rPr>
          <w:rFonts w:ascii="Times New Roman" w:cs="Times New Roman" w:hAnsi="Times New Roman"/>
          <w:sz w:val="28"/>
          <w:szCs w:val="28"/>
        </w:rPr>
        <w:t>…………………………………….….18</w:t>
      </w:r>
    </w:p>
    <w:p>
      <w:pPr>
        <w:pStyle w:val="style0"/>
        <w:rPr>
          <w:rFonts w:ascii="Times New Roman" w:cs="Times New Roman" w:hAnsi="Times New Roman"/>
          <w:sz w:val="28"/>
          <w:szCs w:val="28"/>
        </w:rPr>
      </w:pPr>
      <w:r>
        <w:rPr>
          <w:rFonts w:ascii="Times New Roman" w:cs="Times New Roman" w:hAnsi="Times New Roman"/>
          <w:sz w:val="28"/>
          <w:szCs w:val="28"/>
        </w:rPr>
        <w:t xml:space="preserve">Table 2: Colony Count from Mixed Cultures </w:t>
      </w:r>
      <w:r>
        <w:rPr>
          <w:rFonts w:ascii="Times New Roman" w:cs="Times New Roman" w:hAnsi="Times New Roman"/>
          <w:sz w:val="28"/>
          <w:szCs w:val="28"/>
        </w:rPr>
        <w:t>…………………...</w:t>
      </w:r>
      <w:r>
        <w:rPr>
          <w:rFonts w:ascii="Times New Roman" w:cs="Times New Roman" w:hAnsi="Times New Roman"/>
          <w:sz w:val="28"/>
          <w:szCs w:val="28"/>
        </w:rPr>
        <w:t>…………</w:t>
      </w:r>
      <w:r>
        <w:rPr>
          <w:rFonts w:ascii="Times New Roman" w:cs="Times New Roman" w:hAnsi="Times New Roman"/>
          <w:sz w:val="28"/>
          <w:szCs w:val="28"/>
        </w:rPr>
        <w:t>..19</w:t>
      </w:r>
    </w:p>
    <w:p>
      <w:pPr>
        <w:pStyle w:val="style0"/>
        <w:rPr>
          <w:rFonts w:ascii="Times New Roman" w:cs="Times New Roman" w:hAnsi="Times New Roman"/>
          <w:sz w:val="28"/>
          <w:szCs w:val="28"/>
        </w:rPr>
      </w:pPr>
      <w:r>
        <w:rPr>
          <w:rFonts w:ascii="Times New Roman" w:cs="Times New Roman" w:hAnsi="Times New Roman"/>
          <w:sz w:val="28"/>
          <w:szCs w:val="28"/>
        </w:rPr>
        <w:t>Table 3: Subculture Results (Number of Pure Fungal Isolates)…………….…..20</w:t>
      </w:r>
    </w:p>
    <w:p>
      <w:pPr>
        <w:pStyle w:val="style0"/>
        <w:rPr>
          <w:rFonts w:ascii="Times New Roman" w:cs="Times New Roman" w:hAnsi="Times New Roman"/>
          <w:b/>
          <w:sz w:val="28"/>
          <w:szCs w:val="28"/>
        </w:rPr>
      </w:pPr>
      <w:r>
        <w:rPr>
          <w:rFonts w:ascii="Times New Roman" w:cs="Times New Roman" w:hAnsi="Times New Roman"/>
          <w:sz w:val="28"/>
          <w:szCs w:val="28"/>
        </w:rPr>
        <w:t>Table 4: Identified Fungal Species with Macroscopic and Microscopic Characteristics</w:t>
      </w:r>
      <w:r>
        <w:rPr>
          <w:rFonts w:ascii="Times New Roman" w:cs="Times New Roman" w:hAnsi="Times New Roman"/>
          <w:webHidden/>
          <w:sz w:val="28"/>
          <w:szCs w:val="28"/>
        </w:rPr>
        <w:t>………………………………………………………….………..</w:t>
      </w:r>
      <w:r>
        <w:rPr>
          <w:rFonts w:ascii="Times New Roman" w:cs="Times New Roman" w:hAnsi="Times New Roman"/>
          <w:webHidden/>
          <w:sz w:val="28"/>
          <w:szCs w:val="28"/>
        </w:rPr>
        <w:fldChar w:fldCharType="begin"/>
      </w:r>
      <w:r>
        <w:rPr>
          <w:rFonts w:ascii="Times New Roman" w:cs="Times New Roman" w:hAnsi="Times New Roman"/>
          <w:webHidden/>
          <w:sz w:val="28"/>
          <w:szCs w:val="28"/>
        </w:rPr>
        <w:instrText xml:space="preserve"> PAGEREF _Toc202598483 \h </w:instrText>
      </w:r>
      <w:r>
        <w:rPr>
          <w:rFonts w:ascii="Times New Roman" w:cs="Times New Roman" w:hAnsi="Times New Roman"/>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webHidden/>
          <w:sz w:val="28"/>
          <w:szCs w:val="28"/>
        </w:rPr>
        <w:fldChar w:fldCharType="end"/>
      </w:r>
      <w:r>
        <w:rPr>
          <w:rFonts w:ascii="Times New Roman" w:cs="Times New Roman" w:hAnsi="Times New Roman"/>
          <w:b/>
          <w:sz w:val="28"/>
          <w:szCs w:val="28"/>
        </w:rPr>
        <w:br w:type="page"/>
      </w:r>
    </w:p>
    <w:bookmarkStart w:id="0" w:name="_GoBack"/>
    <w:bookmarkEnd w:id="0"/>
    <w:p>
      <w:pPr>
        <w:pStyle w:val="style0"/>
        <w:rPr>
          <w:rFonts w:ascii="Times New Roman" w:cs="Times New Roman" w:hAnsi="Times New Roman"/>
          <w:b/>
          <w:sz w:val="28"/>
          <w:szCs w:val="28"/>
        </w:rPr>
      </w:pPr>
    </w:p>
    <w:p>
      <w:pPr>
        <w:pStyle w:val="style0"/>
        <w:jc w:val="center"/>
        <w:rPr>
          <w:rFonts w:ascii="Times New Roman" w:cs="Times New Roman" w:hAnsi="Times New Roman"/>
          <w:b/>
          <w:i/>
          <w:iCs/>
          <w:sz w:val="28"/>
          <w:szCs w:val="28"/>
        </w:rPr>
      </w:pPr>
      <w:r>
        <w:rPr>
          <w:rFonts w:ascii="Times New Roman" w:cs="Times New Roman" w:hAnsi="Times New Roman"/>
          <w:b/>
          <w:i/>
          <w:iCs/>
          <w:sz w:val="28"/>
          <w:szCs w:val="28"/>
        </w:rPr>
        <w:t>ABSTRACT</w:t>
      </w:r>
    </w:p>
    <w:p>
      <w:pPr>
        <w:pStyle w:val="style0"/>
        <w:spacing w:lineRule="auto" w:line="480"/>
        <w:jc w:val="both"/>
        <w:rPr>
          <w:rFonts w:ascii="Times New Roman" w:cs="Times New Roman" w:hAnsi="Times New Roman"/>
          <w:i/>
          <w:iCs/>
          <w:sz w:val="28"/>
          <w:szCs w:val="28"/>
        </w:rPr>
        <w:sectPr>
          <w:footerReference w:type="default" r:id="rId3"/>
          <w:pgSz w:w="12240" w:h="15840" w:orient="portrait"/>
          <w:pgMar w:top="1440" w:right="1440" w:bottom="1440" w:left="1440" w:header="708" w:footer="708" w:gutter="0"/>
          <w:pgNumType w:fmt="lowerRoman" w:start="1"/>
          <w:cols w:space="708"/>
          <w:docGrid w:linePitch="360"/>
        </w:sectPr>
      </w:pPr>
      <w:r>
        <w:rPr>
          <w:rFonts w:ascii="Times New Roman" w:cs="Times New Roman" w:hAnsi="Times New Roman"/>
          <w:i/>
          <w:iCs/>
          <w:sz w:val="28"/>
          <w:szCs w:val="28"/>
        </w:rPr>
        <w:t xml:space="preserve">Soil fungi, collectively referred to as the </w:t>
      </w:r>
      <w:r>
        <w:rPr>
          <w:rFonts w:ascii="Times New Roman" w:cs="Times New Roman" w:hAnsi="Times New Roman"/>
          <w:i/>
          <w:iCs/>
          <w:sz w:val="28"/>
          <w:szCs w:val="28"/>
        </w:rPr>
        <w:t>mycobiome</w:t>
      </w:r>
      <w:r>
        <w:rPr>
          <w:rFonts w:ascii="Times New Roman" w:cs="Times New Roman" w:hAnsi="Times New Roman"/>
          <w:i/>
          <w:iCs/>
          <w:sz w:val="28"/>
          <w:szCs w:val="28"/>
        </w:rPr>
        <w:t xml:space="preserve">, are essential components of agricultural ecosystems, playing key roles in nutrient cycling, plant health, and biological control. This study aimed to isolate and characterize fungal communities from different agricultural fields within Kwara Polytechnic using culture-dependent and morphological methods. Soil samples were collected from five distinct locations and analyzed for pH, followed by serial dilution, inoculation on Potato Dextrose Agar (PDA), and incubation. Pure fungal isolates were obtained through sub culturing and identified based on macroscopic and microscopic features. A total of eight pure fungal cultures were obtained, representing six distinct species: </w:t>
      </w:r>
      <w:r>
        <w:rPr>
          <w:rFonts w:ascii="Times New Roman" w:cs="Times New Roman" w:hAnsi="Times New Roman"/>
          <w:i/>
          <w:iCs/>
          <w:sz w:val="28"/>
          <w:szCs w:val="28"/>
        </w:rPr>
        <w:t>Aspergillus</w:t>
      </w:r>
      <w:r>
        <w:rPr>
          <w:rFonts w:ascii="Times New Roman" w:cs="Times New Roman" w:hAnsi="Times New Roman"/>
          <w:i/>
          <w:iCs/>
          <w:sz w:val="28"/>
          <w:szCs w:val="28"/>
        </w:rPr>
        <w:t xml:space="preserve"> </w:t>
      </w:r>
      <w:r>
        <w:rPr>
          <w:rFonts w:ascii="Times New Roman" w:cs="Times New Roman" w:hAnsi="Times New Roman"/>
          <w:i/>
          <w:iCs/>
          <w:sz w:val="28"/>
          <w:szCs w:val="28"/>
        </w:rPr>
        <w:t>niger</w:t>
      </w:r>
      <w:r>
        <w:rPr>
          <w:rFonts w:ascii="Times New Roman" w:cs="Times New Roman" w:hAnsi="Times New Roman"/>
          <w:i/>
          <w:iCs/>
          <w:sz w:val="28"/>
          <w:szCs w:val="28"/>
        </w:rPr>
        <w:t xml:space="preserve">, </w:t>
      </w:r>
      <w:r>
        <w:rPr>
          <w:rFonts w:ascii="Times New Roman" w:cs="Times New Roman" w:hAnsi="Times New Roman"/>
          <w:i/>
          <w:iCs/>
          <w:sz w:val="28"/>
          <w:szCs w:val="28"/>
        </w:rPr>
        <w:t>Penicillium</w:t>
      </w:r>
      <w:r>
        <w:rPr>
          <w:rFonts w:ascii="Times New Roman" w:cs="Times New Roman" w:hAnsi="Times New Roman"/>
          <w:i/>
          <w:iCs/>
          <w:sz w:val="28"/>
          <w:szCs w:val="28"/>
        </w:rPr>
        <w:t xml:space="preserve"> sp., </w:t>
      </w:r>
      <w:r>
        <w:rPr>
          <w:rFonts w:ascii="Times New Roman" w:cs="Times New Roman" w:hAnsi="Times New Roman"/>
          <w:i/>
          <w:iCs/>
          <w:sz w:val="28"/>
          <w:szCs w:val="28"/>
        </w:rPr>
        <w:t>Rhizopus</w:t>
      </w:r>
      <w:r>
        <w:rPr>
          <w:rFonts w:ascii="Times New Roman" w:cs="Times New Roman" w:hAnsi="Times New Roman"/>
          <w:i/>
          <w:iCs/>
          <w:sz w:val="28"/>
          <w:szCs w:val="28"/>
        </w:rPr>
        <w:t xml:space="preserve"> </w:t>
      </w:r>
      <w:r>
        <w:rPr>
          <w:rFonts w:ascii="Times New Roman" w:cs="Times New Roman" w:hAnsi="Times New Roman"/>
          <w:i/>
          <w:iCs/>
          <w:sz w:val="28"/>
          <w:szCs w:val="28"/>
        </w:rPr>
        <w:t>stolonifer</w:t>
      </w:r>
      <w:r>
        <w:rPr>
          <w:rFonts w:ascii="Times New Roman" w:cs="Times New Roman" w:hAnsi="Times New Roman"/>
          <w:i/>
          <w:iCs/>
          <w:sz w:val="28"/>
          <w:szCs w:val="28"/>
        </w:rPr>
        <w:t xml:space="preserve">, </w:t>
      </w:r>
      <w:r>
        <w:rPr>
          <w:rFonts w:ascii="Times New Roman" w:cs="Times New Roman" w:hAnsi="Times New Roman"/>
          <w:i/>
          <w:iCs/>
          <w:sz w:val="28"/>
          <w:szCs w:val="28"/>
        </w:rPr>
        <w:t>Fusarium</w:t>
      </w:r>
      <w:r>
        <w:rPr>
          <w:rFonts w:ascii="Times New Roman" w:cs="Times New Roman" w:hAnsi="Times New Roman"/>
          <w:i/>
          <w:iCs/>
          <w:sz w:val="28"/>
          <w:szCs w:val="28"/>
        </w:rPr>
        <w:t xml:space="preserve"> sp., </w:t>
      </w:r>
      <w:r>
        <w:rPr>
          <w:rFonts w:ascii="Times New Roman" w:cs="Times New Roman" w:hAnsi="Times New Roman"/>
          <w:i/>
          <w:iCs/>
          <w:sz w:val="28"/>
          <w:szCs w:val="28"/>
        </w:rPr>
        <w:t>Mucor</w:t>
      </w:r>
      <w:r>
        <w:rPr>
          <w:rFonts w:ascii="Times New Roman" w:cs="Times New Roman" w:hAnsi="Times New Roman"/>
          <w:i/>
          <w:iCs/>
          <w:sz w:val="28"/>
          <w:szCs w:val="28"/>
        </w:rPr>
        <w:t xml:space="preserve"> sp., and </w:t>
      </w:r>
      <w:r>
        <w:rPr>
          <w:rFonts w:ascii="Times New Roman" w:cs="Times New Roman" w:hAnsi="Times New Roman"/>
          <w:i/>
          <w:iCs/>
          <w:sz w:val="28"/>
          <w:szCs w:val="28"/>
        </w:rPr>
        <w:t>Trichoderma</w:t>
      </w:r>
      <w:r>
        <w:rPr>
          <w:rFonts w:ascii="Times New Roman" w:cs="Times New Roman" w:hAnsi="Times New Roman"/>
          <w:i/>
          <w:iCs/>
          <w:sz w:val="28"/>
          <w:szCs w:val="28"/>
        </w:rPr>
        <w:t xml:space="preserve"> sp. The highest fungal diversity was observed in the </w:t>
      </w:r>
      <w:r>
        <w:rPr>
          <w:rFonts w:ascii="Times New Roman" w:cs="Times New Roman" w:hAnsi="Times New Roman"/>
          <w:i/>
          <w:iCs/>
          <w:sz w:val="28"/>
          <w:szCs w:val="28"/>
        </w:rPr>
        <w:t>Ibas</w:t>
      </w:r>
      <w:r>
        <w:rPr>
          <w:rFonts w:ascii="Times New Roman" w:cs="Times New Roman" w:hAnsi="Times New Roman"/>
          <w:i/>
          <w:iCs/>
          <w:sz w:val="28"/>
          <w:szCs w:val="28"/>
        </w:rPr>
        <w:t xml:space="preserve"> Area, while soil pH ranged from 5.2 to 5.6 across all sites, supporting fungal growth. These findings highlight the rich fungal biodiversity in agricultural soils and underscore their potential application in sustainable farming practices such as </w:t>
      </w:r>
      <w:r>
        <w:rPr>
          <w:rFonts w:ascii="Times New Roman" w:cs="Times New Roman" w:hAnsi="Times New Roman"/>
          <w:i/>
          <w:iCs/>
          <w:sz w:val="28"/>
          <w:szCs w:val="28"/>
        </w:rPr>
        <w:t>biofertilization</w:t>
      </w:r>
      <w:r>
        <w:rPr>
          <w:rFonts w:ascii="Times New Roman" w:cs="Times New Roman" w:hAnsi="Times New Roman"/>
          <w:i/>
          <w:iCs/>
          <w:sz w:val="28"/>
          <w:szCs w:val="28"/>
        </w:rPr>
        <w:t xml:space="preserve"> and </w:t>
      </w:r>
      <w:r>
        <w:rPr>
          <w:rFonts w:ascii="Times New Roman" w:cs="Times New Roman" w:hAnsi="Times New Roman"/>
          <w:i/>
          <w:iCs/>
          <w:sz w:val="28"/>
          <w:szCs w:val="28"/>
        </w:rPr>
        <w:t>biocontrol</w:t>
      </w:r>
      <w:r>
        <w:rPr>
          <w:rFonts w:ascii="Times New Roman" w:cs="Times New Roman" w:hAnsi="Times New Roman"/>
          <w:i/>
          <w:iCs/>
          <w:sz w:val="28"/>
          <w:szCs w:val="28"/>
        </w:rPr>
        <w:t>. Understanding and leveraging native fungal communities could lead to reduced chemical input and improved crop productivity.</w:t>
      </w:r>
    </w:p>
    <w:bookmarkStart w:id="1" w:name="_Toc202598460"/>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ONE</w:t>
      </w:r>
      <w:bookmarkEnd w:id="1"/>
    </w:p>
    <w:bookmarkStart w:id="2" w:name="_Toc202598461"/>
    <w:p>
      <w:pPr>
        <w:pStyle w:val="style1"/>
        <w:spacing w:lineRule="auto" w:line="480"/>
        <w:rPr>
          <w:rFonts w:ascii="Times New Roman" w:cs="Times New Roman" w:hAnsi="Times New Roman"/>
          <w:b/>
          <w:color w:val="auto"/>
          <w:sz w:val="28"/>
          <w:szCs w:val="28"/>
        </w:rPr>
      </w:pPr>
      <w:r>
        <w:rPr>
          <w:rFonts w:ascii="Times New Roman" w:cs="Times New Roman" w:hAnsi="Times New Roman"/>
          <w:b/>
          <w:color w:val="auto"/>
          <w:sz w:val="28"/>
          <w:szCs w:val="28"/>
        </w:rPr>
        <w:t>1.0 INTRODUCTION</w:t>
      </w:r>
      <w:bookmarkEnd w:id="2"/>
      <w:r>
        <w:rPr>
          <w:rFonts w:ascii="Times New Roman" w:cs="Times New Roman" w:hAnsi="Times New Roman"/>
          <w:b/>
          <w:color w:val="auto"/>
          <w:sz w:val="28"/>
          <w:szCs w:val="28"/>
        </w:rPr>
        <w:t xml:space="preserve">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Agricultural soils harbor diverse microbial communities vital for ecosystem services, and fungi collectively known as the </w:t>
      </w:r>
      <w:r>
        <w:rPr>
          <w:rFonts w:ascii="Times New Roman" w:cs="Times New Roman" w:hAnsi="Times New Roman"/>
          <w:bCs/>
          <w:sz w:val="28"/>
          <w:szCs w:val="28"/>
        </w:rPr>
        <w:t>mycobiome</w:t>
      </w:r>
      <w:r>
        <w:rPr>
          <w:rFonts w:ascii="Times New Roman" w:cs="Times New Roman" w:hAnsi="Times New Roman"/>
          <w:sz w:val="28"/>
          <w:szCs w:val="28"/>
        </w:rPr>
        <w:t xml:space="preserve"> play crucial roles in nutrient cycling, plant symbiosis, and disease suppression (</w:t>
      </w:r>
      <w:r>
        <w:rPr>
          <w:rFonts w:ascii="Times New Roman" w:cs="Times New Roman" w:hAnsi="Times New Roman"/>
          <w:sz w:val="28"/>
          <w:szCs w:val="28"/>
        </w:rPr>
        <w:t>Banerjee</w:t>
      </w:r>
      <w:r>
        <w:rPr>
          <w:rFonts w:ascii="Times New Roman" w:cs="Times New Roman" w:hAnsi="Times New Roman"/>
          <w:sz w:val="28"/>
          <w:szCs w:val="28"/>
        </w:rPr>
        <w:t xml:space="preserve">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2020). Despite their ecological importance, soil fungi have been less studied compared to bacteria. Recent insights reveal that these fungi contribute significantly to soil structure and fertility through organic matter decomposition and root interactions (Liu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Characterizing the native </w:t>
      </w:r>
      <w:r>
        <w:rPr>
          <w:rFonts w:ascii="Times New Roman" w:cs="Times New Roman" w:hAnsi="Times New Roman"/>
          <w:sz w:val="28"/>
          <w:szCs w:val="28"/>
        </w:rPr>
        <w:t>mycobiome</w:t>
      </w:r>
      <w:r>
        <w:rPr>
          <w:rFonts w:ascii="Times New Roman" w:cs="Times New Roman" w:hAnsi="Times New Roman"/>
          <w:sz w:val="28"/>
          <w:szCs w:val="28"/>
        </w:rPr>
        <w:t xml:space="preserve"> is essential, as it may unveil beneficial strains that support sustainable agriculture and improve crop health.</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Soil fungi perform varied ecological </w:t>
      </w:r>
      <w:r>
        <w:rPr>
          <w:rFonts w:ascii="Times New Roman" w:cs="Times New Roman" w:hAnsi="Times New Roman"/>
          <w:sz w:val="28"/>
          <w:szCs w:val="28"/>
        </w:rPr>
        <w:t>functions</w:t>
      </w:r>
      <w:r>
        <w:rPr>
          <w:rFonts w:ascii="Times New Roman" w:cs="Times New Roman" w:hAnsi="Times New Roman"/>
          <w:sz w:val="28"/>
          <w:szCs w:val="28"/>
        </w:rPr>
        <w:t xml:space="preserve">, from decomposers breaking down organic matter to </w:t>
      </w:r>
      <w:r>
        <w:rPr>
          <w:rFonts w:ascii="Times New Roman" w:cs="Times New Roman" w:hAnsi="Times New Roman"/>
          <w:sz w:val="28"/>
          <w:szCs w:val="28"/>
        </w:rPr>
        <w:t>mutualistic</w:t>
      </w:r>
      <w:r>
        <w:rPr>
          <w:rFonts w:ascii="Times New Roman" w:cs="Times New Roman" w:hAnsi="Times New Roman"/>
          <w:sz w:val="28"/>
          <w:szCs w:val="28"/>
        </w:rPr>
        <w:t xml:space="preserve"> species like </w:t>
      </w:r>
      <w:r>
        <w:rPr>
          <w:rFonts w:ascii="Times New Roman" w:cs="Times New Roman" w:hAnsi="Times New Roman"/>
          <w:bCs/>
          <w:sz w:val="28"/>
          <w:szCs w:val="28"/>
        </w:rPr>
        <w:t>arbuscular</w:t>
      </w:r>
      <w:r>
        <w:rPr>
          <w:rFonts w:ascii="Times New Roman" w:cs="Times New Roman" w:hAnsi="Times New Roman"/>
          <w:bCs/>
          <w:sz w:val="28"/>
          <w:szCs w:val="28"/>
        </w:rPr>
        <w:t xml:space="preserve"> </w:t>
      </w:r>
      <w:r>
        <w:rPr>
          <w:rFonts w:ascii="Times New Roman" w:cs="Times New Roman" w:hAnsi="Times New Roman"/>
          <w:bCs/>
          <w:sz w:val="28"/>
          <w:szCs w:val="28"/>
        </w:rPr>
        <w:t>mycorrhizal</w:t>
      </w:r>
      <w:r>
        <w:rPr>
          <w:rFonts w:ascii="Times New Roman" w:cs="Times New Roman" w:hAnsi="Times New Roman"/>
          <w:bCs/>
          <w:sz w:val="28"/>
          <w:szCs w:val="28"/>
        </w:rPr>
        <w:t xml:space="preserve"> fungi (AMF)</w:t>
      </w:r>
      <w:r>
        <w:rPr>
          <w:rFonts w:ascii="Times New Roman" w:cs="Times New Roman" w:hAnsi="Times New Roman"/>
          <w:sz w:val="28"/>
          <w:szCs w:val="28"/>
        </w:rPr>
        <w:t xml:space="preserve"> that enhance nutrient uptake (Chen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2022; Zhou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Some fungi, such as </w:t>
      </w:r>
      <w:r>
        <w:rPr>
          <w:rFonts w:ascii="Times New Roman" w:cs="Times New Roman" w:hAnsi="Times New Roman"/>
          <w:i/>
          <w:iCs/>
          <w:sz w:val="28"/>
          <w:szCs w:val="28"/>
        </w:rPr>
        <w:t>Trichoderma</w:t>
      </w:r>
      <w:r>
        <w:rPr>
          <w:rFonts w:ascii="Times New Roman" w:cs="Times New Roman" w:hAnsi="Times New Roman"/>
          <w:sz w:val="28"/>
          <w:szCs w:val="28"/>
        </w:rPr>
        <w:t xml:space="preserve">, also offer </w:t>
      </w:r>
      <w:r>
        <w:rPr>
          <w:rFonts w:ascii="Times New Roman" w:cs="Times New Roman" w:hAnsi="Times New Roman"/>
          <w:sz w:val="28"/>
          <w:szCs w:val="28"/>
        </w:rPr>
        <w:t>biocontrol</w:t>
      </w:r>
      <w:r>
        <w:rPr>
          <w:rFonts w:ascii="Times New Roman" w:cs="Times New Roman" w:hAnsi="Times New Roman"/>
          <w:sz w:val="28"/>
          <w:szCs w:val="28"/>
        </w:rPr>
        <w:t xml:space="preserve"> benefits, while pathogenic species like </w:t>
      </w:r>
      <w:r>
        <w:rPr>
          <w:rFonts w:ascii="Times New Roman" w:cs="Times New Roman" w:hAnsi="Times New Roman"/>
          <w:i/>
          <w:iCs/>
          <w:sz w:val="28"/>
          <w:szCs w:val="28"/>
        </w:rPr>
        <w:t>Fusarium</w:t>
      </w:r>
      <w:r>
        <w:rPr>
          <w:rFonts w:ascii="Times New Roman" w:cs="Times New Roman" w:hAnsi="Times New Roman"/>
          <w:sz w:val="28"/>
          <w:szCs w:val="28"/>
        </w:rPr>
        <w:t xml:space="preserve"> and </w:t>
      </w:r>
      <w:r>
        <w:rPr>
          <w:rFonts w:ascii="Times New Roman" w:cs="Times New Roman" w:hAnsi="Times New Roman"/>
          <w:i/>
          <w:iCs/>
          <w:sz w:val="28"/>
          <w:szCs w:val="28"/>
        </w:rPr>
        <w:t>Alternaria</w:t>
      </w:r>
      <w:r>
        <w:rPr>
          <w:rFonts w:ascii="Times New Roman" w:cs="Times New Roman" w:hAnsi="Times New Roman"/>
          <w:sz w:val="28"/>
          <w:szCs w:val="28"/>
        </w:rPr>
        <w:t xml:space="preserve"> threaten crop yields. Identifying and isolating these fungi enables early detection and guides the implementation of biological control strategies. Thus, the balance of fungal populations directly influences plant productivity and soil resilience</w:t>
      </w:r>
      <w:r>
        <w:rPr>
          <w:rFonts w:ascii="Times New Roman" w:cs="Times New Roman" w:hAnsi="Times New Roman"/>
          <w:sz w:val="28"/>
          <w:szCs w:val="28"/>
        </w:rPr>
        <w: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Anthropogenic activities intensive tillage, pesticides, and monocultures—disrupt soil microbial balance, often favoring pathogens while diminishing beneficial fungi (Ma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2020). Characterizing the soil </w:t>
      </w:r>
      <w:r>
        <w:rPr>
          <w:rFonts w:ascii="Times New Roman" w:cs="Times New Roman" w:hAnsi="Times New Roman"/>
          <w:sz w:val="28"/>
          <w:szCs w:val="28"/>
        </w:rPr>
        <w:t>mycobiome</w:t>
      </w:r>
      <w:r>
        <w:rPr>
          <w:rFonts w:ascii="Times New Roman" w:cs="Times New Roman" w:hAnsi="Times New Roman"/>
          <w:sz w:val="28"/>
          <w:szCs w:val="28"/>
        </w:rPr>
        <w:t xml:space="preserve"> helps assess these impacts and design ecological interventions. For instance, enhancing beneficial fungi through cover cropping or reduced chemical inputs aligns with </w:t>
      </w:r>
      <w:r>
        <w:rPr>
          <w:rFonts w:ascii="Times New Roman" w:cs="Times New Roman" w:hAnsi="Times New Roman"/>
          <w:bCs/>
          <w:sz w:val="28"/>
          <w:szCs w:val="28"/>
        </w:rPr>
        <w:t>regenerative agriculture</w:t>
      </w:r>
      <w:r>
        <w:rPr>
          <w:rFonts w:ascii="Times New Roman" w:cs="Times New Roman" w:hAnsi="Times New Roman"/>
          <w:sz w:val="28"/>
          <w:szCs w:val="28"/>
        </w:rPr>
        <w:t xml:space="preserve"> goals. Fungal diversity supports nutrient cycling and carbon retention, ultimately reducing reliance on synthetic fertilizers and promoting soil health (</w:t>
      </w:r>
      <w:r>
        <w:rPr>
          <w:rFonts w:ascii="Times New Roman" w:cs="Times New Roman" w:hAnsi="Times New Roman"/>
          <w:sz w:val="28"/>
          <w:szCs w:val="28"/>
        </w:rPr>
        <w:t>Choudhary</w:t>
      </w:r>
      <w:r>
        <w:rPr>
          <w:rFonts w:ascii="Times New Roman" w:cs="Times New Roman" w:hAnsi="Times New Roman"/>
          <w:sz w:val="28"/>
          <w:szCs w:val="28"/>
        </w:rPr>
        <w:t xml:space="preserve">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2021).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The isolation of fungi typically involves serial dilution and culturing on media like PDA or SDA, followed by colony observation and microscopic examination (Singh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These traditional methods are cost-effective and still widely used, especially when combined with modern techniques like </w:t>
      </w:r>
      <w:r>
        <w:rPr>
          <w:rFonts w:ascii="Times New Roman" w:cs="Times New Roman" w:hAnsi="Times New Roman"/>
          <w:bCs/>
          <w:sz w:val="28"/>
          <w:szCs w:val="28"/>
        </w:rPr>
        <w:t>ITS sequencing</w:t>
      </w:r>
      <w:r>
        <w:rPr>
          <w:rFonts w:ascii="Times New Roman" w:cs="Times New Roman" w:hAnsi="Times New Roman"/>
          <w:sz w:val="28"/>
          <w:szCs w:val="28"/>
        </w:rPr>
        <w:t xml:space="preserve"> for accurate identification (Wu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2023). Although not all fungi are </w:t>
      </w:r>
      <w:r>
        <w:rPr>
          <w:rFonts w:ascii="Times New Roman" w:cs="Times New Roman" w:hAnsi="Times New Roman"/>
          <w:sz w:val="28"/>
          <w:szCs w:val="28"/>
        </w:rPr>
        <w:t>culturable</w:t>
      </w:r>
      <w:r>
        <w:rPr>
          <w:rFonts w:ascii="Times New Roman" w:cs="Times New Roman" w:hAnsi="Times New Roman"/>
          <w:sz w:val="28"/>
          <w:szCs w:val="28"/>
        </w:rPr>
        <w:t>, many agriculturally relevant ones can be studied this way. A combination of morphological and molecular tools ensures comprehensive characterization of field fungal communities.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Environmental factors like soil pH, organic matter, temperature, and moisture greatly affect fungal diversity. Additionally, crop type and agricultural practices shape fungal assemblages, with different crops (e.g., maize vs. rice) supporting different fungal communities (Zhang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2020; Huang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Comparing </w:t>
      </w:r>
      <w:r>
        <w:rPr>
          <w:rFonts w:ascii="Times New Roman" w:cs="Times New Roman" w:hAnsi="Times New Roman"/>
          <w:sz w:val="28"/>
          <w:szCs w:val="28"/>
        </w:rPr>
        <w:t>fungi across different farming systems helps reveal crop-specific interactions and informs targeted soil management strategies. This ecological understanding is vital for improving food security and achieving sustainable agriculture.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Fungi rarely act alone; they engage in complex interactions with other microbes and plant roots, affecting plant health and nutrient acquisition (Sun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2022). Beneficial fungi improve growth and resistance, while pathogens can hinder root function. Functional characterization of isolates through tests on nutrient </w:t>
      </w:r>
      <w:r>
        <w:rPr>
          <w:rFonts w:ascii="Times New Roman" w:cs="Times New Roman" w:hAnsi="Times New Roman"/>
          <w:sz w:val="28"/>
          <w:szCs w:val="28"/>
        </w:rPr>
        <w:t>solubilization</w:t>
      </w:r>
      <w:r>
        <w:rPr>
          <w:rFonts w:ascii="Times New Roman" w:cs="Times New Roman" w:hAnsi="Times New Roman"/>
          <w:sz w:val="28"/>
          <w:szCs w:val="28"/>
        </w:rPr>
        <w:t xml:space="preserve">, </w:t>
      </w:r>
      <w:r>
        <w:rPr>
          <w:rFonts w:ascii="Times New Roman" w:cs="Times New Roman" w:hAnsi="Times New Roman"/>
          <w:sz w:val="28"/>
          <w:szCs w:val="28"/>
        </w:rPr>
        <w:t>biocontrol</w:t>
      </w:r>
      <w:r>
        <w:rPr>
          <w:rFonts w:ascii="Times New Roman" w:cs="Times New Roman" w:hAnsi="Times New Roman"/>
          <w:sz w:val="28"/>
          <w:szCs w:val="28"/>
        </w:rPr>
        <w:t xml:space="preserve">, or growth promotion—can inform development of </w:t>
      </w:r>
      <w:r>
        <w:rPr>
          <w:rFonts w:ascii="Times New Roman" w:cs="Times New Roman" w:hAnsi="Times New Roman"/>
          <w:bCs/>
          <w:sz w:val="28"/>
          <w:szCs w:val="28"/>
        </w:rPr>
        <w:t>bioinoculants</w:t>
      </w:r>
      <w:r>
        <w:rPr>
          <w:rFonts w:ascii="Times New Roman" w:cs="Times New Roman" w:hAnsi="Times New Roman"/>
          <w:sz w:val="28"/>
          <w:szCs w:val="28"/>
        </w:rPr>
        <w:t xml:space="preserve">. These native microbial formulations offer environmentally friendly alternatives to synthetic agrochemicals (Jiang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2020).</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Regional differences in fungal populations remain understudied, particularly in tropical and subtropical zones (Ali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Isolation of native strains contributes to global microbial biodiversity and may uncover fungi with unique enzymatic or stress-resilient traits. Some isolates can degrade pollutants or produce bioactive compounds with pharmaceutical potential (Li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2023; Zhou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2022). Thus, fungal research not only supports agriculture but also enables industrial and environmental applications, underscoring the multifaceted value of the </w:t>
      </w:r>
      <w:r>
        <w:rPr>
          <w:rFonts w:ascii="Times New Roman" w:cs="Times New Roman" w:hAnsi="Times New Roman"/>
          <w:sz w:val="28"/>
          <w:szCs w:val="28"/>
        </w:rPr>
        <w:t>mycobiome</w:t>
      </w:r>
      <w:r>
        <w:rPr>
          <w:rFonts w:ascii="Times New Roman" w:cs="Times New Roman" w:hAnsi="Times New Roman"/>
          <w:sz w:val="28"/>
          <w:szCs w:val="28"/>
        </w:rPr>
        <w: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Lastly, while traditional isolation techniques are foundational, they have limitations many fungi are non-</w:t>
      </w:r>
      <w:r>
        <w:rPr>
          <w:rFonts w:ascii="Times New Roman" w:cs="Times New Roman" w:hAnsi="Times New Roman"/>
          <w:sz w:val="28"/>
          <w:szCs w:val="28"/>
        </w:rPr>
        <w:t>culturable</w:t>
      </w:r>
      <w:r>
        <w:rPr>
          <w:rFonts w:ascii="Times New Roman" w:cs="Times New Roman" w:hAnsi="Times New Roman"/>
          <w:sz w:val="28"/>
          <w:szCs w:val="28"/>
        </w:rPr>
        <w:t xml:space="preserve"> or require specific growth conditions (Ahmed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2021). </w:t>
      </w:r>
      <w:r>
        <w:rPr>
          <w:rFonts w:ascii="Times New Roman" w:cs="Times New Roman" w:hAnsi="Times New Roman"/>
          <w:sz w:val="28"/>
          <w:szCs w:val="28"/>
        </w:rPr>
        <w:t>Metagenomic</w:t>
      </w:r>
      <w:r>
        <w:rPr>
          <w:rFonts w:ascii="Times New Roman" w:cs="Times New Roman" w:hAnsi="Times New Roman"/>
          <w:sz w:val="28"/>
          <w:szCs w:val="28"/>
        </w:rPr>
        <w:t xml:space="preserve"> approaches can complement culture methods to uncover hidden diversity. Seasonal fluctuations and farming practices further influence fungal populations (</w:t>
      </w:r>
      <w:r>
        <w:rPr>
          <w:rFonts w:ascii="Times New Roman" w:cs="Times New Roman" w:hAnsi="Times New Roman"/>
          <w:sz w:val="28"/>
          <w:szCs w:val="28"/>
        </w:rPr>
        <w:t>Gao</w:t>
      </w:r>
      <w:r>
        <w:rPr>
          <w:rFonts w:ascii="Times New Roman" w:cs="Times New Roman" w:hAnsi="Times New Roman"/>
          <w:sz w:val="28"/>
          <w:szCs w:val="28"/>
        </w:rPr>
        <w:t xml:space="preserve">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xml:space="preserve">., 2023; Zhang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2021). A combined approach involving taxonomy, physiology, and environmental monitoring is necessary to fully understand and harness the agricultural potential of soil fungi for sustainable innovation.</w:t>
      </w:r>
    </w:p>
    <w:bookmarkStart w:id="3" w:name="_Toc202598462"/>
    <w:p>
      <w:pPr>
        <w:pStyle w:val="style1"/>
        <w:rPr>
          <w:rFonts w:ascii="Times New Roman" w:cs="Times New Roman" w:hAnsi="Times New Roman"/>
          <w:color w:val="auto"/>
          <w:sz w:val="28"/>
          <w:szCs w:val="28"/>
        </w:rPr>
      </w:pPr>
      <w:r>
        <w:rPr>
          <w:rFonts w:ascii="Times New Roman" w:cs="Times New Roman" w:hAnsi="Times New Roman"/>
          <w:color w:val="auto"/>
          <w:sz w:val="28"/>
          <w:szCs w:val="28"/>
        </w:rPr>
        <w:t>1.1 Literature Review</w:t>
      </w:r>
      <w:bookmarkEnd w:id="3"/>
    </w:p>
    <w:p>
      <w:pPr>
        <w:pStyle w:val="style94"/>
        <w:spacing w:lineRule="auto" w:line="480"/>
        <w:jc w:val="both"/>
        <w:rPr>
          <w:sz w:val="28"/>
          <w:szCs w:val="28"/>
        </w:rPr>
      </w:pPr>
      <w:r>
        <w:rPr>
          <w:sz w:val="28"/>
          <w:szCs w:val="28"/>
        </w:rPr>
        <w:t xml:space="preserve">Fungal communities in agricultural soils are crucial for nutrient cycling, decomposition of organic matter, and maintaining plant health. </w:t>
      </w:r>
      <w:r>
        <w:rPr>
          <w:sz w:val="28"/>
          <w:szCs w:val="28"/>
        </w:rPr>
        <w:t>Banerjee</w:t>
      </w:r>
      <w:r>
        <w:rPr>
          <w:sz w:val="28"/>
          <w:szCs w:val="28"/>
        </w:rPr>
        <w:t xml:space="preserve"> et al. (2020) reported that agricultural intensification significantly reduces microbial network complexity, particularly diminishing keystone fungal </w:t>
      </w:r>
      <w:r>
        <w:rPr>
          <w:sz w:val="28"/>
          <w:szCs w:val="28"/>
        </w:rPr>
        <w:t>taxa</w:t>
      </w:r>
      <w:r>
        <w:rPr>
          <w:sz w:val="28"/>
          <w:szCs w:val="28"/>
        </w:rPr>
        <w:t xml:space="preserve"> in the root zone. This decrease in diversity may negatively affect the stability and functionality of </w:t>
      </w:r>
      <w:r>
        <w:rPr>
          <w:sz w:val="28"/>
          <w:szCs w:val="28"/>
        </w:rPr>
        <w:t>agroecosystems</w:t>
      </w:r>
      <w:r>
        <w:rPr>
          <w:sz w:val="28"/>
          <w:szCs w:val="28"/>
        </w:rPr>
        <w:t xml:space="preserve">. Their findings support the need to study soil </w:t>
      </w:r>
      <w:r>
        <w:rPr>
          <w:sz w:val="28"/>
          <w:szCs w:val="28"/>
        </w:rPr>
        <w:t>mycobiomes</w:t>
      </w:r>
      <w:r>
        <w:rPr>
          <w:sz w:val="28"/>
          <w:szCs w:val="28"/>
        </w:rPr>
        <w:t xml:space="preserve"> under various farming practices to assess microbial balance. The isolation and identification of these fungi help determine whether beneficial symbiotic relationships are being supported. A balanced </w:t>
      </w:r>
      <w:r>
        <w:rPr>
          <w:sz w:val="28"/>
          <w:szCs w:val="28"/>
        </w:rPr>
        <w:t>mycobiome</w:t>
      </w:r>
      <w:r>
        <w:rPr>
          <w:sz w:val="28"/>
          <w:szCs w:val="28"/>
        </w:rPr>
        <w:t xml:space="preserve"> plays a pivotal role in enhancing crop resilience and productivity. Hence, soil fungal community studies are vital for sustainable agricultural development.</w:t>
      </w:r>
    </w:p>
    <w:p>
      <w:pPr>
        <w:pStyle w:val="style94"/>
        <w:spacing w:lineRule="auto" w:line="480"/>
        <w:jc w:val="both"/>
        <w:rPr>
          <w:sz w:val="28"/>
          <w:szCs w:val="28"/>
        </w:rPr>
      </w:pPr>
      <w:r>
        <w:rPr>
          <w:sz w:val="28"/>
          <w:szCs w:val="28"/>
        </w:rPr>
        <w:t xml:space="preserve">Ahmed </w:t>
      </w:r>
      <w:r>
        <w:rPr>
          <w:i/>
          <w:iCs/>
          <w:sz w:val="28"/>
          <w:szCs w:val="28"/>
        </w:rPr>
        <w:t>et</w:t>
      </w:r>
      <w:r>
        <w:rPr>
          <w:sz w:val="28"/>
          <w:szCs w:val="28"/>
        </w:rPr>
        <w:t xml:space="preserve"> </w:t>
      </w:r>
      <w:r>
        <w:rPr>
          <w:i/>
          <w:iCs/>
          <w:sz w:val="28"/>
          <w:szCs w:val="28"/>
        </w:rPr>
        <w:t>al</w:t>
      </w:r>
      <w:r>
        <w:rPr>
          <w:sz w:val="28"/>
          <w:szCs w:val="28"/>
        </w:rPr>
        <w:t xml:space="preserve">. (2021) investigated fungal diversity in agricultural soils using both culture-dependent methods and </w:t>
      </w:r>
      <w:r>
        <w:rPr>
          <w:sz w:val="28"/>
          <w:szCs w:val="28"/>
        </w:rPr>
        <w:t>metagenomics</w:t>
      </w:r>
      <w:r>
        <w:rPr>
          <w:sz w:val="28"/>
          <w:szCs w:val="28"/>
        </w:rPr>
        <w:t xml:space="preserve">. Their study highlighted that although culture-based techniques are useful for isolating common fungal genera such as </w:t>
      </w:r>
      <w:r>
        <w:rPr>
          <w:rStyle w:val="style88"/>
          <w:sz w:val="28"/>
          <w:szCs w:val="28"/>
        </w:rPr>
        <w:t>Aspergillus</w:t>
      </w:r>
      <w:r>
        <w:rPr>
          <w:sz w:val="28"/>
          <w:szCs w:val="28"/>
        </w:rPr>
        <w:t xml:space="preserve">, </w:t>
      </w:r>
      <w:r>
        <w:rPr>
          <w:rStyle w:val="style88"/>
          <w:sz w:val="28"/>
          <w:szCs w:val="28"/>
        </w:rPr>
        <w:t>Penicillium</w:t>
      </w:r>
      <w:r>
        <w:rPr>
          <w:sz w:val="28"/>
          <w:szCs w:val="28"/>
        </w:rPr>
        <w:t xml:space="preserve">, and </w:t>
      </w:r>
      <w:r>
        <w:rPr>
          <w:rStyle w:val="style88"/>
          <w:sz w:val="28"/>
          <w:szCs w:val="28"/>
        </w:rPr>
        <w:t>Trichoderma</w:t>
      </w:r>
      <w:r>
        <w:rPr>
          <w:sz w:val="28"/>
          <w:szCs w:val="28"/>
        </w:rPr>
        <w:t>,</w:t>
      </w:r>
      <w:r>
        <w:rPr>
          <w:sz w:val="28"/>
          <w:szCs w:val="28"/>
        </w:rPr>
        <w:t xml:space="preserve"> many fungal species remain undetectable without molecular tools. The combined approach provided a more comprehensive understanding of soil fungal diversity. They found that soil conditions, such as organic content and pH, significantly influence fungal prevalence and type. This integrated methodology offers a deeper insight into fungal biodiversity and supports better ecological interpretation. Isolation and sequencing, therefore, complement each other for reliable fungal characterization in agricultural soils.</w:t>
      </w:r>
    </w:p>
    <w:p>
      <w:pPr>
        <w:pStyle w:val="style94"/>
        <w:spacing w:lineRule="auto" w:line="480"/>
        <w:jc w:val="both"/>
        <w:rPr>
          <w:sz w:val="28"/>
          <w:szCs w:val="28"/>
        </w:rPr>
      </w:pPr>
      <w:r>
        <w:rPr>
          <w:sz w:val="28"/>
          <w:szCs w:val="28"/>
        </w:rPr>
        <w:t xml:space="preserve">Jiang </w:t>
      </w:r>
      <w:r>
        <w:rPr>
          <w:i/>
          <w:iCs/>
          <w:sz w:val="28"/>
          <w:szCs w:val="28"/>
        </w:rPr>
        <w:t>et</w:t>
      </w:r>
      <w:r>
        <w:rPr>
          <w:sz w:val="28"/>
          <w:szCs w:val="28"/>
        </w:rPr>
        <w:t xml:space="preserve"> </w:t>
      </w:r>
      <w:r>
        <w:rPr>
          <w:i/>
          <w:iCs/>
          <w:sz w:val="28"/>
          <w:szCs w:val="28"/>
        </w:rPr>
        <w:t>al</w:t>
      </w:r>
      <w:r>
        <w:rPr>
          <w:sz w:val="28"/>
          <w:szCs w:val="28"/>
        </w:rPr>
        <w:t xml:space="preserve">. (2020) discussed the role of fungal </w:t>
      </w:r>
      <w:r>
        <w:rPr>
          <w:sz w:val="28"/>
          <w:szCs w:val="28"/>
        </w:rPr>
        <w:t>bioinoculants</w:t>
      </w:r>
      <w:r>
        <w:rPr>
          <w:sz w:val="28"/>
          <w:szCs w:val="28"/>
        </w:rPr>
        <w:t xml:space="preserve"> in sustainable agriculture, emphasizing </w:t>
      </w:r>
      <w:r>
        <w:rPr>
          <w:sz w:val="28"/>
          <w:szCs w:val="28"/>
        </w:rPr>
        <w:t>that strains</w:t>
      </w:r>
      <w:r>
        <w:rPr>
          <w:sz w:val="28"/>
          <w:szCs w:val="28"/>
        </w:rPr>
        <w:t xml:space="preserve"> such as </w:t>
      </w:r>
      <w:r>
        <w:rPr>
          <w:rStyle w:val="style88"/>
          <w:sz w:val="28"/>
          <w:szCs w:val="28"/>
        </w:rPr>
        <w:t>Trichoderma</w:t>
      </w:r>
      <w:r>
        <w:rPr>
          <w:rStyle w:val="style88"/>
          <w:sz w:val="28"/>
          <w:szCs w:val="28"/>
        </w:rPr>
        <w:t xml:space="preserve"> </w:t>
      </w:r>
      <w:r>
        <w:rPr>
          <w:rStyle w:val="style88"/>
          <w:sz w:val="28"/>
          <w:szCs w:val="28"/>
        </w:rPr>
        <w:t>harzianum</w:t>
      </w:r>
      <w:r>
        <w:rPr>
          <w:sz w:val="28"/>
          <w:szCs w:val="28"/>
        </w:rPr>
        <w:t xml:space="preserve"> and </w:t>
      </w:r>
      <w:r>
        <w:rPr>
          <w:sz w:val="28"/>
          <w:szCs w:val="28"/>
        </w:rPr>
        <w:t>arbuscular</w:t>
      </w:r>
      <w:r>
        <w:rPr>
          <w:sz w:val="28"/>
          <w:szCs w:val="28"/>
        </w:rPr>
        <w:t xml:space="preserve"> </w:t>
      </w:r>
      <w:r>
        <w:rPr>
          <w:sz w:val="28"/>
          <w:szCs w:val="28"/>
        </w:rPr>
        <w:t>mycorrhizal</w:t>
      </w:r>
      <w:r>
        <w:rPr>
          <w:sz w:val="28"/>
          <w:szCs w:val="28"/>
        </w:rPr>
        <w:t xml:space="preserve"> fungi can enhance nutrient absorption and protect plants from pathogens. They argued that isolating native strains is more effective than using foreign commercial inoculants due to environmental adaptability. Their review stressed that characterization must precede application, to ensure the selected fungal strains are ecologically compatible and functionally potent. This underlines the need for field-based isolation and screening of fungal communities. </w:t>
      </w:r>
      <w:r>
        <w:rPr>
          <w:sz w:val="28"/>
          <w:szCs w:val="28"/>
        </w:rPr>
        <w:t xml:space="preserve">The work suggests that local </w:t>
      </w:r>
      <w:r>
        <w:rPr>
          <w:sz w:val="28"/>
          <w:szCs w:val="28"/>
        </w:rPr>
        <w:t>mycobiome</w:t>
      </w:r>
      <w:r>
        <w:rPr>
          <w:sz w:val="28"/>
          <w:szCs w:val="28"/>
        </w:rPr>
        <w:t xml:space="preserve"> characterization is a key step in building effective microbial products tailored to specific regions.</w:t>
      </w:r>
    </w:p>
    <w:p>
      <w:pPr>
        <w:pStyle w:val="style94"/>
        <w:spacing w:lineRule="auto" w:line="480"/>
        <w:jc w:val="both"/>
        <w:rPr>
          <w:sz w:val="28"/>
          <w:szCs w:val="28"/>
        </w:rPr>
      </w:pPr>
      <w:r>
        <w:rPr>
          <w:sz w:val="28"/>
          <w:szCs w:val="28"/>
        </w:rPr>
        <w:t xml:space="preserve">According to Huang </w:t>
      </w:r>
      <w:r>
        <w:rPr>
          <w:i/>
          <w:iCs/>
          <w:sz w:val="28"/>
          <w:szCs w:val="28"/>
        </w:rPr>
        <w:t>et</w:t>
      </w:r>
      <w:r>
        <w:rPr>
          <w:sz w:val="28"/>
          <w:szCs w:val="28"/>
        </w:rPr>
        <w:t xml:space="preserve"> </w:t>
      </w:r>
      <w:r>
        <w:rPr>
          <w:i/>
          <w:iCs/>
          <w:sz w:val="28"/>
          <w:szCs w:val="28"/>
        </w:rPr>
        <w:t>al</w:t>
      </w:r>
      <w:r>
        <w:rPr>
          <w:sz w:val="28"/>
          <w:szCs w:val="28"/>
        </w:rPr>
        <w:t>. (2021), organic farming practices positively influence soil fungal diversity and function. Their research compared organic and conventional farming systems and found that organically managed soils host a higher abundance of fungi involved in nutrient cycling, such as phosphate-</w:t>
      </w:r>
      <w:r>
        <w:rPr>
          <w:sz w:val="28"/>
          <w:szCs w:val="28"/>
        </w:rPr>
        <w:t>solubilizing</w:t>
      </w:r>
      <w:r>
        <w:rPr>
          <w:sz w:val="28"/>
          <w:szCs w:val="28"/>
        </w:rPr>
        <w:t xml:space="preserve"> and cellulose-degrading fungi. These beneficial fungi enhance soil health and plant nutrition. The study suggests that different agricultural practices shape distinct fungal communities. Consequently, isolating fungi from organically managed fields could yield strains with valuable ecological functions. Understanding these relationships enables targeted use of fungi for organic amendments and biological soil management.</w:t>
      </w:r>
    </w:p>
    <w:p>
      <w:pPr>
        <w:pStyle w:val="style94"/>
        <w:spacing w:lineRule="auto" w:line="480"/>
        <w:jc w:val="both"/>
        <w:rPr>
          <w:sz w:val="28"/>
          <w:szCs w:val="28"/>
        </w:rPr>
      </w:pPr>
      <w:r>
        <w:rPr>
          <w:sz w:val="28"/>
          <w:szCs w:val="28"/>
        </w:rPr>
        <w:t xml:space="preserve">Sun </w:t>
      </w:r>
      <w:r>
        <w:rPr>
          <w:i/>
          <w:iCs/>
          <w:sz w:val="28"/>
          <w:szCs w:val="28"/>
        </w:rPr>
        <w:t>et</w:t>
      </w:r>
      <w:r>
        <w:rPr>
          <w:sz w:val="28"/>
          <w:szCs w:val="28"/>
        </w:rPr>
        <w:t xml:space="preserve"> </w:t>
      </w:r>
      <w:r>
        <w:rPr>
          <w:i/>
          <w:iCs/>
          <w:sz w:val="28"/>
          <w:szCs w:val="28"/>
        </w:rPr>
        <w:t>al</w:t>
      </w:r>
      <w:r>
        <w:rPr>
          <w:sz w:val="28"/>
          <w:szCs w:val="28"/>
        </w:rPr>
        <w:t xml:space="preserve">. (2022) presented a detailed review of plant–fungus interactions in soil ecosystems, categorizing fungi as </w:t>
      </w:r>
      <w:r>
        <w:rPr>
          <w:sz w:val="28"/>
          <w:szCs w:val="28"/>
        </w:rPr>
        <w:t>symbionts</w:t>
      </w:r>
      <w:r>
        <w:rPr>
          <w:sz w:val="28"/>
          <w:szCs w:val="28"/>
        </w:rPr>
        <w:t xml:space="preserve">, saprophytes, or pathogens. They emphasized that fungal roles are dynamic and may shift depending on environmental factors such as moisture, temperature, and plant stress. Some </w:t>
      </w:r>
      <w:r>
        <w:rPr>
          <w:sz w:val="28"/>
          <w:szCs w:val="28"/>
        </w:rPr>
        <w:t>endophytes</w:t>
      </w:r>
      <w:r>
        <w:rPr>
          <w:sz w:val="28"/>
          <w:szCs w:val="28"/>
        </w:rPr>
        <w:t xml:space="preserve"> can promote plant growth under ideal conditions but become opportunistic pathogens when conditions deteriorate. Therefore, accurate isolation and identification of fungi are necessary to classify them correctly and manage </w:t>
      </w:r>
      <w:r>
        <w:rPr>
          <w:sz w:val="28"/>
          <w:szCs w:val="28"/>
        </w:rPr>
        <w:t xml:space="preserve">their functions effectively. The review underlines the importance of thorough </w:t>
      </w:r>
      <w:r>
        <w:rPr>
          <w:sz w:val="28"/>
          <w:szCs w:val="28"/>
        </w:rPr>
        <w:t>mycobiome</w:t>
      </w:r>
      <w:r>
        <w:rPr>
          <w:sz w:val="28"/>
          <w:szCs w:val="28"/>
        </w:rPr>
        <w:t xml:space="preserve"> characterization to optimize plant–fungal interactions in agriculture.</w:t>
      </w:r>
    </w:p>
    <w:bookmarkStart w:id="4" w:name="_Toc202598463"/>
    <w:p>
      <w:pPr>
        <w:pStyle w:val="style1"/>
        <w:rPr>
          <w:rFonts w:ascii="Times New Roman" w:cs="Times New Roman" w:hAnsi="Times New Roman"/>
          <w:color w:val="auto"/>
          <w:sz w:val="28"/>
          <w:szCs w:val="28"/>
        </w:rPr>
      </w:pPr>
      <w:r>
        <w:rPr>
          <w:rFonts w:ascii="Times New Roman" w:cs="Times New Roman" w:hAnsi="Times New Roman"/>
          <w:color w:val="auto"/>
          <w:sz w:val="28"/>
          <w:szCs w:val="28"/>
        </w:rPr>
        <w:t>1.2 Statement of problem</w:t>
      </w:r>
      <w:bookmarkEnd w:id="4"/>
    </w:p>
    <w:p>
      <w:pPr>
        <w:pStyle w:val="style94"/>
        <w:numPr>
          <w:ilvl w:val="0"/>
          <w:numId w:val="1"/>
        </w:numPr>
        <w:spacing w:lineRule="auto" w:line="480"/>
        <w:jc w:val="both"/>
        <w:rPr>
          <w:sz w:val="28"/>
          <w:szCs w:val="28"/>
        </w:rPr>
      </w:pPr>
      <w:r>
        <w:rPr>
          <w:sz w:val="28"/>
          <w:szCs w:val="28"/>
        </w:rPr>
        <w:t>Despite the critical role soil fungi play in nutrient cycling, plant health, and soil fertility, there is limited region-specific data on the diversity and functional characteristics of fungal communities in many agricultural fields, particularly in tropical and developing regions.</w:t>
      </w:r>
    </w:p>
    <w:p>
      <w:pPr>
        <w:pStyle w:val="style94"/>
        <w:numPr>
          <w:ilvl w:val="0"/>
          <w:numId w:val="1"/>
        </w:numPr>
        <w:spacing w:lineRule="auto" w:line="480"/>
        <w:jc w:val="both"/>
        <w:rPr>
          <w:sz w:val="28"/>
          <w:szCs w:val="28"/>
        </w:rPr>
      </w:pPr>
      <w:r>
        <w:rPr>
          <w:sz w:val="28"/>
          <w:szCs w:val="28"/>
        </w:rPr>
        <w:t xml:space="preserve">Inadequate characterization of indigenous soil fungi has limited their application in sustainable agricultural practices, such as the development of </w:t>
      </w:r>
      <w:r>
        <w:rPr>
          <w:sz w:val="28"/>
          <w:szCs w:val="28"/>
        </w:rPr>
        <w:t>biofertilizers</w:t>
      </w:r>
      <w:r>
        <w:rPr>
          <w:sz w:val="28"/>
          <w:szCs w:val="28"/>
        </w:rPr>
        <w:t xml:space="preserve"> and </w:t>
      </w:r>
      <w:r>
        <w:rPr>
          <w:sz w:val="28"/>
          <w:szCs w:val="28"/>
        </w:rPr>
        <w:t>biocontrol</w:t>
      </w:r>
      <w:r>
        <w:rPr>
          <w:sz w:val="28"/>
          <w:szCs w:val="28"/>
        </w:rPr>
        <w:t xml:space="preserve"> agents, hindering efforts to reduce chemical input and improve crop productivity.</w:t>
      </w:r>
    </w:p>
    <w:bookmarkStart w:id="5" w:name="_Toc202598464"/>
    <w:p>
      <w:pPr>
        <w:pStyle w:val="style1"/>
        <w:rPr>
          <w:rFonts w:ascii="Times New Roman" w:cs="Times New Roman" w:hAnsi="Times New Roman"/>
          <w:color w:val="auto"/>
          <w:sz w:val="28"/>
          <w:szCs w:val="28"/>
        </w:rPr>
      </w:pPr>
      <w:r>
        <w:rPr>
          <w:rFonts w:ascii="Times New Roman" w:cs="Times New Roman" w:hAnsi="Times New Roman"/>
          <w:color w:val="auto"/>
          <w:sz w:val="28"/>
          <w:szCs w:val="28"/>
        </w:rPr>
        <w:t>1.3 Aim</w:t>
      </w:r>
      <w:bookmarkEnd w:id="5"/>
    </w:p>
    <w:p>
      <w:pPr>
        <w:pStyle w:val="style94"/>
        <w:spacing w:lineRule="auto" w:line="480"/>
        <w:jc w:val="both"/>
        <w:rPr>
          <w:rStyle w:val="style87"/>
          <w:b w:val="false"/>
          <w:sz w:val="28"/>
          <w:szCs w:val="28"/>
        </w:rPr>
      </w:pPr>
      <w:r>
        <w:rPr>
          <w:sz w:val="28"/>
          <w:szCs w:val="28"/>
        </w:rPr>
        <w:t>To</w:t>
      </w:r>
      <w:r>
        <w:rPr>
          <w:b/>
          <w:sz w:val="28"/>
          <w:szCs w:val="28"/>
        </w:rPr>
        <w:t xml:space="preserve"> </w:t>
      </w:r>
      <w:r>
        <w:rPr>
          <w:rStyle w:val="style87"/>
          <w:sz w:val="28"/>
          <w:szCs w:val="28"/>
        </w:rPr>
        <w:t>isolate and characterize the fungal communities (</w:t>
      </w:r>
      <w:r>
        <w:rPr>
          <w:rStyle w:val="style87"/>
          <w:sz w:val="28"/>
          <w:szCs w:val="28"/>
        </w:rPr>
        <w:t>mycobiome</w:t>
      </w:r>
      <w:r>
        <w:rPr>
          <w:rStyle w:val="style87"/>
          <w:sz w:val="28"/>
          <w:szCs w:val="28"/>
        </w:rPr>
        <w:t>) present in agricultural fields using both culture-dependent and morphological methods, in order to understand their diversity, ecological roles, and potential applications in sustainable agriculture.</w:t>
      </w:r>
    </w:p>
    <w:p>
      <w:pPr>
        <w:pStyle w:val="style94"/>
        <w:spacing w:lineRule="auto" w:line="480"/>
        <w:jc w:val="both"/>
        <w:rPr>
          <w:rStyle w:val="style87"/>
          <w:b w:val="false"/>
          <w:sz w:val="28"/>
          <w:szCs w:val="28"/>
        </w:rPr>
      </w:pPr>
    </w:p>
    <w:p>
      <w:pPr>
        <w:pStyle w:val="style94"/>
        <w:spacing w:lineRule="auto" w:line="480"/>
        <w:jc w:val="both"/>
        <w:rPr>
          <w:b/>
          <w:sz w:val="28"/>
          <w:szCs w:val="28"/>
        </w:rPr>
      </w:pPr>
    </w:p>
    <w:bookmarkStart w:id="6" w:name="_Toc202598465"/>
    <w:p>
      <w:pPr>
        <w:pStyle w:val="style1"/>
        <w:rPr>
          <w:rFonts w:ascii="Times New Roman" w:cs="Times New Roman" w:hAnsi="Times New Roman"/>
          <w:color w:val="auto"/>
          <w:sz w:val="28"/>
          <w:szCs w:val="28"/>
        </w:rPr>
      </w:pPr>
      <w:r>
        <w:rPr>
          <w:rFonts w:ascii="Times New Roman" w:cs="Times New Roman" w:hAnsi="Times New Roman"/>
          <w:color w:val="auto"/>
          <w:sz w:val="28"/>
          <w:szCs w:val="28"/>
        </w:rPr>
        <w:t>1.4 Objectives</w:t>
      </w:r>
      <w:bookmarkEnd w:id="6"/>
    </w:p>
    <w:p>
      <w:pPr>
        <w:pStyle w:val="style94"/>
        <w:numPr>
          <w:ilvl w:val="0"/>
          <w:numId w:val="2"/>
        </w:numPr>
        <w:spacing w:lineRule="auto" w:line="480"/>
        <w:jc w:val="both"/>
        <w:rPr>
          <w:sz w:val="28"/>
          <w:szCs w:val="28"/>
        </w:rPr>
      </w:pPr>
      <w:r>
        <w:rPr>
          <w:sz w:val="28"/>
          <w:szCs w:val="28"/>
        </w:rPr>
        <w:t>To isolate and identify fungal species present in agricultural field soils using culture-dependent methods and morphological characterization.</w:t>
      </w:r>
    </w:p>
    <w:p>
      <w:pPr>
        <w:pStyle w:val="style94"/>
        <w:numPr>
          <w:ilvl w:val="0"/>
          <w:numId w:val="2"/>
        </w:numPr>
        <w:spacing w:lineRule="auto" w:line="480"/>
        <w:jc w:val="both"/>
        <w:rPr>
          <w:sz w:val="28"/>
          <w:szCs w:val="28"/>
        </w:rPr>
      </w:pPr>
      <w:r>
        <w:rPr>
          <w:sz w:val="28"/>
          <w:szCs w:val="28"/>
        </w:rPr>
        <w:t>To evaluate the diversity and abundance of the isolated fungal communities across different agricultural field conditions.</w:t>
      </w:r>
    </w:p>
    <w:p>
      <w:pPr>
        <w:pStyle w:val="style0"/>
        <w:spacing w:lineRule="auto" w:line="480"/>
        <w:jc w:val="both"/>
        <w:rPr>
          <w:rFonts w:ascii="Times New Roman" w:cs="Times New Roman" w:eastAsia="Times New Roman" w:hAnsi="Times New Roman"/>
          <w:sz w:val="28"/>
          <w:szCs w:val="28"/>
        </w:rPr>
      </w:pPr>
      <w:r>
        <w:rPr>
          <w:rFonts w:ascii="Times New Roman" w:cs="Times New Roman" w:hAnsi="Times New Roman"/>
          <w:sz w:val="28"/>
          <w:szCs w:val="28"/>
        </w:rPr>
        <w:br w:type="page"/>
      </w:r>
    </w:p>
    <w:bookmarkStart w:id="7" w:name="_Toc202598466"/>
    <w:p>
      <w:pPr>
        <w:pStyle w:val="style1"/>
        <w:jc w:val="center"/>
        <w:rPr>
          <w:rFonts w:ascii="Times New Roman" w:cs="Times New Roman" w:eastAsia="Times New Roman" w:hAnsi="Times New Roman"/>
          <w:b/>
          <w:color w:val="auto"/>
          <w:sz w:val="28"/>
          <w:szCs w:val="28"/>
        </w:rPr>
      </w:pPr>
      <w:r>
        <w:rPr>
          <w:rFonts w:ascii="Times New Roman" w:cs="Times New Roman" w:eastAsia="Times New Roman" w:hAnsi="Times New Roman"/>
          <w:b/>
          <w:color w:val="auto"/>
          <w:sz w:val="28"/>
          <w:szCs w:val="28"/>
        </w:rPr>
        <w:t>CHAPTER TWO</w:t>
      </w:r>
      <w:bookmarkEnd w:id="7"/>
    </w:p>
    <w:bookmarkStart w:id="8" w:name="_Toc202598467"/>
    <w:p>
      <w:pPr>
        <w:pStyle w:val="style1"/>
        <w:rPr>
          <w:rFonts w:ascii="Times New Roman" w:cs="Times New Roman" w:eastAsia="Times New Roman" w:hAnsi="Times New Roman"/>
          <w:b/>
          <w:color w:val="auto"/>
          <w:sz w:val="28"/>
          <w:szCs w:val="28"/>
        </w:rPr>
      </w:pPr>
      <w:r>
        <w:rPr>
          <w:rFonts w:ascii="Times New Roman" w:cs="Times New Roman" w:eastAsia="Times New Roman" w:hAnsi="Times New Roman"/>
          <w:b/>
          <w:color w:val="auto"/>
          <w:sz w:val="28"/>
          <w:szCs w:val="28"/>
        </w:rPr>
        <w:t>2.0 Materials and Methods</w:t>
      </w:r>
      <w:bookmarkEnd w:id="8"/>
    </w:p>
    <w:bookmarkStart w:id="9" w:name="_Toc202598468"/>
    <w:p>
      <w:pPr>
        <w:pStyle w:val="style1"/>
        <w:rPr>
          <w:rFonts w:ascii="Times New Roman" w:cs="Times New Roman" w:eastAsia="Times New Roman" w:hAnsi="Times New Roman"/>
          <w:b/>
          <w:color w:val="auto"/>
          <w:sz w:val="28"/>
          <w:szCs w:val="28"/>
        </w:rPr>
      </w:pPr>
      <w:r>
        <w:rPr>
          <w:rFonts w:ascii="Times New Roman" w:cs="Times New Roman" w:eastAsia="Times New Roman" w:hAnsi="Times New Roman"/>
          <w:b/>
          <w:color w:val="auto"/>
          <w:sz w:val="28"/>
          <w:szCs w:val="28"/>
        </w:rPr>
        <w:t>2.1 Materials</w:t>
      </w:r>
      <w:bookmarkEnd w:id="9"/>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materials used for this study included sterile sample collection containers, measuring balance, sterile test tubes, conical flasks, beakers, pipettes, distilled water, inoculating loop, Petri dishes, test tube racks, forceps, sterile syringes, cotton wool, spirit, and sealing tape. Microscopic slides, cover slips, </w:t>
      </w:r>
      <w:r>
        <w:rPr>
          <w:rFonts w:ascii="Times New Roman" w:cs="Times New Roman" w:eastAsia="Times New Roman" w:hAnsi="Times New Roman"/>
          <w:sz w:val="28"/>
          <w:szCs w:val="28"/>
        </w:rPr>
        <w:t>lactophenol</w:t>
      </w:r>
      <w:r>
        <w:rPr>
          <w:rFonts w:ascii="Times New Roman" w:cs="Times New Roman" w:eastAsia="Times New Roman" w:hAnsi="Times New Roman"/>
          <w:sz w:val="28"/>
          <w:szCs w:val="28"/>
        </w:rPr>
        <w:t xml:space="preserve"> cotton blue stain, hand lens, microscope, and permanent markers were also utilized. All glassware and equipment were properly sterilized before use to prevent contamination.</w:t>
      </w:r>
    </w:p>
    <w:bookmarkStart w:id="10" w:name="_Toc202598469"/>
    <w:p>
      <w:pPr>
        <w:pStyle w:val="style1"/>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2.1.1 Media and Reagents</w:t>
      </w:r>
      <w:bookmarkEnd w:id="10"/>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reagents and chemicals used included distilled water, Potato Dextrose Agar (PDA) powder, streptomycin (an antibiotic), and </w:t>
      </w:r>
      <w:r>
        <w:rPr>
          <w:rFonts w:ascii="Times New Roman" w:cs="Times New Roman" w:eastAsia="Times New Roman" w:hAnsi="Times New Roman"/>
          <w:sz w:val="28"/>
          <w:szCs w:val="28"/>
        </w:rPr>
        <w:t>lactophenol</w:t>
      </w:r>
      <w:r>
        <w:rPr>
          <w:rFonts w:ascii="Times New Roman" w:cs="Times New Roman" w:eastAsia="Times New Roman" w:hAnsi="Times New Roman"/>
          <w:sz w:val="28"/>
          <w:szCs w:val="28"/>
        </w:rPr>
        <w:t xml:space="preserve"> cotton blue stain. All chemicals were of analytical grade and used according to the manufacturer’s specifications. The PDA medium was used to support fungal growth, while streptomycin was added to inhibit bacterial growth. </w:t>
      </w:r>
      <w:r>
        <w:rPr>
          <w:rFonts w:ascii="Times New Roman" w:cs="Times New Roman" w:eastAsia="Times New Roman" w:hAnsi="Times New Roman"/>
          <w:sz w:val="28"/>
          <w:szCs w:val="28"/>
        </w:rPr>
        <w:t>Lactophenol</w:t>
      </w:r>
      <w:r>
        <w:rPr>
          <w:rFonts w:ascii="Times New Roman" w:cs="Times New Roman" w:eastAsia="Times New Roman" w:hAnsi="Times New Roman"/>
          <w:sz w:val="28"/>
          <w:szCs w:val="28"/>
        </w:rPr>
        <w:t xml:space="preserve"> cotton blue was used for staining fungal structures for microscopic examination.</w:t>
      </w:r>
    </w:p>
    <w:bookmarkStart w:id="11" w:name="_Toc202598470"/>
    <w:p>
      <w:pPr>
        <w:pStyle w:val="style1"/>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2.2 Preparation of Sample</w:t>
      </w:r>
      <w:bookmarkEnd w:id="11"/>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Soil samples were collected aseptically from various locations within </w:t>
      </w:r>
      <w:r>
        <w:rPr>
          <w:rFonts w:ascii="Times New Roman" w:cs="Times New Roman" w:eastAsia="Times New Roman" w:hAnsi="Times New Roman"/>
          <w:sz w:val="28"/>
          <w:szCs w:val="28"/>
        </w:rPr>
        <w:t>Kware</w:t>
      </w:r>
      <w:r>
        <w:rPr>
          <w:rFonts w:ascii="Times New Roman" w:cs="Times New Roman" w:eastAsia="Times New Roman" w:hAnsi="Times New Roman"/>
          <w:sz w:val="28"/>
          <w:szCs w:val="28"/>
        </w:rPr>
        <w:t xml:space="preserve"> Polytechnic, including the Agric Tech Commercial Farm, Tourism Community, </w:t>
      </w:r>
      <w:r>
        <w:rPr>
          <w:rFonts w:ascii="Times New Roman" w:cs="Times New Roman" w:eastAsia="Times New Roman" w:hAnsi="Times New Roman"/>
          <w:sz w:val="28"/>
          <w:szCs w:val="28"/>
        </w:rPr>
        <w:t xml:space="preserve">Bank Area, </w:t>
      </w:r>
      <w:r>
        <w:rPr>
          <w:rFonts w:ascii="Times New Roman" w:cs="Times New Roman" w:eastAsia="Times New Roman" w:hAnsi="Times New Roman"/>
          <w:sz w:val="28"/>
          <w:szCs w:val="28"/>
        </w:rPr>
        <w:t>Yankari</w:t>
      </w:r>
      <w:r>
        <w:rPr>
          <w:rFonts w:ascii="Times New Roman" w:cs="Times New Roman" w:eastAsia="Times New Roman" w:hAnsi="Times New Roman"/>
          <w:sz w:val="28"/>
          <w:szCs w:val="28"/>
        </w:rPr>
        <w:t>, and Ibos Area. Each soil sample was collected using sterile containers and immediately transported to the laboratory under sterile conditions to avoid contamination. Upon arrival, the pH of each soil sample was measured and recorded using a calibrated pH meter. The samples were then stored appropriately prior to further processing.</w:t>
      </w:r>
    </w:p>
    <w:bookmarkStart w:id="12" w:name="_Toc202598471"/>
    <w:p>
      <w:pPr>
        <w:pStyle w:val="style1"/>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2.3 Preparation of Media</w:t>
      </w:r>
      <w:bookmarkEnd w:id="12"/>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Potato Dextrose Agar (PDA) was prepared following the manufacturer’s instructions. The media was sterilized by autoclaving at 121°C for 20 minutes. After sterilization, the medium was allowed to cool under sterile conditions. Streptomycin was then added to the medium to inhibit bacterial contamination. The prepared media was poured into sterile Petri dishes and allowed to solidify before inoculation.</w:t>
      </w:r>
    </w:p>
    <w:bookmarkStart w:id="13" w:name="_Toc202598472"/>
    <w:p>
      <w:pPr>
        <w:pStyle w:val="style1"/>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2.4 Isolation of Fungi</w:t>
      </w:r>
      <w:bookmarkEnd w:id="13"/>
      <w:r>
        <w:rPr>
          <w:rFonts w:ascii="Times New Roman" w:cs="Times New Roman" w:eastAsia="Times New Roman" w:hAnsi="Times New Roman"/>
          <w:color w:val="auto"/>
          <w:sz w:val="28"/>
          <w:szCs w:val="28"/>
        </w:rPr>
        <w:t xml:space="preserve">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Serial dilution of the soil samples was performed using six test tubes, each containing 9 ml of sterile distilled water. An initial suspension was prepared by mixing 1 gram of each soil sample with 1 ml of sterile distilled water. Subsequent serial dilutions were carried out, and 0.1 ml from each dilution was aseptically inoculated onto solidified Potato Dextrose Agar (PDA) plates (two plates per dilution per sample). The plates were incubated at room temperature for 3 to 5 </w:t>
      </w:r>
      <w:r>
        <w:rPr>
          <w:rFonts w:ascii="Times New Roman" w:cs="Times New Roman" w:eastAsia="Times New Roman" w:hAnsi="Times New Roman"/>
          <w:sz w:val="28"/>
          <w:szCs w:val="28"/>
        </w:rPr>
        <w:t>days. After incubation, fungal growth was observed, and plates showing mixed fungal colonies were identified. To obtain pure cultures, individual colonies with mixed growth were sub cultured aseptically onto fresh PDA plates. Each morphologically distinct colony was transferred separately to ensure the isolation of pure fungal strains. The sub cultured plates were incubated under the same conditions until adequate growth was achieved for further analysis.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Following incubation, the number of fungal colonies on each plate was counted to estimate the colony-forming units (CFU) per gram of soil. Only plates with distinct, countable colonies (30–300 colonies) were considered for accurate enumeration. Colony counts were recorded, and representative pure fungal colonies were selected for further characterization, including macroscopic and microscopic examination.</w:t>
      </w:r>
    </w:p>
    <w:bookmarkStart w:id="14" w:name="_Toc202598474"/>
    <w:p>
      <w:pPr>
        <w:pStyle w:val="style1"/>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 xml:space="preserve">2.6 Macroscopic and Microscopic </w:t>
      </w:r>
      <w:bookmarkEnd w:id="14"/>
      <w:r>
        <w:rPr>
          <w:rFonts w:ascii="Times New Roman" w:cs="Times New Roman" w:eastAsia="Times New Roman" w:hAnsi="Times New Roman"/>
          <w:color w:val="auto"/>
          <w:sz w:val="28"/>
          <w:szCs w:val="28"/>
        </w:rPr>
        <w:t>Characterization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Macroscopic identification involved observing and recording the physical features of fungal colonies, such as texture, color, shape, and growth patterns. For microscopic examination, small portions of fungal colonies were picked and mounted on clean microscopic slides containing a drop of distilled water. Two to three drops of </w:t>
      </w:r>
      <w:r>
        <w:rPr>
          <w:rFonts w:ascii="Times New Roman" w:cs="Times New Roman" w:eastAsia="Times New Roman" w:hAnsi="Times New Roman"/>
          <w:sz w:val="28"/>
          <w:szCs w:val="28"/>
        </w:rPr>
        <w:t>lactophenol</w:t>
      </w:r>
      <w:r>
        <w:rPr>
          <w:rFonts w:ascii="Times New Roman" w:cs="Times New Roman" w:eastAsia="Times New Roman" w:hAnsi="Times New Roman"/>
          <w:sz w:val="28"/>
          <w:szCs w:val="28"/>
        </w:rPr>
        <w:t xml:space="preserve"> cotton blue stain were added, and the preparation was covered with a cover slip. The slide was first observed under low power, followed </w:t>
      </w:r>
      <w:r>
        <w:rPr>
          <w:rFonts w:ascii="Times New Roman" w:cs="Times New Roman" w:eastAsia="Times New Roman" w:hAnsi="Times New Roman"/>
          <w:sz w:val="28"/>
          <w:szCs w:val="28"/>
        </w:rPr>
        <w:t xml:space="preserve">by high power magnification to examine spore structure, </w:t>
      </w:r>
      <w:r>
        <w:rPr>
          <w:rFonts w:ascii="Times New Roman" w:cs="Times New Roman" w:eastAsia="Times New Roman" w:hAnsi="Times New Roman"/>
          <w:sz w:val="28"/>
          <w:szCs w:val="28"/>
        </w:rPr>
        <w:t>hyphae</w:t>
      </w:r>
      <w:r>
        <w:rPr>
          <w:rFonts w:ascii="Times New Roman" w:cs="Times New Roman" w:eastAsia="Times New Roman" w:hAnsi="Times New Roman"/>
          <w:sz w:val="28"/>
          <w:szCs w:val="28"/>
        </w:rPr>
        <w:t xml:space="preserve"> type, and other microscopic features.</w:t>
      </w:r>
    </w:p>
    <w:p>
      <w:pPr>
        <w:pStyle w:val="style0"/>
        <w:spacing w:lineRule="auto" w:line="480"/>
        <w:jc w:val="center"/>
        <w:rPr>
          <w:rFonts w:ascii="Times New Roman" w:cs="Times New Roman" w:hAnsi="Times New Roman"/>
          <w:b/>
          <w:sz w:val="28"/>
          <w:szCs w:val="28"/>
        </w:rPr>
      </w:pPr>
      <w:r>
        <w:rPr>
          <w:rFonts w:ascii="Times New Roman" w:cs="Times New Roman" w:hAnsi="Times New Roman"/>
          <w:sz w:val="28"/>
          <w:szCs w:val="28"/>
        </w:rPr>
        <w:br w:type="page"/>
      </w:r>
      <w:r>
        <w:rPr>
          <w:rFonts w:ascii="Times New Roman" w:cs="Times New Roman" w:hAnsi="Times New Roman"/>
          <w:b/>
          <w:sz w:val="28"/>
          <w:szCs w:val="28"/>
        </w:rPr>
        <w:t>CHAPTER THREE</w:t>
      </w:r>
    </w:p>
    <w:bookmarkStart w:id="15" w:name="_Toc202598475"/>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3.0 RESULT</w:t>
      </w:r>
      <w:bookmarkEnd w:id="15"/>
    </w:p>
    <w:bookmarkStart w:id="16" w:name="_Toc202598476"/>
    <w:p>
      <w:pPr>
        <w:pStyle w:val="style2"/>
        <w:rPr>
          <w:sz w:val="28"/>
          <w:szCs w:val="28"/>
        </w:rPr>
      </w:pPr>
      <w:r>
        <w:rPr>
          <w:sz w:val="28"/>
          <w:szCs w:val="28"/>
        </w:rPr>
        <w:t>3.1 Soil pH at Different Locations</w:t>
      </w:r>
      <w:bookmarkEnd w:id="16"/>
    </w:p>
    <w:bookmarkStart w:id="17" w:name="_Toc202598477"/>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Table 1: Soil pH at Different Locations</w:t>
      </w:r>
      <w:bookmarkEnd w:id="17"/>
    </w:p>
    <w:tbl>
      <w:tblPr>
        <w:tblStyle w:val="style4099"/>
        <w:tblW w:w="0" w:type="auto"/>
        <w:tblLook w:val="04A0" w:firstRow="1" w:lastRow="0" w:firstColumn="1" w:lastColumn="0" w:noHBand="0" w:noVBand="1"/>
      </w:tblPr>
      <w:tblGrid>
        <w:gridCol w:w="2302"/>
        <w:gridCol w:w="1101"/>
      </w:tblGrid>
      <w:tr>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Sample Location</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Soil pH</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Distilled Water</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6.28</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Agric Tech Farm</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5.6</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Tourism Village</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5.4</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Bank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5.4</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Yankari</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5.3</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Ibas</w:t>
            </w:r>
            <w:r>
              <w:rPr>
                <w:rFonts w:ascii="Times New Roman" w:cs="Times New Roman" w:eastAsia="Times New Roman" w:hAnsi="Times New Roman"/>
                <w:color w:val="auto"/>
                <w:sz w:val="28"/>
                <w:szCs w:val="28"/>
              </w:rPr>
              <w:t xml:space="preserve">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5.2</w:t>
            </w:r>
          </w:p>
        </w:tc>
      </w:tr>
    </w:tbl>
    <w:p>
      <w:pPr>
        <w:pStyle w:val="style0"/>
        <w:spacing w:after="0" w:lineRule="auto" w:line="480"/>
        <w:jc w:val="both"/>
        <w:rPr>
          <w:rFonts w:ascii="Times New Roman" w:cs="Times New Roman" w:eastAsia="Times New Roman" w:hAnsi="Times New Roman"/>
          <w:sz w:val="28"/>
          <w:szCs w:val="28"/>
        </w:rPr>
      </w:pPr>
    </w:p>
    <w:p>
      <w:pPr>
        <w:pStyle w:val="style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type="page"/>
      </w:r>
    </w:p>
    <w:bookmarkStart w:id="18" w:name="_Toc202598478"/>
    <w:p>
      <w:pPr>
        <w:pStyle w:val="style2"/>
        <w:rPr>
          <w:sz w:val="28"/>
          <w:szCs w:val="28"/>
        </w:rPr>
      </w:pPr>
      <w:r>
        <w:rPr>
          <w:sz w:val="28"/>
          <w:szCs w:val="28"/>
        </w:rPr>
        <w:t>3.2 Colony Count from Mixed Cultures (after Serial Dilution)</w:t>
      </w:r>
      <w:bookmarkEnd w:id="18"/>
    </w:p>
    <w:bookmarkStart w:id="19" w:name="_Toc202598479"/>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Table 2: Colony Count from Mixed Cultures (after Serial Dilution)</w:t>
      </w:r>
      <w:bookmarkEnd w:id="19"/>
    </w:p>
    <w:tbl>
      <w:tblPr>
        <w:tblStyle w:val="style4099"/>
        <w:tblW w:w="0" w:type="auto"/>
        <w:tblLook w:val="04A0" w:firstRow="1" w:lastRow="0" w:firstColumn="1" w:lastColumn="0" w:noHBand="0" w:noVBand="1"/>
      </w:tblPr>
      <w:tblGrid>
        <w:gridCol w:w="2719"/>
        <w:gridCol w:w="1882"/>
        <w:gridCol w:w="2697"/>
        <w:gridCol w:w="1899"/>
      </w:tblGrid>
      <w:tr>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Sample Location</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Dilution Level</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Number of Colonies</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Culture Type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Agric Tech Farm</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10⁻²</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9</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Agric Tech Farm</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10⁻⁴</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4</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Tourism community</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10⁻²</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11</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Tourism community</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10⁻⁴</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13</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Bank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10⁻²</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76</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Bank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10⁻⁴</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No growth</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Yankari</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10⁻²</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Pure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Yankari</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10⁻⁴</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No growth</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Ibas</w:t>
            </w:r>
            <w:r>
              <w:rPr>
                <w:rFonts w:ascii="Times New Roman" w:cs="Times New Roman" w:eastAsia="Times New Roman" w:hAnsi="Times New Roman"/>
                <w:color w:val="auto"/>
                <w:sz w:val="28"/>
                <w:szCs w:val="28"/>
              </w:rPr>
              <w:t xml:space="preserve">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10⁻²</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43</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Ibas</w:t>
            </w:r>
            <w:r>
              <w:rPr>
                <w:rFonts w:ascii="Times New Roman" w:cs="Times New Roman" w:eastAsia="Times New Roman" w:hAnsi="Times New Roman"/>
                <w:color w:val="auto"/>
                <w:sz w:val="28"/>
                <w:szCs w:val="28"/>
              </w:rPr>
              <w:t xml:space="preserve">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10⁻⁴</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15</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Mixed culture</w:t>
            </w:r>
          </w:p>
        </w:tc>
      </w:tr>
    </w:tbl>
    <w:p>
      <w:pPr>
        <w:pStyle w:val="style0"/>
        <w:spacing w:after="0" w:lineRule="auto" w:line="480"/>
        <w:jc w:val="both"/>
        <w:rPr>
          <w:rFonts w:ascii="Times New Roman" w:cs="Times New Roman" w:eastAsia="Times New Roman" w:hAnsi="Times New Roman"/>
          <w:sz w:val="28"/>
          <w:szCs w:val="28"/>
        </w:rPr>
      </w:pPr>
    </w:p>
    <w:p>
      <w:pPr>
        <w:pStyle w:val="style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type="page"/>
      </w:r>
    </w:p>
    <w:bookmarkStart w:id="20" w:name="_Toc202598480"/>
    <w:p>
      <w:pPr>
        <w:pStyle w:val="style2"/>
        <w:rPr>
          <w:sz w:val="28"/>
          <w:szCs w:val="28"/>
        </w:rPr>
      </w:pPr>
      <w:r>
        <w:rPr>
          <w:sz w:val="28"/>
          <w:szCs w:val="28"/>
        </w:rPr>
        <w:t>3.3 Subculture Results (Number of Pure Fungal Isolates)</w:t>
      </w:r>
      <w:bookmarkEnd w:id="20"/>
    </w:p>
    <w:bookmarkStart w:id="21" w:name="_Toc202598481"/>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Table 3: Subculture Results (Number of Pure Fungal Isolates)</w:t>
      </w:r>
      <w:bookmarkEnd w:id="21"/>
    </w:p>
    <w:tbl>
      <w:tblPr>
        <w:tblStyle w:val="style4099"/>
        <w:tblW w:w="0" w:type="auto"/>
        <w:tblLook w:val="04A0" w:firstRow="1" w:lastRow="0" w:firstColumn="1" w:lastColumn="0" w:noHBand="0" w:noVBand="1"/>
      </w:tblPr>
      <w:tblGrid>
        <w:gridCol w:w="3447"/>
        <w:gridCol w:w="5166"/>
      </w:tblGrid>
      <w:tr>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Sample Location</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Number of Fungi Isolated (Pure Culture)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Agric Tech Farm</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Tourism community</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2</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Bank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Yankari</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1</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Ibas</w:t>
            </w:r>
            <w:r>
              <w:rPr>
                <w:rFonts w:ascii="Times New Roman" w:cs="Times New Roman" w:eastAsia="Times New Roman" w:hAnsi="Times New Roman"/>
                <w:color w:val="auto"/>
                <w:sz w:val="28"/>
                <w:szCs w:val="28"/>
              </w:rPr>
              <w:t xml:space="preserve"> Area</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3</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Total</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b/>
                <w:bCs/>
                <w:color w:val="auto"/>
                <w:sz w:val="28"/>
                <w:szCs w:val="28"/>
              </w:rPr>
              <w:t>8 pure cultures</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Distinct Species Identified</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b/>
                <w:bCs/>
                <w:color w:val="auto"/>
                <w:sz w:val="28"/>
                <w:szCs w:val="28"/>
              </w:rPr>
              <w:t>6 different fungi</w:t>
            </w:r>
          </w:p>
        </w:tc>
      </w:tr>
    </w:tbl>
    <w:p>
      <w:pPr>
        <w:pStyle w:val="style0"/>
        <w:spacing w:after="0"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p>
    <w:p>
      <w:pPr>
        <w:pStyle w:val="style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br w:type="page"/>
      </w:r>
    </w:p>
    <w:bookmarkStart w:id="22" w:name="_Toc202598482"/>
    <w:p>
      <w:pPr>
        <w:pStyle w:val="style2"/>
        <w:rPr>
          <w:sz w:val="28"/>
          <w:szCs w:val="28"/>
        </w:rPr>
      </w:pPr>
      <w:r>
        <w:rPr>
          <w:sz w:val="28"/>
          <w:szCs w:val="28"/>
        </w:rPr>
        <w:t>3.4 Identified Fungal Species with Macroscopic and Microscopic Characteristics</w:t>
      </w:r>
      <w:bookmarkEnd w:id="22"/>
    </w:p>
    <w:bookmarkStart w:id="23" w:name="_Toc202598483"/>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Table 4: Identified Fungal Species with Macroscopic and Microscopic Characteristics</w:t>
      </w:r>
      <w:bookmarkEnd w:id="23"/>
    </w:p>
    <w:tbl>
      <w:tblPr>
        <w:tblStyle w:val="style4099"/>
        <w:tblW w:w="0" w:type="auto"/>
        <w:tblLook w:val="04A0" w:firstRow="1" w:lastRow="0" w:firstColumn="1" w:lastColumn="0" w:noHBand="0" w:noVBand="1"/>
      </w:tblPr>
      <w:tblGrid>
        <w:gridCol w:w="2031"/>
        <w:gridCol w:w="3468"/>
        <w:gridCol w:w="4075"/>
      </w:tblGrid>
      <w:tr>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Fungal Name</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Macroscopic Features</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Microscopic Features</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Aspergillus</w:t>
            </w:r>
            <w:r>
              <w:rPr>
                <w:rFonts w:ascii="Times New Roman" w:cs="Times New Roman" w:eastAsia="Times New Roman" w:hAnsi="Times New Roman"/>
                <w:i/>
                <w:iCs/>
                <w:color w:val="auto"/>
                <w:sz w:val="28"/>
                <w:szCs w:val="28"/>
              </w:rPr>
              <w:t xml:space="preserve"> </w:t>
            </w:r>
            <w:r>
              <w:rPr>
                <w:rFonts w:ascii="Times New Roman" w:cs="Times New Roman" w:eastAsia="Times New Roman" w:hAnsi="Times New Roman"/>
                <w:i/>
                <w:iCs/>
                <w:color w:val="auto"/>
                <w:sz w:val="28"/>
                <w:szCs w:val="28"/>
              </w:rPr>
              <w:t>niger</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Blackish colonies with powdery texture, rapidly spreading</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 xml:space="preserve">Conidiophores with radiating conidial heads, </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Penicillium</w:t>
            </w:r>
            <w:r>
              <w:rPr>
                <w:rFonts w:ascii="Times New Roman" w:cs="Times New Roman" w:eastAsia="Times New Roman" w:hAnsi="Times New Roman"/>
                <w:i/>
                <w:iCs/>
                <w:color w:val="auto"/>
                <w:sz w:val="28"/>
                <w:szCs w:val="28"/>
              </w:rPr>
              <w:t xml:space="preserve"> sp.</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Greenish colonies, velvety surface, round margins</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 xml:space="preserve">Branched conidiophores ending in chains of conidia, </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Rhizopus</w:t>
            </w:r>
            <w:r>
              <w:rPr>
                <w:rFonts w:ascii="Times New Roman" w:cs="Times New Roman" w:eastAsia="Times New Roman" w:hAnsi="Times New Roman"/>
                <w:i/>
                <w:iCs/>
                <w:color w:val="auto"/>
                <w:sz w:val="28"/>
                <w:szCs w:val="28"/>
              </w:rPr>
              <w:t xml:space="preserve"> </w:t>
            </w:r>
            <w:r>
              <w:rPr>
                <w:rFonts w:ascii="Times New Roman" w:cs="Times New Roman" w:eastAsia="Times New Roman" w:hAnsi="Times New Roman"/>
                <w:i/>
                <w:iCs/>
                <w:color w:val="auto"/>
                <w:sz w:val="28"/>
                <w:szCs w:val="28"/>
              </w:rPr>
              <w:t>stolonifer</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Cottony white colonies turning grayish with age</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Non-</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r>
              <w:rPr>
                <w:rFonts w:ascii="Times New Roman" w:cs="Times New Roman" w:eastAsia="Times New Roman" w:hAnsi="Times New Roman"/>
                <w:color w:val="auto"/>
                <w:sz w:val="28"/>
                <w:szCs w:val="28"/>
              </w:rPr>
              <w:t xml:space="preserve">, large sporangia on long </w:t>
            </w:r>
            <w:r>
              <w:rPr>
                <w:rFonts w:ascii="Times New Roman" w:cs="Times New Roman" w:eastAsia="Times New Roman" w:hAnsi="Times New Roman"/>
                <w:color w:val="auto"/>
                <w:sz w:val="28"/>
                <w:szCs w:val="28"/>
              </w:rPr>
              <w:t>sporangiophores</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Fusarium</w:t>
            </w:r>
            <w:r>
              <w:rPr>
                <w:rFonts w:ascii="Times New Roman" w:cs="Times New Roman" w:eastAsia="Times New Roman" w:hAnsi="Times New Roman"/>
                <w:i/>
                <w:iCs/>
                <w:color w:val="auto"/>
                <w:sz w:val="28"/>
                <w:szCs w:val="28"/>
              </w:rPr>
              <w:t xml:space="preserve"> sp.</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Pink to reddish colonies, spreading irregularly</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 xml:space="preserve">Sickle-shaped </w:t>
            </w:r>
            <w:r>
              <w:rPr>
                <w:rFonts w:ascii="Times New Roman" w:cs="Times New Roman" w:eastAsia="Times New Roman" w:hAnsi="Times New Roman"/>
                <w:color w:val="auto"/>
                <w:sz w:val="28"/>
                <w:szCs w:val="28"/>
              </w:rPr>
              <w:t>macroconidia</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Mucor</w:t>
            </w:r>
            <w:r>
              <w:rPr>
                <w:rFonts w:ascii="Times New Roman" w:cs="Times New Roman" w:eastAsia="Times New Roman" w:hAnsi="Times New Roman"/>
                <w:i/>
                <w:iCs/>
                <w:color w:val="auto"/>
                <w:sz w:val="28"/>
                <w:szCs w:val="28"/>
              </w:rPr>
              <w:t xml:space="preserve"> sp.</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Fluffy white colonies, fast growing, aerial mycelium</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Non-</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r>
              <w:rPr>
                <w:rFonts w:ascii="Times New Roman" w:cs="Times New Roman" w:eastAsia="Times New Roman" w:hAnsi="Times New Roman"/>
                <w:color w:val="auto"/>
                <w:sz w:val="28"/>
                <w:szCs w:val="28"/>
              </w:rPr>
              <w:t>, spherical sporangia</w:t>
            </w:r>
          </w:p>
        </w:tc>
      </w:tr>
      <w:tr>
        <w:tblPrEx/>
        <w:trPr/>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i/>
                <w:iCs/>
                <w:color w:val="auto"/>
                <w:sz w:val="28"/>
                <w:szCs w:val="28"/>
              </w:rPr>
              <w:t>Trichoderma</w:t>
            </w:r>
            <w:r>
              <w:rPr>
                <w:rFonts w:ascii="Times New Roman" w:cs="Times New Roman" w:eastAsia="Times New Roman" w:hAnsi="Times New Roman"/>
                <w:i/>
                <w:iCs/>
                <w:color w:val="auto"/>
                <w:sz w:val="28"/>
                <w:szCs w:val="28"/>
              </w:rPr>
              <w:t xml:space="preserve"> sp.</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Greenish colonies with compact growth and concentric rings</w:t>
            </w:r>
          </w:p>
        </w:tc>
        <w:tc>
          <w:tcPr>
            <w:tcW w:w="0" w:type="auto"/>
            <w:tcBorders/>
            <w:shd w:val="clear" w:color="auto" w:fill="auto"/>
            <w:hideMark/>
          </w:tcPr>
          <w:p>
            <w:pPr>
              <w:pStyle w:val="style0"/>
              <w:spacing w:lineRule="auto" w:line="480"/>
              <w:jc w:val="both"/>
              <w:rPr>
                <w:rFonts w:ascii="Times New Roman" w:cs="Times New Roman" w:eastAsia="Times New Roman" w:hAnsi="Times New Roman"/>
                <w:color w:val="auto"/>
                <w:sz w:val="28"/>
                <w:szCs w:val="28"/>
              </w:rPr>
            </w:pPr>
            <w:r>
              <w:rPr>
                <w:rFonts w:ascii="Times New Roman" w:cs="Times New Roman" w:eastAsia="Times New Roman" w:hAnsi="Times New Roman"/>
                <w:color w:val="auto"/>
                <w:sz w:val="28"/>
                <w:szCs w:val="28"/>
              </w:rPr>
              <w:t xml:space="preserve">Short conidiophores with clustered conidia, </w:t>
            </w:r>
            <w:r>
              <w:rPr>
                <w:rFonts w:ascii="Times New Roman" w:cs="Times New Roman" w:eastAsia="Times New Roman" w:hAnsi="Times New Roman"/>
                <w:color w:val="auto"/>
                <w:sz w:val="28"/>
                <w:szCs w:val="28"/>
              </w:rPr>
              <w:t>septate</w:t>
            </w:r>
            <w:r>
              <w:rPr>
                <w:rFonts w:ascii="Times New Roman" w:cs="Times New Roman" w:eastAsia="Times New Roman" w:hAnsi="Times New Roman"/>
                <w:color w:val="auto"/>
                <w:sz w:val="28"/>
                <w:szCs w:val="28"/>
              </w:rPr>
              <w:t xml:space="preserve"> </w:t>
            </w:r>
            <w:r>
              <w:rPr>
                <w:rFonts w:ascii="Times New Roman" w:cs="Times New Roman" w:eastAsia="Times New Roman" w:hAnsi="Times New Roman"/>
                <w:color w:val="auto"/>
                <w:sz w:val="28"/>
                <w:szCs w:val="28"/>
              </w:rPr>
              <w:t>hyphae</w:t>
            </w:r>
          </w:p>
        </w:tc>
      </w:tr>
    </w:tbl>
    <w:p>
      <w:pPr>
        <w:pStyle w:val="style0"/>
        <w:spacing w:lineRule="auto" w:line="480"/>
        <w:jc w:val="both"/>
        <w:rPr>
          <w:rFonts w:ascii="Times New Roman" w:cs="Times New Roman" w:hAnsi="Times New Roman"/>
          <w:sz w:val="28"/>
          <w:szCs w:val="28"/>
        </w:rPr>
      </w:pPr>
    </w:p>
    <w:p>
      <w:pPr>
        <w:pStyle w:val="style1"/>
        <w:jc w:val="center"/>
        <w:rPr>
          <w:rFonts w:ascii="Times New Roman" w:cs="Times New Roman" w:hAnsi="Times New Roman"/>
          <w:b/>
          <w:color w:val="auto"/>
          <w:sz w:val="28"/>
          <w:szCs w:val="28"/>
        </w:rPr>
      </w:pPr>
      <w:r>
        <w:rPr>
          <w:rFonts w:ascii="Times New Roman" w:cs="Times New Roman" w:hAnsi="Times New Roman"/>
          <w:color w:val="auto"/>
          <w:sz w:val="28"/>
          <w:szCs w:val="28"/>
        </w:rPr>
        <w:br w:type="page"/>
      </w:r>
      <w:bookmarkStart w:id="24" w:name="_Toc202598484"/>
      <w:r>
        <w:rPr>
          <w:rFonts w:ascii="Times New Roman" w:cs="Times New Roman" w:hAnsi="Times New Roman"/>
          <w:b/>
          <w:color w:val="auto"/>
          <w:sz w:val="28"/>
          <w:szCs w:val="28"/>
        </w:rPr>
        <w:t>CHAPTER FOUR</w:t>
      </w:r>
      <w:bookmarkEnd w:id="24"/>
    </w:p>
    <w:bookmarkStart w:id="25" w:name="_Toc202598485"/>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4.0 DISCUSSION AND CONCLUSION</w:t>
      </w:r>
      <w:bookmarkEnd w:id="25"/>
    </w:p>
    <w:p>
      <w:pPr>
        <w:pStyle w:val="style94"/>
        <w:spacing w:lineRule="auto" w:line="480"/>
        <w:jc w:val="both"/>
        <w:rPr>
          <w:sz w:val="28"/>
          <w:szCs w:val="28"/>
        </w:rPr>
      </w:pPr>
      <w:r>
        <w:rPr>
          <w:sz w:val="28"/>
          <w:szCs w:val="28"/>
        </w:rPr>
        <w:t>The analysis of soil pH from various agricultural locations within Kwar</w:t>
      </w:r>
      <w:r>
        <w:rPr>
          <w:sz w:val="28"/>
          <w:szCs w:val="28"/>
        </w:rPr>
        <w:t>a</w:t>
      </w:r>
      <w:r>
        <w:rPr>
          <w:sz w:val="28"/>
          <w:szCs w:val="28"/>
        </w:rPr>
        <w:t xml:space="preserve"> Polytechnic revealed slightly acidic conditions across all sampled sites, with values ranging from 5.2 to 5.6 (Table 1). Soil pH plays a significant role in shaping microbial communities, especially fungal populations, as most fungi prefer mildly acidic environments for optimal growth (Chen </w:t>
      </w:r>
      <w:r>
        <w:rPr>
          <w:i/>
          <w:iCs/>
          <w:sz w:val="28"/>
          <w:szCs w:val="28"/>
        </w:rPr>
        <w:t>et</w:t>
      </w:r>
      <w:r>
        <w:rPr>
          <w:sz w:val="28"/>
          <w:szCs w:val="28"/>
        </w:rPr>
        <w:t xml:space="preserve"> </w:t>
      </w:r>
      <w:r>
        <w:rPr>
          <w:i/>
          <w:iCs/>
          <w:sz w:val="28"/>
          <w:szCs w:val="28"/>
        </w:rPr>
        <w:t>al</w:t>
      </w:r>
      <w:r>
        <w:rPr>
          <w:sz w:val="28"/>
          <w:szCs w:val="28"/>
        </w:rPr>
        <w:t xml:space="preserve">., 2022). The </w:t>
      </w:r>
      <w:r>
        <w:rPr>
          <w:sz w:val="28"/>
          <w:szCs w:val="28"/>
        </w:rPr>
        <w:t>Ibas</w:t>
      </w:r>
      <w:r>
        <w:rPr>
          <w:sz w:val="28"/>
          <w:szCs w:val="28"/>
        </w:rPr>
        <w:t xml:space="preserve"> Area, with the lowest pH of 5.2, still supported considerable fungal growth, which aligns with findings that certain fungi such as </w:t>
      </w:r>
      <w:r>
        <w:rPr>
          <w:rStyle w:val="style88"/>
          <w:sz w:val="28"/>
          <w:szCs w:val="28"/>
        </w:rPr>
        <w:t>Penicillium</w:t>
      </w:r>
      <w:r>
        <w:rPr>
          <w:sz w:val="28"/>
          <w:szCs w:val="28"/>
        </w:rPr>
        <w:t xml:space="preserve"> and </w:t>
      </w:r>
      <w:r>
        <w:rPr>
          <w:rStyle w:val="style88"/>
          <w:sz w:val="28"/>
          <w:szCs w:val="28"/>
        </w:rPr>
        <w:t>Mucor</w:t>
      </w:r>
      <w:r>
        <w:rPr>
          <w:sz w:val="28"/>
          <w:szCs w:val="28"/>
        </w:rPr>
        <w:t xml:space="preserve"> are well-adapted to low pH environments (Liu </w:t>
      </w:r>
      <w:r>
        <w:rPr>
          <w:i/>
          <w:iCs/>
          <w:sz w:val="28"/>
          <w:szCs w:val="28"/>
        </w:rPr>
        <w:t>et</w:t>
      </w:r>
      <w:r>
        <w:rPr>
          <w:sz w:val="28"/>
          <w:szCs w:val="28"/>
        </w:rPr>
        <w:t xml:space="preserve"> </w:t>
      </w:r>
      <w:r>
        <w:rPr>
          <w:i/>
          <w:iCs/>
          <w:sz w:val="28"/>
          <w:szCs w:val="28"/>
        </w:rPr>
        <w:t>al</w:t>
      </w:r>
      <w:r>
        <w:rPr>
          <w:sz w:val="28"/>
          <w:szCs w:val="28"/>
        </w:rPr>
        <w:t>., 2021).</w:t>
      </w:r>
    </w:p>
    <w:p>
      <w:pPr>
        <w:pStyle w:val="style94"/>
        <w:spacing w:lineRule="auto" w:line="480"/>
        <w:jc w:val="both"/>
        <w:rPr>
          <w:sz w:val="28"/>
          <w:szCs w:val="28"/>
        </w:rPr>
      </w:pPr>
      <w:r>
        <w:rPr>
          <w:sz w:val="28"/>
          <w:szCs w:val="28"/>
        </w:rPr>
        <w:t xml:space="preserve">Colony counts from serial dilutions of the soil samples showed variable growth across different locations and dilution levels (Table 2). The highest colony count was observed in the Bank Area at 10⁻² dilution with 76 colonies, suggesting a high fungal load in that location, possibly due to the accumulation of organic matter or favorable microclimatic conditions. However, no growth was recorded at the 10⁻⁴ dilution in the same location, indicating a rapid decrease in viable spores at higher dilutions. In contrast, </w:t>
      </w:r>
      <w:r>
        <w:rPr>
          <w:sz w:val="28"/>
          <w:szCs w:val="28"/>
        </w:rPr>
        <w:t>Yankari</w:t>
      </w:r>
      <w:r>
        <w:rPr>
          <w:sz w:val="28"/>
          <w:szCs w:val="28"/>
        </w:rPr>
        <w:t xml:space="preserve"> showed moderate growth at 10⁻² dilution with 10 colonies that were already pure, indicating a less diverse but possibly more dominant fungal species presence. Mixed cultures were dominant in all other locations, suggesting higher fungal diversity.</w:t>
      </w:r>
    </w:p>
    <w:p>
      <w:pPr>
        <w:pStyle w:val="style94"/>
        <w:spacing w:lineRule="auto" w:line="480"/>
        <w:jc w:val="both"/>
        <w:rPr>
          <w:sz w:val="28"/>
          <w:szCs w:val="28"/>
        </w:rPr>
      </w:pPr>
      <w:r>
        <w:rPr>
          <w:sz w:val="28"/>
          <w:szCs w:val="28"/>
        </w:rPr>
        <w:t xml:space="preserve">Sub culturing of colonies from mixed plates led to the isolation of a total of eight pure fungal cultures, representing six distinct fungal species (Table 3). The highest number of isolates (3) was obtained from the </w:t>
      </w:r>
      <w:r>
        <w:rPr>
          <w:sz w:val="28"/>
          <w:szCs w:val="28"/>
        </w:rPr>
        <w:t>Ibas</w:t>
      </w:r>
      <w:r>
        <w:rPr>
          <w:sz w:val="28"/>
          <w:szCs w:val="28"/>
        </w:rPr>
        <w:t xml:space="preserve"> Area, indicating not only a high fungal load but also diversity. This further supports the notion that pH, soil nutrient availability, and land use influence fungal richness (Zhou et al., 2021). The presence of multiple fungi in locations like Tourism community and </w:t>
      </w:r>
      <w:r>
        <w:rPr>
          <w:sz w:val="28"/>
          <w:szCs w:val="28"/>
        </w:rPr>
        <w:t>Ibas</w:t>
      </w:r>
      <w:r>
        <w:rPr>
          <w:sz w:val="28"/>
          <w:szCs w:val="28"/>
        </w:rPr>
        <w:t xml:space="preserve"> also reflects the varied agricultural activities and soil conditions in those areas.</w:t>
      </w:r>
    </w:p>
    <w:p>
      <w:pPr>
        <w:pStyle w:val="style94"/>
        <w:spacing w:lineRule="auto" w:line="480"/>
        <w:jc w:val="both"/>
        <w:rPr>
          <w:sz w:val="28"/>
          <w:szCs w:val="28"/>
        </w:rPr>
      </w:pPr>
      <w:r>
        <w:rPr>
          <w:sz w:val="28"/>
          <w:szCs w:val="28"/>
        </w:rPr>
        <w:t xml:space="preserve">The fungal species isolated and identified include </w:t>
      </w:r>
      <w:r>
        <w:rPr>
          <w:rStyle w:val="style88"/>
          <w:sz w:val="28"/>
          <w:szCs w:val="28"/>
        </w:rPr>
        <w:t>Aspergillus</w:t>
      </w:r>
      <w:r>
        <w:rPr>
          <w:rStyle w:val="style88"/>
          <w:sz w:val="28"/>
          <w:szCs w:val="28"/>
        </w:rPr>
        <w:t xml:space="preserve"> </w:t>
      </w:r>
      <w:r>
        <w:rPr>
          <w:rStyle w:val="style88"/>
          <w:sz w:val="28"/>
          <w:szCs w:val="28"/>
        </w:rPr>
        <w:t>niger</w:t>
      </w:r>
      <w:r>
        <w:rPr>
          <w:sz w:val="28"/>
          <w:szCs w:val="28"/>
        </w:rPr>
        <w:t xml:space="preserve">, </w:t>
      </w:r>
      <w:r>
        <w:rPr>
          <w:rStyle w:val="style88"/>
          <w:sz w:val="28"/>
          <w:szCs w:val="28"/>
        </w:rPr>
        <w:t>Penicillium</w:t>
      </w:r>
      <w:r>
        <w:rPr>
          <w:rStyle w:val="style88"/>
          <w:sz w:val="28"/>
          <w:szCs w:val="28"/>
        </w:rPr>
        <w:t xml:space="preserve"> sp.</w:t>
      </w:r>
      <w:r>
        <w:rPr>
          <w:sz w:val="28"/>
          <w:szCs w:val="28"/>
        </w:rPr>
        <w:t xml:space="preserve">, </w:t>
      </w:r>
      <w:r>
        <w:rPr>
          <w:rStyle w:val="style88"/>
          <w:sz w:val="28"/>
          <w:szCs w:val="28"/>
        </w:rPr>
        <w:t>Rhizopus</w:t>
      </w:r>
      <w:r>
        <w:rPr>
          <w:rStyle w:val="style88"/>
          <w:sz w:val="28"/>
          <w:szCs w:val="28"/>
        </w:rPr>
        <w:t xml:space="preserve"> </w:t>
      </w:r>
      <w:r>
        <w:rPr>
          <w:rStyle w:val="style88"/>
          <w:sz w:val="28"/>
          <w:szCs w:val="28"/>
        </w:rPr>
        <w:t>stolonifer</w:t>
      </w:r>
      <w:r>
        <w:rPr>
          <w:sz w:val="28"/>
          <w:szCs w:val="28"/>
        </w:rPr>
        <w:t xml:space="preserve">, </w:t>
      </w:r>
      <w:r>
        <w:rPr>
          <w:rStyle w:val="style88"/>
          <w:sz w:val="28"/>
          <w:szCs w:val="28"/>
        </w:rPr>
        <w:t>Fusarium</w:t>
      </w:r>
      <w:r>
        <w:rPr>
          <w:rStyle w:val="style88"/>
          <w:sz w:val="28"/>
          <w:szCs w:val="28"/>
        </w:rPr>
        <w:t xml:space="preserve"> sp.</w:t>
      </w:r>
      <w:r>
        <w:rPr>
          <w:sz w:val="28"/>
          <w:szCs w:val="28"/>
        </w:rPr>
        <w:t xml:space="preserve">, </w:t>
      </w:r>
      <w:r>
        <w:rPr>
          <w:rStyle w:val="style88"/>
          <w:sz w:val="28"/>
          <w:szCs w:val="28"/>
        </w:rPr>
        <w:t>Mucor</w:t>
      </w:r>
      <w:r>
        <w:rPr>
          <w:rStyle w:val="style88"/>
          <w:sz w:val="28"/>
          <w:szCs w:val="28"/>
        </w:rPr>
        <w:t xml:space="preserve"> sp.</w:t>
      </w:r>
      <w:r>
        <w:rPr>
          <w:sz w:val="28"/>
          <w:szCs w:val="28"/>
        </w:rPr>
        <w:t xml:space="preserve">, and </w:t>
      </w:r>
      <w:r>
        <w:rPr>
          <w:rStyle w:val="style88"/>
          <w:sz w:val="28"/>
          <w:szCs w:val="28"/>
        </w:rPr>
        <w:t>Trichoderma</w:t>
      </w:r>
      <w:r>
        <w:rPr>
          <w:rStyle w:val="style88"/>
          <w:sz w:val="28"/>
          <w:szCs w:val="28"/>
        </w:rPr>
        <w:t xml:space="preserve"> sp.</w:t>
      </w:r>
      <w:r>
        <w:rPr>
          <w:sz w:val="28"/>
          <w:szCs w:val="28"/>
        </w:rPr>
        <w:t xml:space="preserve"> (Table 4). These fungi are commonly associated with soil and play diverse ecological roles. For instance, </w:t>
      </w:r>
      <w:r>
        <w:rPr>
          <w:rStyle w:val="style88"/>
          <w:sz w:val="28"/>
          <w:szCs w:val="28"/>
        </w:rPr>
        <w:t>Trichoderma</w:t>
      </w:r>
      <w:r>
        <w:rPr>
          <w:sz w:val="28"/>
          <w:szCs w:val="28"/>
        </w:rPr>
        <w:t xml:space="preserve"> is known for its antagonistic properties against plant pathogens and potential use as a </w:t>
      </w:r>
      <w:r>
        <w:rPr>
          <w:sz w:val="28"/>
          <w:szCs w:val="28"/>
        </w:rPr>
        <w:t>biocontrol</w:t>
      </w:r>
      <w:r>
        <w:rPr>
          <w:sz w:val="28"/>
          <w:szCs w:val="28"/>
        </w:rPr>
        <w:t xml:space="preserve"> agent, while </w:t>
      </w:r>
      <w:r>
        <w:rPr>
          <w:rStyle w:val="style88"/>
          <w:sz w:val="28"/>
          <w:szCs w:val="28"/>
        </w:rPr>
        <w:t>Fusarium</w:t>
      </w:r>
      <w:r>
        <w:rPr>
          <w:sz w:val="28"/>
          <w:szCs w:val="28"/>
        </w:rPr>
        <w:t xml:space="preserve"> includes species that may be pathogenic to crops (Sun </w:t>
      </w:r>
      <w:r>
        <w:rPr>
          <w:i/>
          <w:iCs/>
          <w:sz w:val="28"/>
          <w:szCs w:val="28"/>
        </w:rPr>
        <w:t>et</w:t>
      </w:r>
      <w:r>
        <w:rPr>
          <w:sz w:val="28"/>
          <w:szCs w:val="28"/>
        </w:rPr>
        <w:t xml:space="preserve"> </w:t>
      </w:r>
      <w:r>
        <w:rPr>
          <w:i/>
          <w:iCs/>
          <w:sz w:val="28"/>
          <w:szCs w:val="28"/>
        </w:rPr>
        <w:t>al</w:t>
      </w:r>
      <w:r>
        <w:rPr>
          <w:sz w:val="28"/>
          <w:szCs w:val="28"/>
        </w:rPr>
        <w:t xml:space="preserve">., 2022). The dominance of </w:t>
      </w:r>
      <w:r>
        <w:rPr>
          <w:rStyle w:val="style88"/>
          <w:sz w:val="28"/>
          <w:szCs w:val="28"/>
        </w:rPr>
        <w:t>Aspergillus</w:t>
      </w:r>
      <w:r>
        <w:rPr>
          <w:sz w:val="28"/>
          <w:szCs w:val="28"/>
        </w:rPr>
        <w:t xml:space="preserve"> and </w:t>
      </w:r>
      <w:r>
        <w:rPr>
          <w:rStyle w:val="style88"/>
          <w:sz w:val="28"/>
          <w:szCs w:val="28"/>
        </w:rPr>
        <w:t>Penicillium</w:t>
      </w:r>
      <w:r>
        <w:rPr>
          <w:sz w:val="28"/>
          <w:szCs w:val="28"/>
        </w:rPr>
        <w:t xml:space="preserve"> in acidic soils supports previous studies that report their resilience and ability to adapt to different environmental stresses (Huang </w:t>
      </w:r>
      <w:r>
        <w:rPr>
          <w:i/>
          <w:iCs/>
          <w:sz w:val="28"/>
          <w:szCs w:val="28"/>
        </w:rPr>
        <w:t>et</w:t>
      </w:r>
      <w:r>
        <w:rPr>
          <w:sz w:val="28"/>
          <w:szCs w:val="28"/>
        </w:rPr>
        <w:t xml:space="preserve"> </w:t>
      </w:r>
      <w:r>
        <w:rPr>
          <w:i/>
          <w:iCs/>
          <w:sz w:val="28"/>
          <w:szCs w:val="28"/>
        </w:rPr>
        <w:t>al</w:t>
      </w:r>
      <w:r>
        <w:rPr>
          <w:sz w:val="28"/>
          <w:szCs w:val="28"/>
        </w:rPr>
        <w:t>., 2021).</w:t>
      </w:r>
    </w:p>
    <w:p>
      <w:pPr>
        <w:pStyle w:val="style94"/>
        <w:spacing w:lineRule="auto" w:line="480"/>
        <w:jc w:val="both"/>
        <w:rPr>
          <w:sz w:val="28"/>
          <w:szCs w:val="28"/>
        </w:rPr>
      </w:pPr>
      <w:r>
        <w:rPr>
          <w:sz w:val="28"/>
          <w:szCs w:val="28"/>
        </w:rPr>
        <w:t xml:space="preserve">Microscopic and macroscopic examination confirmed the identity of each fungal species. For example, </w:t>
      </w:r>
      <w:r>
        <w:rPr>
          <w:rStyle w:val="style88"/>
          <w:sz w:val="28"/>
          <w:szCs w:val="28"/>
        </w:rPr>
        <w:t>Rhizopus</w:t>
      </w:r>
      <w:r>
        <w:rPr>
          <w:rStyle w:val="style88"/>
          <w:sz w:val="28"/>
          <w:szCs w:val="28"/>
        </w:rPr>
        <w:t xml:space="preserve"> </w:t>
      </w:r>
      <w:r>
        <w:rPr>
          <w:rStyle w:val="style88"/>
          <w:sz w:val="28"/>
          <w:szCs w:val="28"/>
        </w:rPr>
        <w:t>stolonifer</w:t>
      </w:r>
      <w:r>
        <w:rPr>
          <w:sz w:val="28"/>
          <w:szCs w:val="28"/>
        </w:rPr>
        <w:t xml:space="preserve"> was identified by its non-</w:t>
      </w:r>
      <w:r>
        <w:rPr>
          <w:sz w:val="28"/>
          <w:szCs w:val="28"/>
        </w:rPr>
        <w:t>septate</w:t>
      </w:r>
      <w:r>
        <w:rPr>
          <w:sz w:val="28"/>
          <w:szCs w:val="28"/>
        </w:rPr>
        <w:t xml:space="preserve"> </w:t>
      </w:r>
      <w:r>
        <w:rPr>
          <w:sz w:val="28"/>
          <w:szCs w:val="28"/>
        </w:rPr>
        <w:t>hyphae</w:t>
      </w:r>
      <w:r>
        <w:rPr>
          <w:sz w:val="28"/>
          <w:szCs w:val="28"/>
        </w:rPr>
        <w:t xml:space="preserve"> and large sporangia, while </w:t>
      </w:r>
      <w:r>
        <w:rPr>
          <w:rStyle w:val="style88"/>
          <w:sz w:val="28"/>
          <w:szCs w:val="28"/>
        </w:rPr>
        <w:t>Penicillium</w:t>
      </w:r>
      <w:r>
        <w:rPr>
          <w:sz w:val="28"/>
          <w:szCs w:val="28"/>
        </w:rPr>
        <w:t xml:space="preserve"> exhibited distinct brush-like conidiophores. </w:t>
      </w:r>
      <w:r>
        <w:rPr>
          <w:sz w:val="28"/>
          <w:szCs w:val="28"/>
        </w:rPr>
        <w:t xml:space="preserve">These observations were in agreement with standard identification keys and previous morphological studies (Wu </w:t>
      </w:r>
      <w:r>
        <w:rPr>
          <w:i/>
          <w:iCs/>
          <w:sz w:val="28"/>
          <w:szCs w:val="28"/>
        </w:rPr>
        <w:t>et</w:t>
      </w:r>
      <w:r>
        <w:rPr>
          <w:sz w:val="28"/>
          <w:szCs w:val="28"/>
        </w:rPr>
        <w:t xml:space="preserve"> </w:t>
      </w:r>
      <w:r>
        <w:rPr>
          <w:i/>
          <w:iCs/>
          <w:sz w:val="28"/>
          <w:szCs w:val="28"/>
        </w:rPr>
        <w:t>al</w:t>
      </w:r>
      <w:r>
        <w:rPr>
          <w:sz w:val="28"/>
          <w:szCs w:val="28"/>
        </w:rPr>
        <w:t>., 2023).</w:t>
      </w:r>
    </w:p>
    <w:p>
      <w:pPr>
        <w:pStyle w:val="style94"/>
        <w:spacing w:lineRule="auto" w:line="480"/>
        <w:jc w:val="both"/>
        <w:rPr>
          <w:sz w:val="28"/>
          <w:szCs w:val="28"/>
        </w:rPr>
      </w:pPr>
      <w:r>
        <w:rPr>
          <w:sz w:val="28"/>
          <w:szCs w:val="28"/>
        </w:rPr>
        <w:t>Overall, the results of this study show that agricultural fields within Kwar</w:t>
      </w:r>
      <w:r>
        <w:rPr>
          <w:sz w:val="28"/>
          <w:szCs w:val="28"/>
        </w:rPr>
        <w:t>a</w:t>
      </w:r>
      <w:r>
        <w:rPr>
          <w:sz w:val="28"/>
          <w:szCs w:val="28"/>
        </w:rPr>
        <w:t xml:space="preserve"> Polytechnic harbor a diverse range of soil fungi, influenced by environmental parameters such as pH and land use. The successful isolation and characterization of these fungi underscore their potential role in sustainable agriculture, particularly in enhancing soil fertility and plant protection through </w:t>
      </w:r>
      <w:r>
        <w:rPr>
          <w:sz w:val="28"/>
          <w:szCs w:val="28"/>
        </w:rPr>
        <w:t>bioaugmentation</w:t>
      </w:r>
      <w:r>
        <w:rPr>
          <w:sz w:val="28"/>
          <w:szCs w:val="28"/>
        </w:rPr>
        <w:t xml:space="preserve"> or </w:t>
      </w:r>
      <w:r>
        <w:rPr>
          <w:sz w:val="28"/>
          <w:szCs w:val="28"/>
        </w:rPr>
        <w:t>biocontrol</w:t>
      </w:r>
      <w:r>
        <w:rPr>
          <w:sz w:val="28"/>
          <w:szCs w:val="28"/>
        </w:rPr>
        <w:t xml:space="preserve"> applications.</w:t>
      </w:r>
    </w:p>
    <w:bookmarkStart w:id="26" w:name="_Toc202598486"/>
    <w:p>
      <w:pPr>
        <w:pStyle w:val="style1"/>
        <w:rPr>
          <w:rFonts w:ascii="Times New Roman" w:cs="Times New Roman" w:hAnsi="Times New Roman"/>
          <w:b/>
          <w:color w:val="auto"/>
          <w:sz w:val="28"/>
          <w:szCs w:val="28"/>
        </w:rPr>
      </w:pPr>
      <w:r>
        <w:rPr>
          <w:rFonts w:ascii="Times New Roman" w:cs="Times New Roman" w:hAnsi="Times New Roman"/>
          <w:b/>
          <w:color w:val="auto"/>
          <w:sz w:val="28"/>
          <w:szCs w:val="28"/>
        </w:rPr>
        <w:t>4.2 Conclusion</w:t>
      </w:r>
      <w:bookmarkEnd w:id="26"/>
    </w:p>
    <w:p>
      <w:pPr>
        <w:pStyle w:val="style94"/>
        <w:spacing w:lineRule="auto" w:line="480"/>
        <w:jc w:val="both"/>
        <w:rPr>
          <w:sz w:val="28"/>
          <w:szCs w:val="28"/>
        </w:rPr>
      </w:pPr>
      <w:r>
        <w:rPr>
          <w:sz w:val="28"/>
          <w:szCs w:val="28"/>
        </w:rPr>
        <w:t>The isolation and characterization of soil fungi from different agricultural fields within Kwar</w:t>
      </w:r>
      <w:r>
        <w:rPr>
          <w:sz w:val="28"/>
          <w:szCs w:val="28"/>
        </w:rPr>
        <w:t>a</w:t>
      </w:r>
      <w:r>
        <w:rPr>
          <w:sz w:val="28"/>
          <w:szCs w:val="28"/>
        </w:rPr>
        <w:t xml:space="preserve"> Polytechnic revealed a diverse </w:t>
      </w:r>
      <w:r>
        <w:rPr>
          <w:sz w:val="28"/>
          <w:szCs w:val="28"/>
        </w:rPr>
        <w:t>mycobiome</w:t>
      </w:r>
      <w:r>
        <w:rPr>
          <w:sz w:val="28"/>
          <w:szCs w:val="28"/>
        </w:rPr>
        <w:t xml:space="preserve"> influenced by environmental factors such as soil pH and land use. The study successfully identified six different fungal species, including agriculturally important genera like </w:t>
      </w:r>
      <w:r>
        <w:rPr>
          <w:rStyle w:val="style88"/>
          <w:sz w:val="28"/>
          <w:szCs w:val="28"/>
        </w:rPr>
        <w:t>Aspergillus</w:t>
      </w:r>
      <w:r>
        <w:rPr>
          <w:sz w:val="28"/>
          <w:szCs w:val="28"/>
        </w:rPr>
        <w:t xml:space="preserve">, </w:t>
      </w:r>
      <w:r>
        <w:rPr>
          <w:rStyle w:val="style88"/>
          <w:sz w:val="28"/>
          <w:szCs w:val="28"/>
        </w:rPr>
        <w:t>Penicillium</w:t>
      </w:r>
      <w:r>
        <w:rPr>
          <w:sz w:val="28"/>
          <w:szCs w:val="28"/>
        </w:rPr>
        <w:t xml:space="preserve">, </w:t>
      </w:r>
      <w:r>
        <w:rPr>
          <w:rStyle w:val="style88"/>
          <w:sz w:val="28"/>
          <w:szCs w:val="28"/>
        </w:rPr>
        <w:t>Rhizopus</w:t>
      </w:r>
      <w:r>
        <w:rPr>
          <w:sz w:val="28"/>
          <w:szCs w:val="28"/>
        </w:rPr>
        <w:t xml:space="preserve">, </w:t>
      </w:r>
      <w:r>
        <w:rPr>
          <w:rStyle w:val="style88"/>
          <w:sz w:val="28"/>
          <w:szCs w:val="28"/>
        </w:rPr>
        <w:t>Trichoderma</w:t>
      </w:r>
      <w:r>
        <w:rPr>
          <w:sz w:val="28"/>
          <w:szCs w:val="28"/>
        </w:rPr>
        <w:t xml:space="preserve">, </w:t>
      </w:r>
      <w:r>
        <w:rPr>
          <w:rStyle w:val="style88"/>
          <w:sz w:val="28"/>
          <w:szCs w:val="28"/>
        </w:rPr>
        <w:t>Fusarium</w:t>
      </w:r>
      <w:r>
        <w:rPr>
          <w:sz w:val="28"/>
          <w:szCs w:val="28"/>
        </w:rPr>
        <w:t xml:space="preserve">, and </w:t>
      </w:r>
      <w:r>
        <w:rPr>
          <w:rStyle w:val="style88"/>
          <w:sz w:val="28"/>
          <w:szCs w:val="28"/>
        </w:rPr>
        <w:t>Mucor</w:t>
      </w:r>
      <w:r>
        <w:rPr>
          <w:sz w:val="28"/>
          <w:szCs w:val="28"/>
        </w:rPr>
        <w:t xml:space="preserve">, all of which play significant roles in soil health, nutrient cycling, and potential </w:t>
      </w:r>
      <w:r>
        <w:rPr>
          <w:sz w:val="28"/>
          <w:szCs w:val="28"/>
        </w:rPr>
        <w:t>biocontrol</w:t>
      </w:r>
      <w:r>
        <w:rPr>
          <w:sz w:val="28"/>
          <w:szCs w:val="28"/>
        </w:rPr>
        <w:t>.</w:t>
      </w:r>
    </w:p>
    <w:p>
      <w:pPr>
        <w:pStyle w:val="style1"/>
        <w:jc w:val="center"/>
        <w:rPr>
          <w:rFonts w:ascii="Times New Roman" w:cs="Times New Roman" w:hAnsi="Times New Roman"/>
          <w:b/>
          <w:color w:val="auto"/>
          <w:sz w:val="28"/>
          <w:szCs w:val="28"/>
        </w:rPr>
      </w:pPr>
      <w:r>
        <w:rPr>
          <w:rFonts w:ascii="Times New Roman" w:cs="Times New Roman" w:hAnsi="Times New Roman"/>
          <w:color w:val="auto"/>
          <w:sz w:val="28"/>
          <w:szCs w:val="28"/>
        </w:rPr>
        <w:br w:type="page"/>
      </w:r>
      <w:bookmarkStart w:id="27" w:name="_Toc202598487"/>
      <w:r>
        <w:rPr>
          <w:rFonts w:ascii="Times New Roman" w:cs="Times New Roman" w:hAnsi="Times New Roman"/>
          <w:b/>
          <w:color w:val="auto"/>
          <w:sz w:val="28"/>
          <w:szCs w:val="28"/>
        </w:rPr>
        <w:t>REFERENCES</w:t>
      </w:r>
      <w:bookmarkEnd w:id="27"/>
    </w:p>
    <w:p>
      <w:pPr>
        <w:pStyle w:val="style94"/>
        <w:spacing w:lineRule="auto" w:line="480"/>
        <w:ind w:left="720" w:hanging="720"/>
        <w:jc w:val="both"/>
        <w:rPr>
          <w:sz w:val="28"/>
          <w:szCs w:val="28"/>
        </w:rPr>
      </w:pPr>
      <w:r>
        <w:rPr>
          <w:sz w:val="28"/>
          <w:szCs w:val="28"/>
        </w:rPr>
        <w:t>Ahmed, F. A., El-</w:t>
      </w:r>
      <w:r>
        <w:rPr>
          <w:sz w:val="28"/>
          <w:szCs w:val="28"/>
        </w:rPr>
        <w:t>Sayed</w:t>
      </w:r>
      <w:r>
        <w:rPr>
          <w:sz w:val="28"/>
          <w:szCs w:val="28"/>
        </w:rPr>
        <w:t>, W. S., El-</w:t>
      </w:r>
      <w:r>
        <w:rPr>
          <w:sz w:val="28"/>
          <w:szCs w:val="28"/>
        </w:rPr>
        <w:t>Metwally</w:t>
      </w:r>
      <w:r>
        <w:rPr>
          <w:sz w:val="28"/>
          <w:szCs w:val="28"/>
        </w:rPr>
        <w:t xml:space="preserve">, M. A., </w:t>
      </w:r>
      <w:r>
        <w:rPr>
          <w:sz w:val="28"/>
          <w:szCs w:val="28"/>
        </w:rPr>
        <w:t>Mahmoud</w:t>
      </w:r>
      <w:r>
        <w:rPr>
          <w:sz w:val="28"/>
          <w:szCs w:val="28"/>
        </w:rPr>
        <w:t>, D. A., &amp; Ismail, A. M. (2021).</w:t>
      </w:r>
      <w:r>
        <w:rPr>
          <w:sz w:val="28"/>
          <w:szCs w:val="28"/>
        </w:rPr>
        <w:t xml:space="preserve"> Culture-dependent and </w:t>
      </w:r>
      <w:r>
        <w:rPr>
          <w:sz w:val="28"/>
          <w:szCs w:val="28"/>
        </w:rPr>
        <w:t>metagenomic</w:t>
      </w:r>
      <w:r>
        <w:rPr>
          <w:sz w:val="28"/>
          <w:szCs w:val="28"/>
        </w:rPr>
        <w:t xml:space="preserve"> approaches reveal fungal diversity in agricultural soils. </w:t>
      </w:r>
      <w:r>
        <w:rPr>
          <w:rStyle w:val="style88"/>
          <w:sz w:val="28"/>
          <w:szCs w:val="28"/>
        </w:rPr>
        <w:t>Frontiers in Microbiology</w:t>
      </w:r>
      <w:r>
        <w:rPr>
          <w:sz w:val="28"/>
          <w:szCs w:val="28"/>
        </w:rPr>
        <w:t>, 12, 682497.</w:t>
      </w:r>
    </w:p>
    <w:p>
      <w:pPr>
        <w:pStyle w:val="style94"/>
        <w:spacing w:lineRule="auto" w:line="480"/>
        <w:ind w:left="720" w:hanging="720"/>
        <w:jc w:val="both"/>
        <w:rPr>
          <w:sz w:val="28"/>
          <w:szCs w:val="28"/>
        </w:rPr>
      </w:pPr>
      <w:r>
        <w:rPr>
          <w:sz w:val="28"/>
          <w:szCs w:val="28"/>
        </w:rPr>
        <w:t xml:space="preserve">Ali, M. A., Khan, M. R., </w:t>
      </w:r>
      <w:r>
        <w:rPr>
          <w:sz w:val="28"/>
          <w:szCs w:val="28"/>
        </w:rPr>
        <w:t>Riaz</w:t>
      </w:r>
      <w:r>
        <w:rPr>
          <w:sz w:val="28"/>
          <w:szCs w:val="28"/>
        </w:rPr>
        <w:t xml:space="preserve">, M., </w:t>
      </w:r>
      <w:r>
        <w:rPr>
          <w:sz w:val="28"/>
          <w:szCs w:val="28"/>
        </w:rPr>
        <w:t>Imran</w:t>
      </w:r>
      <w:r>
        <w:rPr>
          <w:sz w:val="28"/>
          <w:szCs w:val="28"/>
        </w:rPr>
        <w:t xml:space="preserve">, M., </w:t>
      </w:r>
      <w:r>
        <w:rPr>
          <w:sz w:val="28"/>
          <w:szCs w:val="28"/>
        </w:rPr>
        <w:t>Ashraf</w:t>
      </w:r>
      <w:r>
        <w:rPr>
          <w:sz w:val="28"/>
          <w:szCs w:val="28"/>
        </w:rPr>
        <w:t xml:space="preserve">, M. A., &amp; </w:t>
      </w:r>
      <w:r>
        <w:rPr>
          <w:sz w:val="28"/>
          <w:szCs w:val="28"/>
        </w:rPr>
        <w:t>Nawaz</w:t>
      </w:r>
      <w:r>
        <w:rPr>
          <w:sz w:val="28"/>
          <w:szCs w:val="28"/>
        </w:rPr>
        <w:t>, K. (2021).</w:t>
      </w:r>
      <w:r>
        <w:rPr>
          <w:sz w:val="28"/>
          <w:szCs w:val="28"/>
        </w:rPr>
        <w:t xml:space="preserve"> Diversity of fungi in tropical agricultural fields: Implications for crop health. </w:t>
      </w:r>
      <w:r>
        <w:rPr>
          <w:rStyle w:val="style88"/>
          <w:sz w:val="28"/>
          <w:szCs w:val="28"/>
        </w:rPr>
        <w:t>Mycological Progress</w:t>
      </w:r>
      <w:r>
        <w:rPr>
          <w:sz w:val="28"/>
          <w:szCs w:val="28"/>
        </w:rPr>
        <w:t>, 20(8), 1021–1034.</w:t>
      </w:r>
    </w:p>
    <w:p>
      <w:pPr>
        <w:pStyle w:val="style94"/>
        <w:spacing w:lineRule="auto" w:line="480"/>
        <w:ind w:left="720" w:hanging="720"/>
        <w:jc w:val="both"/>
        <w:rPr>
          <w:sz w:val="28"/>
          <w:szCs w:val="28"/>
        </w:rPr>
      </w:pPr>
      <w:r>
        <w:rPr>
          <w:sz w:val="28"/>
          <w:szCs w:val="28"/>
        </w:rPr>
        <w:t>Banerjee</w:t>
      </w:r>
      <w:r>
        <w:rPr>
          <w:sz w:val="28"/>
          <w:szCs w:val="28"/>
        </w:rPr>
        <w:t xml:space="preserve">, S., </w:t>
      </w:r>
      <w:r>
        <w:rPr>
          <w:sz w:val="28"/>
          <w:szCs w:val="28"/>
        </w:rPr>
        <w:t>Schlaeppi</w:t>
      </w:r>
      <w:r>
        <w:rPr>
          <w:sz w:val="28"/>
          <w:szCs w:val="28"/>
        </w:rPr>
        <w:t xml:space="preserve">, K., &amp; van </w:t>
      </w:r>
      <w:r>
        <w:rPr>
          <w:sz w:val="28"/>
          <w:szCs w:val="28"/>
        </w:rPr>
        <w:t>der</w:t>
      </w:r>
      <w:r>
        <w:rPr>
          <w:sz w:val="28"/>
          <w:szCs w:val="28"/>
        </w:rPr>
        <w:t xml:space="preserve"> </w:t>
      </w:r>
      <w:r>
        <w:rPr>
          <w:sz w:val="28"/>
          <w:szCs w:val="28"/>
        </w:rPr>
        <w:t>Heijden</w:t>
      </w:r>
      <w:r>
        <w:rPr>
          <w:sz w:val="28"/>
          <w:szCs w:val="28"/>
        </w:rPr>
        <w:t>, M. G. A. (2020).</w:t>
      </w:r>
      <w:r>
        <w:rPr>
          <w:sz w:val="28"/>
          <w:szCs w:val="28"/>
        </w:rPr>
        <w:t xml:space="preserve"> Agricultural intensification reduces microbial network complexity and the abundance of keystone </w:t>
      </w:r>
      <w:r>
        <w:rPr>
          <w:sz w:val="28"/>
          <w:szCs w:val="28"/>
        </w:rPr>
        <w:t>taxa</w:t>
      </w:r>
      <w:r>
        <w:rPr>
          <w:sz w:val="28"/>
          <w:szCs w:val="28"/>
        </w:rPr>
        <w:t xml:space="preserve"> in roots. </w:t>
      </w:r>
      <w:r>
        <w:rPr>
          <w:rStyle w:val="style88"/>
          <w:sz w:val="28"/>
          <w:szCs w:val="28"/>
        </w:rPr>
        <w:t>The ISME Journal</w:t>
      </w:r>
      <w:r>
        <w:rPr>
          <w:sz w:val="28"/>
          <w:szCs w:val="28"/>
        </w:rPr>
        <w:t>, 14, 1825–1837.</w:t>
      </w:r>
    </w:p>
    <w:p>
      <w:pPr>
        <w:pStyle w:val="style94"/>
        <w:spacing w:lineRule="auto" w:line="480"/>
        <w:ind w:left="720" w:hanging="720"/>
        <w:jc w:val="both"/>
        <w:rPr>
          <w:sz w:val="28"/>
          <w:szCs w:val="28"/>
        </w:rPr>
      </w:pPr>
      <w:r>
        <w:rPr>
          <w:sz w:val="28"/>
          <w:szCs w:val="28"/>
        </w:rPr>
        <w:t>Banerjee</w:t>
      </w:r>
      <w:r>
        <w:rPr>
          <w:sz w:val="28"/>
          <w:szCs w:val="28"/>
        </w:rPr>
        <w:t xml:space="preserve">, S., </w:t>
      </w:r>
      <w:r>
        <w:rPr>
          <w:sz w:val="28"/>
          <w:szCs w:val="28"/>
        </w:rPr>
        <w:t>Schlaeppi</w:t>
      </w:r>
      <w:r>
        <w:rPr>
          <w:sz w:val="28"/>
          <w:szCs w:val="28"/>
        </w:rPr>
        <w:t xml:space="preserve">, K., &amp; van </w:t>
      </w:r>
      <w:r>
        <w:rPr>
          <w:sz w:val="28"/>
          <w:szCs w:val="28"/>
        </w:rPr>
        <w:t>der</w:t>
      </w:r>
      <w:r>
        <w:rPr>
          <w:sz w:val="28"/>
          <w:szCs w:val="28"/>
        </w:rPr>
        <w:t xml:space="preserve"> </w:t>
      </w:r>
      <w:r>
        <w:rPr>
          <w:sz w:val="28"/>
          <w:szCs w:val="28"/>
        </w:rPr>
        <w:t>Heijden</w:t>
      </w:r>
      <w:r>
        <w:rPr>
          <w:sz w:val="28"/>
          <w:szCs w:val="28"/>
        </w:rPr>
        <w:t>, M. G. A. (2020).</w:t>
      </w:r>
      <w:r>
        <w:rPr>
          <w:sz w:val="28"/>
          <w:szCs w:val="28"/>
        </w:rPr>
        <w:t xml:space="preserve"> Agricultural intensification reduces microbial network complexity and the abundance of keystone </w:t>
      </w:r>
      <w:r>
        <w:rPr>
          <w:sz w:val="28"/>
          <w:szCs w:val="28"/>
        </w:rPr>
        <w:t>taxa</w:t>
      </w:r>
      <w:r>
        <w:rPr>
          <w:sz w:val="28"/>
          <w:szCs w:val="28"/>
        </w:rPr>
        <w:t xml:space="preserve"> in roots. </w:t>
      </w:r>
      <w:r>
        <w:rPr>
          <w:rStyle w:val="style88"/>
          <w:sz w:val="28"/>
          <w:szCs w:val="28"/>
        </w:rPr>
        <w:t>The ISME Journal, 14</w:t>
      </w:r>
      <w:r>
        <w:rPr>
          <w:sz w:val="28"/>
          <w:szCs w:val="28"/>
        </w:rPr>
        <w:t>, 1825–1837. https://doi.org/10.1038/s41396-020-0636-4</w:t>
      </w:r>
    </w:p>
    <w:p>
      <w:pPr>
        <w:pStyle w:val="style94"/>
        <w:spacing w:lineRule="auto" w:line="480"/>
        <w:ind w:left="720" w:hanging="720"/>
        <w:jc w:val="both"/>
        <w:rPr>
          <w:sz w:val="28"/>
          <w:szCs w:val="28"/>
        </w:rPr>
      </w:pPr>
      <w:r>
        <w:rPr>
          <w:sz w:val="28"/>
          <w:szCs w:val="28"/>
        </w:rPr>
        <w:t xml:space="preserve">Chen, Z., Zhao, J., </w:t>
      </w:r>
      <w:r>
        <w:rPr>
          <w:sz w:val="28"/>
          <w:szCs w:val="28"/>
        </w:rPr>
        <w:t>Kuang</w:t>
      </w:r>
      <w:r>
        <w:rPr>
          <w:sz w:val="28"/>
          <w:szCs w:val="28"/>
        </w:rPr>
        <w:t>, J., Cao, C., Wang, L., &amp; He, X. (2022).</w:t>
      </w:r>
      <w:r>
        <w:rPr>
          <w:sz w:val="28"/>
          <w:szCs w:val="28"/>
        </w:rPr>
        <w:t xml:space="preserve"> Soil fungal diversity and function in agricultural ecosystems: A review. </w:t>
      </w:r>
      <w:r>
        <w:rPr>
          <w:rStyle w:val="style88"/>
          <w:sz w:val="28"/>
          <w:szCs w:val="28"/>
        </w:rPr>
        <w:t>Soil Ecology Letters</w:t>
      </w:r>
      <w:r>
        <w:rPr>
          <w:sz w:val="28"/>
          <w:szCs w:val="28"/>
        </w:rPr>
        <w:t>, 4(2), 83–95.</w:t>
      </w:r>
    </w:p>
    <w:p>
      <w:pPr>
        <w:pStyle w:val="style94"/>
        <w:spacing w:lineRule="auto" w:line="480"/>
        <w:ind w:left="720" w:hanging="720"/>
        <w:jc w:val="both"/>
        <w:rPr>
          <w:sz w:val="28"/>
          <w:szCs w:val="28"/>
        </w:rPr>
      </w:pPr>
      <w:r>
        <w:rPr>
          <w:sz w:val="28"/>
          <w:szCs w:val="28"/>
        </w:rPr>
        <w:t>Choudhary</w:t>
      </w:r>
      <w:r>
        <w:rPr>
          <w:sz w:val="28"/>
          <w:szCs w:val="28"/>
        </w:rPr>
        <w:t xml:space="preserve">, S., </w:t>
      </w:r>
      <w:r>
        <w:rPr>
          <w:sz w:val="28"/>
          <w:szCs w:val="28"/>
        </w:rPr>
        <w:t>Meena</w:t>
      </w:r>
      <w:r>
        <w:rPr>
          <w:sz w:val="28"/>
          <w:szCs w:val="28"/>
        </w:rPr>
        <w:t xml:space="preserve">, R. S., </w:t>
      </w:r>
      <w:r>
        <w:rPr>
          <w:sz w:val="28"/>
          <w:szCs w:val="28"/>
        </w:rPr>
        <w:t>Datta</w:t>
      </w:r>
      <w:r>
        <w:rPr>
          <w:sz w:val="28"/>
          <w:szCs w:val="28"/>
        </w:rPr>
        <w:t xml:space="preserve">, R., </w:t>
      </w:r>
      <w:r>
        <w:rPr>
          <w:sz w:val="28"/>
          <w:szCs w:val="28"/>
        </w:rPr>
        <w:t>Mitran</w:t>
      </w:r>
      <w:r>
        <w:rPr>
          <w:sz w:val="28"/>
          <w:szCs w:val="28"/>
        </w:rPr>
        <w:t>, T., &amp; Kumar, S. (2021).</w:t>
      </w:r>
      <w:r>
        <w:rPr>
          <w:sz w:val="28"/>
          <w:szCs w:val="28"/>
        </w:rPr>
        <w:t xml:space="preserve"> </w:t>
      </w:r>
      <w:r>
        <w:rPr>
          <w:sz w:val="28"/>
          <w:szCs w:val="28"/>
        </w:rPr>
        <w:t>Role of fungal communities in carbon cycling and storage in soils.</w:t>
      </w:r>
      <w:r>
        <w:rPr>
          <w:sz w:val="28"/>
          <w:szCs w:val="28"/>
        </w:rPr>
        <w:t xml:space="preserve"> </w:t>
      </w:r>
      <w:r>
        <w:rPr>
          <w:rStyle w:val="style88"/>
          <w:sz w:val="28"/>
          <w:szCs w:val="28"/>
        </w:rPr>
        <w:t>Environmental Reviews</w:t>
      </w:r>
      <w:r>
        <w:rPr>
          <w:sz w:val="28"/>
          <w:szCs w:val="28"/>
        </w:rPr>
        <w:t>, 29(3), 337–352.</w:t>
      </w:r>
    </w:p>
    <w:p>
      <w:pPr>
        <w:pStyle w:val="style94"/>
        <w:spacing w:lineRule="auto" w:line="480"/>
        <w:ind w:left="720" w:hanging="720"/>
        <w:jc w:val="both"/>
        <w:rPr>
          <w:sz w:val="28"/>
          <w:szCs w:val="28"/>
        </w:rPr>
      </w:pPr>
      <w:r>
        <w:rPr>
          <w:sz w:val="28"/>
          <w:szCs w:val="28"/>
        </w:rPr>
        <w:t>Gao</w:t>
      </w:r>
      <w:r>
        <w:rPr>
          <w:sz w:val="28"/>
          <w:szCs w:val="28"/>
        </w:rPr>
        <w:t xml:space="preserve">, X., Li, Y., Zhang, W., Zhao, J., &amp; Wu, H. (2023). </w:t>
      </w:r>
      <w:r>
        <w:rPr>
          <w:sz w:val="28"/>
          <w:szCs w:val="28"/>
        </w:rPr>
        <w:t>Seasonal variation and drivers of fungal diversity in agricultural soil.</w:t>
      </w:r>
      <w:r>
        <w:rPr>
          <w:sz w:val="28"/>
          <w:szCs w:val="28"/>
        </w:rPr>
        <w:t xml:space="preserve"> </w:t>
      </w:r>
      <w:r>
        <w:rPr>
          <w:rStyle w:val="style88"/>
          <w:sz w:val="28"/>
          <w:szCs w:val="28"/>
        </w:rPr>
        <w:t>Applied Soil Ecology</w:t>
      </w:r>
      <w:r>
        <w:rPr>
          <w:sz w:val="28"/>
          <w:szCs w:val="28"/>
        </w:rPr>
        <w:t>, 185, 104733.</w:t>
      </w:r>
    </w:p>
    <w:p>
      <w:pPr>
        <w:pStyle w:val="style94"/>
        <w:spacing w:lineRule="auto" w:line="480"/>
        <w:ind w:left="720" w:hanging="720"/>
        <w:jc w:val="both"/>
        <w:rPr>
          <w:sz w:val="28"/>
          <w:szCs w:val="28"/>
        </w:rPr>
      </w:pPr>
      <w:r>
        <w:rPr>
          <w:sz w:val="28"/>
          <w:szCs w:val="28"/>
        </w:rPr>
        <w:t xml:space="preserve">Huang, L., Li, Y., Song, Y., Deng, X., Zhang, Y., &amp; Chen, S. (2021). </w:t>
      </w:r>
      <w:r>
        <w:rPr>
          <w:sz w:val="28"/>
          <w:szCs w:val="28"/>
        </w:rPr>
        <w:t>Impact of long-term organic farming on soil fungal diversity.</w:t>
      </w:r>
      <w:r>
        <w:rPr>
          <w:sz w:val="28"/>
          <w:szCs w:val="28"/>
        </w:rPr>
        <w:t xml:space="preserve"> </w:t>
      </w:r>
      <w:r>
        <w:rPr>
          <w:rStyle w:val="style88"/>
          <w:sz w:val="28"/>
          <w:szCs w:val="28"/>
        </w:rPr>
        <w:t>Science of the Total Environment</w:t>
      </w:r>
      <w:r>
        <w:rPr>
          <w:sz w:val="28"/>
          <w:szCs w:val="28"/>
        </w:rPr>
        <w:t>, 776, 145937.</w:t>
      </w:r>
    </w:p>
    <w:p>
      <w:pPr>
        <w:pStyle w:val="style94"/>
        <w:spacing w:lineRule="auto" w:line="480"/>
        <w:ind w:left="720" w:hanging="720"/>
        <w:jc w:val="both"/>
        <w:rPr>
          <w:sz w:val="28"/>
          <w:szCs w:val="28"/>
        </w:rPr>
      </w:pPr>
      <w:r>
        <w:rPr>
          <w:sz w:val="28"/>
          <w:szCs w:val="28"/>
        </w:rPr>
        <w:t xml:space="preserve">Huang, L., Li, Y., Song, Y., Deng, X., Zhang, Y., &amp; Chen, S. (2021). </w:t>
      </w:r>
      <w:r>
        <w:rPr>
          <w:sz w:val="28"/>
          <w:szCs w:val="28"/>
        </w:rPr>
        <w:t>Impact of long-term organic farming on soil fungal diversity.</w:t>
      </w:r>
      <w:r>
        <w:rPr>
          <w:sz w:val="28"/>
          <w:szCs w:val="28"/>
        </w:rPr>
        <w:t xml:space="preserve"> </w:t>
      </w:r>
      <w:r>
        <w:rPr>
          <w:rStyle w:val="style88"/>
          <w:sz w:val="28"/>
          <w:szCs w:val="28"/>
        </w:rPr>
        <w:t>Science of the Total Environment, 776</w:t>
      </w:r>
      <w:r>
        <w:rPr>
          <w:sz w:val="28"/>
          <w:szCs w:val="28"/>
        </w:rPr>
        <w:t>, 145937.</w:t>
      </w:r>
    </w:p>
    <w:p>
      <w:pPr>
        <w:pStyle w:val="style94"/>
        <w:spacing w:lineRule="auto" w:line="480"/>
        <w:ind w:left="720" w:hanging="720"/>
        <w:jc w:val="both"/>
        <w:rPr>
          <w:sz w:val="28"/>
          <w:szCs w:val="28"/>
        </w:rPr>
      </w:pPr>
      <w:r>
        <w:rPr>
          <w:sz w:val="28"/>
          <w:szCs w:val="28"/>
        </w:rPr>
        <w:t xml:space="preserve">Jiang, Y., Wang, W., </w:t>
      </w:r>
      <w:r>
        <w:rPr>
          <w:sz w:val="28"/>
          <w:szCs w:val="28"/>
        </w:rPr>
        <w:t>Xie</w:t>
      </w:r>
      <w:r>
        <w:rPr>
          <w:sz w:val="28"/>
          <w:szCs w:val="28"/>
        </w:rPr>
        <w:t xml:space="preserve">, Q., Liu, N., Liu, L., &amp; Liu, Y. (2020). Fungal </w:t>
      </w:r>
      <w:r>
        <w:rPr>
          <w:sz w:val="28"/>
          <w:szCs w:val="28"/>
        </w:rPr>
        <w:t>bioinoculants</w:t>
      </w:r>
      <w:r>
        <w:rPr>
          <w:sz w:val="28"/>
          <w:szCs w:val="28"/>
        </w:rPr>
        <w:t xml:space="preserve">: Prospects and challenges for sustainable agriculture. </w:t>
      </w:r>
      <w:r>
        <w:rPr>
          <w:rStyle w:val="style88"/>
          <w:sz w:val="28"/>
          <w:szCs w:val="28"/>
        </w:rPr>
        <w:t>Frontiers in Plant Science</w:t>
      </w:r>
      <w:r>
        <w:rPr>
          <w:sz w:val="28"/>
          <w:szCs w:val="28"/>
        </w:rPr>
        <w:t>, 11, 602795.</w:t>
      </w:r>
    </w:p>
    <w:p>
      <w:pPr>
        <w:pStyle w:val="style94"/>
        <w:spacing w:lineRule="auto" w:line="480"/>
        <w:ind w:left="720" w:hanging="720"/>
        <w:jc w:val="both"/>
        <w:rPr>
          <w:sz w:val="28"/>
          <w:szCs w:val="28"/>
        </w:rPr>
      </w:pPr>
      <w:r>
        <w:rPr>
          <w:sz w:val="28"/>
          <w:szCs w:val="28"/>
        </w:rPr>
        <w:t xml:space="preserve">Li, Y., Zhang, T., Liu, Y., Han, Y., </w:t>
      </w:r>
      <w:r>
        <w:rPr>
          <w:sz w:val="28"/>
          <w:szCs w:val="28"/>
        </w:rPr>
        <w:t>Guo</w:t>
      </w:r>
      <w:r>
        <w:rPr>
          <w:sz w:val="28"/>
          <w:szCs w:val="28"/>
        </w:rPr>
        <w:t>, X., &amp; Zhao, Y. (2023).</w:t>
      </w:r>
      <w:r>
        <w:rPr>
          <w:sz w:val="28"/>
          <w:szCs w:val="28"/>
        </w:rPr>
        <w:t xml:space="preserve"> Biodegradation of pesticides by soil fungi: Mechanisms and applications. </w:t>
      </w:r>
      <w:r>
        <w:rPr>
          <w:rStyle w:val="style88"/>
          <w:sz w:val="28"/>
          <w:szCs w:val="28"/>
        </w:rPr>
        <w:t>Chemosphere</w:t>
      </w:r>
      <w:r>
        <w:rPr>
          <w:sz w:val="28"/>
          <w:szCs w:val="28"/>
        </w:rPr>
        <w:t>, 330, 138625.</w:t>
      </w:r>
    </w:p>
    <w:p>
      <w:pPr>
        <w:pStyle w:val="style94"/>
        <w:spacing w:lineRule="auto" w:line="480"/>
        <w:ind w:left="720" w:hanging="720"/>
        <w:jc w:val="both"/>
        <w:rPr>
          <w:sz w:val="28"/>
          <w:szCs w:val="28"/>
        </w:rPr>
      </w:pPr>
      <w:r>
        <w:rPr>
          <w:sz w:val="28"/>
          <w:szCs w:val="28"/>
        </w:rPr>
        <w:t>Liu, J., Zhang, Y., Wang, Y., Li, X., Yang, H., &amp; Zhang, Y. (2021).</w:t>
      </w:r>
      <w:r>
        <w:rPr>
          <w:sz w:val="28"/>
          <w:szCs w:val="28"/>
        </w:rPr>
        <w:t xml:space="preserve"> Soil fungal diversity as influenced by cropping systems and fertilization. </w:t>
      </w:r>
      <w:r>
        <w:rPr>
          <w:rStyle w:val="style88"/>
          <w:sz w:val="28"/>
          <w:szCs w:val="28"/>
        </w:rPr>
        <w:t>Agriculture, Ecosystems &amp; Environment</w:t>
      </w:r>
      <w:r>
        <w:rPr>
          <w:sz w:val="28"/>
          <w:szCs w:val="28"/>
        </w:rPr>
        <w:t>, 309, 107263.</w:t>
      </w:r>
    </w:p>
    <w:p>
      <w:pPr>
        <w:pStyle w:val="style94"/>
        <w:spacing w:lineRule="auto" w:line="480"/>
        <w:ind w:left="720" w:hanging="720"/>
        <w:jc w:val="both"/>
        <w:rPr>
          <w:sz w:val="28"/>
          <w:szCs w:val="28"/>
        </w:rPr>
      </w:pPr>
      <w:r>
        <w:rPr>
          <w:sz w:val="28"/>
          <w:szCs w:val="28"/>
        </w:rPr>
        <w:t>Ma, Z., Li, X., Wang, X., Li, Q., Zhou, H., &amp; Zhang, H. (2020).</w:t>
      </w:r>
      <w:r>
        <w:rPr>
          <w:sz w:val="28"/>
          <w:szCs w:val="28"/>
        </w:rPr>
        <w:t xml:space="preserve"> Agricultural practices affect soil microbial community structure and function. </w:t>
      </w:r>
      <w:r>
        <w:rPr>
          <w:rStyle w:val="style88"/>
          <w:sz w:val="28"/>
          <w:szCs w:val="28"/>
        </w:rPr>
        <w:t>Journal of Environmental Management</w:t>
      </w:r>
      <w:r>
        <w:rPr>
          <w:sz w:val="28"/>
          <w:szCs w:val="28"/>
        </w:rPr>
        <w:t>, 260, 110143.</w:t>
      </w:r>
    </w:p>
    <w:p>
      <w:pPr>
        <w:pStyle w:val="style94"/>
        <w:spacing w:lineRule="auto" w:line="480"/>
        <w:ind w:left="720" w:hanging="720"/>
        <w:jc w:val="both"/>
        <w:rPr>
          <w:sz w:val="28"/>
          <w:szCs w:val="28"/>
        </w:rPr>
      </w:pPr>
      <w:r>
        <w:rPr>
          <w:sz w:val="28"/>
          <w:szCs w:val="28"/>
        </w:rPr>
        <w:t>Raza</w:t>
      </w:r>
      <w:r>
        <w:rPr>
          <w:sz w:val="28"/>
          <w:szCs w:val="28"/>
        </w:rPr>
        <w:t xml:space="preserve">, W., </w:t>
      </w:r>
      <w:r>
        <w:rPr>
          <w:sz w:val="28"/>
          <w:szCs w:val="28"/>
        </w:rPr>
        <w:t>Shen</w:t>
      </w:r>
      <w:r>
        <w:rPr>
          <w:sz w:val="28"/>
          <w:szCs w:val="28"/>
        </w:rPr>
        <w:t>, Q., Ling, N., Yang, X., &amp; Huang, Q. (2022).</w:t>
      </w:r>
      <w:r>
        <w:rPr>
          <w:sz w:val="28"/>
          <w:szCs w:val="28"/>
        </w:rPr>
        <w:t xml:space="preserve"> Emergence of fungal pathogens under climate change: Threats to global agriculture. </w:t>
      </w:r>
      <w:r>
        <w:rPr>
          <w:rStyle w:val="style88"/>
          <w:sz w:val="28"/>
          <w:szCs w:val="28"/>
        </w:rPr>
        <w:t>Fungal Biology Reviews</w:t>
      </w:r>
      <w:r>
        <w:rPr>
          <w:sz w:val="28"/>
          <w:szCs w:val="28"/>
        </w:rPr>
        <w:t>, 36, 44–56.</w:t>
      </w:r>
    </w:p>
    <w:p>
      <w:pPr>
        <w:pStyle w:val="style94"/>
        <w:spacing w:lineRule="auto" w:line="480"/>
        <w:ind w:left="720" w:hanging="720"/>
        <w:jc w:val="both"/>
        <w:rPr>
          <w:sz w:val="28"/>
          <w:szCs w:val="28"/>
        </w:rPr>
      </w:pPr>
      <w:r>
        <w:rPr>
          <w:sz w:val="28"/>
          <w:szCs w:val="28"/>
        </w:rPr>
        <w:t xml:space="preserve">Singh, S., </w:t>
      </w:r>
      <w:r>
        <w:rPr>
          <w:sz w:val="28"/>
          <w:szCs w:val="28"/>
        </w:rPr>
        <w:t>Yadav</w:t>
      </w:r>
      <w:r>
        <w:rPr>
          <w:sz w:val="28"/>
          <w:szCs w:val="28"/>
        </w:rPr>
        <w:t xml:space="preserve">, A., </w:t>
      </w:r>
      <w:r>
        <w:rPr>
          <w:sz w:val="28"/>
          <w:szCs w:val="28"/>
        </w:rPr>
        <w:t>Tiwari</w:t>
      </w:r>
      <w:r>
        <w:rPr>
          <w:sz w:val="28"/>
          <w:szCs w:val="28"/>
        </w:rPr>
        <w:t xml:space="preserve">, R., Rai, A., &amp; </w:t>
      </w:r>
      <w:r>
        <w:rPr>
          <w:sz w:val="28"/>
          <w:szCs w:val="28"/>
        </w:rPr>
        <w:t>Tripathi</w:t>
      </w:r>
      <w:r>
        <w:rPr>
          <w:sz w:val="28"/>
          <w:szCs w:val="28"/>
        </w:rPr>
        <w:t>, N. (2021).</w:t>
      </w:r>
      <w:r>
        <w:rPr>
          <w:sz w:val="28"/>
          <w:szCs w:val="28"/>
        </w:rPr>
        <w:t xml:space="preserve"> </w:t>
      </w:r>
      <w:r>
        <w:rPr>
          <w:sz w:val="28"/>
          <w:szCs w:val="28"/>
        </w:rPr>
        <w:t>Isolation and characterization of soil fungi from agricultural fields.</w:t>
      </w:r>
      <w:r>
        <w:rPr>
          <w:sz w:val="28"/>
          <w:szCs w:val="28"/>
        </w:rPr>
        <w:t xml:space="preserve"> </w:t>
      </w:r>
      <w:r>
        <w:rPr>
          <w:rStyle w:val="style88"/>
          <w:sz w:val="28"/>
          <w:szCs w:val="28"/>
        </w:rPr>
        <w:t>Archives of Microbiology</w:t>
      </w:r>
      <w:r>
        <w:rPr>
          <w:sz w:val="28"/>
          <w:szCs w:val="28"/>
        </w:rPr>
        <w:t>, 203, 333–343.</w:t>
      </w:r>
    </w:p>
    <w:p>
      <w:pPr>
        <w:pStyle w:val="style94"/>
        <w:spacing w:lineRule="auto" w:line="480"/>
        <w:ind w:left="720" w:hanging="720"/>
        <w:jc w:val="both"/>
        <w:rPr>
          <w:sz w:val="28"/>
          <w:szCs w:val="28"/>
        </w:rPr>
      </w:pPr>
      <w:r>
        <w:rPr>
          <w:sz w:val="28"/>
          <w:szCs w:val="28"/>
        </w:rPr>
        <w:t xml:space="preserve">Sun, R., Zhang, X., </w:t>
      </w:r>
      <w:r>
        <w:rPr>
          <w:sz w:val="28"/>
          <w:szCs w:val="28"/>
        </w:rPr>
        <w:t>Guo</w:t>
      </w:r>
      <w:r>
        <w:rPr>
          <w:sz w:val="28"/>
          <w:szCs w:val="28"/>
        </w:rPr>
        <w:t>, X., Wang, D., &amp; Chu, H. (2022).</w:t>
      </w:r>
      <w:r>
        <w:rPr>
          <w:sz w:val="28"/>
          <w:szCs w:val="28"/>
        </w:rPr>
        <w:t xml:space="preserve"> Interactions between soil fungi and crop plants: A review. </w:t>
      </w:r>
      <w:r>
        <w:rPr>
          <w:rStyle w:val="style88"/>
          <w:sz w:val="28"/>
          <w:szCs w:val="28"/>
        </w:rPr>
        <w:t>Fungal Ecology</w:t>
      </w:r>
      <w:r>
        <w:rPr>
          <w:sz w:val="28"/>
          <w:szCs w:val="28"/>
        </w:rPr>
        <w:t>, 57, 101151.</w:t>
      </w:r>
    </w:p>
    <w:p>
      <w:pPr>
        <w:pStyle w:val="style94"/>
        <w:spacing w:lineRule="auto" w:line="480"/>
        <w:ind w:left="720" w:hanging="720"/>
        <w:jc w:val="both"/>
        <w:rPr>
          <w:sz w:val="28"/>
          <w:szCs w:val="28"/>
        </w:rPr>
      </w:pPr>
      <w:r>
        <w:rPr>
          <w:sz w:val="28"/>
          <w:szCs w:val="28"/>
        </w:rPr>
        <w:t xml:space="preserve">Wang, L., Zhang, H., Chen, F., Liu, J., Liu, Z., &amp; </w:t>
      </w:r>
      <w:r>
        <w:rPr>
          <w:sz w:val="28"/>
          <w:szCs w:val="28"/>
        </w:rPr>
        <w:t>Gao</w:t>
      </w:r>
      <w:r>
        <w:rPr>
          <w:sz w:val="28"/>
          <w:szCs w:val="28"/>
        </w:rPr>
        <w:t xml:space="preserve">, Q. (2021). </w:t>
      </w:r>
      <w:r>
        <w:rPr>
          <w:sz w:val="28"/>
          <w:szCs w:val="28"/>
        </w:rPr>
        <w:t>Functional traits of soil fungi and their relevance to agriculture.</w:t>
      </w:r>
      <w:r>
        <w:rPr>
          <w:sz w:val="28"/>
          <w:szCs w:val="28"/>
        </w:rPr>
        <w:t xml:space="preserve"> </w:t>
      </w:r>
      <w:r>
        <w:rPr>
          <w:rStyle w:val="style88"/>
          <w:sz w:val="28"/>
          <w:szCs w:val="28"/>
        </w:rPr>
        <w:t>Applied Microbiology and Biotechnology</w:t>
      </w:r>
      <w:r>
        <w:rPr>
          <w:sz w:val="28"/>
          <w:szCs w:val="28"/>
        </w:rPr>
        <w:t>, 105(11), 4553–4565.</w:t>
      </w:r>
    </w:p>
    <w:p>
      <w:pPr>
        <w:pStyle w:val="style94"/>
        <w:spacing w:lineRule="auto" w:line="480"/>
        <w:ind w:left="720" w:hanging="720"/>
        <w:jc w:val="both"/>
        <w:rPr>
          <w:sz w:val="28"/>
          <w:szCs w:val="28"/>
        </w:rPr>
      </w:pPr>
      <w:r>
        <w:rPr>
          <w:sz w:val="28"/>
          <w:szCs w:val="28"/>
        </w:rPr>
        <w:t xml:space="preserve">Wu, Q., Li, J., Zhang, W., Yan, D., </w:t>
      </w:r>
      <w:r>
        <w:rPr>
          <w:sz w:val="28"/>
          <w:szCs w:val="28"/>
        </w:rPr>
        <w:t>Feng</w:t>
      </w:r>
      <w:r>
        <w:rPr>
          <w:sz w:val="28"/>
          <w:szCs w:val="28"/>
        </w:rPr>
        <w:t xml:space="preserve">, G., &amp; Zhao, J. (2023). </w:t>
      </w:r>
      <w:r>
        <w:rPr>
          <w:sz w:val="28"/>
          <w:szCs w:val="28"/>
        </w:rPr>
        <w:t>Integrating morphology and ITS sequencing for soil fungal identification.</w:t>
      </w:r>
      <w:r>
        <w:rPr>
          <w:sz w:val="28"/>
          <w:szCs w:val="28"/>
        </w:rPr>
        <w:t xml:space="preserve"> </w:t>
      </w:r>
      <w:r>
        <w:rPr>
          <w:rStyle w:val="style88"/>
          <w:sz w:val="28"/>
          <w:szCs w:val="28"/>
        </w:rPr>
        <w:t>Journal of Fungi</w:t>
      </w:r>
      <w:r>
        <w:rPr>
          <w:sz w:val="28"/>
          <w:szCs w:val="28"/>
        </w:rPr>
        <w:t>, 9(2), 145.</w:t>
      </w:r>
    </w:p>
    <w:p>
      <w:pPr>
        <w:pStyle w:val="style94"/>
        <w:spacing w:lineRule="auto" w:line="480"/>
        <w:ind w:left="720" w:hanging="720"/>
        <w:jc w:val="both"/>
        <w:rPr>
          <w:sz w:val="28"/>
          <w:szCs w:val="28"/>
        </w:rPr>
      </w:pPr>
      <w:r>
        <w:rPr>
          <w:sz w:val="28"/>
          <w:szCs w:val="28"/>
        </w:rPr>
        <w:t>Zhang, J., Liu, Y., Chen, Y., Sun, H., &amp; Zhang, M. (2020).</w:t>
      </w:r>
      <w:r>
        <w:rPr>
          <w:sz w:val="28"/>
          <w:szCs w:val="28"/>
        </w:rPr>
        <w:t xml:space="preserve"> </w:t>
      </w:r>
      <w:r>
        <w:rPr>
          <w:sz w:val="28"/>
          <w:szCs w:val="28"/>
        </w:rPr>
        <w:t>Cropping system and fungal community structure: A meta-analysis.</w:t>
      </w:r>
      <w:r>
        <w:rPr>
          <w:sz w:val="28"/>
          <w:szCs w:val="28"/>
        </w:rPr>
        <w:t xml:space="preserve"> </w:t>
      </w:r>
      <w:r>
        <w:rPr>
          <w:rStyle w:val="style88"/>
          <w:sz w:val="28"/>
          <w:szCs w:val="28"/>
        </w:rPr>
        <w:t>Soil Biology and Biochemistry</w:t>
      </w:r>
      <w:r>
        <w:rPr>
          <w:sz w:val="28"/>
          <w:szCs w:val="28"/>
        </w:rPr>
        <w:t>, 148, 107876.</w:t>
      </w:r>
    </w:p>
    <w:p>
      <w:pPr>
        <w:pStyle w:val="style94"/>
        <w:spacing w:lineRule="auto" w:line="480"/>
        <w:ind w:left="720" w:hanging="720"/>
        <w:jc w:val="both"/>
        <w:rPr>
          <w:sz w:val="28"/>
          <w:szCs w:val="28"/>
        </w:rPr>
      </w:pPr>
      <w:r>
        <w:rPr>
          <w:sz w:val="28"/>
          <w:szCs w:val="28"/>
        </w:rPr>
        <w:t xml:space="preserve">Zhang, R., Yang, X., Liang, G., Wang, Y., &amp; </w:t>
      </w:r>
      <w:r>
        <w:rPr>
          <w:sz w:val="28"/>
          <w:szCs w:val="28"/>
        </w:rPr>
        <w:t>Shen</w:t>
      </w:r>
      <w:r>
        <w:rPr>
          <w:sz w:val="28"/>
          <w:szCs w:val="28"/>
        </w:rPr>
        <w:t>, Q. (2021).</w:t>
      </w:r>
      <w:r>
        <w:rPr>
          <w:sz w:val="28"/>
          <w:szCs w:val="28"/>
        </w:rPr>
        <w:t xml:space="preserve"> Conservation agriculture promotes beneficial soil fungi in field conditions. </w:t>
      </w:r>
      <w:r>
        <w:rPr>
          <w:rStyle w:val="style88"/>
          <w:sz w:val="28"/>
          <w:szCs w:val="28"/>
        </w:rPr>
        <w:t>Agronomy for Sustainable Development</w:t>
      </w:r>
      <w:r>
        <w:rPr>
          <w:sz w:val="28"/>
          <w:szCs w:val="28"/>
        </w:rPr>
        <w:t>, 41, 56.</w:t>
      </w:r>
    </w:p>
    <w:p>
      <w:pPr>
        <w:pStyle w:val="style94"/>
        <w:spacing w:lineRule="auto" w:line="480"/>
        <w:ind w:left="720" w:hanging="720"/>
        <w:jc w:val="both"/>
        <w:rPr>
          <w:sz w:val="28"/>
          <w:szCs w:val="28"/>
        </w:rPr>
      </w:pPr>
      <w:r>
        <w:rPr>
          <w:sz w:val="28"/>
          <w:szCs w:val="28"/>
        </w:rPr>
        <w:t>Zhou, M., Yu, Z., Chen, H., Liu, J., &amp; Zhang, Y. (2021).</w:t>
      </w:r>
      <w:r>
        <w:rPr>
          <w:sz w:val="28"/>
          <w:szCs w:val="28"/>
        </w:rPr>
        <w:t xml:space="preserve"> Beneficial soil fungi and their application in agriculture: An overview. </w:t>
      </w:r>
      <w:r>
        <w:rPr>
          <w:rStyle w:val="style88"/>
          <w:sz w:val="28"/>
          <w:szCs w:val="28"/>
        </w:rPr>
        <w:t>Microorganisms</w:t>
      </w:r>
      <w:r>
        <w:rPr>
          <w:sz w:val="28"/>
          <w:szCs w:val="28"/>
        </w:rPr>
        <w:t>, 9(9), 2002.</w:t>
      </w:r>
    </w:p>
    <w:p>
      <w:pPr>
        <w:pStyle w:val="style94"/>
        <w:spacing w:lineRule="auto" w:line="480"/>
        <w:ind w:left="720" w:hanging="720"/>
        <w:jc w:val="both"/>
        <w:rPr>
          <w:sz w:val="28"/>
          <w:szCs w:val="28"/>
        </w:rPr>
      </w:pPr>
      <w:r>
        <w:rPr>
          <w:sz w:val="28"/>
          <w:szCs w:val="28"/>
        </w:rPr>
        <w:t>Zhou, Y., Yang, L., Zhang, Q., Wang, Z., &amp; Liu, H. (2022).</w:t>
      </w:r>
      <w:r>
        <w:rPr>
          <w:sz w:val="28"/>
          <w:szCs w:val="28"/>
        </w:rPr>
        <w:t xml:space="preserve"> Bioactive metabolites from soil fungi: Exploration and applications. </w:t>
      </w:r>
      <w:r>
        <w:rPr>
          <w:rStyle w:val="style88"/>
          <w:sz w:val="28"/>
          <w:szCs w:val="28"/>
        </w:rPr>
        <w:t>Critical Reviews in Biotechnology</w:t>
      </w:r>
      <w:r>
        <w:rPr>
          <w:sz w:val="28"/>
          <w:szCs w:val="28"/>
        </w:rPr>
        <w:t>, 42(3), 350–367.</w:t>
      </w:r>
    </w:p>
    <w:p>
      <w:pPr>
        <w:pStyle w:val="style94"/>
        <w:spacing w:lineRule="auto" w:line="480"/>
        <w:jc w:val="both"/>
        <w:rPr>
          <w:sz w:val="28"/>
          <w:szCs w:val="28"/>
        </w:rPr>
      </w:pPr>
    </w:p>
    <w:p>
      <w:pPr>
        <w:pStyle w:val="style0"/>
        <w:spacing w:lineRule="auto" w:line="480"/>
        <w:jc w:val="both"/>
        <w:rPr>
          <w:rFonts w:ascii="Times New Roman" w:cs="Times New Roman" w:hAnsi="Times New Roman"/>
          <w:sz w:val="28"/>
          <w:szCs w:val="28"/>
        </w:rPr>
      </w:pPr>
    </w:p>
    <w:p>
      <w:pPr>
        <w:pStyle w:val="style0"/>
        <w:rPr/>
      </w:pPr>
    </w:p>
    <w:p>
      <w:pPr>
        <w:pStyle w:val="style0"/>
        <w:rPr/>
      </w:pPr>
    </w:p>
    <w:sectPr>
      <w:pgSz w:w="12240" w:h="15840" w:orient="portrait"/>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Arial">
    <w:altName w:val="Arial"/>
    <w:panose1 w:val="020b0604020000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DFC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C36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style>
  <w:style w:type="paragraph" w:styleId="style1">
    <w:name w:val="heading 1"/>
    <w:basedOn w:val="style0"/>
    <w:next w:val="style0"/>
    <w:link w:val="style4097"/>
    <w:qFormat/>
    <w:uiPriority w:val="9"/>
    <w:pPr>
      <w:keepNext/>
      <w:keepLines/>
      <w:spacing w:before="240" w:after="0"/>
      <w:outlineLvl w:val="0"/>
    </w:pPr>
    <w:rPr>
      <w:rFonts w:ascii="Cambria" w:cs="宋体" w:eastAsia="宋体" w:hAnsi="Cambria"/>
      <w:color w:val="365f91"/>
      <w:sz w:val="32"/>
      <w:szCs w:val="32"/>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7bf571aa-1043-46e6-bd77-0fa39ea42ded"/>
    <w:basedOn w:val="style65"/>
    <w:next w:val="style4097"/>
    <w:link w:val="style1"/>
    <w:uiPriority w:val="9"/>
    <w:rPr>
      <w:rFonts w:ascii="Cambria" w:cs="宋体" w:eastAsia="宋体" w:hAnsi="Cambria"/>
      <w:color w:val="365f91"/>
      <w:sz w:val="32"/>
      <w:szCs w:val="32"/>
    </w:rPr>
  </w:style>
  <w:style w:type="character" w:customStyle="1" w:styleId="style4098">
    <w:name w:val="Heading 2 Char_3036a54d-da3b-4fe2-b303-eb968ca46450"/>
    <w:basedOn w:val="style65"/>
    <w:next w:val="style4098"/>
    <w:link w:val="style2"/>
    <w:uiPriority w:val="9"/>
    <w:rPr>
      <w:rFonts w:ascii="Times New Roman" w:cs="Times New Roman" w:eastAsia="Times New Roman" w:hAnsi="Times New Roman"/>
      <w:b/>
      <w:bCs/>
      <w:sz w:val="36"/>
      <w:szCs w:val="36"/>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styleId="style87">
    <w:name w:val="Strong"/>
    <w:basedOn w:val="style65"/>
    <w:next w:val="style87"/>
    <w:qFormat/>
    <w:uiPriority w:val="22"/>
    <w:rPr>
      <w:b/>
      <w:bCs/>
    </w:rPr>
  </w:style>
  <w:style w:type="table" w:customStyle="1" w:styleId="style4099">
    <w:name w:val="List Table 6 Colorful"/>
    <w:basedOn w:val="style105"/>
    <w:next w:val="style4099"/>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05c0674d-4236-4500-8263-f1f6fe3bcf75"/>
    <w:basedOn w:val="style65"/>
    <w:next w:val="style4100"/>
    <w:link w:val="style32"/>
    <w:uiPriority w:val="99"/>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101"/>
    <w:uiPriority w:val="99"/>
    <w:pPr>
      <w:spacing w:after="0" w:lineRule="auto" w:line="240"/>
    </w:pPr>
    <w:rPr>
      <w:rFonts w:ascii="Tahoma" w:cs="Tahoma" w:hAnsi="Tahoma"/>
      <w:sz w:val="16"/>
      <w:szCs w:val="16"/>
    </w:rPr>
  </w:style>
  <w:style w:type="character" w:customStyle="1" w:styleId="style4101">
    <w:name w:val="Balloon Text Char"/>
    <w:basedOn w:val="style65"/>
    <w:next w:val="style4101"/>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4049</Words>
  <Pages>32</Pages>
  <Characters>24716</Characters>
  <Application>WPS Office</Application>
  <DocSecurity>0</DocSecurity>
  <Paragraphs>349</Paragraphs>
  <ScaleCrop>false</ScaleCrop>
  <LinksUpToDate>false</LinksUpToDate>
  <CharactersWithSpaces>29250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2025-07-11T00:13:00Z</dcterms:created>
  <dc:creator>User</dc:creator>
  <lastModifiedBy>TECNO KE5</lastModifiedBy>
  <dcterms:modified xsi:type="dcterms:W3CDTF">2025-07-11T19:48:14Z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87136235926045b69a74808ae43acaa4</vt:lpwstr>
  </property>
</Properties>
</file>