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3E754" w14:textId="77777777" w:rsidR="00C13181" w:rsidRPr="008039B9" w:rsidRDefault="00C13181" w:rsidP="00C13181">
      <w:pPr>
        <w:ind w:left="0" w:firstLine="0"/>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098C520A" wp14:editId="6733F29E">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5D81304F" w14:textId="416B8100" w:rsidR="005575AC" w:rsidRDefault="005575AC" w:rsidP="008039B9">
      <w:pPr>
        <w:spacing w:before="240"/>
        <w:ind w:right="4"/>
        <w:jc w:val="center"/>
        <w:rPr>
          <w:rFonts w:ascii="Times New Roman" w:hAnsi="Times New Roman" w:cs="Times New Roman"/>
          <w:b/>
          <w:bCs/>
          <w:sz w:val="28"/>
          <w:szCs w:val="28"/>
        </w:rPr>
      </w:pPr>
      <w:r w:rsidRPr="005575AC">
        <w:rPr>
          <w:rFonts w:ascii="Times New Roman" w:hAnsi="Times New Roman" w:cs="Times New Roman"/>
          <w:b/>
          <w:bCs/>
          <w:sz w:val="28"/>
          <w:szCs w:val="28"/>
        </w:rPr>
        <w:t>AGBOOLA ABOSEDE COMFORT</w:t>
      </w:r>
    </w:p>
    <w:p w14:paraId="7E85BCDE" w14:textId="7FDAB799" w:rsidR="00E24023" w:rsidRPr="008039B9" w:rsidRDefault="005575A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HND/23/SLT/FT/0206</w:t>
      </w: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23DB4AC" w14:textId="77777777" w:rsidR="00C13181" w:rsidRPr="008039B9" w:rsidRDefault="00C13181" w:rsidP="008039B9">
      <w:pPr>
        <w:spacing w:before="240"/>
        <w:ind w:right="27"/>
        <w:jc w:val="center"/>
        <w:rPr>
          <w:rFonts w:ascii="Times New Roman" w:hAnsi="Times New Roman" w:cs="Times New Roman"/>
          <w:b/>
          <w:bCs/>
          <w:sz w:val="28"/>
          <w:szCs w:val="28"/>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4BE10801" w:rsidR="00F13B6B" w:rsidRDefault="00C13181" w:rsidP="00020032">
      <w:pPr>
        <w:spacing w:line="480" w:lineRule="auto"/>
        <w:ind w:right="27" w:firstLine="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E54B57">
        <w:rPr>
          <w:rFonts w:ascii="Times New Roman" w:hAnsi="Times New Roman" w:cs="Times New Roman"/>
          <w:szCs w:val="28"/>
        </w:rPr>
        <w:t>AGBOOLA ABOSED</w:t>
      </w:r>
      <w:r w:rsidR="00B30C58">
        <w:rPr>
          <w:rFonts w:ascii="Times New Roman" w:hAnsi="Times New Roman" w:cs="Times New Roman"/>
          <w:szCs w:val="28"/>
        </w:rPr>
        <w:t>E</w:t>
      </w:r>
      <w:r w:rsidR="00E54B57">
        <w:rPr>
          <w:rFonts w:ascii="Times New Roman" w:hAnsi="Times New Roman" w:cs="Times New Roman"/>
          <w:szCs w:val="28"/>
        </w:rPr>
        <w:t xml:space="preserve"> COMFORT</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matric number </w:t>
      </w:r>
      <w:r w:rsidR="00F13B6B">
        <w:rPr>
          <w:rFonts w:ascii="Times New Roman" w:hAnsi="Times New Roman" w:cs="Times New Roman"/>
          <w:szCs w:val="28"/>
        </w:rPr>
        <w:t>HND/23/SLT/FT/</w:t>
      </w:r>
      <w:r w:rsidR="00E54B57">
        <w:rPr>
          <w:rFonts w:ascii="Times New Roman" w:hAnsi="Times New Roman" w:cs="Times New Roman"/>
          <w:szCs w:val="28"/>
        </w:rPr>
        <w:t>020</w:t>
      </w:r>
      <w:r w:rsidR="00531104">
        <w:rPr>
          <w:rFonts w:ascii="Times New Roman" w:hAnsi="Times New Roman" w:cs="Times New Roman"/>
          <w:szCs w:val="28"/>
        </w:rPr>
        <w:t>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w:t>
      </w:r>
      <w:proofErr w:type="spellStart"/>
      <w:r w:rsidR="00F13B6B">
        <w:rPr>
          <w:rFonts w:ascii="Times New Roman" w:hAnsi="Times New Roman" w:cs="Times New Roman"/>
          <w:szCs w:val="28"/>
        </w:rPr>
        <w:t>Kwara</w:t>
      </w:r>
      <w:proofErr w:type="spellEnd"/>
      <w:r w:rsidR="00F13B6B">
        <w:rPr>
          <w:rFonts w:ascii="Times New Roman" w:hAnsi="Times New Roman" w:cs="Times New Roman"/>
          <w:szCs w:val="28"/>
        </w:rPr>
        <w:t xml:space="preserve">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3FE9B203"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8CF3EC8" w14:textId="77777777"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14:paraId="1F093252" w14:textId="77777777" w:rsidR="00312F0C" w:rsidRPr="006F33FC" w:rsidRDefault="00312F0C" w:rsidP="00312F0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 xml:space="preserve">Whatever that has a beginning must surely have an end. I can't but express my </w:t>
      </w:r>
      <w:bookmarkStart w:id="3" w:name="_GoBack"/>
      <w:bookmarkEnd w:id="3"/>
      <w:r w:rsidRPr="006F33FC">
        <w:rPr>
          <w:rFonts w:ascii="Times New Roman" w:hAnsi="Times New Roman" w:cs="Times New Roman"/>
          <w:sz w:val="28"/>
          <w:szCs w:val="28"/>
        </w:rPr>
        <w:t>utmost gratitude to my ever faithful mother who has been my backbone for her unlimited grace, unconditional love and unflinching support and blessing from the beginning of my study in Higher Institution to its completion.</w:t>
      </w:r>
    </w:p>
    <w:p w14:paraId="3EDC24B8" w14:textId="77777777" w:rsidR="00312F0C" w:rsidRPr="006F33FC" w:rsidRDefault="00312F0C" w:rsidP="00312F0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Next to God is my wonderful and ever supporting parents particularly my mother who has never for once get tired of me or give up on me, your love, care, support and prayers brought me this far. I love you so much.</w:t>
      </w:r>
    </w:p>
    <w:p w14:paraId="340E84FC" w14:textId="77777777" w:rsidR="00312F0C" w:rsidRDefault="00312F0C" w:rsidP="00312F0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t xml:space="preserve">Furthermore, I will like to express my sincere gratitude to my wonderful sweetheart (My Supervisor) in person of Mrs. </w:t>
      </w:r>
      <w:proofErr w:type="spellStart"/>
      <w:r w:rsidRPr="006F33FC">
        <w:rPr>
          <w:rFonts w:ascii="Times New Roman" w:hAnsi="Times New Roman" w:cs="Times New Roman"/>
          <w:sz w:val="28"/>
          <w:szCs w:val="28"/>
        </w:rPr>
        <w:t>Dagba</w:t>
      </w:r>
      <w:proofErr w:type="spellEnd"/>
      <w:r w:rsidRPr="006F33FC">
        <w:rPr>
          <w:rFonts w:ascii="Times New Roman" w:hAnsi="Times New Roman" w:cs="Times New Roman"/>
          <w:sz w:val="28"/>
          <w:szCs w:val="28"/>
        </w:rPr>
        <w:t xml:space="preserve"> </w:t>
      </w:r>
      <w:proofErr w:type="spellStart"/>
      <w:r w:rsidRPr="006F33FC">
        <w:rPr>
          <w:rFonts w:ascii="Times New Roman" w:hAnsi="Times New Roman" w:cs="Times New Roman"/>
          <w:sz w:val="28"/>
          <w:szCs w:val="28"/>
        </w:rPr>
        <w:t>idayat</w:t>
      </w:r>
      <w:proofErr w:type="spellEnd"/>
      <w:r w:rsidRPr="006F33FC">
        <w:rPr>
          <w:rFonts w:ascii="Times New Roman" w:hAnsi="Times New Roman" w:cs="Times New Roman"/>
          <w:sz w:val="28"/>
          <w:szCs w:val="28"/>
        </w:rPr>
        <w:t xml:space="preserve"> for her constant correction,</w:t>
      </w:r>
      <w:r>
        <w:rPr>
          <w:rFonts w:ascii="Times New Roman" w:hAnsi="Times New Roman" w:cs="Times New Roman"/>
          <w:sz w:val="28"/>
          <w:szCs w:val="28"/>
        </w:rPr>
        <w:t xml:space="preserve"> </w:t>
      </w:r>
      <w:r w:rsidRPr="006F33FC">
        <w:rPr>
          <w:rFonts w:ascii="Times New Roman" w:hAnsi="Times New Roman" w:cs="Times New Roman"/>
          <w:sz w:val="28"/>
          <w:szCs w:val="28"/>
        </w:rPr>
        <w:t>love and support towards my success in this institution. Thank you so much ma.</w:t>
      </w:r>
    </w:p>
    <w:p w14:paraId="23D51D89" w14:textId="2C107909" w:rsidR="006F33FC" w:rsidRPr="00DE29B1" w:rsidRDefault="006F33FC" w:rsidP="00312F0C">
      <w:pPr>
        <w:spacing w:after="0" w:line="480" w:lineRule="auto"/>
        <w:rPr>
          <w:rFonts w:ascii="Times New Roman" w:hAnsi="Times New Roman" w:cs="Times New Roman"/>
          <w:sz w:val="28"/>
          <w:szCs w:val="28"/>
        </w:rPr>
      </w:pPr>
      <w:r w:rsidRPr="00DE29B1">
        <w:rPr>
          <w:rFonts w:ascii="Times New Roman" w:hAnsi="Times New Roman" w:cs="Times New Roman"/>
          <w:sz w:val="28"/>
          <w:szCs w:val="28"/>
        </w:rPr>
        <w:t xml:space="preserve">Thanks to a friend ,sister from another mother (MUJIDAT)thanks for all and thanks for the bond we shared .Also, I want to appreciate a NEIGHBOR turned BROTHER (RAMADAN ), thanks for everything so far, thanks for never giving up on me and thanks for God that makes us cross </w:t>
      </w:r>
      <w:proofErr w:type="spellStart"/>
      <w:r w:rsidRPr="00DE29B1">
        <w:rPr>
          <w:rFonts w:ascii="Times New Roman" w:hAnsi="Times New Roman" w:cs="Times New Roman"/>
          <w:sz w:val="28"/>
          <w:szCs w:val="28"/>
        </w:rPr>
        <w:t>paths..To</w:t>
      </w:r>
      <w:proofErr w:type="spellEnd"/>
      <w:r w:rsidRPr="00DE29B1">
        <w:rPr>
          <w:rFonts w:ascii="Times New Roman" w:hAnsi="Times New Roman" w:cs="Times New Roman"/>
          <w:sz w:val="28"/>
          <w:szCs w:val="28"/>
        </w:rPr>
        <w:t xml:space="preserve"> my friends, course mate, prayer mate, squad (FEHINTOLA</w:t>
      </w:r>
      <w:proofErr w:type="gramStart"/>
      <w:r w:rsidRPr="00DE29B1">
        <w:rPr>
          <w:rFonts w:ascii="Times New Roman" w:hAnsi="Times New Roman" w:cs="Times New Roman"/>
          <w:sz w:val="28"/>
          <w:szCs w:val="28"/>
        </w:rPr>
        <w:t>,FOLAKEMI</w:t>
      </w:r>
      <w:proofErr w:type="gramEnd"/>
      <w:r w:rsidRPr="00DE29B1">
        <w:rPr>
          <w:rFonts w:ascii="Times New Roman" w:hAnsi="Times New Roman" w:cs="Times New Roman"/>
          <w:sz w:val="28"/>
          <w:szCs w:val="28"/>
        </w:rPr>
        <w:t xml:space="preserve"> VICTORIA KABIRAT MAYOWA TUNMISE ,), you guys made school easier and fun-filled for me. </w:t>
      </w:r>
      <w:proofErr w:type="gramStart"/>
      <w:r w:rsidRPr="00DE29B1">
        <w:rPr>
          <w:rFonts w:ascii="Times New Roman" w:hAnsi="Times New Roman" w:cs="Times New Roman"/>
          <w:sz w:val="28"/>
          <w:szCs w:val="28"/>
        </w:rPr>
        <w:t>thanks</w:t>
      </w:r>
      <w:proofErr w:type="gramEnd"/>
      <w:r w:rsidRPr="00DE29B1">
        <w:rPr>
          <w:rFonts w:ascii="Times New Roman" w:hAnsi="Times New Roman" w:cs="Times New Roman"/>
          <w:sz w:val="28"/>
          <w:szCs w:val="28"/>
        </w:rPr>
        <w:t xml:space="preserve"> for all you do. I love you greatly.</w:t>
      </w:r>
    </w:p>
    <w:p w14:paraId="03C0F262" w14:textId="06EC5622" w:rsidR="008039B9" w:rsidRPr="00DE29B1" w:rsidRDefault="006F33FC" w:rsidP="00DE29B1">
      <w:pPr>
        <w:spacing w:after="0" w:line="480" w:lineRule="auto"/>
        <w:rPr>
          <w:rFonts w:ascii="Times New Roman" w:hAnsi="Times New Roman" w:cs="Times New Roman"/>
          <w:sz w:val="28"/>
          <w:szCs w:val="28"/>
        </w:rPr>
      </w:pPr>
      <w:r w:rsidRPr="00DE29B1">
        <w:rPr>
          <w:rFonts w:ascii="Times New Roman" w:hAnsi="Times New Roman" w:cs="Times New Roman"/>
          <w:sz w:val="28"/>
          <w:szCs w:val="28"/>
        </w:rPr>
        <w:t>Lastly, I want to sincerely appreciate all REEDEM FAMILY for their impact in my</w:t>
      </w:r>
      <w:r w:rsidR="00DE29B1" w:rsidRPr="00DE29B1">
        <w:rPr>
          <w:rFonts w:ascii="Times New Roman" w:hAnsi="Times New Roman" w:cs="Times New Roman"/>
          <w:sz w:val="28"/>
          <w:szCs w:val="28"/>
        </w:rPr>
        <w:t xml:space="preserve"> </w:t>
      </w:r>
      <w:r w:rsidRPr="00DE29B1">
        <w:rPr>
          <w:rFonts w:ascii="Times New Roman" w:hAnsi="Times New Roman" w:cs="Times New Roman"/>
          <w:sz w:val="28"/>
          <w:szCs w:val="28"/>
        </w:rPr>
        <w:t>life in one way or the other. I love you all </w:t>
      </w:r>
    </w:p>
    <w:p w14:paraId="3731CEC5" w14:textId="476594C5" w:rsidR="006F33FC" w:rsidRPr="006F33FC" w:rsidRDefault="006F33FC" w:rsidP="00DE29B1">
      <w:pPr>
        <w:spacing w:after="0" w:line="480" w:lineRule="auto"/>
        <w:rPr>
          <w:rFonts w:ascii="Times New Roman" w:hAnsi="Times New Roman" w:cs="Times New Roman"/>
          <w:sz w:val="28"/>
          <w:szCs w:val="28"/>
        </w:rPr>
      </w:pPr>
    </w:p>
    <w:p w14:paraId="67039384" w14:textId="0CD632A3" w:rsidR="006F33FC" w:rsidRDefault="006F33FC" w:rsidP="006F33FC">
      <w:pPr>
        <w:spacing w:after="0" w:line="480" w:lineRule="auto"/>
        <w:rPr>
          <w:rFonts w:ascii="Times New Roman" w:hAnsi="Times New Roman" w:cs="Times New Roman"/>
          <w:sz w:val="28"/>
          <w:szCs w:val="28"/>
        </w:rPr>
      </w:pPr>
      <w:r w:rsidRPr="006F33FC">
        <w:rPr>
          <w:rFonts w:ascii="Times New Roman" w:hAnsi="Times New Roman" w:cs="Times New Roman"/>
          <w:sz w:val="28"/>
          <w:szCs w:val="28"/>
        </w:rPr>
        <w:lastRenderedPageBreak/>
        <w:t xml:space="preserve">If I don't appreciate the following sets of people, then I'm an ingrate. To My father, and my </w:t>
      </w:r>
      <w:proofErr w:type="gramStart"/>
      <w:r w:rsidRPr="006F33FC">
        <w:rPr>
          <w:rFonts w:ascii="Times New Roman" w:hAnsi="Times New Roman" w:cs="Times New Roman"/>
          <w:sz w:val="28"/>
          <w:szCs w:val="28"/>
        </w:rPr>
        <w:t>sisters(</w:t>
      </w:r>
      <w:proofErr w:type="spellStart"/>
      <w:proofErr w:type="gramEnd"/>
      <w:r w:rsidRPr="006F33FC">
        <w:rPr>
          <w:rFonts w:ascii="Times New Roman" w:hAnsi="Times New Roman" w:cs="Times New Roman"/>
          <w:sz w:val="28"/>
          <w:szCs w:val="28"/>
        </w:rPr>
        <w:t>Mr</w:t>
      </w:r>
      <w:proofErr w:type="spellEnd"/>
      <w:r w:rsidRPr="006F33FC">
        <w:rPr>
          <w:rFonts w:ascii="Times New Roman" w:hAnsi="Times New Roman" w:cs="Times New Roman"/>
          <w:sz w:val="28"/>
          <w:szCs w:val="28"/>
        </w:rPr>
        <w:t xml:space="preserve"> </w:t>
      </w:r>
      <w:proofErr w:type="spellStart"/>
      <w:r w:rsidRPr="006F33FC">
        <w:rPr>
          <w:rFonts w:ascii="Times New Roman" w:hAnsi="Times New Roman" w:cs="Times New Roman"/>
          <w:sz w:val="28"/>
          <w:szCs w:val="28"/>
        </w:rPr>
        <w:t>Agboola,Temitope</w:t>
      </w:r>
      <w:proofErr w:type="spellEnd"/>
      <w:r w:rsidRPr="006F33FC">
        <w:rPr>
          <w:rFonts w:ascii="Times New Roman" w:hAnsi="Times New Roman" w:cs="Times New Roman"/>
          <w:sz w:val="28"/>
          <w:szCs w:val="28"/>
        </w:rPr>
        <w:t xml:space="preserve"> &amp;</w:t>
      </w:r>
      <w:proofErr w:type="spellStart"/>
      <w:r w:rsidRPr="006F33FC">
        <w:rPr>
          <w:rFonts w:ascii="Times New Roman" w:hAnsi="Times New Roman" w:cs="Times New Roman"/>
          <w:sz w:val="28"/>
          <w:szCs w:val="28"/>
        </w:rPr>
        <w:t>adekola,oyedepo</w:t>
      </w:r>
      <w:proofErr w:type="spellEnd"/>
      <w:r w:rsidRPr="006F33FC">
        <w:rPr>
          <w:rFonts w:ascii="Times New Roman" w:hAnsi="Times New Roman" w:cs="Times New Roman"/>
          <w:sz w:val="28"/>
          <w:szCs w:val="28"/>
        </w:rPr>
        <w:t xml:space="preserve"> family and my little </w:t>
      </w:r>
      <w:proofErr w:type="spellStart"/>
      <w:r w:rsidRPr="006F33FC">
        <w:rPr>
          <w:rFonts w:ascii="Times New Roman" w:hAnsi="Times New Roman" w:cs="Times New Roman"/>
          <w:sz w:val="28"/>
          <w:szCs w:val="28"/>
        </w:rPr>
        <w:t>Anuoluwapo</w:t>
      </w:r>
      <w:proofErr w:type="spellEnd"/>
      <w:r w:rsidRPr="006F33FC">
        <w:rPr>
          <w:rFonts w:ascii="Times New Roman" w:hAnsi="Times New Roman" w:cs="Times New Roman"/>
          <w:sz w:val="28"/>
          <w:szCs w:val="28"/>
        </w:rPr>
        <w:t xml:space="preserve">)you are indeed a supporting system. Thanks for </w:t>
      </w:r>
      <w:proofErr w:type="gramStart"/>
      <w:r w:rsidRPr="006F33FC">
        <w:rPr>
          <w:rFonts w:ascii="Times New Roman" w:hAnsi="Times New Roman" w:cs="Times New Roman"/>
          <w:sz w:val="28"/>
          <w:szCs w:val="28"/>
        </w:rPr>
        <w:t>everything,</w:t>
      </w:r>
      <w:proofErr w:type="gramEnd"/>
      <w:r w:rsidRPr="006F33FC">
        <w:rPr>
          <w:rFonts w:ascii="Times New Roman" w:hAnsi="Times New Roman" w:cs="Times New Roman"/>
          <w:sz w:val="28"/>
          <w:szCs w:val="28"/>
        </w:rPr>
        <w:t xml:space="preserve"> I love you to the moon.</w:t>
      </w:r>
    </w:p>
    <w:p w14:paraId="1C1F5313" w14:textId="77777777" w:rsidR="008039B9" w:rsidRDefault="008039B9" w:rsidP="006F33FC">
      <w:pPr>
        <w:spacing w:after="0" w:line="480" w:lineRule="auto"/>
        <w:rPr>
          <w:rFonts w:ascii="Times New Roman" w:hAnsi="Times New Roman" w:cs="Times New Roman"/>
          <w:sz w:val="28"/>
          <w:szCs w:val="28"/>
        </w:rPr>
      </w:pPr>
    </w:p>
    <w:p w14:paraId="78C2BF97" w14:textId="77777777" w:rsidR="008039B9" w:rsidRDefault="008039B9" w:rsidP="008039B9">
      <w:pPr>
        <w:spacing w:after="0" w:line="480" w:lineRule="auto"/>
        <w:rPr>
          <w:rFonts w:ascii="Times New Roman" w:hAnsi="Times New Roman" w:cs="Times New Roman"/>
          <w:sz w:val="28"/>
          <w:szCs w:val="28"/>
        </w:rPr>
      </w:pPr>
    </w:p>
    <w:p w14:paraId="623CECD4" w14:textId="77777777" w:rsidR="008039B9" w:rsidRDefault="008039B9" w:rsidP="008039B9">
      <w:pPr>
        <w:spacing w:after="0" w:line="480" w:lineRule="auto"/>
        <w:rPr>
          <w:rFonts w:ascii="Times New Roman" w:hAnsi="Times New Roman" w:cs="Times New Roman"/>
          <w:sz w:val="28"/>
          <w:szCs w:val="28"/>
        </w:rPr>
      </w:pPr>
    </w:p>
    <w:p w14:paraId="56566D49" w14:textId="77777777" w:rsidR="00976D8A" w:rsidRDefault="00976D8A" w:rsidP="008039B9">
      <w:pPr>
        <w:spacing w:after="0" w:line="480" w:lineRule="auto"/>
        <w:rPr>
          <w:rFonts w:ascii="Times New Roman" w:hAnsi="Times New Roman" w:cs="Times New Roman"/>
          <w:sz w:val="28"/>
          <w:szCs w:val="28"/>
        </w:rPr>
      </w:pPr>
    </w:p>
    <w:p w14:paraId="4CAB756A" w14:textId="2351286F" w:rsidR="005575AC" w:rsidRDefault="005575AC">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7B88F087" w14:textId="77777777" w:rsidR="00976D8A" w:rsidRDefault="00976D8A" w:rsidP="008039B9">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ED1AA8"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ED1AA8"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ED1AA8"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ED1AA8"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ED1AA8"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ED1AA8"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ED1AA8"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w:t>
      </w:r>
      <w:proofErr w:type="gramStart"/>
      <w:r w:rsidRPr="008039B9">
        <w:rPr>
          <w:i/>
        </w:rPr>
        <w:t>ranged</w:t>
      </w:r>
      <w:proofErr w:type="gramEnd"/>
      <w:r w:rsidRPr="008039B9">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t>
      </w:r>
      <w:proofErr w:type="gramStart"/>
      <w:r w:rsidRPr="008039B9">
        <w:rPr>
          <w:i/>
        </w:rPr>
        <w:t>was</w:t>
      </w:r>
      <w:proofErr w:type="gramEnd"/>
      <w:r w:rsidRPr="008039B9">
        <w:rPr>
          <w:i/>
        </w:rPr>
        <w:t xml:space="preserve">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10"/>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4" w:name="_Toc203100987"/>
      <w:r w:rsidRPr="008039B9">
        <w:rPr>
          <w:rFonts w:cs="Times New Roman"/>
        </w:rPr>
        <w:lastRenderedPageBreak/>
        <w:t>CHAPTER ONE</w:t>
      </w:r>
      <w:bookmarkEnd w:id="4"/>
    </w:p>
    <w:p w14:paraId="3D5E0D87" w14:textId="77777777" w:rsidR="00A01035" w:rsidRPr="008039B9" w:rsidRDefault="00A01035" w:rsidP="00E306B7">
      <w:pPr>
        <w:pStyle w:val="Heading1"/>
        <w:jc w:val="center"/>
        <w:rPr>
          <w:rFonts w:cs="Times New Roman"/>
        </w:rPr>
      </w:pPr>
      <w:bookmarkStart w:id="5" w:name="_Toc203100988"/>
      <w:r w:rsidRPr="008039B9">
        <w:rPr>
          <w:rFonts w:cs="Times New Roman"/>
        </w:rPr>
        <w:t>INTRODUCTION</w:t>
      </w:r>
      <w:bookmarkEnd w:id="5"/>
    </w:p>
    <w:p w14:paraId="5C39D992" w14:textId="77777777" w:rsidR="00A01035" w:rsidRPr="008039B9" w:rsidRDefault="00A01035" w:rsidP="00E306B7">
      <w:pPr>
        <w:pStyle w:val="Heading2"/>
        <w:spacing w:line="480" w:lineRule="auto"/>
        <w:rPr>
          <w:rFonts w:cs="Times New Roman"/>
          <w:b w:val="0"/>
        </w:rPr>
      </w:pPr>
      <w:bookmarkStart w:id="6" w:name="_Toc203100989"/>
      <w:r w:rsidRPr="008039B9">
        <w:rPr>
          <w:rFonts w:cs="Times New Roman"/>
        </w:rPr>
        <w:t>1.1</w:t>
      </w:r>
      <w:r w:rsidRPr="008039B9">
        <w:rPr>
          <w:rFonts w:cs="Times New Roman"/>
        </w:rPr>
        <w:tab/>
        <w:t>Background to the Study</w:t>
      </w:r>
      <w:bookmarkEnd w:id="6"/>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7" w:name="_Toc203100990"/>
      <w:r w:rsidRPr="008039B9">
        <w:rPr>
          <w:rFonts w:cs="Times New Roman"/>
        </w:rPr>
        <w:t>1.2</w:t>
      </w:r>
      <w:r w:rsidRPr="008039B9">
        <w:rPr>
          <w:rFonts w:cs="Times New Roman"/>
        </w:rPr>
        <w:tab/>
        <w:t>Statement of Problem</w:t>
      </w:r>
      <w:bookmarkEnd w:id="7"/>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8" w:name="_Toc203100991"/>
      <w:r w:rsidRPr="008039B9">
        <w:rPr>
          <w:rFonts w:cs="Times New Roman"/>
        </w:rPr>
        <w:t>1.3</w:t>
      </w:r>
      <w:r w:rsidRPr="008039B9">
        <w:rPr>
          <w:rFonts w:cs="Times New Roman"/>
        </w:rPr>
        <w:tab/>
        <w:t>Justification of study</w:t>
      </w:r>
      <w:bookmarkEnd w:id="8"/>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9" w:name="_Toc203100992"/>
      <w:r w:rsidRPr="008039B9">
        <w:rPr>
          <w:rFonts w:cs="Times New Roman"/>
        </w:rPr>
        <w:t>1.4</w:t>
      </w:r>
      <w:r w:rsidRPr="008039B9">
        <w:rPr>
          <w:rFonts w:cs="Times New Roman"/>
        </w:rPr>
        <w:tab/>
        <w:t>Aims and Objectives of Study</w:t>
      </w:r>
      <w:bookmarkEnd w:id="9"/>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10" w:name="_Toc203100993"/>
      <w:r w:rsidRPr="008039B9">
        <w:rPr>
          <w:rFonts w:cs="Times New Roman"/>
        </w:rPr>
        <w:lastRenderedPageBreak/>
        <w:t>CHAPTER TWO</w:t>
      </w:r>
      <w:bookmarkEnd w:id="10"/>
    </w:p>
    <w:p w14:paraId="38AEAEB5" w14:textId="77777777" w:rsidR="00E306B7" w:rsidRPr="008039B9" w:rsidRDefault="00E306B7" w:rsidP="00E306B7">
      <w:pPr>
        <w:pStyle w:val="Heading1"/>
        <w:spacing w:line="480" w:lineRule="auto"/>
        <w:jc w:val="center"/>
        <w:rPr>
          <w:rFonts w:cs="Times New Roman"/>
        </w:rPr>
      </w:pPr>
      <w:bookmarkStart w:id="11" w:name="_Toc203100994"/>
      <w:r w:rsidRPr="008039B9">
        <w:rPr>
          <w:rFonts w:cs="Times New Roman"/>
        </w:rPr>
        <w:t>LITERATURE REVIEW</w:t>
      </w:r>
      <w:bookmarkEnd w:id="11"/>
    </w:p>
    <w:p w14:paraId="2071300B" w14:textId="77777777" w:rsidR="00E306B7" w:rsidRPr="008039B9" w:rsidRDefault="00E306B7" w:rsidP="00E306B7">
      <w:pPr>
        <w:pStyle w:val="Heading2"/>
        <w:spacing w:line="480" w:lineRule="auto"/>
        <w:rPr>
          <w:rFonts w:cs="Times New Roman"/>
        </w:rPr>
      </w:pPr>
      <w:bookmarkStart w:id="12" w:name="_Toc203100995"/>
      <w:r w:rsidRPr="008039B9">
        <w:rPr>
          <w:rFonts w:cs="Times New Roman"/>
        </w:rPr>
        <w:t>2.1</w:t>
      </w:r>
      <w:r w:rsidRPr="008039B9">
        <w:rPr>
          <w:rFonts w:cs="Times New Roman"/>
        </w:rPr>
        <w:tab/>
        <w:t>Concept of Water Quality</w:t>
      </w:r>
      <w:bookmarkEnd w:id="12"/>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w:t>
      </w:r>
      <w:r w:rsidRPr="008039B9">
        <w:rPr>
          <w:rFonts w:ascii="Times New Roman" w:hAnsi="Times New Roman" w:cs="Times New Roman"/>
          <w:szCs w:val="24"/>
        </w:rPr>
        <w:lastRenderedPageBreak/>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3" w:name="_Toc203100996"/>
      <w:r w:rsidRPr="008039B9">
        <w:rPr>
          <w:rFonts w:cs="Times New Roman"/>
        </w:rPr>
        <w:t>2.2</w:t>
      </w:r>
      <w:r w:rsidRPr="008039B9">
        <w:rPr>
          <w:rFonts w:cs="Times New Roman"/>
        </w:rPr>
        <w:tab/>
        <w:t>Key indicators of Water Quality</w:t>
      </w:r>
      <w:bookmarkEnd w:id="13"/>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4"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4"/>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proofErr w:type="gramStart"/>
      <w:r w:rsidRPr="008039B9">
        <w:rPr>
          <w:rFonts w:eastAsia="Arial"/>
          <w:color w:val="000000"/>
        </w:rPr>
        <w:t xml:space="preserve">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w:t>
      </w:r>
      <w:r w:rsidRPr="008039B9">
        <w:lastRenderedPageBreak/>
        <w:t>has been paramount to protecting public health.</w:t>
      </w:r>
      <w:proofErr w:type="gramEnd"/>
      <w:r w:rsidRPr="008039B9">
        <w:t xml:space="preserve">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w:t>
      </w:r>
      <w:proofErr w:type="spellStart"/>
      <w:r w:rsidRPr="008039B9">
        <w:rPr>
          <w:i/>
          <w:iCs/>
        </w:rPr>
        <w:t>Hafnia</w:t>
      </w:r>
      <w:proofErr w:type="spellEnd"/>
      <w:r w:rsidRPr="008039B9">
        <w:rPr>
          <w:i/>
          <w:iCs/>
        </w:rPr>
        <w:t xml:space="preserve">,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w:t>
      </w:r>
      <w:proofErr w:type="gramStart"/>
      <w:r w:rsidRPr="008039B9">
        <w:t xml:space="preserve">(McDonald </w:t>
      </w:r>
      <w:r w:rsidRPr="008039B9">
        <w:rPr>
          <w:i/>
        </w:rPr>
        <w:t>et al</w:t>
      </w:r>
      <w:r w:rsidRPr="008039B9">
        <w:t>., 2019).</w:t>
      </w:r>
      <w:proofErr w:type="gramEnd"/>
    </w:p>
    <w:p w14:paraId="2C23565D" w14:textId="77777777" w:rsidR="00E306B7" w:rsidRPr="008039B9" w:rsidRDefault="00E306B7" w:rsidP="00E306B7">
      <w:pPr>
        <w:pStyle w:val="Heading3"/>
        <w:spacing w:line="480" w:lineRule="auto"/>
        <w:rPr>
          <w:rFonts w:cs="Times New Roman"/>
        </w:rPr>
      </w:pPr>
      <w:bookmarkStart w:id="15" w:name="_Toc203100998"/>
      <w:r w:rsidRPr="008039B9">
        <w:rPr>
          <w:rFonts w:cs="Times New Roman"/>
        </w:rPr>
        <w:t>2.2.2</w:t>
      </w:r>
      <w:r w:rsidRPr="008039B9">
        <w:rPr>
          <w:rFonts w:cs="Times New Roman"/>
        </w:rPr>
        <w:tab/>
        <w:t>Physical indicators of Water Quality</w:t>
      </w:r>
      <w:bookmarkEnd w:id="15"/>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6" w:name="_Toc203100999"/>
      <w:r w:rsidRPr="008039B9">
        <w:rPr>
          <w:rFonts w:cs="Times New Roman"/>
        </w:rPr>
        <w:t>2.2.3</w:t>
      </w:r>
      <w:r w:rsidRPr="008039B9">
        <w:rPr>
          <w:rFonts w:cs="Times New Roman"/>
        </w:rPr>
        <w:tab/>
        <w:t>Chemical Indicators of Water Quality</w:t>
      </w:r>
      <w:bookmarkEnd w:id="16"/>
    </w:p>
    <w:p w14:paraId="0C344A57" w14:textId="77777777"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14:paraId="4D14AEBE" w14:textId="77777777"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7" w:name="_Toc203101000"/>
      <w:r w:rsidRPr="008039B9">
        <w:rPr>
          <w:rFonts w:cs="Times New Roman"/>
        </w:rPr>
        <w:t>2.3</w:t>
      </w:r>
      <w:r w:rsidRPr="008039B9">
        <w:rPr>
          <w:rFonts w:cs="Times New Roman"/>
        </w:rPr>
        <w:tab/>
        <w:t>Water Quality Standards and Regulations</w:t>
      </w:r>
      <w:bookmarkEnd w:id="17"/>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8" w:name="_Toc203101001"/>
      <w:r w:rsidRPr="008039B9">
        <w:rPr>
          <w:rFonts w:eastAsia="Times New Roman" w:cs="Times New Roman"/>
        </w:rPr>
        <w:t>2.3.1</w:t>
      </w:r>
      <w:r w:rsidRPr="008039B9">
        <w:rPr>
          <w:rFonts w:eastAsia="Times New Roman" w:cs="Times New Roman"/>
        </w:rPr>
        <w:tab/>
        <w:t>Nigerian Standard for Drinking Water Quality (NSDWQ):</w:t>
      </w:r>
      <w:bookmarkEnd w:id="18"/>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w:t>
      </w:r>
      <w:proofErr w:type="gramStart"/>
      <w:r w:rsidRPr="008039B9">
        <w:rPr>
          <w:rFonts w:ascii="Times New Roman" w:eastAsia="Times New Roman" w:hAnsi="Times New Roman" w:cs="Times New Roman"/>
          <w:color w:val="auto"/>
          <w:szCs w:val="24"/>
        </w:rPr>
        <w:t>),</w:t>
      </w:r>
      <w:proofErr w:type="gramEnd"/>
      <w:r w:rsidRPr="008039B9">
        <w:rPr>
          <w:rFonts w:ascii="Times New Roman" w:eastAsia="Times New Roman" w:hAnsi="Times New Roman" w:cs="Times New Roman"/>
          <w:color w:val="auto"/>
          <w:szCs w:val="24"/>
        </w:rPr>
        <w:t xml:space="preserve"> provides permissible limits for various water quality parameters. </w:t>
      </w:r>
      <w:proofErr w:type="gramStart"/>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w:t>
      </w:r>
      <w:proofErr w:type="gramEnd"/>
      <w:r w:rsidRPr="008039B9">
        <w:rPr>
          <w:rFonts w:ascii="Times New Roman" w:hAnsi="Times New Roman" w:cs="Times New Roman"/>
          <w:szCs w:val="24"/>
        </w:rPr>
        <w:t xml:space="preserve">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9"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9"/>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20"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20"/>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1" w:name="_Toc203101004"/>
      <w:r w:rsidRPr="008039B9">
        <w:rPr>
          <w:rFonts w:cs="Times New Roman"/>
        </w:rPr>
        <w:t>2.6.1</w:t>
      </w:r>
      <w:r w:rsidRPr="008039B9">
        <w:rPr>
          <w:rFonts w:cs="Times New Roman"/>
        </w:rPr>
        <w:tab/>
        <w:t>Culture-Based Methods</w:t>
      </w:r>
      <w:bookmarkEnd w:id="21"/>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2" w:name="_Toc203101005"/>
      <w:r w:rsidRPr="008039B9">
        <w:rPr>
          <w:rFonts w:cs="Times New Roman"/>
        </w:rPr>
        <w:t>2.6.2</w:t>
      </w:r>
      <w:r w:rsidRPr="008039B9">
        <w:rPr>
          <w:rFonts w:cs="Times New Roman"/>
        </w:rPr>
        <w:tab/>
        <w:t>Antibacterial Activity Testing</w:t>
      </w:r>
      <w:bookmarkEnd w:id="22"/>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3" w:name="_Toc203101006"/>
      <w:r w:rsidRPr="008039B9">
        <w:rPr>
          <w:rFonts w:cs="Times New Roman"/>
        </w:rPr>
        <w:t>2.6.3</w:t>
      </w:r>
      <w:r w:rsidRPr="008039B9">
        <w:rPr>
          <w:rFonts w:cs="Times New Roman"/>
        </w:rPr>
        <w:tab/>
        <w:t>Molecular Methods</w:t>
      </w:r>
      <w:bookmarkEnd w:id="23"/>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4" w:name="_Toc203101007"/>
      <w:r w:rsidRPr="008039B9">
        <w:rPr>
          <w:rFonts w:eastAsia="Arial" w:cs="Times New Roman"/>
        </w:rPr>
        <w:lastRenderedPageBreak/>
        <w:t>CHAPTER THREE</w:t>
      </w:r>
      <w:bookmarkEnd w:id="24"/>
    </w:p>
    <w:p w14:paraId="08BF3C0E" w14:textId="77777777" w:rsidR="00E306B7" w:rsidRPr="008039B9" w:rsidRDefault="00E306B7" w:rsidP="00E306B7">
      <w:pPr>
        <w:pStyle w:val="Heading1"/>
        <w:spacing w:line="480" w:lineRule="auto"/>
        <w:jc w:val="center"/>
        <w:rPr>
          <w:rFonts w:eastAsia="Arial" w:cs="Times New Roman"/>
        </w:rPr>
      </w:pPr>
      <w:bookmarkStart w:id="25" w:name="_Toc203101008"/>
      <w:r w:rsidRPr="008039B9">
        <w:rPr>
          <w:rFonts w:eastAsia="Arial" w:cs="Times New Roman"/>
        </w:rPr>
        <w:t>MATERIALS AND METHODS</w:t>
      </w:r>
      <w:bookmarkEnd w:id="25"/>
    </w:p>
    <w:p w14:paraId="2B6F9B43" w14:textId="77777777" w:rsidR="00E306B7" w:rsidRPr="008039B9" w:rsidRDefault="00E306B7" w:rsidP="00E306B7">
      <w:pPr>
        <w:pStyle w:val="Heading2"/>
        <w:spacing w:line="480" w:lineRule="auto"/>
        <w:rPr>
          <w:rFonts w:eastAsia="Arial" w:cs="Times New Roman"/>
        </w:rPr>
      </w:pPr>
      <w:bookmarkStart w:id="26" w:name="_Toc203101009"/>
      <w:r w:rsidRPr="008039B9">
        <w:rPr>
          <w:rFonts w:eastAsia="Arial" w:cs="Times New Roman"/>
        </w:rPr>
        <w:t>3.1</w:t>
      </w:r>
      <w:r w:rsidRPr="008039B9">
        <w:rPr>
          <w:rFonts w:eastAsia="Arial" w:cs="Times New Roman"/>
        </w:rPr>
        <w:tab/>
        <w:t>Description of the Sample Site</w:t>
      </w:r>
      <w:bookmarkEnd w:id="26"/>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Kwara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w:t>
      </w:r>
      <w:proofErr w:type="gramStart"/>
      <w:r w:rsidRPr="008039B9">
        <w:t>Kwara</w:t>
      </w:r>
      <w:proofErr w:type="gramEnd"/>
      <w:r w:rsidRPr="008039B9">
        <w:t xml:space="preserve">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7" w:name="_Toc203101010"/>
      <w:r w:rsidRPr="008039B9">
        <w:rPr>
          <w:rFonts w:cs="Times New Roman"/>
        </w:rPr>
        <w:t>3.2</w:t>
      </w:r>
      <w:r w:rsidRPr="008039B9">
        <w:rPr>
          <w:rFonts w:cs="Times New Roman"/>
        </w:rPr>
        <w:tab/>
        <w:t>Sample Collection</w:t>
      </w:r>
      <w:bookmarkEnd w:id="27"/>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8" w:name="_Toc203101011"/>
      <w:r w:rsidRPr="008039B9">
        <w:rPr>
          <w:rFonts w:cs="Times New Roman"/>
        </w:rPr>
        <w:t>3.2.1</w:t>
      </w:r>
      <w:r w:rsidRPr="008039B9">
        <w:rPr>
          <w:rFonts w:cs="Times New Roman"/>
        </w:rPr>
        <w:tab/>
        <w:t>Sampling procedure and Preservation</w:t>
      </w:r>
      <w:bookmarkEnd w:id="28"/>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9" w:name="_Toc203101012"/>
      <w:r w:rsidRPr="008039B9">
        <w:rPr>
          <w:rFonts w:cs="Times New Roman"/>
        </w:rPr>
        <w:t>3.3</w:t>
      </w:r>
      <w:r w:rsidRPr="008039B9">
        <w:rPr>
          <w:rFonts w:cs="Times New Roman"/>
        </w:rPr>
        <w:tab/>
        <w:t>Physicochemical analysis</w:t>
      </w:r>
      <w:bookmarkEnd w:id="29"/>
    </w:p>
    <w:p w14:paraId="4A4D9A06" w14:textId="77777777" w:rsidR="00E306B7" w:rsidRPr="008039B9" w:rsidRDefault="00E306B7" w:rsidP="00E306B7">
      <w:pPr>
        <w:pStyle w:val="Heading3"/>
        <w:spacing w:line="480" w:lineRule="auto"/>
        <w:rPr>
          <w:rFonts w:cs="Times New Roman"/>
        </w:rPr>
      </w:pPr>
      <w:bookmarkStart w:id="30" w:name="_Toc203101013"/>
      <w:r w:rsidRPr="008039B9">
        <w:rPr>
          <w:rFonts w:cs="Times New Roman"/>
        </w:rPr>
        <w:t>3.3.1</w:t>
      </w:r>
      <w:r w:rsidRPr="008039B9">
        <w:rPr>
          <w:rFonts w:cs="Times New Roman"/>
        </w:rPr>
        <w:tab/>
      </w:r>
      <w:proofErr w:type="gramStart"/>
      <w:r w:rsidRPr="008039B9">
        <w:rPr>
          <w:rFonts w:cs="Times New Roman"/>
        </w:rPr>
        <w:t>pH</w:t>
      </w:r>
      <w:bookmarkEnd w:id="30"/>
      <w:proofErr w:type="gramEnd"/>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1" w:name="_Toc203101014"/>
      <w:r w:rsidRPr="008039B9">
        <w:rPr>
          <w:rFonts w:cs="Times New Roman"/>
        </w:rPr>
        <w:t>3.3.2</w:t>
      </w:r>
      <w:r w:rsidRPr="008039B9">
        <w:rPr>
          <w:rFonts w:cs="Times New Roman"/>
        </w:rPr>
        <w:tab/>
        <w:t>Temperature measurement</w:t>
      </w:r>
      <w:bookmarkEnd w:id="31"/>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2" w:name="_Toc203101015"/>
      <w:r w:rsidRPr="008039B9">
        <w:rPr>
          <w:rFonts w:cs="Times New Roman"/>
        </w:rPr>
        <w:t>3.3.3</w:t>
      </w:r>
      <w:r w:rsidRPr="008039B9">
        <w:rPr>
          <w:rFonts w:cs="Times New Roman"/>
        </w:rPr>
        <w:tab/>
        <w:t>Turbidity Measurement</w:t>
      </w:r>
      <w:bookmarkEnd w:id="32"/>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3" w:name="_Toc203101016"/>
      <w:r w:rsidRPr="008039B9">
        <w:rPr>
          <w:rFonts w:eastAsia="Arial" w:cs="Times New Roman"/>
        </w:rPr>
        <w:t>3.3.4</w:t>
      </w:r>
      <w:r w:rsidRPr="008039B9">
        <w:rPr>
          <w:rFonts w:eastAsia="Arial" w:cs="Times New Roman"/>
        </w:rPr>
        <w:tab/>
        <w:t>Electrical Conductivity (EC) Measurement</w:t>
      </w:r>
      <w:bookmarkEnd w:id="33"/>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4"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4"/>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5" w:name="_Toc203101018"/>
      <w:r w:rsidRPr="008039B9">
        <w:rPr>
          <w:rStyle w:val="Strong"/>
          <w:rFonts w:cs="Times New Roman"/>
          <w:b/>
        </w:rPr>
        <w:t>3.3.6</w:t>
      </w:r>
      <w:r w:rsidRPr="008039B9">
        <w:rPr>
          <w:rStyle w:val="Strong"/>
          <w:rFonts w:cs="Times New Roman"/>
          <w:b/>
        </w:rPr>
        <w:tab/>
        <w:t>Dissolved Oxygen (DO)</w:t>
      </w:r>
      <w:bookmarkEnd w:id="35"/>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6" w:name="_Toc203101019"/>
      <w:r w:rsidRPr="008039B9">
        <w:rPr>
          <w:rStyle w:val="Strong"/>
          <w:rFonts w:cs="Times New Roman"/>
          <w:b/>
        </w:rPr>
        <w:t>3.3.7</w:t>
      </w:r>
      <w:r w:rsidRPr="008039B9">
        <w:rPr>
          <w:rStyle w:val="Strong"/>
          <w:rFonts w:cs="Times New Roman"/>
          <w:b/>
        </w:rPr>
        <w:tab/>
        <w:t>Total Hardness</w:t>
      </w:r>
      <w:bookmarkEnd w:id="36"/>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7" w:name="_Toc203101020"/>
      <w:r w:rsidRPr="008039B9">
        <w:rPr>
          <w:rStyle w:val="Strong"/>
          <w:rFonts w:cs="Times New Roman"/>
          <w:b/>
        </w:rPr>
        <w:t>3.4</w:t>
      </w:r>
      <w:r w:rsidRPr="008039B9">
        <w:rPr>
          <w:rStyle w:val="Strong"/>
          <w:rFonts w:cs="Times New Roman"/>
          <w:b/>
        </w:rPr>
        <w:tab/>
        <w:t>Microbial Analysis</w:t>
      </w:r>
      <w:bookmarkEnd w:id="37"/>
    </w:p>
    <w:p w14:paraId="17EBB4EB" w14:textId="77777777" w:rsidR="00E306B7" w:rsidRPr="008039B9" w:rsidRDefault="00E306B7" w:rsidP="00E306B7">
      <w:pPr>
        <w:pStyle w:val="Heading3"/>
        <w:spacing w:line="480" w:lineRule="auto"/>
        <w:rPr>
          <w:rFonts w:cs="Times New Roman"/>
          <w:b w:val="0"/>
        </w:rPr>
      </w:pPr>
      <w:bookmarkStart w:id="38" w:name="_Toc203101021"/>
      <w:r w:rsidRPr="008039B9">
        <w:rPr>
          <w:rStyle w:val="Strong"/>
          <w:rFonts w:cs="Times New Roman"/>
          <w:b/>
        </w:rPr>
        <w:t>3.4.1</w:t>
      </w:r>
      <w:r w:rsidRPr="008039B9">
        <w:rPr>
          <w:rStyle w:val="Strong"/>
          <w:rFonts w:cs="Times New Roman"/>
          <w:b/>
        </w:rPr>
        <w:tab/>
        <w:t>Total Colony Count</w:t>
      </w:r>
      <w:bookmarkEnd w:id="38"/>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9" w:name="_Toc203101022"/>
      <w:r w:rsidRPr="008039B9">
        <w:rPr>
          <w:rStyle w:val="Strong"/>
          <w:rFonts w:cs="Times New Roman"/>
          <w:b/>
        </w:rPr>
        <w:t>3.4.2</w:t>
      </w:r>
      <w:r w:rsidRPr="008039B9">
        <w:rPr>
          <w:rStyle w:val="Strong"/>
          <w:rFonts w:cs="Times New Roman"/>
          <w:b/>
        </w:rPr>
        <w:tab/>
        <w:t>Total Fungal Count</w:t>
      </w:r>
      <w:bookmarkEnd w:id="39"/>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w:t>
      </w:r>
      <w:r w:rsidRPr="008039B9">
        <w:lastRenderedPageBreak/>
        <w:t>25°C 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40" w:name="_Toc203101023"/>
      <w:r w:rsidRPr="008039B9">
        <w:rPr>
          <w:rStyle w:val="Strong"/>
          <w:rFonts w:cs="Times New Roman"/>
          <w:b/>
          <w:bCs w:val="0"/>
        </w:rPr>
        <w:t>3.4.3</w:t>
      </w:r>
      <w:r w:rsidRPr="008039B9">
        <w:rPr>
          <w:rStyle w:val="Strong"/>
          <w:rFonts w:cs="Times New Roman"/>
          <w:b/>
          <w:bCs w:val="0"/>
        </w:rPr>
        <w:tab/>
        <w:t>Total Viable Count</w:t>
      </w:r>
      <w:bookmarkEnd w:id="40"/>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1"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1"/>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2" w:name="_Toc203101025"/>
      <w:r w:rsidRPr="008039B9">
        <w:rPr>
          <w:rFonts w:cs="Times New Roman"/>
        </w:rPr>
        <w:t>3.5</w:t>
      </w:r>
      <w:r w:rsidRPr="008039B9">
        <w:rPr>
          <w:rFonts w:cs="Times New Roman"/>
        </w:rPr>
        <w:tab/>
        <w:t>Morphological and Microscopic Identification</w:t>
      </w:r>
      <w:bookmarkEnd w:id="42"/>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3" w:name="_Toc203101026"/>
      <w:r w:rsidRPr="008039B9">
        <w:rPr>
          <w:rFonts w:eastAsia="Arial" w:cs="Times New Roman"/>
        </w:rPr>
        <w:t>3.5.1</w:t>
      </w:r>
      <w:r w:rsidRPr="008039B9">
        <w:rPr>
          <w:rFonts w:eastAsia="Arial" w:cs="Times New Roman"/>
        </w:rPr>
        <w:tab/>
        <w:t>Biochemical Testing</w:t>
      </w:r>
      <w:bookmarkEnd w:id="43"/>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and  Indole</w:t>
      </w:r>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sidRPr="008039B9">
        <w:rPr>
          <w:rFonts w:ascii="Times New Roman" w:hAnsi="Times New Roman" w:cs="Times New Roman"/>
        </w:rPr>
        <w:lastRenderedPageBreak/>
        <w:t xml:space="preserve">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w:t>
      </w:r>
      <w:proofErr w:type="gramStart"/>
      <w:r w:rsidRPr="008039B9">
        <w:t>,</w:t>
      </w:r>
      <w:proofErr w:type="gramEnd"/>
      <w:r w:rsidRPr="008039B9">
        <w:t xml:space="preserve">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w:t>
      </w:r>
      <w:proofErr w:type="gramStart"/>
      <w:r w:rsidRPr="008039B9">
        <w:t>,</w:t>
      </w:r>
      <w:proofErr w:type="gramEnd"/>
      <w:r w:rsidRPr="008039B9">
        <w:t xml:space="preserve">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4"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4"/>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w:t>
      </w:r>
      <w:r w:rsidRPr="008039B9">
        <w:lastRenderedPageBreak/>
        <w:t xml:space="preserve">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5" w:name="_Toc203101028"/>
      <w:r w:rsidRPr="008039B9">
        <w:rPr>
          <w:rFonts w:eastAsia="Times New Roman" w:cs="Times New Roman"/>
        </w:rPr>
        <w:t>3.5.3</w:t>
      </w:r>
      <w:r w:rsidRPr="008039B9">
        <w:rPr>
          <w:rFonts w:eastAsia="Times New Roman" w:cs="Times New Roman"/>
        </w:rPr>
        <w:tab/>
        <w:t>Endospore Test</w:t>
      </w:r>
      <w:bookmarkEnd w:id="45"/>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6" w:name="_Toc203101029"/>
      <w:r w:rsidRPr="008039B9">
        <w:rPr>
          <w:rFonts w:cs="Times New Roman"/>
        </w:rPr>
        <w:t>3.6</w:t>
      </w:r>
      <w:r w:rsidRPr="008039B9">
        <w:rPr>
          <w:rFonts w:cs="Times New Roman"/>
        </w:rPr>
        <w:tab/>
        <w:t>Data Analysis</w:t>
      </w:r>
      <w:bookmarkEnd w:id="46"/>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7" w:name="_Toc203101030"/>
      <w:r w:rsidRPr="008039B9">
        <w:rPr>
          <w:rFonts w:cs="Times New Roman"/>
        </w:rPr>
        <w:t>CHAPTER FOUR</w:t>
      </w:r>
      <w:bookmarkEnd w:id="47"/>
    </w:p>
    <w:p w14:paraId="7E38119A" w14:textId="77777777" w:rsidR="00E306B7" w:rsidRPr="008039B9" w:rsidRDefault="00E306B7" w:rsidP="00E306B7">
      <w:pPr>
        <w:pStyle w:val="Heading1"/>
        <w:spacing w:line="480" w:lineRule="auto"/>
        <w:jc w:val="center"/>
        <w:rPr>
          <w:rFonts w:cs="Times New Roman"/>
          <w:sz w:val="28"/>
          <w:szCs w:val="28"/>
        </w:rPr>
      </w:pPr>
      <w:bookmarkStart w:id="48" w:name="_Toc203101031"/>
      <w:r w:rsidRPr="008039B9">
        <w:rPr>
          <w:rFonts w:cs="Times New Roman"/>
        </w:rPr>
        <w:t>4.0</w:t>
      </w:r>
      <w:r w:rsidRPr="008039B9">
        <w:rPr>
          <w:rFonts w:cs="Times New Roman"/>
        </w:rPr>
        <w:tab/>
        <w:t>RESULTS</w:t>
      </w:r>
      <w:bookmarkEnd w:id="48"/>
    </w:p>
    <w:p w14:paraId="48082E57" w14:textId="77777777" w:rsidR="00E306B7" w:rsidRPr="008039B9" w:rsidRDefault="00E306B7" w:rsidP="00E306B7">
      <w:pPr>
        <w:pStyle w:val="Heading2"/>
        <w:spacing w:line="480" w:lineRule="auto"/>
        <w:rPr>
          <w:rFonts w:cs="Times New Roman"/>
        </w:rPr>
      </w:pPr>
      <w:bookmarkStart w:id="49"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9"/>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w:t>
      </w:r>
      <w:proofErr w:type="gramStart"/>
      <w:r w:rsidRPr="008039B9">
        <w:t>2.55 µS/cm in OW</w:t>
      </w:r>
      <w:proofErr w:type="gramEnd"/>
      <w:r w:rsidRPr="008039B9">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50" w:name="_Toc203101033"/>
      <w:r w:rsidRPr="008039B9">
        <w:rPr>
          <w:rFonts w:cs="Times New Roman"/>
        </w:rPr>
        <w:lastRenderedPageBreak/>
        <w:t>4.1</w:t>
      </w:r>
      <w:r w:rsidRPr="008039B9">
        <w:rPr>
          <w:rFonts w:cs="Times New Roman"/>
        </w:rPr>
        <w:tab/>
        <w:t>Physicochemical Parameters of Water Samples</w:t>
      </w:r>
      <w:bookmarkEnd w:id="50"/>
    </w:p>
    <w:tbl>
      <w:tblPr>
        <w:tblStyle w:val="ListTable6Colorful"/>
        <w:tblW w:w="0" w:type="auto"/>
        <w:shd w:val="clear" w:color="auto" w:fill="FFFFFF" w:themeFill="background1"/>
        <w:tblLook w:val="04A0" w:firstRow="1" w:lastRow="0" w:firstColumn="1" w:lastColumn="0" w:noHBand="0" w:noVBand="1"/>
      </w:tblPr>
      <w:tblGrid>
        <w:gridCol w:w="1875"/>
        <w:gridCol w:w="1137"/>
        <w:gridCol w:w="1137"/>
        <w:gridCol w:w="1137"/>
        <w:gridCol w:w="1128"/>
        <w:gridCol w:w="1130"/>
        <w:gridCol w:w="1698"/>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1" w:name="_Toc203101034"/>
      <w:r w:rsidRPr="008039B9">
        <w:rPr>
          <w:rFonts w:eastAsia="Times New Roman" w:cs="Times New Roman"/>
        </w:rPr>
        <w:lastRenderedPageBreak/>
        <w:t>4.2</w:t>
      </w:r>
      <w:r w:rsidRPr="008039B9">
        <w:rPr>
          <w:rFonts w:eastAsia="Times New Roman" w:cs="Times New Roman"/>
        </w:rPr>
        <w:tab/>
        <w:t>Microbiological Analysis</w:t>
      </w:r>
      <w:bookmarkEnd w:id="51"/>
    </w:p>
    <w:p w14:paraId="200865CB" w14:textId="77777777" w:rsidR="00E306B7" w:rsidRPr="008039B9" w:rsidRDefault="00E306B7" w:rsidP="00E306B7">
      <w:pPr>
        <w:pStyle w:val="Heading3"/>
        <w:rPr>
          <w:rFonts w:eastAsia="Times New Roman" w:cs="Times New Roman"/>
        </w:rPr>
      </w:pPr>
      <w:bookmarkStart w:id="52" w:name="_Toc203101035"/>
      <w:r w:rsidRPr="008039B9">
        <w:rPr>
          <w:rFonts w:eastAsia="Times New Roman" w:cs="Times New Roman"/>
        </w:rPr>
        <w:t>4.2.1</w:t>
      </w:r>
      <w:r w:rsidRPr="008039B9">
        <w:rPr>
          <w:rFonts w:eastAsia="Times New Roman" w:cs="Times New Roman"/>
        </w:rPr>
        <w:tab/>
        <w:t>Microbial Counts</w:t>
      </w:r>
      <w:bookmarkEnd w:id="52"/>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511"/>
        <w:gridCol w:w="1326"/>
        <w:gridCol w:w="1326"/>
        <w:gridCol w:w="1326"/>
        <w:gridCol w:w="1326"/>
        <w:gridCol w:w="1427"/>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3" w:name="_Toc203101036"/>
      <w:r w:rsidRPr="008039B9">
        <w:rPr>
          <w:rFonts w:cs="Times New Roman"/>
        </w:rPr>
        <w:t>4.2.2</w:t>
      </w:r>
      <w:r w:rsidRPr="008039B9">
        <w:rPr>
          <w:rFonts w:cs="Times New Roman"/>
        </w:rPr>
        <w:tab/>
        <w:t>Morphological and Microscopic Characteristics of Bacterial Isolates</w:t>
      </w:r>
      <w:bookmarkEnd w:id="53"/>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77"/>
        <w:gridCol w:w="1234"/>
        <w:gridCol w:w="1201"/>
        <w:gridCol w:w="1662"/>
        <w:gridCol w:w="1326"/>
        <w:gridCol w:w="991"/>
        <w:gridCol w:w="1751"/>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4"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4"/>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w:t>
      </w:r>
      <w:proofErr w:type="spellStart"/>
      <w:r w:rsidRPr="008039B9">
        <w:t>mould</w:t>
      </w:r>
      <w:proofErr w:type="spellEnd"/>
      <w:r w:rsidRPr="008039B9">
        <w:t xml:space="preserve">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31"/>
        <w:gridCol w:w="1337"/>
        <w:gridCol w:w="1008"/>
        <w:gridCol w:w="962"/>
        <w:gridCol w:w="1208"/>
        <w:gridCol w:w="1185"/>
        <w:gridCol w:w="1162"/>
        <w:gridCol w:w="154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5" w:name="_Hlk202873152"/>
            <w:r w:rsidRPr="008039B9">
              <w:rPr>
                <w:rFonts w:ascii="Times New Roman" w:eastAsia="Times New Roman" w:hAnsi="Times New Roman" w:cs="Times New Roman"/>
                <w:b w:val="0"/>
                <w:bCs w:val="0"/>
                <w:color w:val="auto"/>
                <w:szCs w:val="24"/>
              </w:rPr>
              <w:t>B1O</w:t>
            </w:r>
            <w:bookmarkEnd w:id="55"/>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6" w:name="_Toc203101038"/>
      <w:r w:rsidRPr="008039B9">
        <w:rPr>
          <w:rFonts w:eastAsia="Times New Roman" w:cs="Times New Roman"/>
        </w:rPr>
        <w:lastRenderedPageBreak/>
        <w:t>CHAPTER FIVE</w:t>
      </w:r>
      <w:bookmarkEnd w:id="56"/>
    </w:p>
    <w:p w14:paraId="747F812C" w14:textId="77777777" w:rsidR="00E306B7" w:rsidRPr="008039B9" w:rsidRDefault="00E306B7" w:rsidP="00E306B7">
      <w:pPr>
        <w:pStyle w:val="Heading1"/>
        <w:spacing w:line="480" w:lineRule="auto"/>
        <w:jc w:val="center"/>
        <w:rPr>
          <w:rFonts w:eastAsia="Times New Roman" w:cs="Times New Roman"/>
        </w:rPr>
      </w:pPr>
      <w:bookmarkStart w:id="57" w:name="_Toc203101039"/>
      <w:r w:rsidRPr="008039B9">
        <w:rPr>
          <w:rFonts w:eastAsia="Times New Roman" w:cs="Times New Roman"/>
        </w:rPr>
        <w:t>DISCUSSION, CONCLUSION AND RECOMMEDATION</w:t>
      </w:r>
      <w:bookmarkEnd w:id="57"/>
    </w:p>
    <w:p w14:paraId="5A8B5A49" w14:textId="77777777" w:rsidR="00E306B7" w:rsidRPr="008039B9" w:rsidRDefault="00E306B7" w:rsidP="00E306B7">
      <w:pPr>
        <w:pStyle w:val="Heading2"/>
        <w:spacing w:line="480" w:lineRule="auto"/>
        <w:rPr>
          <w:rFonts w:eastAsia="Times New Roman" w:cs="Times New Roman"/>
        </w:rPr>
      </w:pPr>
      <w:bookmarkStart w:id="58" w:name="_Toc203101040"/>
      <w:r w:rsidRPr="008039B9">
        <w:rPr>
          <w:rFonts w:eastAsia="Times New Roman" w:cs="Times New Roman"/>
        </w:rPr>
        <w:t>5.1     Discussion</w:t>
      </w:r>
      <w:bookmarkEnd w:id="58"/>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No Escherichia coli </w:t>
      </w:r>
      <w:proofErr w:type="gramStart"/>
      <w:r w:rsidRPr="008039B9">
        <w:rPr>
          <w:rFonts w:ascii="Times New Roman" w:eastAsia="Times New Roman" w:hAnsi="Times New Roman" w:cs="Times New Roman"/>
          <w:bCs/>
          <w:color w:val="auto"/>
          <w:szCs w:val="24"/>
        </w:rPr>
        <w:t>was</w:t>
      </w:r>
      <w:proofErr w:type="gramEnd"/>
      <w:r w:rsidRPr="008039B9">
        <w:rPr>
          <w:rFonts w:ascii="Times New Roman" w:eastAsia="Times New Roman" w:hAnsi="Times New Roman" w:cs="Times New Roman"/>
          <w:bCs/>
          <w:color w:val="auto"/>
          <w:szCs w:val="24"/>
        </w:rPr>
        <w:t xml:space="preserve">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9" w:name="_Toc203101041"/>
      <w:r w:rsidRPr="008039B9">
        <w:rPr>
          <w:rFonts w:eastAsia="Times New Roman" w:cs="Times New Roman"/>
        </w:rPr>
        <w:t>5.2    Conclusion</w:t>
      </w:r>
      <w:bookmarkEnd w:id="59"/>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60" w:name="_Toc203101042"/>
      <w:r w:rsidRPr="008039B9">
        <w:rPr>
          <w:rFonts w:eastAsia="Times New Roman" w:cs="Times New Roman"/>
        </w:rPr>
        <w:t>5.3    Recommendations</w:t>
      </w:r>
      <w:bookmarkEnd w:id="60"/>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0D578386" w14:textId="77777777" w:rsidR="00E306B7" w:rsidRPr="008039B9" w:rsidRDefault="00E306B7" w:rsidP="00E306B7">
      <w:pPr>
        <w:pStyle w:val="Heading1"/>
        <w:rPr>
          <w:rFonts w:cs="Times New Roman"/>
        </w:rPr>
      </w:pPr>
      <w:bookmarkStart w:id="61" w:name="_Toc203101043"/>
      <w:r w:rsidRPr="008039B9">
        <w:rPr>
          <w:rFonts w:cs="Times New Roman"/>
        </w:rPr>
        <w:lastRenderedPageBreak/>
        <w:t>REFERENCES</w:t>
      </w:r>
      <w:bookmarkEnd w:id="61"/>
    </w:p>
    <w:p w14:paraId="715D57BC" w14:textId="77777777" w:rsidR="00E306B7" w:rsidRPr="008039B9" w:rsidRDefault="00E306B7" w:rsidP="00E306B7">
      <w:pPr>
        <w:pStyle w:val="whitespace-normal"/>
        <w:jc w:val="both"/>
      </w:pPr>
      <w:proofErr w:type="gramStart"/>
      <w:r w:rsidRPr="008039B9">
        <w:t xml:space="preserve">Abdel-Rahman, M. A., </w:t>
      </w:r>
      <w:proofErr w:type="spellStart"/>
      <w:r w:rsidRPr="008039B9">
        <w:t>Youssif</w:t>
      </w:r>
      <w:proofErr w:type="spellEnd"/>
      <w:r w:rsidRPr="008039B9">
        <w:t xml:space="preserve">, S. H., &amp; </w:t>
      </w:r>
      <w:proofErr w:type="spellStart"/>
      <w:r w:rsidRPr="008039B9">
        <w:t>Ebaid</w:t>
      </w:r>
      <w:proofErr w:type="spellEnd"/>
      <w:r w:rsidRPr="008039B9">
        <w:t>, M. H. (2018).</w:t>
      </w:r>
      <w:proofErr w:type="gramEnd"/>
      <w:r w:rsidRPr="008039B9">
        <w:t xml:space="preserve"> Antibacterial activity of water samples: An investigation into the inhibition of bacterial growth using broth dilution method. </w:t>
      </w:r>
      <w:r w:rsidRPr="008039B9">
        <w:rPr>
          <w:rStyle w:val="Emphasis"/>
          <w:rFonts w:eastAsia="Calibri"/>
        </w:rPr>
        <w:t>Environmental Science &amp; Technology</w:t>
      </w:r>
      <w:r w:rsidRPr="008039B9">
        <w:t xml:space="preserve">, </w:t>
      </w:r>
      <w:r w:rsidRPr="008039B9">
        <w:rPr>
          <w:rStyle w:val="Emphasis"/>
          <w:rFonts w:eastAsia="Calibri"/>
        </w:rPr>
        <w:t>52</w:t>
      </w:r>
      <w:r w:rsidRPr="008039B9">
        <w:t>(14), 8432-8438.</w:t>
      </w:r>
    </w:p>
    <w:p w14:paraId="24FBC002" w14:textId="77777777" w:rsidR="00E306B7" w:rsidRPr="008039B9" w:rsidRDefault="00E306B7" w:rsidP="00E306B7">
      <w:pPr>
        <w:pStyle w:val="whitespace-normal"/>
        <w:jc w:val="both"/>
      </w:pPr>
      <w:proofErr w:type="spellStart"/>
      <w:proofErr w:type="gramStart"/>
      <w:r w:rsidRPr="008039B9">
        <w:t>Aborisade</w:t>
      </w:r>
      <w:proofErr w:type="spellEnd"/>
      <w:r w:rsidRPr="008039B9">
        <w:t xml:space="preserve">, W. T., </w:t>
      </w:r>
      <w:proofErr w:type="spellStart"/>
      <w:r w:rsidRPr="008039B9">
        <w:t>Ajao</w:t>
      </w:r>
      <w:proofErr w:type="spellEnd"/>
      <w:r w:rsidRPr="008039B9">
        <w:t xml:space="preserve">, A. T., &amp; </w:t>
      </w:r>
      <w:proofErr w:type="spellStart"/>
      <w:r w:rsidRPr="008039B9">
        <w:t>Sadiq</w:t>
      </w:r>
      <w:proofErr w:type="spellEnd"/>
      <w:r w:rsidRPr="008039B9">
        <w:t>, A. I. (2023).</w:t>
      </w:r>
      <w:proofErr w:type="gramEnd"/>
      <w:r w:rsidRPr="008039B9">
        <w:t xml:space="preserve"> </w:t>
      </w:r>
      <w:proofErr w:type="gramStart"/>
      <w:r w:rsidRPr="008039B9">
        <w:t>Assessment of surface water quality using phytoplankton as base-line indicator organisms in Ilorin, Kwara State, Nigeria.</w:t>
      </w:r>
      <w:proofErr w:type="gramEnd"/>
      <w:r w:rsidRPr="008039B9">
        <w:t xml:space="preserve"> </w:t>
      </w:r>
      <w:r w:rsidRPr="008039B9">
        <w:rPr>
          <w:rStyle w:val="Emphasis"/>
          <w:rFonts w:eastAsia="Calibri"/>
        </w:rPr>
        <w:t>Environmental Research Journal</w:t>
      </w:r>
      <w:r w:rsidRPr="008039B9">
        <w:t xml:space="preserve">, </w:t>
      </w:r>
      <w:r w:rsidRPr="008039B9">
        <w:rPr>
          <w:rStyle w:val="Emphasis"/>
          <w:rFonts w:eastAsia="Calibri"/>
        </w:rPr>
        <w:t>20</w:t>
      </w:r>
      <w:r w:rsidRPr="008039B9">
        <w:t>(1), 45–58.</w:t>
      </w:r>
    </w:p>
    <w:p w14:paraId="6901D82D" w14:textId="77777777" w:rsidR="00E306B7" w:rsidRPr="008039B9" w:rsidRDefault="00E306B7" w:rsidP="00E306B7">
      <w:pPr>
        <w:pStyle w:val="whitespace-normal"/>
        <w:jc w:val="both"/>
      </w:pPr>
      <w:proofErr w:type="gramStart"/>
      <w:r w:rsidRPr="008039B9">
        <w:t xml:space="preserve">Adams, M., </w:t>
      </w:r>
      <w:proofErr w:type="spellStart"/>
      <w:r w:rsidRPr="008039B9">
        <w:t>Wysocki</w:t>
      </w:r>
      <w:proofErr w:type="spellEnd"/>
      <w:r w:rsidRPr="008039B9">
        <w:t>, K., &amp; Barker, C. (2019).</w:t>
      </w:r>
      <w:proofErr w:type="gramEnd"/>
      <w:r w:rsidRPr="008039B9">
        <w:t xml:space="preserve"> </w:t>
      </w:r>
      <w:proofErr w:type="gramStart"/>
      <w:r w:rsidRPr="008039B9">
        <w:t>Evaluation of antibacterial activity of different water samples using the Kirby-Bauer disc diffusion method.</w:t>
      </w:r>
      <w:proofErr w:type="gramEnd"/>
      <w:r w:rsidRPr="008039B9">
        <w:t xml:space="preserve"> </w:t>
      </w:r>
      <w:r w:rsidRPr="008039B9">
        <w:rPr>
          <w:rStyle w:val="Emphasis"/>
          <w:rFonts w:eastAsia="Calibri"/>
        </w:rPr>
        <w:t>Journal of Water and Health</w:t>
      </w:r>
      <w:r w:rsidRPr="008039B9">
        <w:t xml:space="preserve">, </w:t>
      </w:r>
      <w:r w:rsidRPr="008039B9">
        <w:rPr>
          <w:rStyle w:val="Emphasis"/>
          <w:rFonts w:eastAsia="Calibri"/>
        </w:rPr>
        <w:t>17</w:t>
      </w:r>
      <w:r w:rsidRPr="008039B9">
        <w:t>(5), 709-715.</w:t>
      </w:r>
    </w:p>
    <w:p w14:paraId="06CF332F" w14:textId="77777777" w:rsidR="00E306B7" w:rsidRPr="008039B9" w:rsidRDefault="00E306B7" w:rsidP="00E306B7">
      <w:pPr>
        <w:pStyle w:val="whitespace-normal"/>
        <w:jc w:val="both"/>
      </w:pPr>
      <w:proofErr w:type="spellStart"/>
      <w:proofErr w:type="gramStart"/>
      <w:r w:rsidRPr="008039B9">
        <w:t>Adegoke</w:t>
      </w:r>
      <w:proofErr w:type="spellEnd"/>
      <w:r w:rsidRPr="008039B9">
        <w:t xml:space="preserve">, O. A., </w:t>
      </w:r>
      <w:proofErr w:type="spellStart"/>
      <w:r w:rsidRPr="008039B9">
        <w:t>Oluduro</w:t>
      </w:r>
      <w:proofErr w:type="spellEnd"/>
      <w:r w:rsidRPr="008039B9">
        <w:t xml:space="preserve">, A. O., &amp; </w:t>
      </w:r>
      <w:proofErr w:type="spellStart"/>
      <w:r w:rsidRPr="008039B9">
        <w:t>Amoo</w:t>
      </w:r>
      <w:proofErr w:type="spellEnd"/>
      <w:r w:rsidRPr="008039B9">
        <w:t>, A. O. (2022).</w:t>
      </w:r>
      <w:proofErr w:type="gramEnd"/>
      <w:r w:rsidRPr="008039B9">
        <w:t xml:space="preserve"> Quality assessment of sachet water in Nigeria: An urgent public health concern.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 xml:space="preserve">(3), 85–92. </w:t>
      </w:r>
      <w:hyperlink r:id="rId11" w:history="1">
        <w:r w:rsidRPr="008039B9">
          <w:rPr>
            <w:rStyle w:val="Hyperlink"/>
          </w:rPr>
          <w:t>https://doi.org/10.5897/AJEST2022.3059</w:t>
        </w:r>
      </w:hyperlink>
    </w:p>
    <w:p w14:paraId="55EB36B7" w14:textId="77777777" w:rsidR="00E306B7" w:rsidRPr="008039B9" w:rsidRDefault="00E306B7" w:rsidP="00E306B7">
      <w:pPr>
        <w:pStyle w:val="whitespace-normal"/>
        <w:jc w:val="both"/>
      </w:pPr>
      <w:proofErr w:type="spellStart"/>
      <w:proofErr w:type="gramStart"/>
      <w:r w:rsidRPr="008039B9">
        <w:t>Adekunle</w:t>
      </w:r>
      <w:proofErr w:type="spellEnd"/>
      <w:r w:rsidRPr="008039B9">
        <w:t xml:space="preserve">, A. S., </w:t>
      </w:r>
      <w:proofErr w:type="spellStart"/>
      <w:r w:rsidRPr="008039B9">
        <w:t>Akinyele</w:t>
      </w:r>
      <w:proofErr w:type="spellEnd"/>
      <w:r w:rsidRPr="008039B9">
        <w:t xml:space="preserve">, B. J., &amp; </w:t>
      </w:r>
      <w:proofErr w:type="spellStart"/>
      <w:r w:rsidRPr="008039B9">
        <w:t>Adegoke</w:t>
      </w:r>
      <w:proofErr w:type="spellEnd"/>
      <w:r w:rsidRPr="008039B9">
        <w:t>, G. O. (2021).</w:t>
      </w:r>
      <w:proofErr w:type="gramEnd"/>
      <w:r w:rsidRPr="008039B9">
        <w:t xml:space="preserve"> </w:t>
      </w:r>
      <w:proofErr w:type="gramStart"/>
      <w:r w:rsidRPr="008039B9">
        <w:t>Physicochemical and bacteriological assessment of drinking water from different sources in a developing urban area.</w:t>
      </w:r>
      <w:proofErr w:type="gramEnd"/>
      <w:r w:rsidRPr="008039B9">
        <w:t xml:space="preserve"> </w:t>
      </w:r>
      <w:r w:rsidRPr="008039B9">
        <w:rPr>
          <w:rStyle w:val="Emphasis"/>
          <w:rFonts w:eastAsia="Calibri"/>
        </w:rPr>
        <w:t>Journal of Environmental Science and Health</w:t>
      </w:r>
      <w:r w:rsidRPr="008039B9">
        <w:t xml:space="preserve">, </w:t>
      </w:r>
      <w:r w:rsidRPr="008039B9">
        <w:rPr>
          <w:rStyle w:val="Emphasis"/>
          <w:rFonts w:eastAsia="Calibri"/>
        </w:rPr>
        <w:t>56</w:t>
      </w:r>
      <w:r w:rsidRPr="008039B9">
        <w:t xml:space="preserve">(9), 1023–1032. </w:t>
      </w:r>
      <w:hyperlink r:id="rId12" w:history="1">
        <w:r w:rsidRPr="008039B9">
          <w:rPr>
            <w:rStyle w:val="Hyperlink"/>
          </w:rPr>
          <w:t>https://doi.org/10.1080/10934529.2021.1882113</w:t>
        </w:r>
      </w:hyperlink>
    </w:p>
    <w:p w14:paraId="3B9EDD80" w14:textId="77777777" w:rsidR="00E306B7" w:rsidRPr="008039B9" w:rsidRDefault="00E306B7" w:rsidP="00E306B7">
      <w:pPr>
        <w:pStyle w:val="whitespace-normal"/>
        <w:jc w:val="both"/>
      </w:pPr>
      <w:proofErr w:type="spellStart"/>
      <w:proofErr w:type="gramStart"/>
      <w:r w:rsidRPr="008039B9">
        <w:t>Adekunle</w:t>
      </w:r>
      <w:proofErr w:type="spellEnd"/>
      <w:r w:rsidRPr="008039B9">
        <w:t xml:space="preserve">, I. M., Dada, S. O., &amp; </w:t>
      </w:r>
      <w:proofErr w:type="spellStart"/>
      <w:r w:rsidRPr="008039B9">
        <w:t>Omole</w:t>
      </w:r>
      <w:proofErr w:type="spellEnd"/>
      <w:r w:rsidRPr="008039B9">
        <w:t>, D. O. (2019).</w:t>
      </w:r>
      <w:proofErr w:type="gramEnd"/>
      <w:r w:rsidRPr="008039B9">
        <w:t xml:space="preserve"> Microbiological quality of sachet water brands in Lagos, Nigeria. </w:t>
      </w:r>
      <w:r w:rsidRPr="008039B9">
        <w:rPr>
          <w:rStyle w:val="Emphasis"/>
          <w:rFonts w:eastAsia="Calibri"/>
        </w:rPr>
        <w:t>International Journal of Environmental Science and Technology</w:t>
      </w:r>
      <w:r w:rsidRPr="008039B9">
        <w:t xml:space="preserve">, </w:t>
      </w:r>
      <w:r w:rsidRPr="008039B9">
        <w:rPr>
          <w:rStyle w:val="Emphasis"/>
          <w:rFonts w:eastAsia="Calibri"/>
        </w:rPr>
        <w:t>16</w:t>
      </w:r>
      <w:r w:rsidRPr="008039B9">
        <w:t>(3), 157-164.</w:t>
      </w:r>
    </w:p>
    <w:p w14:paraId="58A45B3A" w14:textId="77777777" w:rsidR="00E306B7" w:rsidRPr="008039B9" w:rsidRDefault="00E306B7" w:rsidP="00E306B7">
      <w:pPr>
        <w:pStyle w:val="whitespace-normal"/>
        <w:jc w:val="both"/>
      </w:pPr>
      <w:proofErr w:type="spellStart"/>
      <w:proofErr w:type="gramStart"/>
      <w:r w:rsidRPr="008039B9">
        <w:t>Adelakun</w:t>
      </w:r>
      <w:proofErr w:type="spellEnd"/>
      <w:r w:rsidRPr="008039B9">
        <w:t xml:space="preserve">, O., </w:t>
      </w:r>
      <w:proofErr w:type="spellStart"/>
      <w:r w:rsidRPr="008039B9">
        <w:t>Ayodeji</w:t>
      </w:r>
      <w:proofErr w:type="spellEnd"/>
      <w:r w:rsidRPr="008039B9">
        <w:t>, S., &amp; Musa, A. (2021).</w:t>
      </w:r>
      <w:proofErr w:type="gramEnd"/>
      <w:r w:rsidRPr="008039B9">
        <w:t xml:space="preserve"> </w:t>
      </w:r>
      <w:proofErr w:type="gramStart"/>
      <w:r w:rsidRPr="008039B9">
        <w:t>Economic implications of waterborne diseases in rural Nigeria.</w:t>
      </w:r>
      <w:proofErr w:type="gramEnd"/>
      <w:r w:rsidRPr="008039B9">
        <w:t xml:space="preserve"> </w:t>
      </w:r>
      <w:r w:rsidRPr="008039B9">
        <w:rPr>
          <w:rStyle w:val="Emphasis"/>
          <w:rFonts w:eastAsia="Calibri"/>
        </w:rPr>
        <w:t>Journal of Public Health and Epidemiology</w:t>
      </w:r>
      <w:r w:rsidRPr="008039B9">
        <w:t xml:space="preserve">, </w:t>
      </w:r>
      <w:r w:rsidRPr="008039B9">
        <w:rPr>
          <w:rStyle w:val="Emphasis"/>
          <w:rFonts w:eastAsia="Calibri"/>
        </w:rPr>
        <w:t>13</w:t>
      </w:r>
      <w:r w:rsidRPr="008039B9">
        <w:t>(7), 125–132.</w:t>
      </w:r>
    </w:p>
    <w:p w14:paraId="344CB735" w14:textId="77777777" w:rsidR="00E306B7" w:rsidRPr="008039B9" w:rsidRDefault="00E306B7" w:rsidP="00E306B7">
      <w:pPr>
        <w:pStyle w:val="whitespace-normal"/>
        <w:jc w:val="both"/>
      </w:pPr>
      <w:proofErr w:type="spellStart"/>
      <w:proofErr w:type="gramStart"/>
      <w:r w:rsidRPr="008039B9">
        <w:t>Adeniran</w:t>
      </w:r>
      <w:proofErr w:type="spellEnd"/>
      <w:r w:rsidRPr="008039B9">
        <w:t xml:space="preserve">, A., </w:t>
      </w:r>
      <w:proofErr w:type="spellStart"/>
      <w:r w:rsidRPr="008039B9">
        <w:t>Daniell</w:t>
      </w:r>
      <w:proofErr w:type="spellEnd"/>
      <w:r w:rsidRPr="008039B9">
        <w:t xml:space="preserve">, K. A., &amp; </w:t>
      </w:r>
      <w:proofErr w:type="spellStart"/>
      <w:r w:rsidRPr="008039B9">
        <w:t>Pittock</w:t>
      </w:r>
      <w:proofErr w:type="spellEnd"/>
      <w:r w:rsidRPr="008039B9">
        <w:t>, J. (2021).</w:t>
      </w:r>
      <w:proofErr w:type="gramEnd"/>
      <w:r w:rsidRPr="008039B9">
        <w:t xml:space="preserve"> Water infrastructure development in Nigeria: Trend, size, and purpose. </w:t>
      </w:r>
      <w:proofErr w:type="gramStart"/>
      <w:r w:rsidRPr="008039B9">
        <w:rPr>
          <w:rStyle w:val="Emphasis"/>
          <w:rFonts w:eastAsia="Calibri"/>
        </w:rPr>
        <w:t>Water</w:t>
      </w:r>
      <w:r w:rsidRPr="008039B9">
        <w:t xml:space="preserve">, </w:t>
      </w:r>
      <w:r w:rsidRPr="008039B9">
        <w:rPr>
          <w:rStyle w:val="Emphasis"/>
          <w:rFonts w:eastAsia="Calibri"/>
        </w:rPr>
        <w:t>13</w:t>
      </w:r>
      <w:r w:rsidRPr="008039B9">
        <w:t>(17), 2416.</w:t>
      </w:r>
      <w:proofErr w:type="gramEnd"/>
      <w:r w:rsidRPr="008039B9">
        <w:t xml:space="preserve"> </w:t>
      </w:r>
      <w:hyperlink r:id="rId13" w:history="1">
        <w:r w:rsidRPr="008039B9">
          <w:rPr>
            <w:rStyle w:val="Hyperlink"/>
          </w:rPr>
          <w:t>https://doi.org/10.3390/w13172416</w:t>
        </w:r>
      </w:hyperlink>
    </w:p>
    <w:p w14:paraId="7E1D3EBF" w14:textId="77777777" w:rsidR="00E306B7" w:rsidRPr="008039B9" w:rsidRDefault="00E306B7" w:rsidP="00E306B7">
      <w:pPr>
        <w:pStyle w:val="whitespace-normal"/>
        <w:jc w:val="both"/>
      </w:pPr>
      <w:proofErr w:type="spellStart"/>
      <w:proofErr w:type="gramStart"/>
      <w:r w:rsidRPr="008039B9">
        <w:t>Adewuyi</w:t>
      </w:r>
      <w:proofErr w:type="spellEnd"/>
      <w:r w:rsidRPr="008039B9">
        <w:t xml:space="preserve">, O. E., Adebayo, I. A., &amp; </w:t>
      </w:r>
      <w:proofErr w:type="spellStart"/>
      <w:r w:rsidRPr="008039B9">
        <w:t>Ogunleye</w:t>
      </w:r>
      <w:proofErr w:type="spellEnd"/>
      <w:r w:rsidRPr="008039B9">
        <w:t>, O. O. (2022).</w:t>
      </w:r>
      <w:proofErr w:type="gramEnd"/>
      <w:r w:rsidRPr="008039B9">
        <w:t xml:space="preserve"> Assessment of water quality in selected rural communities in Southwestern Nigeria.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(3), 145–155.</w:t>
      </w:r>
    </w:p>
    <w:p w14:paraId="42FD2511" w14:textId="77777777" w:rsidR="00E306B7" w:rsidRPr="008039B9" w:rsidRDefault="00E306B7" w:rsidP="00E306B7">
      <w:pPr>
        <w:pStyle w:val="whitespace-normal"/>
        <w:jc w:val="both"/>
      </w:pPr>
      <w:r w:rsidRPr="008039B9">
        <w:t xml:space="preserve">Ahmed, T., </w:t>
      </w:r>
      <w:proofErr w:type="spellStart"/>
      <w:r w:rsidRPr="008039B9">
        <w:t>Acharjee</w:t>
      </w:r>
      <w:proofErr w:type="spellEnd"/>
      <w:r w:rsidRPr="008039B9">
        <w:t xml:space="preserve">, M., Rahman, M. S., </w:t>
      </w:r>
      <w:proofErr w:type="spellStart"/>
      <w:r w:rsidRPr="008039B9">
        <w:t>Meghla</w:t>
      </w:r>
      <w:proofErr w:type="spellEnd"/>
      <w:r w:rsidRPr="008039B9">
        <w:t xml:space="preserve">, M. N., Jamal, J., </w:t>
      </w:r>
      <w:proofErr w:type="spellStart"/>
      <w:r w:rsidRPr="008039B9">
        <w:t>Munshi</w:t>
      </w:r>
      <w:proofErr w:type="spellEnd"/>
      <w:r w:rsidRPr="008039B9">
        <w:t xml:space="preserve">, S. K., &amp; Noor, R. (2013). Microbiological study of drinking water: Qualitative and quantitative approach. </w:t>
      </w:r>
      <w:proofErr w:type="gramStart"/>
      <w:r w:rsidRPr="008039B9">
        <w:rPr>
          <w:rStyle w:val="Emphasis"/>
          <w:rFonts w:eastAsia="Calibri"/>
        </w:rPr>
        <w:t>Stamford University Bangladesh Journal of Microbiology</w:t>
      </w:r>
      <w:r w:rsidRPr="008039B9">
        <w:t>.</w:t>
      </w:r>
      <w:proofErr w:type="gramEnd"/>
    </w:p>
    <w:p w14:paraId="0483C470" w14:textId="77777777" w:rsidR="00E306B7" w:rsidRPr="008039B9" w:rsidRDefault="00E306B7" w:rsidP="00E306B7">
      <w:pPr>
        <w:pStyle w:val="whitespace-normal"/>
        <w:jc w:val="both"/>
      </w:pPr>
      <w:proofErr w:type="spellStart"/>
      <w:r w:rsidRPr="008039B9">
        <w:t>Aiyedun</w:t>
      </w:r>
      <w:proofErr w:type="spellEnd"/>
      <w:r w:rsidRPr="008039B9">
        <w:t xml:space="preserve">, J. O., </w:t>
      </w:r>
      <w:proofErr w:type="spellStart"/>
      <w:r w:rsidRPr="008039B9">
        <w:t>Aina</w:t>
      </w:r>
      <w:proofErr w:type="spellEnd"/>
      <w:r w:rsidRPr="008039B9">
        <w:t xml:space="preserve">, O. O., </w:t>
      </w:r>
      <w:proofErr w:type="spellStart"/>
      <w:r w:rsidRPr="008039B9">
        <w:t>Oludairo</w:t>
      </w:r>
      <w:proofErr w:type="spellEnd"/>
      <w:r w:rsidRPr="008039B9">
        <w:t xml:space="preserve">, O. O., &amp; </w:t>
      </w:r>
      <w:proofErr w:type="spellStart"/>
      <w:r w:rsidRPr="008039B9">
        <w:t>Akanbi</w:t>
      </w:r>
      <w:proofErr w:type="spellEnd"/>
      <w:r w:rsidRPr="008039B9">
        <w:t xml:space="preserve">, O. B. (2022). Bacteriological analysis of water used in abattoirs within Ilorin metropolis, Kwara State, Nigeria. </w:t>
      </w:r>
      <w:proofErr w:type="gramStart"/>
      <w:r w:rsidRPr="008039B9">
        <w:rPr>
          <w:rStyle w:val="Emphasis"/>
          <w:rFonts w:eastAsia="Calibri"/>
        </w:rPr>
        <w:t>Nigerian Journal of Pure and Applied Sciences</w:t>
      </w:r>
      <w:r w:rsidRPr="008039B9">
        <w:t>, 4300–4309.</w:t>
      </w:r>
      <w:proofErr w:type="gramEnd"/>
      <w:r w:rsidRPr="008039B9">
        <w:t xml:space="preserve"> </w:t>
      </w:r>
      <w:hyperlink r:id="rId14" w:history="1">
        <w:r w:rsidRPr="008039B9">
          <w:rPr>
            <w:rStyle w:val="Hyperlink"/>
          </w:rPr>
          <w:t>https://doi.org/10.48198/njpas/22.a09</w:t>
        </w:r>
      </w:hyperlink>
    </w:p>
    <w:p w14:paraId="4E13A632" w14:textId="77777777" w:rsidR="00E306B7" w:rsidRPr="008039B9" w:rsidRDefault="00E306B7" w:rsidP="00E306B7">
      <w:pPr>
        <w:pStyle w:val="whitespace-normal"/>
        <w:jc w:val="both"/>
      </w:pPr>
      <w:proofErr w:type="spellStart"/>
      <w:r w:rsidRPr="008039B9">
        <w:t>Ajisegiri</w:t>
      </w:r>
      <w:proofErr w:type="spellEnd"/>
      <w:r w:rsidRPr="008039B9">
        <w:t xml:space="preserve">, B., Andrés, L. A., Bhatt, S., </w:t>
      </w:r>
      <w:proofErr w:type="spellStart"/>
      <w:r w:rsidRPr="008039B9">
        <w:t>Dasgupta</w:t>
      </w:r>
      <w:proofErr w:type="spellEnd"/>
      <w:r w:rsidRPr="008039B9">
        <w:t xml:space="preserve">, B., </w:t>
      </w:r>
      <w:proofErr w:type="spellStart"/>
      <w:r w:rsidRPr="008039B9">
        <w:t>Echenique</w:t>
      </w:r>
      <w:proofErr w:type="spellEnd"/>
      <w:r w:rsidRPr="008039B9">
        <w:t xml:space="preserve">, J. A., </w:t>
      </w:r>
      <w:proofErr w:type="spellStart"/>
      <w:r w:rsidRPr="008039B9">
        <w:t>Gething</w:t>
      </w:r>
      <w:proofErr w:type="spellEnd"/>
      <w:r w:rsidRPr="008039B9">
        <w:t>, P. W</w:t>
      </w:r>
      <w:proofErr w:type="gramStart"/>
      <w:r w:rsidRPr="008039B9">
        <w:t>., …</w:t>
      </w:r>
      <w:proofErr w:type="gramEnd"/>
      <w:r w:rsidRPr="008039B9">
        <w:t xml:space="preserve"> Joseph, G. (2019). </w:t>
      </w:r>
      <w:proofErr w:type="gramStart"/>
      <w:r w:rsidRPr="008039B9">
        <w:t>Geo-spatial modeling of access to water and sanitation in Nigeria.</w:t>
      </w:r>
      <w:proofErr w:type="gramEnd"/>
      <w:r w:rsidRPr="008039B9">
        <w:t xml:space="preserve"> </w:t>
      </w:r>
      <w:r w:rsidRPr="008039B9">
        <w:rPr>
          <w:rStyle w:val="Emphasis"/>
          <w:rFonts w:eastAsia="Calibri"/>
        </w:rPr>
        <w:t>Journal of Water, Sanitation and Hygiene for Development</w:t>
      </w:r>
      <w:r w:rsidRPr="008039B9">
        <w:t xml:space="preserve">, </w:t>
      </w:r>
      <w:r w:rsidRPr="008039B9">
        <w:rPr>
          <w:rStyle w:val="Emphasis"/>
          <w:rFonts w:eastAsia="Calibri"/>
        </w:rPr>
        <w:t>9</w:t>
      </w:r>
      <w:r w:rsidRPr="008039B9">
        <w:t xml:space="preserve">(2), 258–280. </w:t>
      </w:r>
      <w:hyperlink r:id="rId15" w:history="1">
        <w:r w:rsidRPr="008039B9">
          <w:rPr>
            <w:rStyle w:val="Hyperlink"/>
          </w:rPr>
          <w:t>https://doi.org/10.2166/washdev.2019.089</w:t>
        </w:r>
      </w:hyperlink>
    </w:p>
    <w:p w14:paraId="62DBBE21" w14:textId="77777777" w:rsidR="00E306B7" w:rsidRPr="008039B9" w:rsidRDefault="00E306B7" w:rsidP="00E306B7">
      <w:pPr>
        <w:pStyle w:val="whitespace-normal"/>
        <w:jc w:val="both"/>
      </w:pPr>
      <w:proofErr w:type="spellStart"/>
      <w:proofErr w:type="gramStart"/>
      <w:r w:rsidRPr="008039B9">
        <w:lastRenderedPageBreak/>
        <w:t>Akinbile</w:t>
      </w:r>
      <w:proofErr w:type="spellEnd"/>
      <w:r w:rsidRPr="008039B9">
        <w:t xml:space="preserve">, C. O., &amp; </w:t>
      </w:r>
      <w:proofErr w:type="spellStart"/>
      <w:r w:rsidRPr="008039B9">
        <w:t>Ojo</w:t>
      </w:r>
      <w:proofErr w:type="spellEnd"/>
      <w:r w:rsidRPr="008039B9">
        <w:t>, O. T. (2020).</w:t>
      </w:r>
      <w:proofErr w:type="gramEnd"/>
      <w:r w:rsidRPr="008039B9">
        <w:t xml:space="preserve"> </w:t>
      </w:r>
      <w:proofErr w:type="gramStart"/>
      <w:r w:rsidRPr="008039B9">
        <w:t>Water quality assessment of sachet water in Lagos, Nigeria.</w:t>
      </w:r>
      <w:proofErr w:type="gramEnd"/>
      <w:r w:rsidRPr="008039B9">
        <w:t xml:space="preserve"> </w:t>
      </w:r>
      <w:r w:rsidRPr="008039B9">
        <w:rPr>
          <w:rStyle w:val="Emphasis"/>
          <w:rFonts w:eastAsia="Calibri"/>
        </w:rPr>
        <w:t>African Journal of Environmental Science and Technology</w:t>
      </w:r>
      <w:r w:rsidRPr="008039B9">
        <w:t xml:space="preserve">, </w:t>
      </w:r>
      <w:r w:rsidRPr="008039B9">
        <w:rPr>
          <w:rStyle w:val="Emphasis"/>
          <w:rFonts w:eastAsia="Calibri"/>
        </w:rPr>
        <w:t>14</w:t>
      </w:r>
      <w:r w:rsidRPr="008039B9">
        <w:t>(6), 225-232.</w:t>
      </w:r>
    </w:p>
    <w:p w14:paraId="2319DC65" w14:textId="77777777" w:rsidR="00E306B7" w:rsidRPr="008039B9" w:rsidRDefault="00E306B7" w:rsidP="00E306B7">
      <w:pPr>
        <w:pStyle w:val="whitespace-normal"/>
        <w:jc w:val="both"/>
      </w:pPr>
      <w:proofErr w:type="spellStart"/>
      <w:proofErr w:type="gramStart"/>
      <w:r w:rsidRPr="008039B9">
        <w:t>Akinbile</w:t>
      </w:r>
      <w:proofErr w:type="spellEnd"/>
      <w:r w:rsidRPr="008039B9">
        <w:t xml:space="preserve">, C. O., </w:t>
      </w:r>
      <w:proofErr w:type="spellStart"/>
      <w:r w:rsidRPr="008039B9">
        <w:t>Oladele</w:t>
      </w:r>
      <w:proofErr w:type="spellEnd"/>
      <w:r w:rsidRPr="008039B9">
        <w:t xml:space="preserve">, M. S., &amp; </w:t>
      </w:r>
      <w:proofErr w:type="spellStart"/>
      <w:r w:rsidRPr="008039B9">
        <w:t>Adedayo</w:t>
      </w:r>
      <w:proofErr w:type="spellEnd"/>
      <w:r w:rsidRPr="008039B9">
        <w:t>, T. (2022).</w:t>
      </w:r>
      <w:proofErr w:type="gramEnd"/>
      <w:r w:rsidRPr="008039B9">
        <w:t xml:space="preserve"> Microbiological assessment of domestic water sources in Nigeria. </w:t>
      </w:r>
      <w:r w:rsidRPr="008039B9">
        <w:rPr>
          <w:rStyle w:val="Emphasis"/>
          <w:rFonts w:eastAsia="Calibri"/>
        </w:rPr>
        <w:t>Journal of Water and Health</w:t>
      </w:r>
      <w:r w:rsidRPr="008039B9">
        <w:t xml:space="preserve">, </w:t>
      </w:r>
      <w:r w:rsidRPr="008039B9">
        <w:rPr>
          <w:rStyle w:val="Emphasis"/>
          <w:rFonts w:eastAsia="Calibri"/>
        </w:rPr>
        <w:t>20</w:t>
      </w:r>
      <w:r w:rsidRPr="008039B9">
        <w:t>(1), 89–99.</w:t>
      </w:r>
    </w:p>
    <w:p w14:paraId="3228D174" w14:textId="77777777" w:rsidR="00E306B7" w:rsidRPr="008039B9" w:rsidRDefault="00E306B7" w:rsidP="00E306B7">
      <w:pPr>
        <w:pStyle w:val="whitespace-normal"/>
        <w:jc w:val="both"/>
      </w:pPr>
      <w:proofErr w:type="spellStart"/>
      <w:r w:rsidRPr="008039B9">
        <w:t>AlZaydi</w:t>
      </w:r>
      <w:proofErr w:type="spellEnd"/>
      <w:r w:rsidRPr="008039B9">
        <w:t xml:space="preserve">, K. M., </w:t>
      </w:r>
      <w:proofErr w:type="spellStart"/>
      <w:r w:rsidRPr="008039B9">
        <w:t>Pétrier</w:t>
      </w:r>
      <w:proofErr w:type="spellEnd"/>
      <w:r w:rsidRPr="008039B9">
        <w:t xml:space="preserve">, C., </w:t>
      </w:r>
      <w:proofErr w:type="spellStart"/>
      <w:r w:rsidRPr="008039B9">
        <w:t>Mousally</w:t>
      </w:r>
      <w:proofErr w:type="spellEnd"/>
      <w:r w:rsidRPr="008039B9">
        <w:t xml:space="preserve">, S. M., Arab, S. T., &amp; </w:t>
      </w:r>
      <w:proofErr w:type="spellStart"/>
      <w:r w:rsidRPr="008039B9">
        <w:t>Refat</w:t>
      </w:r>
      <w:proofErr w:type="spellEnd"/>
      <w:r w:rsidRPr="008039B9">
        <w:t xml:space="preserve">, M. S. (2019). </w:t>
      </w:r>
      <w:proofErr w:type="spellStart"/>
      <w:proofErr w:type="gramStart"/>
      <w:r w:rsidRPr="008039B9">
        <w:t>Sonochemical</w:t>
      </w:r>
      <w:proofErr w:type="spellEnd"/>
      <w:r w:rsidRPr="008039B9">
        <w:t xml:space="preserve"> degradation of </w:t>
      </w:r>
      <w:proofErr w:type="spellStart"/>
      <w:r w:rsidRPr="008039B9">
        <w:t>benzothiophene</w:t>
      </w:r>
      <w:proofErr w:type="spellEnd"/>
      <w:r w:rsidRPr="008039B9">
        <w:t xml:space="preserve"> (BT) in deionized water, natural water, and seawater.</w:t>
      </w:r>
      <w:proofErr w:type="gramEnd"/>
      <w:r w:rsidRPr="008039B9">
        <w:t xml:space="preserve"> </w:t>
      </w:r>
      <w:proofErr w:type="gramStart"/>
      <w:r w:rsidRPr="008039B9">
        <w:rPr>
          <w:rStyle w:val="Emphasis"/>
          <w:rFonts w:eastAsia="Calibri"/>
        </w:rPr>
        <w:t>Molecules</w:t>
      </w:r>
      <w:r w:rsidRPr="008039B9">
        <w:t xml:space="preserve">, </w:t>
      </w:r>
      <w:r w:rsidRPr="008039B9">
        <w:rPr>
          <w:rStyle w:val="Emphasis"/>
          <w:rFonts w:eastAsia="Calibri"/>
        </w:rPr>
        <w:t>24</w:t>
      </w:r>
      <w:r w:rsidRPr="008039B9">
        <w:t>(2), 257.</w:t>
      </w:r>
      <w:proofErr w:type="gramEnd"/>
      <w:r w:rsidRPr="008039B9">
        <w:t xml:space="preserve"> </w:t>
      </w:r>
      <w:hyperlink r:id="rId16" w:history="1">
        <w:r w:rsidRPr="008039B9">
          <w:rPr>
            <w:rStyle w:val="Hyperlink"/>
          </w:rPr>
          <w:t>https://doi.org/10.3390/molecules24020257</w:t>
        </w:r>
      </w:hyperlink>
    </w:p>
    <w:p w14:paraId="62F822E9" w14:textId="77777777" w:rsidR="00E306B7" w:rsidRPr="008039B9" w:rsidRDefault="00E306B7" w:rsidP="00E306B7">
      <w:pPr>
        <w:pStyle w:val="whitespace-normal"/>
        <w:jc w:val="both"/>
      </w:pPr>
      <w:proofErr w:type="spellStart"/>
      <w:proofErr w:type="gramStart"/>
      <w:r w:rsidRPr="008039B9">
        <w:t>Amanah</w:t>
      </w:r>
      <w:proofErr w:type="spellEnd"/>
      <w:r w:rsidRPr="008039B9">
        <w:t xml:space="preserve">, A., </w:t>
      </w:r>
      <w:proofErr w:type="spellStart"/>
      <w:r w:rsidRPr="008039B9">
        <w:t>Apriyanto</w:t>
      </w:r>
      <w:proofErr w:type="spellEnd"/>
      <w:r w:rsidRPr="008039B9">
        <w:t xml:space="preserve">, D. R., &amp; </w:t>
      </w:r>
      <w:proofErr w:type="spellStart"/>
      <w:r w:rsidRPr="008039B9">
        <w:t>Fitriani</w:t>
      </w:r>
      <w:proofErr w:type="spellEnd"/>
      <w:r w:rsidRPr="008039B9">
        <w:t>, H. (2019).</w:t>
      </w:r>
      <w:proofErr w:type="gramEnd"/>
      <w:r w:rsidRPr="008039B9">
        <w:t xml:space="preserve"> </w:t>
      </w:r>
      <w:proofErr w:type="gramStart"/>
      <w:r w:rsidRPr="008039B9">
        <w:t>Isolation of surveillance pathogenic fungal microbial contaminant on mobile phone.</w:t>
      </w:r>
      <w:proofErr w:type="gramEnd"/>
      <w:r w:rsidRPr="008039B9">
        <w:t xml:space="preserve"> </w:t>
      </w:r>
      <w:r w:rsidRPr="008039B9">
        <w:rPr>
          <w:rStyle w:val="Emphasis"/>
          <w:rFonts w:eastAsia="Calibri"/>
        </w:rPr>
        <w:t>Open Access Macedonian Journal of Medical Sciences</w:t>
      </w:r>
      <w:r w:rsidRPr="008039B9">
        <w:t xml:space="preserve">, </w:t>
      </w:r>
      <w:r w:rsidRPr="008039B9">
        <w:rPr>
          <w:rStyle w:val="Emphasis"/>
          <w:rFonts w:eastAsia="Calibri"/>
        </w:rPr>
        <w:t>7</w:t>
      </w:r>
      <w:r w:rsidRPr="008039B9">
        <w:t xml:space="preserve">(20), 3493–3496. </w:t>
      </w:r>
      <w:hyperlink r:id="rId17" w:history="1">
        <w:r w:rsidRPr="008039B9">
          <w:rPr>
            <w:rStyle w:val="Hyperlink"/>
          </w:rPr>
          <w:t>https://doi.org/10.3889/oamjms.2019.685</w:t>
        </w:r>
      </w:hyperlink>
    </w:p>
    <w:p w14:paraId="64602154" w14:textId="77777777" w:rsidR="00E306B7" w:rsidRPr="008039B9" w:rsidRDefault="00E306B7" w:rsidP="00E306B7">
      <w:pPr>
        <w:pStyle w:val="whitespace-normal"/>
        <w:jc w:val="both"/>
      </w:pPr>
      <w:proofErr w:type="gramStart"/>
      <w:r w:rsidRPr="008039B9">
        <w:t>Armstrong, L. E., &amp; Johnson, E. C. (2018).</w:t>
      </w:r>
      <w:proofErr w:type="gramEnd"/>
      <w:r w:rsidRPr="008039B9">
        <w:t xml:space="preserve"> </w:t>
      </w:r>
      <w:proofErr w:type="gramStart"/>
      <w:r w:rsidRPr="008039B9">
        <w:t>Water intake, water balance, and the elusive daily water requirement.</w:t>
      </w:r>
      <w:proofErr w:type="gramEnd"/>
      <w:r w:rsidRPr="008039B9">
        <w:t xml:space="preserve"> </w:t>
      </w:r>
      <w:proofErr w:type="gramStart"/>
      <w:r w:rsidRPr="008039B9">
        <w:rPr>
          <w:rStyle w:val="Emphasis"/>
          <w:rFonts w:eastAsia="Calibri"/>
        </w:rPr>
        <w:t>Nutrients</w:t>
      </w:r>
      <w:r w:rsidRPr="008039B9">
        <w:t xml:space="preserve">, </w:t>
      </w:r>
      <w:r w:rsidRPr="008039B9">
        <w:rPr>
          <w:rStyle w:val="Emphasis"/>
          <w:rFonts w:eastAsia="Calibri"/>
        </w:rPr>
        <w:t>10</w:t>
      </w:r>
      <w:r w:rsidRPr="008039B9">
        <w:t>(12), 1928.</w:t>
      </w:r>
      <w:proofErr w:type="gramEnd"/>
      <w:r w:rsidRPr="008039B9">
        <w:t xml:space="preserve"> </w:t>
      </w:r>
      <w:hyperlink r:id="rId18" w:history="1">
        <w:r w:rsidRPr="008039B9">
          <w:rPr>
            <w:rStyle w:val="Hyperlink"/>
          </w:rPr>
          <w:t>https://doi.org/10.3390/nu10121928</w:t>
        </w:r>
      </w:hyperlink>
    </w:p>
    <w:p w14:paraId="56EB87CE" w14:textId="77777777" w:rsidR="00E306B7" w:rsidRPr="008039B9" w:rsidRDefault="00E306B7" w:rsidP="00E306B7">
      <w:pPr>
        <w:pStyle w:val="whitespace-normal"/>
        <w:jc w:val="both"/>
      </w:pPr>
      <w:proofErr w:type="spellStart"/>
      <w:proofErr w:type="gramStart"/>
      <w:r w:rsidRPr="008039B9">
        <w:t>Barreca</w:t>
      </w:r>
      <w:proofErr w:type="spellEnd"/>
      <w:r w:rsidRPr="008039B9">
        <w:t xml:space="preserve">, S., </w:t>
      </w:r>
      <w:proofErr w:type="spellStart"/>
      <w:r w:rsidRPr="008039B9">
        <w:t>Forni</w:t>
      </w:r>
      <w:proofErr w:type="spellEnd"/>
      <w:r w:rsidRPr="008039B9">
        <w:t xml:space="preserve">, C., </w:t>
      </w:r>
      <w:proofErr w:type="spellStart"/>
      <w:r w:rsidRPr="008039B9">
        <w:t>Colzani</w:t>
      </w:r>
      <w:proofErr w:type="spellEnd"/>
      <w:r w:rsidRPr="008039B9">
        <w:t xml:space="preserve">, L., </w:t>
      </w:r>
      <w:proofErr w:type="spellStart"/>
      <w:r w:rsidRPr="008039B9">
        <w:t>Clerici</w:t>
      </w:r>
      <w:proofErr w:type="spellEnd"/>
      <w:r w:rsidRPr="008039B9">
        <w:t xml:space="preserve">, L., </w:t>
      </w:r>
      <w:proofErr w:type="spellStart"/>
      <w:r w:rsidRPr="008039B9">
        <w:t>Daverio</w:t>
      </w:r>
      <w:proofErr w:type="spellEnd"/>
      <w:r w:rsidRPr="008039B9">
        <w:t xml:space="preserve">, D., &amp; </w:t>
      </w:r>
      <w:proofErr w:type="spellStart"/>
      <w:r w:rsidRPr="008039B9">
        <w:t>Dellavedova</w:t>
      </w:r>
      <w:proofErr w:type="spellEnd"/>
      <w:r w:rsidRPr="008039B9">
        <w:t>, P. (2021).</w:t>
      </w:r>
      <w:proofErr w:type="gramEnd"/>
      <w:r w:rsidRPr="008039B9">
        <w:t xml:space="preserve"> Study on the stability of antibiotics, pesticides and drugs in water by using a straightforward procedure applying HPLC-mass spectrometric determination for analytical purposes. </w:t>
      </w:r>
      <w:proofErr w:type="gramStart"/>
      <w:r w:rsidRPr="008039B9">
        <w:rPr>
          <w:rStyle w:val="Emphasis"/>
          <w:rFonts w:eastAsia="Calibri"/>
        </w:rPr>
        <w:t>Separations</w:t>
      </w:r>
      <w:r w:rsidRPr="008039B9">
        <w:t xml:space="preserve">, </w:t>
      </w:r>
      <w:r w:rsidRPr="008039B9">
        <w:rPr>
          <w:rStyle w:val="Emphasis"/>
          <w:rFonts w:eastAsia="Calibri"/>
        </w:rPr>
        <w:t>8</w:t>
      </w:r>
      <w:r w:rsidRPr="008039B9">
        <w:t>(10), 179.</w:t>
      </w:r>
      <w:proofErr w:type="gramEnd"/>
      <w:r w:rsidRPr="008039B9">
        <w:t xml:space="preserve"> </w:t>
      </w:r>
      <w:hyperlink r:id="rId19" w:history="1">
        <w:r w:rsidRPr="008039B9">
          <w:rPr>
            <w:rStyle w:val="Hyperlink"/>
          </w:rPr>
          <w:t>https://doi.org/10.3390/separations8100179</w:t>
        </w:r>
      </w:hyperlink>
    </w:p>
    <w:p w14:paraId="24C5C015" w14:textId="77777777" w:rsidR="00E306B7" w:rsidRPr="008039B9" w:rsidRDefault="00E306B7" w:rsidP="00E306B7">
      <w:pPr>
        <w:pStyle w:val="whitespace-normal"/>
        <w:jc w:val="both"/>
      </w:pPr>
      <w:proofErr w:type="gramStart"/>
      <w:r w:rsidRPr="008039B9">
        <w:t xml:space="preserve">Bello, O. O., Oni, M. O., Bello, T., </w:t>
      </w:r>
      <w:proofErr w:type="spellStart"/>
      <w:r w:rsidRPr="008039B9">
        <w:t>Fashola</w:t>
      </w:r>
      <w:proofErr w:type="spellEnd"/>
      <w:r w:rsidRPr="008039B9">
        <w:t xml:space="preserve">, M. O., &amp; </w:t>
      </w:r>
      <w:proofErr w:type="spellStart"/>
      <w:r w:rsidRPr="008039B9">
        <w:t>Oluwafemi</w:t>
      </w:r>
      <w:proofErr w:type="spellEnd"/>
      <w:r w:rsidRPr="008039B9">
        <w:t>, Y. D. (2020).</w:t>
      </w:r>
      <w:proofErr w:type="gramEnd"/>
      <w:r w:rsidRPr="008039B9">
        <w:t xml:space="preserve"> </w:t>
      </w:r>
      <w:proofErr w:type="gramStart"/>
      <w:r w:rsidRPr="008039B9">
        <w:t>Microbial quality of utility water at universities in Nigeria.</w:t>
      </w:r>
      <w:proofErr w:type="gramEnd"/>
      <w:r w:rsidRPr="008039B9">
        <w:t xml:space="preserve"> </w:t>
      </w:r>
      <w:proofErr w:type="gramStart"/>
      <w:r w:rsidRPr="008039B9">
        <w:rPr>
          <w:rStyle w:val="Emphasis"/>
          <w:rFonts w:eastAsia="Calibri"/>
        </w:rPr>
        <w:t>Malaysian Journal of Microbiology</w:t>
      </w:r>
      <w:r w:rsidRPr="008039B9">
        <w:t>.</w:t>
      </w:r>
      <w:proofErr w:type="gramEnd"/>
      <w:r w:rsidRPr="008039B9">
        <w:t xml:space="preserve"> </w:t>
      </w:r>
      <w:hyperlink r:id="rId20" w:history="1">
        <w:r w:rsidRPr="008039B9">
          <w:rPr>
            <w:rStyle w:val="Hyperlink"/>
          </w:rPr>
          <w:t>https://doi.org/10.21161/mjm.190534</w:t>
        </w:r>
      </w:hyperlink>
    </w:p>
    <w:p w14:paraId="51669BBA" w14:textId="77777777" w:rsidR="00E306B7" w:rsidRPr="008039B9" w:rsidRDefault="00E306B7" w:rsidP="00E306B7">
      <w:pPr>
        <w:pStyle w:val="whitespace-normal"/>
        <w:jc w:val="both"/>
      </w:pPr>
      <w:proofErr w:type="spellStart"/>
      <w:proofErr w:type="gramStart"/>
      <w:r w:rsidRPr="008039B9">
        <w:t>Calente</w:t>
      </w:r>
      <w:proofErr w:type="spellEnd"/>
      <w:r w:rsidRPr="008039B9">
        <w:t xml:space="preserve">, T. J. N., </w:t>
      </w:r>
      <w:proofErr w:type="spellStart"/>
      <w:r w:rsidRPr="008039B9">
        <w:t>Calente</w:t>
      </w:r>
      <w:proofErr w:type="spellEnd"/>
      <w:r w:rsidRPr="008039B9">
        <w:t xml:space="preserve"> Santos, G. N., &amp; </w:t>
      </w:r>
      <w:proofErr w:type="spellStart"/>
      <w:r w:rsidRPr="008039B9">
        <w:t>Nogueira</w:t>
      </w:r>
      <w:proofErr w:type="spellEnd"/>
      <w:r w:rsidRPr="008039B9">
        <w:t>, W. V. (2021).</w:t>
      </w:r>
      <w:proofErr w:type="gramEnd"/>
      <w:r w:rsidRPr="008039B9">
        <w:t xml:space="preserve"> Physical-chemical and microbiological quality of water used for public supply in the municipality of </w:t>
      </w:r>
      <w:proofErr w:type="spellStart"/>
      <w:r w:rsidRPr="008039B9">
        <w:t>Alvorada</w:t>
      </w:r>
      <w:proofErr w:type="spellEnd"/>
      <w:r w:rsidRPr="008039B9">
        <w:t xml:space="preserve"> </w:t>
      </w:r>
      <w:proofErr w:type="spellStart"/>
      <w:r w:rsidRPr="008039B9">
        <w:t>D'Oeste</w:t>
      </w:r>
      <w:proofErr w:type="spellEnd"/>
      <w:r w:rsidRPr="008039B9">
        <w:t xml:space="preserve">, </w:t>
      </w:r>
      <w:proofErr w:type="spellStart"/>
      <w:r w:rsidRPr="008039B9">
        <w:t>Rondônia</w:t>
      </w:r>
      <w:proofErr w:type="spellEnd"/>
      <w:r w:rsidRPr="008039B9">
        <w:t xml:space="preserve">, Brazil. </w:t>
      </w:r>
      <w:proofErr w:type="gramStart"/>
      <w:r w:rsidRPr="008039B9">
        <w:rPr>
          <w:rStyle w:val="Emphasis"/>
          <w:rFonts w:eastAsia="Calibri"/>
        </w:rPr>
        <w:t>Research, Society and Development</w:t>
      </w:r>
      <w:r w:rsidRPr="008039B9">
        <w:t xml:space="preserve">, </w:t>
      </w:r>
      <w:r w:rsidRPr="008039B9">
        <w:rPr>
          <w:rStyle w:val="Emphasis"/>
          <w:rFonts w:eastAsia="Calibri"/>
        </w:rPr>
        <w:t>10</w:t>
      </w:r>
      <w:r w:rsidRPr="008039B9">
        <w:t>(11).</w:t>
      </w:r>
      <w:proofErr w:type="gramEnd"/>
      <w:r w:rsidRPr="008039B9">
        <w:t xml:space="preserve"> </w:t>
      </w:r>
      <w:hyperlink r:id="rId21" w:history="1">
        <w:r w:rsidRPr="008039B9">
          <w:rPr>
            <w:rStyle w:val="Hyperlink"/>
          </w:rPr>
          <w:t>https://doi.org/10.33448/rsd-v10i11.19357</w:t>
        </w:r>
      </w:hyperlink>
    </w:p>
    <w:p w14:paraId="68710DF4" w14:textId="77777777" w:rsidR="00E306B7" w:rsidRPr="008039B9" w:rsidRDefault="00E306B7" w:rsidP="00E306B7">
      <w:pPr>
        <w:pStyle w:val="whitespace-normal"/>
        <w:jc w:val="both"/>
      </w:pPr>
      <w:r w:rsidRPr="008039B9">
        <w:t xml:space="preserve">Chakraborty, S., Andersen, K. H., </w:t>
      </w:r>
      <w:proofErr w:type="spellStart"/>
      <w:r w:rsidRPr="008039B9">
        <w:t>Visser</w:t>
      </w:r>
      <w:proofErr w:type="spellEnd"/>
      <w:r w:rsidRPr="008039B9">
        <w:t xml:space="preserve">, A. W., </w:t>
      </w:r>
      <w:proofErr w:type="spellStart"/>
      <w:r w:rsidRPr="008039B9">
        <w:t>Inomura</w:t>
      </w:r>
      <w:proofErr w:type="spellEnd"/>
      <w:r w:rsidRPr="008039B9">
        <w:t xml:space="preserve">, K., Follows, M. J., &amp; Riemann, L. (2021). </w:t>
      </w:r>
      <w:proofErr w:type="gramStart"/>
      <w:r w:rsidRPr="008039B9">
        <w:t>Quantifying nitrogen fixation by heterotrophic bacteria in sinking marine particles.</w:t>
      </w:r>
      <w:proofErr w:type="gramEnd"/>
      <w:r w:rsidRPr="008039B9">
        <w:t xml:space="preserve"> </w:t>
      </w:r>
      <w:proofErr w:type="gramStart"/>
      <w:r w:rsidRPr="008039B9">
        <w:rPr>
          <w:rStyle w:val="Emphasis"/>
          <w:rFonts w:eastAsia="Calibri"/>
        </w:rPr>
        <w:t>Nature Communications</w:t>
      </w:r>
      <w:r w:rsidRPr="008039B9">
        <w:t xml:space="preserve">, </w:t>
      </w:r>
      <w:r w:rsidRPr="008039B9">
        <w:rPr>
          <w:rStyle w:val="Emphasis"/>
          <w:rFonts w:eastAsia="Calibri"/>
        </w:rPr>
        <w:t>12</w:t>
      </w:r>
      <w:r w:rsidRPr="008039B9">
        <w:t>(1).</w:t>
      </w:r>
      <w:proofErr w:type="gramEnd"/>
      <w:r w:rsidRPr="008039B9">
        <w:t xml:space="preserve"> </w:t>
      </w:r>
      <w:hyperlink r:id="rId22" w:history="1">
        <w:r w:rsidRPr="008039B9">
          <w:rPr>
            <w:rStyle w:val="Hyperlink"/>
          </w:rPr>
          <w:t>https://doi.org/10.1038/s41467-021-23875-6</w:t>
        </w:r>
      </w:hyperlink>
    </w:p>
    <w:p w14:paraId="54312C3F" w14:textId="77777777" w:rsidR="00E306B7" w:rsidRPr="008039B9" w:rsidRDefault="00E306B7" w:rsidP="00E306B7">
      <w:pPr>
        <w:pStyle w:val="whitespace-normal"/>
        <w:jc w:val="both"/>
      </w:pPr>
      <w:r w:rsidRPr="008039B9">
        <w:t xml:space="preserve">Cruz, B., &amp; </w:t>
      </w:r>
      <w:proofErr w:type="spellStart"/>
      <w:r w:rsidRPr="008039B9">
        <w:t>Neuer</w:t>
      </w:r>
      <w:proofErr w:type="spellEnd"/>
      <w:r w:rsidRPr="008039B9">
        <w:t xml:space="preserve">, S. (2019). Heterotrophic bacteria enhance the aggregation of the marine </w:t>
      </w:r>
      <w:proofErr w:type="spellStart"/>
      <w:r w:rsidRPr="008039B9">
        <w:t>picocyanobacteria</w:t>
      </w:r>
      <w:proofErr w:type="spellEnd"/>
      <w:r w:rsidRPr="008039B9">
        <w:t xml:space="preserve"> </w:t>
      </w:r>
      <w:proofErr w:type="spellStart"/>
      <w:r w:rsidRPr="008039B9">
        <w:t>Prochlorococcus</w:t>
      </w:r>
      <w:proofErr w:type="spellEnd"/>
      <w:r w:rsidRPr="008039B9">
        <w:t xml:space="preserve"> and </w:t>
      </w:r>
      <w:proofErr w:type="spellStart"/>
      <w:r w:rsidRPr="008039B9">
        <w:t>Synechococcus</w:t>
      </w:r>
      <w:proofErr w:type="spellEnd"/>
      <w:r w:rsidRPr="008039B9">
        <w:t xml:space="preserve">. </w:t>
      </w:r>
      <w:proofErr w:type="gramStart"/>
      <w:r w:rsidRPr="008039B9">
        <w:rPr>
          <w:rStyle w:val="Emphasis"/>
          <w:rFonts w:eastAsia="Calibri"/>
        </w:rPr>
        <w:t>Frontiers in Microbiology</w:t>
      </w:r>
      <w:r w:rsidRPr="008039B9">
        <w:t xml:space="preserve">, </w:t>
      </w:r>
      <w:r w:rsidRPr="008039B9">
        <w:rPr>
          <w:rStyle w:val="Emphasis"/>
          <w:rFonts w:eastAsia="Calibri"/>
        </w:rPr>
        <w:t>10</w:t>
      </w:r>
      <w:r w:rsidRPr="008039B9">
        <w:t>, 1864.</w:t>
      </w:r>
      <w:proofErr w:type="gramEnd"/>
      <w:r w:rsidRPr="008039B9">
        <w:t xml:space="preserve"> </w:t>
      </w:r>
      <w:hyperlink r:id="rId23" w:history="1">
        <w:r w:rsidRPr="008039B9">
          <w:rPr>
            <w:rStyle w:val="Hyperlink"/>
          </w:rPr>
          <w:t>https://doi.org/10.3389/fmicb.2019.01864</w:t>
        </w:r>
      </w:hyperlink>
    </w:p>
    <w:p w14:paraId="7D7B4839" w14:textId="77777777" w:rsidR="00E306B7" w:rsidRPr="008039B9" w:rsidRDefault="00E306B7" w:rsidP="00E306B7">
      <w:pPr>
        <w:pStyle w:val="whitespace-normal"/>
        <w:jc w:val="both"/>
      </w:pPr>
      <w:proofErr w:type="gramStart"/>
      <w:r w:rsidRPr="008039B9">
        <w:t xml:space="preserve">Dada, S. O., </w:t>
      </w:r>
      <w:proofErr w:type="spellStart"/>
      <w:r w:rsidRPr="008039B9">
        <w:t>Oguntimehin</w:t>
      </w:r>
      <w:proofErr w:type="spellEnd"/>
      <w:r w:rsidRPr="008039B9">
        <w:t xml:space="preserve">, O. O., &amp; </w:t>
      </w:r>
      <w:proofErr w:type="spellStart"/>
      <w:r w:rsidRPr="008039B9">
        <w:t>Olabode</w:t>
      </w:r>
      <w:proofErr w:type="spellEnd"/>
      <w:r w:rsidRPr="008039B9">
        <w:t>, T. O. (2020).</w:t>
      </w:r>
      <w:proofErr w:type="gramEnd"/>
      <w:r w:rsidRPr="008039B9">
        <w:t xml:space="preserve"> </w:t>
      </w:r>
      <w:proofErr w:type="gramStart"/>
      <w:r w:rsidRPr="008039B9">
        <w:t>Assessment of the bacteriological quality of sachet water in Oyo State, Nigeria.</w:t>
      </w:r>
      <w:proofErr w:type="gramEnd"/>
      <w:r w:rsidRPr="008039B9">
        <w:t xml:space="preserve"> </w:t>
      </w:r>
      <w:r w:rsidRPr="008039B9">
        <w:rPr>
          <w:rStyle w:val="Emphasis"/>
          <w:rFonts w:eastAsia="Calibri"/>
        </w:rPr>
        <w:t>Journal of Environmental Health Science &amp; Engineering</w:t>
      </w:r>
      <w:r w:rsidRPr="008039B9">
        <w:t xml:space="preserve">, </w:t>
      </w:r>
      <w:r w:rsidRPr="008039B9">
        <w:rPr>
          <w:rStyle w:val="Emphasis"/>
          <w:rFonts w:eastAsia="Calibri"/>
        </w:rPr>
        <w:t>18</w:t>
      </w:r>
      <w:r w:rsidRPr="008039B9">
        <w:t>(1), 13-19.</w:t>
      </w:r>
    </w:p>
    <w:p w14:paraId="7D8E9CA7" w14:textId="77777777" w:rsidR="00E306B7" w:rsidRPr="008039B9" w:rsidRDefault="00E306B7" w:rsidP="00E306B7">
      <w:pPr>
        <w:pStyle w:val="whitespace-normal"/>
        <w:jc w:val="both"/>
      </w:pPr>
      <w:r w:rsidRPr="008039B9">
        <w:t xml:space="preserve">Deutsch, J., Riedel, M., Müller, J. D., &amp; </w:t>
      </w:r>
      <w:proofErr w:type="spellStart"/>
      <w:r w:rsidRPr="008039B9">
        <w:t>Ihlenfeldt</w:t>
      </w:r>
      <w:proofErr w:type="spellEnd"/>
      <w:r w:rsidRPr="008039B9">
        <w:t xml:space="preserve">, S. (2019). Effects of variation in measurement chain on temperature measurement calibration with resistant temperature sensors. </w:t>
      </w:r>
      <w:r w:rsidRPr="008039B9">
        <w:rPr>
          <w:rStyle w:val="Emphasis"/>
          <w:rFonts w:eastAsia="Calibri"/>
        </w:rPr>
        <w:t>Journal of Machine Engineering</w:t>
      </w:r>
      <w:r w:rsidRPr="008039B9">
        <w:t xml:space="preserve">, </w:t>
      </w:r>
      <w:r w:rsidRPr="008039B9">
        <w:rPr>
          <w:rStyle w:val="Emphasis"/>
          <w:rFonts w:eastAsia="Calibri"/>
        </w:rPr>
        <w:t>19</w:t>
      </w:r>
      <w:r w:rsidRPr="008039B9">
        <w:t xml:space="preserve">(3), 57–66. </w:t>
      </w:r>
      <w:hyperlink r:id="rId24" w:history="1">
        <w:r w:rsidRPr="008039B9">
          <w:rPr>
            <w:rStyle w:val="Hyperlink"/>
          </w:rPr>
          <w:t>https://doi.org/10.5604/01.3001.0013.4080</w:t>
        </w:r>
      </w:hyperlink>
    </w:p>
    <w:p w14:paraId="631CACB9" w14:textId="77777777" w:rsidR="00E306B7" w:rsidRPr="008039B9" w:rsidRDefault="00E306B7" w:rsidP="00E306B7">
      <w:pPr>
        <w:pStyle w:val="whitespace-normal"/>
        <w:jc w:val="both"/>
      </w:pPr>
      <w:proofErr w:type="gramStart"/>
      <w:r w:rsidRPr="008039B9">
        <w:t>Edberg, S. C., &amp; Parker, B. C. (2020).</w:t>
      </w:r>
      <w:proofErr w:type="gramEnd"/>
      <w:r w:rsidRPr="008039B9">
        <w:t xml:space="preserve"> The application of PCR for waterborne pathogens: A review. </w:t>
      </w:r>
      <w:r w:rsidRPr="008039B9">
        <w:rPr>
          <w:rStyle w:val="Emphasis"/>
          <w:rFonts w:eastAsia="Calibri"/>
        </w:rPr>
        <w:t>Environmental Microbiology</w:t>
      </w:r>
      <w:r w:rsidRPr="008039B9">
        <w:t xml:space="preserve">, </w:t>
      </w:r>
      <w:r w:rsidRPr="008039B9">
        <w:rPr>
          <w:rStyle w:val="Emphasis"/>
          <w:rFonts w:eastAsia="Calibri"/>
        </w:rPr>
        <w:t>22</w:t>
      </w:r>
      <w:r w:rsidRPr="008039B9">
        <w:t>(3), 1231-1245.</w:t>
      </w:r>
    </w:p>
    <w:p w14:paraId="5E1B315D" w14:textId="77777777" w:rsidR="00E306B7" w:rsidRPr="008039B9" w:rsidRDefault="00E306B7" w:rsidP="00E306B7">
      <w:pPr>
        <w:pStyle w:val="whitespace-normal"/>
        <w:jc w:val="both"/>
      </w:pPr>
      <w:proofErr w:type="spellStart"/>
      <w:proofErr w:type="gramStart"/>
      <w:r w:rsidRPr="008039B9">
        <w:lastRenderedPageBreak/>
        <w:t>Eze</w:t>
      </w:r>
      <w:proofErr w:type="spellEnd"/>
      <w:r w:rsidRPr="008039B9">
        <w:t xml:space="preserve">, A. M., &amp; </w:t>
      </w:r>
      <w:proofErr w:type="spellStart"/>
      <w:r w:rsidRPr="008039B9">
        <w:t>Anurika</w:t>
      </w:r>
      <w:proofErr w:type="spellEnd"/>
      <w:r w:rsidRPr="008039B9">
        <w:t>, N. (2021).</w:t>
      </w:r>
      <w:proofErr w:type="gramEnd"/>
      <w:r w:rsidRPr="008039B9">
        <w:t xml:space="preserve"> </w:t>
      </w:r>
      <w:proofErr w:type="gramStart"/>
      <w:r w:rsidRPr="008039B9">
        <w:t>Comparative evaluation of the quality of sachet water in Enugu metropolis, Nigeria.</w:t>
      </w:r>
      <w:proofErr w:type="gramEnd"/>
      <w:r w:rsidRPr="008039B9">
        <w:t xml:space="preserve"> </w:t>
      </w:r>
      <w:r w:rsidRPr="008039B9">
        <w:rPr>
          <w:rStyle w:val="Emphasis"/>
          <w:rFonts w:eastAsia="Calibri"/>
        </w:rPr>
        <w:t>International Journal of Water Resources and Environmental Engineering</w:t>
      </w:r>
      <w:r w:rsidRPr="008039B9">
        <w:t xml:space="preserve">, </w:t>
      </w:r>
      <w:r w:rsidRPr="008039B9">
        <w:rPr>
          <w:rStyle w:val="Emphasis"/>
          <w:rFonts w:eastAsia="Calibri"/>
        </w:rPr>
        <w:t>13</w:t>
      </w:r>
      <w:r w:rsidRPr="008039B9">
        <w:t xml:space="preserve">(4), 215–222. </w:t>
      </w:r>
      <w:hyperlink r:id="rId25" w:history="1">
        <w:r w:rsidRPr="008039B9">
          <w:rPr>
            <w:rStyle w:val="Hyperlink"/>
          </w:rPr>
          <w:t>https://doi.org/10.5897/IJWREE2021.0967</w:t>
        </w:r>
      </w:hyperlink>
    </w:p>
    <w:p w14:paraId="544195CD" w14:textId="77777777" w:rsidR="00E306B7" w:rsidRPr="008039B9" w:rsidRDefault="00E306B7" w:rsidP="00E306B7">
      <w:pPr>
        <w:pStyle w:val="whitespace-normal"/>
        <w:jc w:val="both"/>
      </w:pPr>
      <w:proofErr w:type="gramStart"/>
      <w:r w:rsidRPr="008039B9">
        <w:t>Federal Ministry of Health.</w:t>
      </w:r>
      <w:proofErr w:type="gramEnd"/>
      <w:r w:rsidRPr="008039B9">
        <w:t xml:space="preserve"> (2021). </w:t>
      </w:r>
      <w:r w:rsidRPr="008039B9">
        <w:rPr>
          <w:rStyle w:val="Emphasis"/>
          <w:rFonts w:eastAsia="Calibri"/>
        </w:rPr>
        <w:t>National Cholera Report 2020-2021</w:t>
      </w:r>
      <w:r w:rsidRPr="008039B9">
        <w:t xml:space="preserve">. </w:t>
      </w:r>
      <w:proofErr w:type="spellStart"/>
      <w:r w:rsidRPr="008039B9">
        <w:t>FMoH</w:t>
      </w:r>
      <w:proofErr w:type="spellEnd"/>
      <w:r w:rsidRPr="008039B9">
        <w:t xml:space="preserve"> Press.</w:t>
      </w:r>
    </w:p>
    <w:p w14:paraId="731CAB37" w14:textId="77777777" w:rsidR="00E306B7" w:rsidRPr="008039B9" w:rsidRDefault="00E306B7" w:rsidP="00E306B7">
      <w:pPr>
        <w:pStyle w:val="whitespace-normal"/>
        <w:jc w:val="both"/>
      </w:pPr>
      <w:r w:rsidRPr="008039B9">
        <w:t xml:space="preserve">Fernandez, M., Cárdenas </w:t>
      </w:r>
      <w:proofErr w:type="spellStart"/>
      <w:r w:rsidRPr="008039B9">
        <w:t>Manosalva</w:t>
      </w:r>
      <w:proofErr w:type="spellEnd"/>
      <w:r w:rsidRPr="008039B9">
        <w:t xml:space="preserve">, I. R., </w:t>
      </w:r>
      <w:proofErr w:type="spellStart"/>
      <w:r w:rsidRPr="008039B9">
        <w:t>Colmenares</w:t>
      </w:r>
      <w:proofErr w:type="spellEnd"/>
      <w:r w:rsidRPr="008039B9">
        <w:t xml:space="preserve">-Quintero, R. F., Montenegro </w:t>
      </w:r>
      <w:proofErr w:type="spellStart"/>
      <w:r w:rsidRPr="008039B9">
        <w:t>Marín</w:t>
      </w:r>
      <w:proofErr w:type="spellEnd"/>
      <w:r w:rsidRPr="008039B9">
        <w:t xml:space="preserve">, C. E., Diaz Cuesta, Y. E., Escobar </w:t>
      </w:r>
      <w:proofErr w:type="spellStart"/>
      <w:r w:rsidRPr="008039B9">
        <w:t>Mahecha</w:t>
      </w:r>
      <w:proofErr w:type="spellEnd"/>
      <w:r w:rsidRPr="008039B9">
        <w:t xml:space="preserve">, D., &amp; Pérez </w:t>
      </w:r>
      <w:proofErr w:type="spellStart"/>
      <w:r w:rsidRPr="008039B9">
        <w:t>Vásquez</w:t>
      </w:r>
      <w:proofErr w:type="spellEnd"/>
      <w:r w:rsidRPr="008039B9">
        <w:t xml:space="preserve">, P. A. (2022). </w:t>
      </w:r>
      <w:proofErr w:type="spellStart"/>
      <w:proofErr w:type="gramStart"/>
      <w:r w:rsidRPr="008039B9">
        <w:t>Multitemporal</w:t>
      </w:r>
      <w:proofErr w:type="spellEnd"/>
      <w:r w:rsidRPr="008039B9">
        <w:t xml:space="preserve"> total coliforms and Escherichia coli analysis in the middle Bogotá River basin, 2007–2019.</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14</w:t>
      </w:r>
      <w:r w:rsidRPr="008039B9">
        <w:t>(3), 1769.</w:t>
      </w:r>
      <w:proofErr w:type="gramEnd"/>
      <w:r w:rsidRPr="008039B9">
        <w:t xml:space="preserve"> </w:t>
      </w:r>
      <w:hyperlink r:id="rId26" w:history="1">
        <w:r w:rsidRPr="008039B9">
          <w:rPr>
            <w:rStyle w:val="Hyperlink"/>
          </w:rPr>
          <w:t>https://doi.org/10.3390/su14031769</w:t>
        </w:r>
      </w:hyperlink>
    </w:p>
    <w:p w14:paraId="2DE163B4" w14:textId="77777777" w:rsidR="00E306B7" w:rsidRPr="008039B9" w:rsidRDefault="00E306B7" w:rsidP="00E306B7">
      <w:pPr>
        <w:pStyle w:val="whitespace-normal"/>
        <w:jc w:val="both"/>
      </w:pPr>
      <w:proofErr w:type="spellStart"/>
      <w:proofErr w:type="gramStart"/>
      <w:r w:rsidRPr="008039B9">
        <w:t>Gana</w:t>
      </w:r>
      <w:proofErr w:type="spellEnd"/>
      <w:r w:rsidRPr="008039B9">
        <w:t xml:space="preserve">, A., </w:t>
      </w:r>
      <w:proofErr w:type="spellStart"/>
      <w:r w:rsidRPr="008039B9">
        <w:t>Adeniyi</w:t>
      </w:r>
      <w:proofErr w:type="spellEnd"/>
      <w:r w:rsidRPr="008039B9">
        <w:t xml:space="preserve">, I. A., </w:t>
      </w:r>
      <w:proofErr w:type="spellStart"/>
      <w:r w:rsidRPr="008039B9">
        <w:t>Braimoh</w:t>
      </w:r>
      <w:proofErr w:type="spellEnd"/>
      <w:r w:rsidRPr="008039B9">
        <w:t xml:space="preserve">, S. O., </w:t>
      </w:r>
      <w:proofErr w:type="spellStart"/>
      <w:r w:rsidRPr="008039B9">
        <w:t>Oguntayo</w:t>
      </w:r>
      <w:proofErr w:type="spellEnd"/>
      <w:r w:rsidRPr="008039B9">
        <w:t xml:space="preserve">, D., </w:t>
      </w:r>
      <w:proofErr w:type="spellStart"/>
      <w:r w:rsidRPr="008039B9">
        <w:t>Ibitogbe</w:t>
      </w:r>
      <w:proofErr w:type="spellEnd"/>
      <w:r w:rsidRPr="008039B9">
        <w:t xml:space="preserve">, E. M., &amp; </w:t>
      </w:r>
      <w:proofErr w:type="spellStart"/>
      <w:r w:rsidRPr="008039B9">
        <w:t>Ejigboye</w:t>
      </w:r>
      <w:proofErr w:type="spellEnd"/>
      <w:r w:rsidRPr="008039B9">
        <w:t>, P. (2021).</w:t>
      </w:r>
      <w:proofErr w:type="gramEnd"/>
      <w:r w:rsidRPr="008039B9">
        <w:t xml:space="preserve"> Quality assessment of sachet packed water in </w:t>
      </w:r>
      <w:proofErr w:type="spellStart"/>
      <w:r w:rsidRPr="008039B9">
        <w:t>Omu-Aran</w:t>
      </w:r>
      <w:proofErr w:type="spellEnd"/>
      <w:r w:rsidRPr="008039B9">
        <w:t xml:space="preserve">, </w:t>
      </w:r>
      <w:proofErr w:type="spellStart"/>
      <w:r w:rsidRPr="008039B9">
        <w:t>Kwara</w:t>
      </w:r>
      <w:proofErr w:type="spellEnd"/>
      <w:r w:rsidRPr="008039B9">
        <w:t xml:space="preserve"> State. </w:t>
      </w:r>
      <w:r w:rsidRPr="008039B9">
        <w:rPr>
          <w:rStyle w:val="Emphasis"/>
          <w:rFonts w:eastAsia="Calibri"/>
        </w:rPr>
        <w:t>IOP Conference Series: Materials Science and Engineering</w:t>
      </w:r>
      <w:r w:rsidRPr="008039B9">
        <w:t xml:space="preserve">, </w:t>
      </w:r>
      <w:r w:rsidRPr="008039B9">
        <w:rPr>
          <w:rStyle w:val="Emphasis"/>
          <w:rFonts w:eastAsia="Calibri"/>
        </w:rPr>
        <w:t>1036</w:t>
      </w:r>
      <w:r w:rsidRPr="008039B9">
        <w:t xml:space="preserve">(1), 012069. </w:t>
      </w:r>
      <w:hyperlink r:id="rId27" w:history="1">
        <w:r w:rsidRPr="008039B9">
          <w:rPr>
            <w:rStyle w:val="Hyperlink"/>
          </w:rPr>
          <w:t>https://doi.org/10.1088/1757-899X/1036/1/012069</w:t>
        </w:r>
      </w:hyperlink>
    </w:p>
    <w:p w14:paraId="3ABABA7F" w14:textId="77777777" w:rsidR="00E306B7" w:rsidRPr="008039B9" w:rsidRDefault="00E306B7" w:rsidP="00E306B7">
      <w:pPr>
        <w:pStyle w:val="whitespace-normal"/>
        <w:jc w:val="both"/>
      </w:pPr>
      <w:proofErr w:type="gramStart"/>
      <w:r w:rsidRPr="008039B9">
        <w:t xml:space="preserve">Goldoni, D., Ferrari, A., </w:t>
      </w:r>
      <w:proofErr w:type="spellStart"/>
      <w:r w:rsidRPr="008039B9">
        <w:t>Piccini</w:t>
      </w:r>
      <w:proofErr w:type="spellEnd"/>
      <w:r w:rsidRPr="008039B9">
        <w:t xml:space="preserve">, M., </w:t>
      </w:r>
      <w:proofErr w:type="spellStart"/>
      <w:r w:rsidRPr="008039B9">
        <w:t>Cattini</w:t>
      </w:r>
      <w:proofErr w:type="spellEnd"/>
      <w:r w:rsidRPr="008039B9">
        <w:t xml:space="preserve">, S., Molinari, R., &amp; </w:t>
      </w:r>
      <w:proofErr w:type="spellStart"/>
      <w:r w:rsidRPr="008039B9">
        <w:t>Rovati</w:t>
      </w:r>
      <w:proofErr w:type="spellEnd"/>
      <w:r w:rsidRPr="008039B9">
        <w:t>, L. (2023).</w:t>
      </w:r>
      <w:proofErr w:type="gramEnd"/>
      <w:r w:rsidRPr="008039B9">
        <w:t xml:space="preserve"> Blood-pH optical measurement: A model to compensate for the effects of temperature. </w:t>
      </w:r>
      <w:r w:rsidRPr="008039B9">
        <w:rPr>
          <w:rStyle w:val="Emphasis"/>
          <w:rFonts w:eastAsia="Calibri"/>
        </w:rPr>
        <w:t>IEEE Transactions on Instrumentation and Measurement</w:t>
      </w:r>
      <w:r w:rsidRPr="008039B9">
        <w:t xml:space="preserve">, </w:t>
      </w:r>
      <w:r w:rsidRPr="008039B9">
        <w:rPr>
          <w:rStyle w:val="Emphasis"/>
          <w:rFonts w:eastAsia="Calibri"/>
        </w:rPr>
        <w:t>72</w:t>
      </w:r>
      <w:r w:rsidRPr="008039B9">
        <w:t xml:space="preserve">, 1–8. </w:t>
      </w:r>
      <w:hyperlink r:id="rId28" w:history="1">
        <w:r w:rsidRPr="008039B9">
          <w:rPr>
            <w:rStyle w:val="Hyperlink"/>
          </w:rPr>
          <w:t>https://doi.org/10.1109/tim.2023.3250282</w:t>
        </w:r>
      </w:hyperlink>
    </w:p>
    <w:p w14:paraId="28916644" w14:textId="77777777" w:rsidR="00E306B7" w:rsidRPr="008039B9" w:rsidRDefault="00E306B7" w:rsidP="00E306B7">
      <w:pPr>
        <w:pStyle w:val="whitespace-normal"/>
        <w:jc w:val="both"/>
      </w:pPr>
      <w:proofErr w:type="spellStart"/>
      <w:proofErr w:type="gramStart"/>
      <w:r w:rsidRPr="008039B9">
        <w:t>Helard</w:t>
      </w:r>
      <w:proofErr w:type="spellEnd"/>
      <w:r w:rsidRPr="008039B9">
        <w:t xml:space="preserve">, D., Indah, S., &amp; </w:t>
      </w:r>
      <w:proofErr w:type="spellStart"/>
      <w:r w:rsidRPr="008039B9">
        <w:t>Wilandari</w:t>
      </w:r>
      <w:proofErr w:type="spellEnd"/>
      <w:r w:rsidRPr="008039B9">
        <w:t>, M. (2019).</w:t>
      </w:r>
      <w:proofErr w:type="gramEnd"/>
      <w:r w:rsidRPr="008039B9">
        <w:t xml:space="preserve"> </w:t>
      </w:r>
      <w:proofErr w:type="gramStart"/>
      <w:r w:rsidRPr="008039B9">
        <w:t xml:space="preserve">Spatial distribution of coliform bacteria in </w:t>
      </w:r>
      <w:proofErr w:type="spellStart"/>
      <w:r w:rsidRPr="008039B9">
        <w:t>Batang</w:t>
      </w:r>
      <w:proofErr w:type="spellEnd"/>
      <w:r w:rsidRPr="008039B9">
        <w:t xml:space="preserve"> </w:t>
      </w:r>
      <w:proofErr w:type="spellStart"/>
      <w:r w:rsidRPr="008039B9">
        <w:t>Arau</w:t>
      </w:r>
      <w:proofErr w:type="spellEnd"/>
      <w:r w:rsidRPr="008039B9">
        <w:t xml:space="preserve"> River, Padang, West Sumatera, Indonesia.</w:t>
      </w:r>
      <w:proofErr w:type="gramEnd"/>
      <w:r w:rsidRPr="008039B9">
        <w:t xml:space="preserve"> </w:t>
      </w:r>
      <w:r w:rsidRPr="008039B9">
        <w:rPr>
          <w:rStyle w:val="Emphasis"/>
          <w:rFonts w:eastAsia="Calibri"/>
        </w:rPr>
        <w:t>IOP Conference Series: Materials Science and Engineering</w:t>
      </w:r>
      <w:r w:rsidRPr="008039B9">
        <w:t xml:space="preserve">, </w:t>
      </w:r>
      <w:r w:rsidRPr="008039B9">
        <w:rPr>
          <w:rStyle w:val="Emphasis"/>
          <w:rFonts w:eastAsia="Calibri"/>
        </w:rPr>
        <w:t>602</w:t>
      </w:r>
      <w:r w:rsidRPr="008039B9">
        <w:t xml:space="preserve">(1), 12062. </w:t>
      </w:r>
      <w:hyperlink r:id="rId29" w:history="1">
        <w:r w:rsidRPr="008039B9">
          <w:rPr>
            <w:rStyle w:val="Hyperlink"/>
          </w:rPr>
          <w:t>https://doi.org/10.1088/1757-899x/602/1/012062</w:t>
        </w:r>
      </w:hyperlink>
    </w:p>
    <w:p w14:paraId="6D0D0728" w14:textId="77777777" w:rsidR="00E306B7" w:rsidRPr="008039B9" w:rsidRDefault="00E306B7" w:rsidP="00E306B7">
      <w:pPr>
        <w:pStyle w:val="whitespace-normal"/>
        <w:jc w:val="both"/>
      </w:pPr>
      <w:proofErr w:type="gramStart"/>
      <w:r w:rsidRPr="008039B9">
        <w:t xml:space="preserve">Ibrahim, M. S., </w:t>
      </w:r>
      <w:proofErr w:type="spellStart"/>
      <w:r w:rsidRPr="008039B9">
        <w:t>Lawal</w:t>
      </w:r>
      <w:proofErr w:type="spellEnd"/>
      <w:r w:rsidRPr="008039B9">
        <w:t>, M., &amp; Sani, U. (2019).</w:t>
      </w:r>
      <w:proofErr w:type="gramEnd"/>
      <w:r w:rsidRPr="008039B9">
        <w:t xml:space="preserve"> </w:t>
      </w:r>
      <w:proofErr w:type="gramStart"/>
      <w:r w:rsidRPr="008039B9">
        <w:t xml:space="preserve">Impact of artisanal mining on water quality in </w:t>
      </w:r>
      <w:proofErr w:type="spellStart"/>
      <w:r w:rsidRPr="008039B9">
        <w:t>Zamfara</w:t>
      </w:r>
      <w:proofErr w:type="spellEnd"/>
      <w:r w:rsidRPr="008039B9">
        <w:t xml:space="preserve"> State, Nigeria.</w:t>
      </w:r>
      <w:proofErr w:type="gramEnd"/>
      <w:r w:rsidRPr="008039B9">
        <w:t xml:space="preserve"> </w:t>
      </w:r>
      <w:proofErr w:type="gramStart"/>
      <w:r w:rsidRPr="008039B9">
        <w:rPr>
          <w:rStyle w:val="Emphasis"/>
          <w:rFonts w:eastAsia="Calibri"/>
        </w:rPr>
        <w:t>Environmental Monitoring and Assessment</w:t>
      </w:r>
      <w:r w:rsidRPr="008039B9">
        <w:t xml:space="preserve">, </w:t>
      </w:r>
      <w:r w:rsidRPr="008039B9">
        <w:rPr>
          <w:rStyle w:val="Emphasis"/>
          <w:rFonts w:eastAsia="Calibri"/>
        </w:rPr>
        <w:t>191</w:t>
      </w:r>
      <w:r w:rsidRPr="008039B9">
        <w:t>(5), 322.</w:t>
      </w:r>
      <w:proofErr w:type="gramEnd"/>
    </w:p>
    <w:p w14:paraId="27D87C2C" w14:textId="77777777" w:rsidR="00E306B7" w:rsidRPr="008039B9" w:rsidRDefault="00E306B7" w:rsidP="00E306B7">
      <w:pPr>
        <w:pStyle w:val="whitespace-normal"/>
        <w:jc w:val="both"/>
      </w:pPr>
      <w:proofErr w:type="spellStart"/>
      <w:proofErr w:type="gramStart"/>
      <w:r w:rsidRPr="008039B9">
        <w:t>Igbeneghu</w:t>
      </w:r>
      <w:proofErr w:type="spellEnd"/>
      <w:r w:rsidRPr="008039B9">
        <w:t xml:space="preserve">, O. A., &amp; </w:t>
      </w:r>
      <w:proofErr w:type="spellStart"/>
      <w:r w:rsidRPr="008039B9">
        <w:t>Lamikanra</w:t>
      </w:r>
      <w:proofErr w:type="spellEnd"/>
      <w:r w:rsidRPr="008039B9">
        <w:t>, A. (2018).</w:t>
      </w:r>
      <w:proofErr w:type="gramEnd"/>
      <w:r w:rsidRPr="008039B9">
        <w:t xml:space="preserve"> </w:t>
      </w:r>
      <w:proofErr w:type="gramStart"/>
      <w:r w:rsidRPr="008039B9">
        <w:t>The bacteriological quality of different brands of sachet water in Ibadan, Nigeria.</w:t>
      </w:r>
      <w:proofErr w:type="gramEnd"/>
      <w:r w:rsidRPr="008039B9">
        <w:t xml:space="preserve"> </w:t>
      </w:r>
      <w:r w:rsidRPr="008039B9">
        <w:rPr>
          <w:rStyle w:val="Emphasis"/>
          <w:rFonts w:eastAsia="Calibri"/>
        </w:rPr>
        <w:t>African Journal of Medicine and Medical Sciences</w:t>
      </w:r>
      <w:r w:rsidRPr="008039B9">
        <w:t xml:space="preserve">, </w:t>
      </w:r>
      <w:r w:rsidRPr="008039B9">
        <w:rPr>
          <w:rStyle w:val="Emphasis"/>
          <w:rFonts w:eastAsia="Calibri"/>
        </w:rPr>
        <w:t>47</w:t>
      </w:r>
      <w:r w:rsidRPr="008039B9">
        <w:t>(1), 69–74.</w:t>
      </w:r>
    </w:p>
    <w:p w14:paraId="37207A61" w14:textId="77777777" w:rsidR="00E306B7" w:rsidRPr="008039B9" w:rsidRDefault="00E306B7" w:rsidP="00E306B7">
      <w:pPr>
        <w:pStyle w:val="whitespace-normal"/>
        <w:jc w:val="both"/>
      </w:pPr>
      <w:proofErr w:type="spellStart"/>
      <w:proofErr w:type="gramStart"/>
      <w:r w:rsidRPr="008039B9">
        <w:t>Intriago</w:t>
      </w:r>
      <w:proofErr w:type="spellEnd"/>
      <w:r w:rsidRPr="008039B9">
        <w:t xml:space="preserve"> </w:t>
      </w:r>
      <w:proofErr w:type="spellStart"/>
      <w:r w:rsidRPr="008039B9">
        <w:t>Zambrano</w:t>
      </w:r>
      <w:proofErr w:type="spellEnd"/>
      <w:r w:rsidRPr="008039B9">
        <w:t xml:space="preserve">, J. C., </w:t>
      </w:r>
      <w:proofErr w:type="spellStart"/>
      <w:r w:rsidRPr="008039B9">
        <w:t>Michavila</w:t>
      </w:r>
      <w:proofErr w:type="spellEnd"/>
      <w:r w:rsidRPr="008039B9">
        <w:t xml:space="preserve">, J., Arenas, E., Diehl, J. C., &amp; </w:t>
      </w:r>
      <w:proofErr w:type="spellStart"/>
      <w:r w:rsidRPr="008039B9">
        <w:t>Ertsen</w:t>
      </w:r>
      <w:proofErr w:type="spellEnd"/>
      <w:r w:rsidRPr="008039B9">
        <w:t>, M. (2019).</w:t>
      </w:r>
      <w:proofErr w:type="gramEnd"/>
      <w:r w:rsidRPr="008039B9">
        <w:t xml:space="preserve"> Water lifting water: A comprehensive spatiotemporal review on the hydro-powered water pumping technologies. </w:t>
      </w:r>
      <w:r w:rsidRPr="008039B9">
        <w:rPr>
          <w:rStyle w:val="Emphasis"/>
          <w:rFonts w:eastAsia="Calibri"/>
        </w:rPr>
        <w:t>Water</w:t>
      </w:r>
      <w:r w:rsidRPr="008039B9">
        <w:t xml:space="preserve">, </w:t>
      </w:r>
      <w:r w:rsidRPr="008039B9">
        <w:rPr>
          <w:rStyle w:val="Emphasis"/>
          <w:rFonts w:eastAsia="Calibri"/>
        </w:rPr>
        <w:t>11</w:t>
      </w:r>
      <w:r w:rsidRPr="008039B9">
        <w:t xml:space="preserve">(8), 1677. </w:t>
      </w:r>
      <w:hyperlink r:id="rId30" w:history="1">
        <w:r w:rsidRPr="008039B9">
          <w:rPr>
            <w:rStyle w:val="Hyperlink"/>
          </w:rPr>
          <w:t>https://doi.org/10.3390/w11081677</w:t>
        </w:r>
      </w:hyperlink>
    </w:p>
    <w:p w14:paraId="74039F45" w14:textId="77777777" w:rsidR="00E306B7" w:rsidRPr="008039B9" w:rsidRDefault="00E306B7" w:rsidP="00E306B7">
      <w:pPr>
        <w:pStyle w:val="whitespace-normal"/>
        <w:jc w:val="both"/>
      </w:pPr>
      <w:proofErr w:type="spellStart"/>
      <w:proofErr w:type="gramStart"/>
      <w:r w:rsidRPr="008039B9">
        <w:t>Jia</w:t>
      </w:r>
      <w:proofErr w:type="spellEnd"/>
      <w:r w:rsidRPr="008039B9">
        <w:t xml:space="preserve">, X., </w:t>
      </w:r>
      <w:proofErr w:type="spellStart"/>
      <w:r w:rsidRPr="008039B9">
        <w:t>Varbanov</w:t>
      </w:r>
      <w:proofErr w:type="spellEnd"/>
      <w:r w:rsidRPr="008039B9">
        <w:t xml:space="preserve">, P. S., &amp; Wan </w:t>
      </w:r>
      <w:proofErr w:type="spellStart"/>
      <w:r w:rsidRPr="008039B9">
        <w:t>Alwi</w:t>
      </w:r>
      <w:proofErr w:type="spellEnd"/>
      <w:r w:rsidRPr="008039B9">
        <w:t>, S. R. (2019).</w:t>
      </w:r>
      <w:proofErr w:type="gramEnd"/>
      <w:r w:rsidRPr="008039B9">
        <w:t xml:space="preserve"> </w:t>
      </w:r>
      <w:proofErr w:type="gramStart"/>
      <w:r w:rsidRPr="008039B9">
        <w:t>Water availability footprint addressing water quality.</w:t>
      </w:r>
      <w:proofErr w:type="gramEnd"/>
      <w:r w:rsidRPr="008039B9">
        <w:t xml:space="preserve"> </w:t>
      </w:r>
      <w:r w:rsidRPr="008039B9">
        <w:rPr>
          <w:rStyle w:val="Emphasis"/>
          <w:rFonts w:eastAsia="Calibri"/>
        </w:rPr>
        <w:t>Journal of Sustainable Development of Energy, Water and Environment Systems</w:t>
      </w:r>
      <w:r w:rsidRPr="008039B9">
        <w:t xml:space="preserve">, </w:t>
      </w:r>
      <w:r w:rsidRPr="008039B9">
        <w:rPr>
          <w:rStyle w:val="Emphasis"/>
          <w:rFonts w:eastAsia="Calibri"/>
        </w:rPr>
        <w:t>7</w:t>
      </w:r>
      <w:r w:rsidRPr="008039B9">
        <w:t xml:space="preserve">(1), 72–86. </w:t>
      </w:r>
      <w:hyperlink r:id="rId31" w:history="1">
        <w:r w:rsidRPr="008039B9">
          <w:rPr>
            <w:rStyle w:val="Hyperlink"/>
          </w:rPr>
          <w:t>https://doi.org/10.13044/j.sdewes.d6.0223</w:t>
        </w:r>
      </w:hyperlink>
    </w:p>
    <w:p w14:paraId="4A021792" w14:textId="77777777" w:rsidR="00E306B7" w:rsidRPr="008039B9" w:rsidRDefault="00E306B7" w:rsidP="00E306B7">
      <w:pPr>
        <w:pStyle w:val="whitespace-normal"/>
        <w:jc w:val="both"/>
      </w:pPr>
      <w:proofErr w:type="gramStart"/>
      <w:r w:rsidRPr="008039B9">
        <w:t>Johnson, E. C., &amp; Adams, W. M. (2020).</w:t>
      </w:r>
      <w:proofErr w:type="gramEnd"/>
      <w:r w:rsidRPr="008039B9">
        <w:t xml:space="preserve"> </w:t>
      </w:r>
      <w:proofErr w:type="gramStart"/>
      <w:r w:rsidRPr="008039B9">
        <w:t>Water intake, body water regulation, and health.</w:t>
      </w:r>
      <w:proofErr w:type="gramEnd"/>
      <w:r w:rsidRPr="008039B9">
        <w:t xml:space="preserve"> </w:t>
      </w:r>
      <w:proofErr w:type="gramStart"/>
      <w:r w:rsidRPr="008039B9">
        <w:rPr>
          <w:rStyle w:val="Emphasis"/>
          <w:rFonts w:eastAsia="Calibri"/>
        </w:rPr>
        <w:t>Nutrients</w:t>
      </w:r>
      <w:r w:rsidRPr="008039B9">
        <w:t xml:space="preserve">, </w:t>
      </w:r>
      <w:r w:rsidRPr="008039B9">
        <w:rPr>
          <w:rStyle w:val="Emphasis"/>
          <w:rFonts w:eastAsia="Calibri"/>
        </w:rPr>
        <w:t>12</w:t>
      </w:r>
      <w:r w:rsidRPr="008039B9">
        <w:t>(3), 702.</w:t>
      </w:r>
      <w:proofErr w:type="gramEnd"/>
      <w:r w:rsidRPr="008039B9">
        <w:t xml:space="preserve"> </w:t>
      </w:r>
      <w:hyperlink r:id="rId32" w:history="1">
        <w:r w:rsidRPr="008039B9">
          <w:rPr>
            <w:rStyle w:val="Hyperlink"/>
          </w:rPr>
          <w:t>https://doi.org/10.3390/nu12030702</w:t>
        </w:r>
      </w:hyperlink>
    </w:p>
    <w:p w14:paraId="4D4F1F78" w14:textId="77777777" w:rsidR="00E306B7" w:rsidRPr="008039B9" w:rsidRDefault="00E306B7" w:rsidP="00E306B7">
      <w:pPr>
        <w:pStyle w:val="whitespace-normal"/>
        <w:jc w:val="both"/>
      </w:pPr>
      <w:proofErr w:type="spellStart"/>
      <w:proofErr w:type="gramStart"/>
      <w:r w:rsidRPr="008039B9">
        <w:t>Kapusta</w:t>
      </w:r>
      <w:proofErr w:type="spellEnd"/>
      <w:r w:rsidRPr="008039B9">
        <w:t xml:space="preserve">, Ł. J., </w:t>
      </w:r>
      <w:proofErr w:type="spellStart"/>
      <w:r w:rsidRPr="008039B9">
        <w:t>Sutkowski</w:t>
      </w:r>
      <w:proofErr w:type="spellEnd"/>
      <w:r w:rsidRPr="008039B9">
        <w:t xml:space="preserve">, M., </w:t>
      </w:r>
      <w:proofErr w:type="spellStart"/>
      <w:r w:rsidRPr="008039B9">
        <w:t>Rogóż</w:t>
      </w:r>
      <w:proofErr w:type="spellEnd"/>
      <w:r w:rsidRPr="008039B9">
        <w:t xml:space="preserve">, R., </w:t>
      </w:r>
      <w:proofErr w:type="spellStart"/>
      <w:r w:rsidRPr="008039B9">
        <w:t>Zommara</w:t>
      </w:r>
      <w:proofErr w:type="spellEnd"/>
      <w:r w:rsidRPr="008039B9">
        <w:t xml:space="preserve">, M., &amp; </w:t>
      </w:r>
      <w:proofErr w:type="spellStart"/>
      <w:r w:rsidRPr="008039B9">
        <w:t>Teodorczyk</w:t>
      </w:r>
      <w:proofErr w:type="spellEnd"/>
      <w:r w:rsidRPr="008039B9">
        <w:t>, A. (2019).</w:t>
      </w:r>
      <w:proofErr w:type="gramEnd"/>
      <w:r w:rsidRPr="008039B9">
        <w:t xml:space="preserve"> </w:t>
      </w:r>
      <w:proofErr w:type="gramStart"/>
      <w:r w:rsidRPr="008039B9">
        <w:t>Characteristics of water and urea–water solution sprays.</w:t>
      </w:r>
      <w:proofErr w:type="gramEnd"/>
      <w:r w:rsidRPr="008039B9">
        <w:t xml:space="preserve"> </w:t>
      </w:r>
      <w:proofErr w:type="gramStart"/>
      <w:r w:rsidRPr="008039B9">
        <w:rPr>
          <w:rStyle w:val="Emphasis"/>
          <w:rFonts w:eastAsia="Calibri"/>
        </w:rPr>
        <w:t>Catalysts</w:t>
      </w:r>
      <w:r w:rsidRPr="008039B9">
        <w:t xml:space="preserve">, </w:t>
      </w:r>
      <w:r w:rsidRPr="008039B9">
        <w:rPr>
          <w:rStyle w:val="Emphasis"/>
          <w:rFonts w:eastAsia="Calibri"/>
        </w:rPr>
        <w:t>9</w:t>
      </w:r>
      <w:r w:rsidRPr="008039B9">
        <w:t>(9), 750.</w:t>
      </w:r>
      <w:proofErr w:type="gramEnd"/>
      <w:r w:rsidRPr="008039B9">
        <w:t xml:space="preserve"> </w:t>
      </w:r>
      <w:hyperlink r:id="rId33" w:history="1">
        <w:r w:rsidRPr="008039B9">
          <w:rPr>
            <w:rStyle w:val="Hyperlink"/>
          </w:rPr>
          <w:t>https://doi.org/10.3390/catal9090750</w:t>
        </w:r>
      </w:hyperlink>
    </w:p>
    <w:p w14:paraId="6F7719DB" w14:textId="77777777" w:rsidR="00E306B7" w:rsidRPr="008039B9" w:rsidRDefault="00E306B7" w:rsidP="00E306B7">
      <w:pPr>
        <w:pStyle w:val="whitespace-normal"/>
        <w:jc w:val="both"/>
      </w:pPr>
      <w:proofErr w:type="gramStart"/>
      <w:r w:rsidRPr="008039B9">
        <w:t xml:space="preserve">Kim, B.-S., </w:t>
      </w:r>
      <w:proofErr w:type="spellStart"/>
      <w:r w:rsidRPr="008039B9">
        <w:t>Youm</w:t>
      </w:r>
      <w:proofErr w:type="spellEnd"/>
      <w:r w:rsidRPr="008039B9">
        <w:t>, S., &amp; Kim, Y.-K.</w:t>
      </w:r>
      <w:proofErr w:type="gramEnd"/>
      <w:r w:rsidRPr="008039B9">
        <w:t xml:space="preserve"> </w:t>
      </w:r>
      <w:proofErr w:type="gramStart"/>
      <w:r w:rsidRPr="008039B9">
        <w:t>(2020). Measurement of turbidity using an 850 nm light-emitting diode.</w:t>
      </w:r>
      <w:proofErr w:type="gramEnd"/>
      <w:r w:rsidRPr="008039B9">
        <w:t xml:space="preserve"> </w:t>
      </w:r>
      <w:proofErr w:type="gramStart"/>
      <w:r w:rsidRPr="008039B9">
        <w:rPr>
          <w:rStyle w:val="Emphasis"/>
          <w:rFonts w:eastAsia="Calibri"/>
        </w:rPr>
        <w:t>Sensors and Materials</w:t>
      </w:r>
      <w:r w:rsidRPr="008039B9">
        <w:t xml:space="preserve">, </w:t>
      </w:r>
      <w:r w:rsidRPr="008039B9">
        <w:rPr>
          <w:rStyle w:val="Emphasis"/>
          <w:rFonts w:eastAsia="Calibri"/>
        </w:rPr>
        <w:t>32</w:t>
      </w:r>
      <w:r w:rsidRPr="008039B9">
        <w:t>(12), 4169.</w:t>
      </w:r>
      <w:proofErr w:type="gramEnd"/>
      <w:r w:rsidRPr="008039B9">
        <w:t xml:space="preserve"> </w:t>
      </w:r>
      <w:hyperlink r:id="rId34" w:history="1">
        <w:r w:rsidRPr="008039B9">
          <w:rPr>
            <w:rStyle w:val="Hyperlink"/>
          </w:rPr>
          <w:t>https://doi.org/10.18494/sam.2020.2760</w:t>
        </w:r>
      </w:hyperlink>
    </w:p>
    <w:p w14:paraId="4727C98A" w14:textId="77777777" w:rsidR="00E306B7" w:rsidRPr="008039B9" w:rsidRDefault="00E306B7" w:rsidP="00E306B7">
      <w:pPr>
        <w:pStyle w:val="whitespace-normal"/>
        <w:jc w:val="both"/>
      </w:pPr>
      <w:r w:rsidRPr="008039B9">
        <w:lastRenderedPageBreak/>
        <w:t xml:space="preserve">Kumar, P. (2021). </w:t>
      </w:r>
      <w:proofErr w:type="gramStart"/>
      <w:r w:rsidRPr="008039B9">
        <w:t>Water quality assessments for urban water environment.</w:t>
      </w:r>
      <w:proofErr w:type="gramEnd"/>
      <w:r w:rsidRPr="008039B9">
        <w:t xml:space="preserve"> </w:t>
      </w:r>
      <w:proofErr w:type="gramStart"/>
      <w:r w:rsidRPr="008039B9">
        <w:rPr>
          <w:rStyle w:val="Emphasis"/>
          <w:rFonts w:eastAsia="Calibri"/>
        </w:rPr>
        <w:t>Water</w:t>
      </w:r>
      <w:r w:rsidRPr="008039B9">
        <w:t xml:space="preserve">, </w:t>
      </w:r>
      <w:r w:rsidRPr="008039B9">
        <w:rPr>
          <w:rStyle w:val="Emphasis"/>
          <w:rFonts w:eastAsia="Calibri"/>
        </w:rPr>
        <w:t>13</w:t>
      </w:r>
      <w:r w:rsidRPr="008039B9">
        <w:t>(12), 1686.</w:t>
      </w:r>
      <w:proofErr w:type="gramEnd"/>
      <w:r w:rsidRPr="008039B9">
        <w:t xml:space="preserve"> </w:t>
      </w:r>
      <w:hyperlink r:id="rId35" w:history="1">
        <w:r w:rsidRPr="008039B9">
          <w:rPr>
            <w:rStyle w:val="Hyperlink"/>
          </w:rPr>
          <w:t>https://doi.org/10.3390/w13121686</w:t>
        </w:r>
      </w:hyperlink>
    </w:p>
    <w:p w14:paraId="5C6B8B06" w14:textId="77777777" w:rsidR="00E306B7" w:rsidRPr="008039B9" w:rsidRDefault="00E306B7" w:rsidP="00E306B7">
      <w:pPr>
        <w:pStyle w:val="whitespace-normal"/>
        <w:jc w:val="both"/>
      </w:pPr>
      <w:proofErr w:type="gramStart"/>
      <w:r w:rsidRPr="008039B9">
        <w:t xml:space="preserve">Lee, S.-H., </w:t>
      </w:r>
      <w:proofErr w:type="spellStart"/>
      <w:r w:rsidRPr="008039B9">
        <w:t>Mun</w:t>
      </w:r>
      <w:proofErr w:type="spellEnd"/>
      <w:r w:rsidRPr="008039B9">
        <w:t>, K.-H., Kim, N.-Y.-S., &amp; Kim, J.-B.</w:t>
      </w:r>
      <w:proofErr w:type="gramEnd"/>
      <w:r w:rsidRPr="008039B9">
        <w:t xml:space="preserve"> </w:t>
      </w:r>
      <w:proofErr w:type="gramStart"/>
      <w:r w:rsidRPr="008039B9">
        <w:t>(2019). Isolation and identification of false positive and false negative strains on coliform dry rehydratable film.</w:t>
      </w:r>
      <w:proofErr w:type="gramEnd"/>
      <w:r w:rsidRPr="008039B9">
        <w:t xml:space="preserve"> </w:t>
      </w:r>
      <w:proofErr w:type="spellStart"/>
      <w:r w:rsidRPr="008039B9">
        <w:rPr>
          <w:rStyle w:val="Emphasis"/>
          <w:rFonts w:eastAsia="Calibri"/>
        </w:rPr>
        <w:t>Han'gug</w:t>
      </w:r>
      <w:proofErr w:type="spellEnd"/>
      <w:r w:rsidRPr="008039B9">
        <w:rPr>
          <w:rStyle w:val="Emphasis"/>
          <w:rFonts w:eastAsia="Calibri"/>
        </w:rPr>
        <w:t xml:space="preserve"> </w:t>
      </w:r>
      <w:proofErr w:type="spellStart"/>
      <w:r w:rsidRPr="008039B9">
        <w:rPr>
          <w:rStyle w:val="Emphasis"/>
          <w:rFonts w:eastAsia="Calibri"/>
        </w:rPr>
        <w:t>Sigpum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Haghoeji</w:t>
      </w:r>
      <w:proofErr w:type="spellEnd"/>
      <w:r w:rsidRPr="008039B9">
        <w:rPr>
          <w:rStyle w:val="Emphasis"/>
          <w:rFonts w:eastAsia="Calibri"/>
        </w:rPr>
        <w:t>/Han-</w:t>
      </w:r>
      <w:proofErr w:type="spellStart"/>
      <w:r w:rsidRPr="008039B9">
        <w:rPr>
          <w:rStyle w:val="Emphasis"/>
          <w:rFonts w:eastAsia="Calibri"/>
        </w:rPr>
        <w:t>Guk</w:t>
      </w:r>
      <w:proofErr w:type="spellEnd"/>
      <w:r w:rsidRPr="008039B9">
        <w:rPr>
          <w:rStyle w:val="Emphasis"/>
          <w:rFonts w:eastAsia="Calibri"/>
        </w:rPr>
        <w:t xml:space="preserve"> </w:t>
      </w:r>
      <w:proofErr w:type="spellStart"/>
      <w:r w:rsidRPr="008039B9">
        <w:rPr>
          <w:rStyle w:val="Emphasis"/>
          <w:rFonts w:eastAsia="Calibri"/>
        </w:rPr>
        <w:t>Sikpum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Hakoeji</w:t>
      </w:r>
      <w:proofErr w:type="spellEnd"/>
      <w:r w:rsidRPr="008039B9">
        <w:t xml:space="preserve">, </w:t>
      </w:r>
      <w:r w:rsidRPr="008039B9">
        <w:rPr>
          <w:rStyle w:val="Emphasis"/>
          <w:rFonts w:eastAsia="Calibri"/>
        </w:rPr>
        <w:t>26</w:t>
      </w:r>
      <w:r w:rsidRPr="008039B9">
        <w:t xml:space="preserve">(3), 330–335. </w:t>
      </w:r>
      <w:hyperlink r:id="rId36" w:history="1">
        <w:r w:rsidRPr="008039B9">
          <w:rPr>
            <w:rStyle w:val="Hyperlink"/>
          </w:rPr>
          <w:t>https://doi.org/10.11002/kjfp.2019.26.3.330</w:t>
        </w:r>
      </w:hyperlink>
    </w:p>
    <w:p w14:paraId="24C1417E" w14:textId="77777777" w:rsidR="00E306B7" w:rsidRPr="008039B9" w:rsidRDefault="00E306B7" w:rsidP="00E306B7">
      <w:pPr>
        <w:pStyle w:val="whitespace-normal"/>
        <w:jc w:val="both"/>
      </w:pPr>
      <w:r w:rsidRPr="008039B9">
        <w:t xml:space="preserve">Liu, H., Ren, L., </w:t>
      </w:r>
      <w:proofErr w:type="spellStart"/>
      <w:r w:rsidRPr="008039B9">
        <w:t>Zhuo</w:t>
      </w:r>
      <w:proofErr w:type="spellEnd"/>
      <w:r w:rsidRPr="008039B9">
        <w:t xml:space="preserve">, H. S., &amp; Fu, S. (2019). Water footprint and water pinch analysis in ethanol industrial production for water management. </w:t>
      </w:r>
      <w:proofErr w:type="gramStart"/>
      <w:r w:rsidRPr="008039B9">
        <w:rPr>
          <w:rStyle w:val="Emphasis"/>
          <w:rFonts w:eastAsia="Calibri"/>
        </w:rPr>
        <w:t>Water</w:t>
      </w:r>
      <w:r w:rsidRPr="008039B9">
        <w:t xml:space="preserve">, </w:t>
      </w:r>
      <w:r w:rsidRPr="008039B9">
        <w:rPr>
          <w:rStyle w:val="Emphasis"/>
          <w:rFonts w:eastAsia="Calibri"/>
        </w:rPr>
        <w:t>11</w:t>
      </w:r>
      <w:r w:rsidRPr="008039B9">
        <w:t>(3), 518.</w:t>
      </w:r>
      <w:proofErr w:type="gramEnd"/>
      <w:r w:rsidRPr="008039B9">
        <w:t xml:space="preserve"> </w:t>
      </w:r>
      <w:hyperlink r:id="rId37" w:history="1">
        <w:r w:rsidRPr="008039B9">
          <w:rPr>
            <w:rStyle w:val="Hyperlink"/>
          </w:rPr>
          <w:t>https://doi.org/10.3390/w11030518</w:t>
        </w:r>
      </w:hyperlink>
    </w:p>
    <w:p w14:paraId="24FA5039" w14:textId="77777777" w:rsidR="00E306B7" w:rsidRPr="008039B9" w:rsidRDefault="00E306B7" w:rsidP="00E306B7">
      <w:pPr>
        <w:pStyle w:val="whitespace-normal"/>
        <w:jc w:val="both"/>
      </w:pPr>
      <w:r w:rsidRPr="008039B9">
        <w:t xml:space="preserve">Majid, A. (2018). </w:t>
      </w:r>
      <w:proofErr w:type="gramStart"/>
      <w:r w:rsidRPr="008039B9">
        <w:t>The activity of antioxidants enzymes and NPK contents as affected by water quality, kinetin, bio, and organic fertilization in lettuce (</w:t>
      </w:r>
      <w:proofErr w:type="spellStart"/>
      <w:r w:rsidRPr="008039B9">
        <w:t>Lactuca</w:t>
      </w:r>
      <w:proofErr w:type="spellEnd"/>
      <w:r w:rsidRPr="008039B9">
        <w:t xml:space="preserve"> sativa L.).</w:t>
      </w:r>
      <w:proofErr w:type="gramEnd"/>
      <w:r w:rsidRPr="008039B9">
        <w:t xml:space="preserve"> </w:t>
      </w:r>
      <w:proofErr w:type="gramStart"/>
      <w:r w:rsidRPr="008039B9">
        <w:rPr>
          <w:rStyle w:val="Emphasis"/>
          <w:rFonts w:eastAsia="Calibri"/>
        </w:rPr>
        <w:t>Iraqi Journal of Agricultural Science</w:t>
      </w:r>
      <w:r w:rsidRPr="008039B9">
        <w:t xml:space="preserve">, </w:t>
      </w:r>
      <w:r w:rsidRPr="008039B9">
        <w:rPr>
          <w:rStyle w:val="Emphasis"/>
          <w:rFonts w:eastAsia="Calibri"/>
        </w:rPr>
        <w:t>49</w:t>
      </w:r>
      <w:r w:rsidRPr="008039B9">
        <w:t>(3).</w:t>
      </w:r>
      <w:proofErr w:type="gramEnd"/>
      <w:r w:rsidRPr="008039B9">
        <w:t xml:space="preserve"> </w:t>
      </w:r>
      <w:hyperlink r:id="rId38" w:history="1">
        <w:r w:rsidRPr="008039B9">
          <w:rPr>
            <w:rStyle w:val="Hyperlink"/>
          </w:rPr>
          <w:t>https://doi.org/10.36103/ijas.v49i3.123</w:t>
        </w:r>
      </w:hyperlink>
    </w:p>
    <w:p w14:paraId="31E45F31" w14:textId="77777777" w:rsidR="00E306B7" w:rsidRPr="008039B9" w:rsidRDefault="00E306B7" w:rsidP="00E306B7">
      <w:pPr>
        <w:pStyle w:val="whitespace-normal"/>
        <w:jc w:val="both"/>
      </w:pPr>
      <w:proofErr w:type="gramStart"/>
      <w:r w:rsidRPr="008039B9">
        <w:t xml:space="preserve">McDonald, N., </w:t>
      </w:r>
      <w:proofErr w:type="spellStart"/>
      <w:r w:rsidRPr="008039B9">
        <w:t>Achterberg</w:t>
      </w:r>
      <w:proofErr w:type="spellEnd"/>
      <w:r w:rsidRPr="008039B9">
        <w:t>, E. P., Carlson, C. A., Gledhill, M., Liu, S., Matheson-Barker, J. R., &amp; Parsons, R. (2019).</w:t>
      </w:r>
      <w:proofErr w:type="gramEnd"/>
      <w:r w:rsidRPr="008039B9">
        <w:t xml:space="preserve"> </w:t>
      </w:r>
      <w:proofErr w:type="gramStart"/>
      <w:r w:rsidRPr="008039B9">
        <w:t>The role of heterotrophic bacteria and archaea in the transformation of lignin in the open ocean.</w:t>
      </w:r>
      <w:proofErr w:type="gramEnd"/>
      <w:r w:rsidRPr="008039B9">
        <w:t xml:space="preserve"> </w:t>
      </w:r>
      <w:proofErr w:type="gramStart"/>
      <w:r w:rsidRPr="008039B9">
        <w:rPr>
          <w:rStyle w:val="Emphasis"/>
          <w:rFonts w:eastAsia="Calibri"/>
        </w:rPr>
        <w:t>Frontiers in Marine Science</w:t>
      </w:r>
      <w:r w:rsidRPr="008039B9">
        <w:t xml:space="preserve">, </w:t>
      </w:r>
      <w:r w:rsidRPr="008039B9">
        <w:rPr>
          <w:rStyle w:val="Emphasis"/>
          <w:rFonts w:eastAsia="Calibri"/>
        </w:rPr>
        <w:t>6</w:t>
      </w:r>
      <w:r w:rsidRPr="008039B9">
        <w:t>.</w:t>
      </w:r>
      <w:proofErr w:type="gramEnd"/>
      <w:r w:rsidRPr="008039B9">
        <w:t xml:space="preserve"> </w:t>
      </w:r>
      <w:hyperlink r:id="rId39" w:history="1">
        <w:r w:rsidRPr="008039B9">
          <w:rPr>
            <w:rStyle w:val="Hyperlink"/>
          </w:rPr>
          <w:t>https://doi.org/10.3389/fmars.2019.00743</w:t>
        </w:r>
      </w:hyperlink>
    </w:p>
    <w:p w14:paraId="2124B564" w14:textId="77777777" w:rsidR="00E306B7" w:rsidRPr="008039B9" w:rsidRDefault="00E306B7" w:rsidP="00E306B7">
      <w:pPr>
        <w:pStyle w:val="whitespace-normal"/>
        <w:jc w:val="both"/>
      </w:pPr>
      <w:proofErr w:type="spellStart"/>
      <w:proofErr w:type="gramStart"/>
      <w:r w:rsidRPr="008039B9">
        <w:t>Mennane</w:t>
      </w:r>
      <w:proofErr w:type="spellEnd"/>
      <w:r w:rsidRPr="008039B9">
        <w:t xml:space="preserve">, Z., </w:t>
      </w:r>
      <w:proofErr w:type="spellStart"/>
      <w:r w:rsidRPr="008039B9">
        <w:t>Abrini</w:t>
      </w:r>
      <w:proofErr w:type="spellEnd"/>
      <w:r w:rsidRPr="008039B9">
        <w:t xml:space="preserve">, J., &amp; El </w:t>
      </w:r>
      <w:proofErr w:type="spellStart"/>
      <w:r w:rsidRPr="008039B9">
        <w:t>Mtili</w:t>
      </w:r>
      <w:proofErr w:type="spellEnd"/>
      <w:r w:rsidRPr="008039B9">
        <w:t>, N. (2021).</w:t>
      </w:r>
      <w:proofErr w:type="gramEnd"/>
      <w:r w:rsidRPr="008039B9">
        <w:t xml:space="preserve"> Hygienic quality, study of </w:t>
      </w:r>
      <w:proofErr w:type="spellStart"/>
      <w:r w:rsidRPr="008039B9">
        <w:t>enterobacteria</w:t>
      </w:r>
      <w:proofErr w:type="spellEnd"/>
      <w:r w:rsidRPr="008039B9">
        <w:t xml:space="preserve"> isolated from table olives and antimicrobial activity of </w:t>
      </w:r>
      <w:proofErr w:type="spellStart"/>
      <w:r w:rsidRPr="008039B9">
        <w:t>Olea</w:t>
      </w:r>
      <w:proofErr w:type="spellEnd"/>
      <w:r w:rsidRPr="008039B9">
        <w:t xml:space="preserve"> </w:t>
      </w:r>
      <w:proofErr w:type="spellStart"/>
      <w:r w:rsidRPr="008039B9">
        <w:t>europaea</w:t>
      </w:r>
      <w:proofErr w:type="spellEnd"/>
      <w:r w:rsidRPr="008039B9">
        <w:t xml:space="preserve"> L. from </w:t>
      </w:r>
      <w:proofErr w:type="spellStart"/>
      <w:r w:rsidRPr="008039B9">
        <w:t>Tetouan</w:t>
      </w:r>
      <w:proofErr w:type="spellEnd"/>
      <w:r w:rsidRPr="008039B9">
        <w:t xml:space="preserve">, Morocco. </w:t>
      </w:r>
      <w:proofErr w:type="gramStart"/>
      <w:r w:rsidRPr="008039B9">
        <w:rPr>
          <w:rStyle w:val="Emphasis"/>
          <w:rFonts w:eastAsia="Calibri"/>
        </w:rPr>
        <w:t>E3S Web of Conferences</w:t>
      </w:r>
      <w:r w:rsidRPr="008039B9">
        <w:t xml:space="preserve">, </w:t>
      </w:r>
      <w:r w:rsidRPr="008039B9">
        <w:rPr>
          <w:rStyle w:val="Emphasis"/>
          <w:rFonts w:eastAsia="Calibri"/>
        </w:rPr>
        <w:t>319</w:t>
      </w:r>
      <w:r w:rsidRPr="008039B9">
        <w:t>, 1088.</w:t>
      </w:r>
      <w:proofErr w:type="gramEnd"/>
      <w:r w:rsidRPr="008039B9">
        <w:t xml:space="preserve"> </w:t>
      </w:r>
      <w:hyperlink r:id="rId40" w:history="1">
        <w:r w:rsidRPr="008039B9">
          <w:rPr>
            <w:rStyle w:val="Hyperlink"/>
          </w:rPr>
          <w:t>https://doi.org/10.1051/e3sconf/202131901088</w:t>
        </w:r>
      </w:hyperlink>
    </w:p>
    <w:p w14:paraId="184F87F6" w14:textId="77777777" w:rsidR="00E306B7" w:rsidRPr="008039B9" w:rsidRDefault="00E306B7" w:rsidP="00E306B7">
      <w:pPr>
        <w:pStyle w:val="whitespace-normal"/>
        <w:jc w:val="both"/>
      </w:pPr>
      <w:proofErr w:type="gramStart"/>
      <w:r w:rsidRPr="008039B9">
        <w:t xml:space="preserve">Morley, M. S., &amp; </w:t>
      </w:r>
      <w:proofErr w:type="spellStart"/>
      <w:r w:rsidRPr="008039B9">
        <w:t>Savić</w:t>
      </w:r>
      <w:proofErr w:type="spellEnd"/>
      <w:r w:rsidRPr="008039B9">
        <w:t>, D. (2020).</w:t>
      </w:r>
      <w:proofErr w:type="gramEnd"/>
      <w:r w:rsidRPr="008039B9">
        <w:t xml:space="preserve"> Water resource systems analysis for water scarcity management: The Thames Water case study. </w:t>
      </w:r>
      <w:r w:rsidRPr="008039B9">
        <w:rPr>
          <w:rStyle w:val="Emphasis"/>
          <w:rFonts w:eastAsia="Calibri"/>
        </w:rPr>
        <w:t>Water</w:t>
      </w:r>
      <w:r w:rsidRPr="008039B9">
        <w:t xml:space="preserve">, </w:t>
      </w:r>
      <w:r w:rsidRPr="008039B9">
        <w:rPr>
          <w:rStyle w:val="Emphasis"/>
          <w:rFonts w:eastAsia="Calibri"/>
        </w:rPr>
        <w:t>12</w:t>
      </w:r>
      <w:r w:rsidRPr="008039B9">
        <w:t xml:space="preserve">(6), 1761. </w:t>
      </w:r>
      <w:hyperlink r:id="rId41" w:history="1">
        <w:r w:rsidRPr="008039B9">
          <w:rPr>
            <w:rStyle w:val="Hyperlink"/>
          </w:rPr>
          <w:t>https://doi.org/10.3390/w12061761</w:t>
        </w:r>
      </w:hyperlink>
    </w:p>
    <w:p w14:paraId="3E1F988C" w14:textId="77777777" w:rsidR="00E306B7" w:rsidRPr="008039B9" w:rsidRDefault="00E306B7" w:rsidP="00E306B7">
      <w:pPr>
        <w:pStyle w:val="whitespace-normal"/>
        <w:jc w:val="both"/>
      </w:pPr>
      <w:proofErr w:type="spellStart"/>
      <w:r w:rsidRPr="008039B9">
        <w:t>Mourad</w:t>
      </w:r>
      <w:proofErr w:type="spellEnd"/>
      <w:r w:rsidRPr="008039B9">
        <w:t xml:space="preserve">, K. A. (2020). </w:t>
      </w:r>
      <w:proofErr w:type="gramStart"/>
      <w:r w:rsidRPr="008039B9">
        <w:t>A water compact for sustainable water management.</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12</w:t>
      </w:r>
      <w:r w:rsidRPr="008039B9">
        <w:t>(18), 7339.</w:t>
      </w:r>
      <w:proofErr w:type="gramEnd"/>
      <w:r w:rsidRPr="008039B9">
        <w:t xml:space="preserve"> </w:t>
      </w:r>
      <w:hyperlink r:id="rId42" w:history="1">
        <w:r w:rsidRPr="008039B9">
          <w:rPr>
            <w:rStyle w:val="Hyperlink"/>
          </w:rPr>
          <w:t>https://doi.org/10.3390/su12187339</w:t>
        </w:r>
      </w:hyperlink>
    </w:p>
    <w:p w14:paraId="5D2C04D4" w14:textId="77777777" w:rsidR="00E306B7" w:rsidRPr="008039B9" w:rsidRDefault="00E306B7" w:rsidP="00E306B7">
      <w:pPr>
        <w:pStyle w:val="whitespace-normal"/>
        <w:jc w:val="both"/>
      </w:pPr>
      <w:proofErr w:type="gramStart"/>
      <w:r w:rsidRPr="008039B9">
        <w:t>Myles, I. A., &amp; Hope, J. M. (2019).</w:t>
      </w:r>
      <w:proofErr w:type="gramEnd"/>
      <w:r w:rsidRPr="008039B9">
        <w:t xml:space="preserve"> PCR-based detection of pathogens in environmental water samples: A comparison of methodologies. </w:t>
      </w:r>
      <w:r w:rsidRPr="008039B9">
        <w:rPr>
          <w:rStyle w:val="Emphasis"/>
          <w:rFonts w:eastAsia="Calibri"/>
        </w:rPr>
        <w:t>Applied and Environmental Microbiology</w:t>
      </w:r>
      <w:r w:rsidRPr="008039B9">
        <w:t xml:space="preserve">, </w:t>
      </w:r>
      <w:r w:rsidRPr="008039B9">
        <w:rPr>
          <w:rStyle w:val="Emphasis"/>
          <w:rFonts w:eastAsia="Calibri"/>
        </w:rPr>
        <w:t>85</w:t>
      </w:r>
      <w:r w:rsidRPr="008039B9">
        <w:t>(6), 0001-0010.</w:t>
      </w:r>
    </w:p>
    <w:p w14:paraId="7CC22E46" w14:textId="77777777" w:rsidR="00E306B7" w:rsidRPr="008039B9" w:rsidRDefault="00E306B7" w:rsidP="00E306B7">
      <w:pPr>
        <w:pStyle w:val="whitespace-normal"/>
        <w:jc w:val="both"/>
      </w:pPr>
      <w:proofErr w:type="spellStart"/>
      <w:proofErr w:type="gramStart"/>
      <w:r w:rsidRPr="008039B9">
        <w:t>Nwachukwu</w:t>
      </w:r>
      <w:proofErr w:type="spellEnd"/>
      <w:r w:rsidRPr="008039B9">
        <w:t xml:space="preserve">, M. I., &amp; </w:t>
      </w:r>
      <w:proofErr w:type="spellStart"/>
      <w:r w:rsidRPr="008039B9">
        <w:t>Umeh</w:t>
      </w:r>
      <w:proofErr w:type="spellEnd"/>
      <w:r w:rsidRPr="008039B9">
        <w:t>, A. C. (2022).</w:t>
      </w:r>
      <w:proofErr w:type="gramEnd"/>
      <w:r w:rsidRPr="008039B9">
        <w:t xml:space="preserve"> Physicochemical and microbiological quality of packaged drinking water sold in </w:t>
      </w:r>
      <w:proofErr w:type="spellStart"/>
      <w:r w:rsidRPr="008039B9">
        <w:t>Owerri</w:t>
      </w:r>
      <w:proofErr w:type="spellEnd"/>
      <w:r w:rsidRPr="008039B9">
        <w:t xml:space="preserve">, Nigeria. </w:t>
      </w:r>
      <w:r w:rsidRPr="008039B9">
        <w:rPr>
          <w:rStyle w:val="Emphasis"/>
          <w:rFonts w:eastAsia="Calibri"/>
        </w:rPr>
        <w:t>Scientific African</w:t>
      </w:r>
      <w:r w:rsidRPr="008039B9">
        <w:t xml:space="preserve">, </w:t>
      </w:r>
      <w:r w:rsidRPr="008039B9">
        <w:rPr>
          <w:rStyle w:val="Emphasis"/>
          <w:rFonts w:eastAsia="Calibri"/>
        </w:rPr>
        <w:t>15</w:t>
      </w:r>
      <w:r w:rsidRPr="008039B9">
        <w:t xml:space="preserve">, e01031. </w:t>
      </w:r>
      <w:hyperlink r:id="rId43" w:history="1">
        <w:r w:rsidRPr="008039B9">
          <w:rPr>
            <w:rStyle w:val="Hyperlink"/>
          </w:rPr>
          <w:t>https://doi.org/10.1016/j.sciaf.2022.e01031</w:t>
        </w:r>
      </w:hyperlink>
    </w:p>
    <w:p w14:paraId="40763DE6" w14:textId="77777777" w:rsidR="00E306B7" w:rsidRPr="008039B9" w:rsidRDefault="00E306B7" w:rsidP="00E306B7">
      <w:pPr>
        <w:pStyle w:val="whitespace-normal"/>
        <w:jc w:val="both"/>
      </w:pPr>
      <w:proofErr w:type="spellStart"/>
      <w:proofErr w:type="gramStart"/>
      <w:r w:rsidRPr="008039B9">
        <w:t>Ogundele</w:t>
      </w:r>
      <w:proofErr w:type="spellEnd"/>
      <w:r w:rsidRPr="008039B9">
        <w:t xml:space="preserve">, A. A., </w:t>
      </w:r>
      <w:proofErr w:type="spellStart"/>
      <w:r w:rsidRPr="008039B9">
        <w:t>Omotayo</w:t>
      </w:r>
      <w:proofErr w:type="spellEnd"/>
      <w:r w:rsidRPr="008039B9">
        <w:t xml:space="preserve">, M. I., &amp; </w:t>
      </w:r>
      <w:proofErr w:type="spellStart"/>
      <w:r w:rsidRPr="008039B9">
        <w:t>Akintunde</w:t>
      </w:r>
      <w:proofErr w:type="spellEnd"/>
      <w:r w:rsidRPr="008039B9">
        <w:t>, O. E. (2021).</w:t>
      </w:r>
      <w:proofErr w:type="gramEnd"/>
      <w:r w:rsidRPr="008039B9">
        <w:t xml:space="preserve"> </w:t>
      </w:r>
      <w:proofErr w:type="gramStart"/>
      <w:r w:rsidRPr="008039B9">
        <w:t>Seasonal variations in the turbidity of water sources in Southwestern Nigeria.</w:t>
      </w:r>
      <w:proofErr w:type="gramEnd"/>
      <w:r w:rsidRPr="008039B9">
        <w:t xml:space="preserve"> </w:t>
      </w:r>
      <w:r w:rsidRPr="008039B9">
        <w:rPr>
          <w:rStyle w:val="Emphasis"/>
          <w:rFonts w:eastAsia="Calibri"/>
        </w:rPr>
        <w:t>Hydrology Research Journal</w:t>
      </w:r>
      <w:r w:rsidRPr="008039B9">
        <w:t xml:space="preserve">, </w:t>
      </w:r>
      <w:r w:rsidRPr="008039B9">
        <w:rPr>
          <w:rStyle w:val="Emphasis"/>
          <w:rFonts w:eastAsia="Calibri"/>
        </w:rPr>
        <w:t>12</w:t>
      </w:r>
      <w:r w:rsidRPr="008039B9">
        <w:t>(2), 201–212.</w:t>
      </w:r>
    </w:p>
    <w:p w14:paraId="13316DCF" w14:textId="77777777" w:rsidR="00E306B7" w:rsidRPr="008039B9" w:rsidRDefault="00E306B7" w:rsidP="00E306B7">
      <w:pPr>
        <w:pStyle w:val="whitespace-normal"/>
        <w:jc w:val="both"/>
      </w:pPr>
      <w:proofErr w:type="spellStart"/>
      <w:proofErr w:type="gramStart"/>
      <w:r w:rsidRPr="008039B9">
        <w:t>Ogungbe</w:t>
      </w:r>
      <w:proofErr w:type="spellEnd"/>
      <w:r w:rsidRPr="008039B9">
        <w:t xml:space="preserve">, O., </w:t>
      </w:r>
      <w:proofErr w:type="spellStart"/>
      <w:r w:rsidRPr="008039B9">
        <w:t>Fashola</w:t>
      </w:r>
      <w:proofErr w:type="spellEnd"/>
      <w:r w:rsidRPr="008039B9">
        <w:t xml:space="preserve">, A. A., &amp; </w:t>
      </w:r>
      <w:proofErr w:type="spellStart"/>
      <w:r w:rsidRPr="008039B9">
        <w:t>Oduola</w:t>
      </w:r>
      <w:proofErr w:type="spellEnd"/>
      <w:r w:rsidRPr="008039B9">
        <w:t>, A. (2022).</w:t>
      </w:r>
      <w:proofErr w:type="gramEnd"/>
      <w:r w:rsidRPr="008039B9">
        <w:t xml:space="preserve"> Climate change and water resource challenges in Nigeria: A review. </w:t>
      </w:r>
      <w:r w:rsidRPr="008039B9">
        <w:rPr>
          <w:rStyle w:val="Emphasis"/>
          <w:rFonts w:eastAsia="Calibri"/>
        </w:rPr>
        <w:t>Environmental Sustainability Journal</w:t>
      </w:r>
      <w:r w:rsidRPr="008039B9">
        <w:t xml:space="preserve">, </w:t>
      </w:r>
      <w:r w:rsidRPr="008039B9">
        <w:rPr>
          <w:rStyle w:val="Emphasis"/>
          <w:rFonts w:eastAsia="Calibri"/>
        </w:rPr>
        <w:t>7</w:t>
      </w:r>
      <w:r w:rsidRPr="008039B9">
        <w:t>(1), 34–49.</w:t>
      </w:r>
    </w:p>
    <w:p w14:paraId="6A4E5C16" w14:textId="77777777" w:rsidR="00E306B7" w:rsidRPr="008039B9" w:rsidRDefault="00E306B7" w:rsidP="00E306B7">
      <w:pPr>
        <w:pStyle w:val="whitespace-normal"/>
        <w:jc w:val="both"/>
      </w:pPr>
      <w:proofErr w:type="spellStart"/>
      <w:proofErr w:type="gramStart"/>
      <w:r w:rsidRPr="008039B9">
        <w:t>Ogunjobi</w:t>
      </w:r>
      <w:proofErr w:type="spellEnd"/>
      <w:r w:rsidRPr="008039B9">
        <w:t xml:space="preserve">, A. O., &amp; </w:t>
      </w:r>
      <w:proofErr w:type="spellStart"/>
      <w:r w:rsidRPr="008039B9">
        <w:t>Ayodele</w:t>
      </w:r>
      <w:proofErr w:type="spellEnd"/>
      <w:r w:rsidRPr="008039B9">
        <w:t>, M. M. (2021).</w:t>
      </w:r>
      <w:proofErr w:type="gramEnd"/>
      <w:r w:rsidRPr="008039B9">
        <w:t xml:space="preserve"> Challenges in the regulation of sachet water production in Nigeria. </w:t>
      </w:r>
      <w:r w:rsidRPr="008039B9">
        <w:rPr>
          <w:rStyle w:val="Emphasis"/>
          <w:rFonts w:eastAsia="Calibri"/>
        </w:rPr>
        <w:t>Journal of Water and Health</w:t>
      </w:r>
      <w:r w:rsidRPr="008039B9">
        <w:t xml:space="preserve">, </w:t>
      </w:r>
      <w:r w:rsidRPr="008039B9">
        <w:rPr>
          <w:rStyle w:val="Emphasis"/>
          <w:rFonts w:eastAsia="Calibri"/>
        </w:rPr>
        <w:t>19</w:t>
      </w:r>
      <w:r w:rsidRPr="008039B9">
        <w:t>(2), 251-259.</w:t>
      </w:r>
    </w:p>
    <w:p w14:paraId="5B2FB98B" w14:textId="77777777" w:rsidR="00E306B7" w:rsidRPr="008039B9" w:rsidRDefault="00E306B7" w:rsidP="00E306B7">
      <w:pPr>
        <w:pStyle w:val="whitespace-normal"/>
        <w:jc w:val="both"/>
      </w:pPr>
      <w:proofErr w:type="spellStart"/>
      <w:proofErr w:type="gramStart"/>
      <w:r w:rsidRPr="008039B9">
        <w:lastRenderedPageBreak/>
        <w:t>Ojekunle</w:t>
      </w:r>
      <w:proofErr w:type="spellEnd"/>
      <w:r w:rsidRPr="008039B9">
        <w:t xml:space="preserve">, O. Z., </w:t>
      </w:r>
      <w:proofErr w:type="spellStart"/>
      <w:r w:rsidRPr="008039B9">
        <w:t>Adedapo</w:t>
      </w:r>
      <w:proofErr w:type="spellEnd"/>
      <w:r w:rsidRPr="008039B9">
        <w:t xml:space="preserve">, M. O., &amp; </w:t>
      </w:r>
      <w:proofErr w:type="spellStart"/>
      <w:r w:rsidRPr="008039B9">
        <w:t>Akinola</w:t>
      </w:r>
      <w:proofErr w:type="spellEnd"/>
      <w:r w:rsidRPr="008039B9">
        <w:t>, S. O. (2020).</w:t>
      </w:r>
      <w:proofErr w:type="gramEnd"/>
      <w:r w:rsidRPr="008039B9">
        <w:t xml:space="preserve"> </w:t>
      </w:r>
      <w:proofErr w:type="gramStart"/>
      <w:r w:rsidRPr="008039B9">
        <w:t>Eutrophication and its impact on aquatic biodiversity in Ogun River.</w:t>
      </w:r>
      <w:proofErr w:type="gramEnd"/>
      <w:r w:rsidRPr="008039B9">
        <w:t xml:space="preserve"> </w:t>
      </w:r>
      <w:r w:rsidRPr="008039B9">
        <w:rPr>
          <w:rStyle w:val="Emphasis"/>
          <w:rFonts w:eastAsia="Calibri"/>
        </w:rPr>
        <w:t>Nigerian Journal of Environmental Studies</w:t>
      </w:r>
      <w:r w:rsidRPr="008039B9">
        <w:t xml:space="preserve">, </w:t>
      </w:r>
      <w:r w:rsidRPr="008039B9">
        <w:rPr>
          <w:rStyle w:val="Emphasis"/>
          <w:rFonts w:eastAsia="Calibri"/>
        </w:rPr>
        <w:t>15</w:t>
      </w:r>
      <w:r w:rsidRPr="008039B9">
        <w:t>(4), 250–267.</w:t>
      </w:r>
    </w:p>
    <w:p w14:paraId="50EDE582" w14:textId="77777777" w:rsidR="00E306B7" w:rsidRPr="008039B9" w:rsidRDefault="00E306B7" w:rsidP="00E306B7">
      <w:pPr>
        <w:pStyle w:val="whitespace-normal"/>
        <w:jc w:val="both"/>
      </w:pPr>
      <w:proofErr w:type="spellStart"/>
      <w:proofErr w:type="gramStart"/>
      <w:r w:rsidRPr="008039B9">
        <w:t>Okeola</w:t>
      </w:r>
      <w:proofErr w:type="spellEnd"/>
      <w:r w:rsidRPr="008039B9">
        <w:t xml:space="preserve">, F. O., Abu, T., Mohammed, A. A., </w:t>
      </w:r>
      <w:proofErr w:type="spellStart"/>
      <w:r w:rsidRPr="008039B9">
        <w:t>Orosun</w:t>
      </w:r>
      <w:proofErr w:type="spellEnd"/>
      <w:r w:rsidRPr="008039B9">
        <w:t xml:space="preserve">, M. M., </w:t>
      </w:r>
      <w:proofErr w:type="spellStart"/>
      <w:r w:rsidRPr="008039B9">
        <w:t>Obinaike</w:t>
      </w:r>
      <w:proofErr w:type="spellEnd"/>
      <w:r w:rsidRPr="008039B9">
        <w:t>, M., &amp; Mariam, A. (2021).</w:t>
      </w:r>
      <w:proofErr w:type="gramEnd"/>
      <w:r w:rsidRPr="008039B9">
        <w:t xml:space="preserve"> Investigation on the storage stability of packaged water commonly produced in Ilorin Metropolis, Kwara State, Nigeria. </w:t>
      </w:r>
      <w:r w:rsidRPr="008039B9">
        <w:rPr>
          <w:rStyle w:val="Emphasis"/>
          <w:rFonts w:eastAsia="Calibri"/>
        </w:rPr>
        <w:t>Research Square</w:t>
      </w:r>
      <w:r w:rsidRPr="008039B9">
        <w:t xml:space="preserve">. </w:t>
      </w:r>
      <w:hyperlink r:id="rId44" w:history="1">
        <w:r w:rsidRPr="008039B9">
          <w:rPr>
            <w:rStyle w:val="Hyperlink"/>
          </w:rPr>
          <w:t>https://doi.org/10.21203/rs.3.rs-848220/v1</w:t>
        </w:r>
      </w:hyperlink>
    </w:p>
    <w:p w14:paraId="518A882A" w14:textId="77777777" w:rsidR="00E306B7" w:rsidRPr="008039B9" w:rsidRDefault="00E306B7" w:rsidP="00E306B7">
      <w:pPr>
        <w:pStyle w:val="whitespace-normal"/>
        <w:jc w:val="both"/>
      </w:pPr>
      <w:proofErr w:type="spellStart"/>
      <w:r w:rsidRPr="008039B9">
        <w:t>Okonko</w:t>
      </w:r>
      <w:proofErr w:type="spellEnd"/>
      <w:r w:rsidRPr="008039B9">
        <w:t xml:space="preserve">, I. O., </w:t>
      </w:r>
      <w:proofErr w:type="spellStart"/>
      <w:r w:rsidRPr="008039B9">
        <w:t>Adejoye</w:t>
      </w:r>
      <w:proofErr w:type="spellEnd"/>
      <w:r w:rsidRPr="008039B9">
        <w:t xml:space="preserve">, O. D., </w:t>
      </w:r>
      <w:proofErr w:type="spellStart"/>
      <w:r w:rsidRPr="008039B9">
        <w:t>Ogunnusi</w:t>
      </w:r>
      <w:proofErr w:type="spellEnd"/>
      <w:r w:rsidRPr="008039B9">
        <w:t xml:space="preserve">, T. A., </w:t>
      </w:r>
      <w:proofErr w:type="spellStart"/>
      <w:r w:rsidRPr="008039B9">
        <w:t>Fajobi</w:t>
      </w:r>
      <w:proofErr w:type="spellEnd"/>
      <w:r w:rsidRPr="008039B9">
        <w:t xml:space="preserve">, E. A., &amp; </w:t>
      </w:r>
      <w:proofErr w:type="spellStart"/>
      <w:r w:rsidRPr="008039B9">
        <w:t>Shittu</w:t>
      </w:r>
      <w:proofErr w:type="spellEnd"/>
      <w:r w:rsidRPr="008039B9">
        <w:t xml:space="preserve">, O. B. (2020). Microbiological and physicochemical analysis of different sachet water brands in Abeokuta, Nigeria. </w:t>
      </w:r>
      <w:r w:rsidRPr="008039B9">
        <w:rPr>
          <w:rStyle w:val="Emphasis"/>
          <w:rFonts w:eastAsia="Calibri"/>
        </w:rPr>
        <w:t>African Journal of Biotechnology</w:t>
      </w:r>
      <w:r w:rsidRPr="008039B9">
        <w:t xml:space="preserve">, </w:t>
      </w:r>
      <w:r w:rsidRPr="008039B9">
        <w:rPr>
          <w:rStyle w:val="Emphasis"/>
          <w:rFonts w:eastAsia="Calibri"/>
        </w:rPr>
        <w:t>19</w:t>
      </w:r>
      <w:r w:rsidRPr="008039B9">
        <w:t xml:space="preserve">(22), 1137–1145. </w:t>
      </w:r>
      <w:hyperlink r:id="rId45" w:history="1">
        <w:r w:rsidRPr="008039B9">
          <w:rPr>
            <w:rStyle w:val="Hyperlink"/>
          </w:rPr>
          <w:t>https://doi.org/10.5897/AJB2020.17221</w:t>
        </w:r>
      </w:hyperlink>
    </w:p>
    <w:p w14:paraId="4A96883A" w14:textId="77777777" w:rsidR="00E306B7" w:rsidRPr="008039B9" w:rsidRDefault="00E306B7" w:rsidP="00E306B7">
      <w:pPr>
        <w:pStyle w:val="whitespace-normal"/>
        <w:jc w:val="both"/>
      </w:pPr>
      <w:proofErr w:type="spellStart"/>
      <w:proofErr w:type="gramStart"/>
      <w:r w:rsidRPr="008039B9">
        <w:t>Olaoye</w:t>
      </w:r>
      <w:proofErr w:type="spellEnd"/>
      <w:r w:rsidRPr="008039B9">
        <w:t xml:space="preserve">, O. A., &amp; </w:t>
      </w:r>
      <w:proofErr w:type="spellStart"/>
      <w:r w:rsidRPr="008039B9">
        <w:t>Onilude</w:t>
      </w:r>
      <w:proofErr w:type="spellEnd"/>
      <w:r w:rsidRPr="008039B9">
        <w:t>, A. A. (2020).</w:t>
      </w:r>
      <w:proofErr w:type="gramEnd"/>
      <w:r w:rsidRPr="008039B9">
        <w:t xml:space="preserve"> </w:t>
      </w:r>
      <w:proofErr w:type="gramStart"/>
      <w:r w:rsidRPr="008039B9">
        <w:t>Microbiological quality of sachet-packaged drinking water in Western Nigeria and its public health significance.</w:t>
      </w:r>
      <w:proofErr w:type="gramEnd"/>
      <w:r w:rsidRPr="008039B9">
        <w:t xml:space="preserve"> </w:t>
      </w:r>
      <w:r w:rsidRPr="008039B9">
        <w:rPr>
          <w:rStyle w:val="Emphasis"/>
          <w:rFonts w:eastAsia="Calibri"/>
        </w:rPr>
        <w:t>Public Health Research</w:t>
      </w:r>
      <w:r w:rsidRPr="008039B9">
        <w:t xml:space="preserve">, </w:t>
      </w:r>
      <w:r w:rsidRPr="008039B9">
        <w:rPr>
          <w:rStyle w:val="Emphasis"/>
          <w:rFonts w:eastAsia="Calibri"/>
        </w:rPr>
        <w:t>10</w:t>
      </w:r>
      <w:r w:rsidRPr="008039B9">
        <w:t xml:space="preserve">(1), 1–7. </w:t>
      </w:r>
      <w:hyperlink r:id="rId46" w:history="1">
        <w:r w:rsidRPr="008039B9">
          <w:rPr>
            <w:rStyle w:val="Hyperlink"/>
          </w:rPr>
          <w:t>https://doi.org/10.5923/j.phr.20201001.01</w:t>
        </w:r>
      </w:hyperlink>
    </w:p>
    <w:p w14:paraId="0BF4F22A" w14:textId="77777777" w:rsidR="00E306B7" w:rsidRPr="008039B9" w:rsidRDefault="00E306B7" w:rsidP="00E306B7">
      <w:pPr>
        <w:pStyle w:val="whitespace-normal"/>
        <w:jc w:val="both"/>
      </w:pPr>
      <w:proofErr w:type="spellStart"/>
      <w:proofErr w:type="gramStart"/>
      <w:r w:rsidRPr="008039B9">
        <w:t>Otobrise</w:t>
      </w:r>
      <w:proofErr w:type="spellEnd"/>
      <w:r w:rsidRPr="008039B9">
        <w:t xml:space="preserve">, C., </w:t>
      </w:r>
      <w:proofErr w:type="spellStart"/>
      <w:r w:rsidRPr="008039B9">
        <w:t>Azuh</w:t>
      </w:r>
      <w:proofErr w:type="spellEnd"/>
      <w:r w:rsidRPr="008039B9">
        <w:t xml:space="preserve">, T. C., </w:t>
      </w:r>
      <w:proofErr w:type="spellStart"/>
      <w:r w:rsidRPr="008039B9">
        <w:t>Mmakwe</w:t>
      </w:r>
      <w:proofErr w:type="spellEnd"/>
      <w:r w:rsidRPr="008039B9">
        <w:t xml:space="preserve">, E. I., </w:t>
      </w:r>
      <w:proofErr w:type="spellStart"/>
      <w:r w:rsidRPr="008039B9">
        <w:t>Ogbakpa</w:t>
      </w:r>
      <w:proofErr w:type="spellEnd"/>
      <w:r w:rsidRPr="008039B9">
        <w:t xml:space="preserve">, E., &amp; </w:t>
      </w:r>
      <w:proofErr w:type="spellStart"/>
      <w:r w:rsidRPr="008039B9">
        <w:t>Tolorun</w:t>
      </w:r>
      <w:proofErr w:type="spellEnd"/>
      <w:r w:rsidRPr="008039B9">
        <w:t>, C. O. (2021).</w:t>
      </w:r>
      <w:proofErr w:type="gramEnd"/>
      <w:r w:rsidRPr="008039B9">
        <w:t xml:space="preserve"> </w:t>
      </w:r>
      <w:proofErr w:type="gramStart"/>
      <w:r w:rsidRPr="008039B9">
        <w:t xml:space="preserve">Physicochemical characteristics of selected sachet and bottled water in </w:t>
      </w:r>
      <w:proofErr w:type="spellStart"/>
      <w:r w:rsidRPr="008039B9">
        <w:t>Abraka</w:t>
      </w:r>
      <w:proofErr w:type="spellEnd"/>
      <w:r w:rsidRPr="008039B9">
        <w:t>, Delta State.</w:t>
      </w:r>
      <w:proofErr w:type="gramEnd"/>
      <w:r w:rsidRPr="008039B9">
        <w:t xml:space="preserve"> </w:t>
      </w:r>
      <w:proofErr w:type="gramStart"/>
      <w:r w:rsidRPr="008039B9">
        <w:rPr>
          <w:rStyle w:val="Emphasis"/>
          <w:rFonts w:eastAsia="Calibri"/>
        </w:rPr>
        <w:t>Deleted Journal</w:t>
      </w:r>
      <w:r w:rsidRPr="008039B9">
        <w:t xml:space="preserve">, </w:t>
      </w:r>
      <w:r w:rsidRPr="008039B9">
        <w:rPr>
          <w:rStyle w:val="Emphasis"/>
          <w:rFonts w:eastAsia="Calibri"/>
        </w:rPr>
        <w:t>5</w:t>
      </w:r>
      <w:r w:rsidRPr="008039B9">
        <w:t>(1), 47–56.</w:t>
      </w:r>
      <w:proofErr w:type="gramEnd"/>
      <w:r w:rsidRPr="008039B9">
        <w:t xml:space="preserve"> </w:t>
      </w:r>
      <w:hyperlink r:id="rId47" w:history="1">
        <w:r w:rsidRPr="008039B9">
          <w:rPr>
            <w:rStyle w:val="Hyperlink"/>
          </w:rPr>
          <w:t>https://doi.org/10.36263/nijest.2021.01.0248</w:t>
        </w:r>
      </w:hyperlink>
    </w:p>
    <w:p w14:paraId="4EFAE79C" w14:textId="77777777" w:rsidR="00E306B7" w:rsidRPr="008039B9" w:rsidRDefault="00E306B7" w:rsidP="00E306B7">
      <w:pPr>
        <w:pStyle w:val="whitespace-normal"/>
        <w:jc w:val="both"/>
      </w:pPr>
      <w:proofErr w:type="gramStart"/>
      <w:r w:rsidRPr="008039B9">
        <w:t xml:space="preserve">Pei, X., </w:t>
      </w:r>
      <w:proofErr w:type="spellStart"/>
      <w:r w:rsidRPr="008039B9">
        <w:t>Meng</w:t>
      </w:r>
      <w:proofErr w:type="spellEnd"/>
      <w:r w:rsidRPr="008039B9">
        <w:t>, C., Li, M., Yang, W., &amp; Zhou, P. (2019).</w:t>
      </w:r>
      <w:proofErr w:type="gramEnd"/>
      <w:r w:rsidRPr="008039B9">
        <w:t xml:space="preserve"> Measurement of soil electrical conductivity based on direct digital synthesizer (DDS) and digital oscilloscope. </w:t>
      </w:r>
      <w:r w:rsidRPr="008039B9">
        <w:rPr>
          <w:rStyle w:val="Emphasis"/>
          <w:rFonts w:eastAsia="Calibri"/>
        </w:rPr>
        <w:t>International Journal of Agricultural and Biological Engineering</w:t>
      </w:r>
      <w:r w:rsidRPr="008039B9">
        <w:t xml:space="preserve">, </w:t>
      </w:r>
      <w:r w:rsidRPr="008039B9">
        <w:rPr>
          <w:rStyle w:val="Emphasis"/>
          <w:rFonts w:eastAsia="Calibri"/>
        </w:rPr>
        <w:t>12</w:t>
      </w:r>
      <w:r w:rsidRPr="008039B9">
        <w:t xml:space="preserve">(6), 162–168. </w:t>
      </w:r>
      <w:hyperlink r:id="rId48" w:history="1">
        <w:r w:rsidRPr="008039B9">
          <w:rPr>
            <w:rStyle w:val="Hyperlink"/>
          </w:rPr>
          <w:t>https://doi.org/10.25165/j.ijabe.20191205.4840</w:t>
        </w:r>
      </w:hyperlink>
    </w:p>
    <w:p w14:paraId="0A9427EA" w14:textId="77777777" w:rsidR="00E306B7" w:rsidRPr="008039B9" w:rsidRDefault="00E306B7" w:rsidP="00E306B7">
      <w:pPr>
        <w:pStyle w:val="whitespace-normal"/>
        <w:jc w:val="both"/>
      </w:pPr>
      <w:proofErr w:type="spellStart"/>
      <w:proofErr w:type="gramStart"/>
      <w:r w:rsidRPr="008039B9">
        <w:t>Posacka</w:t>
      </w:r>
      <w:proofErr w:type="spellEnd"/>
      <w:r w:rsidRPr="008039B9">
        <w:t xml:space="preserve">, A., </w:t>
      </w:r>
      <w:proofErr w:type="spellStart"/>
      <w:r w:rsidRPr="008039B9">
        <w:t>Semeniuk</w:t>
      </w:r>
      <w:proofErr w:type="spellEnd"/>
      <w:r w:rsidRPr="008039B9">
        <w:t>, D. M., &amp; Maldonado, M. T. (2019).</w:t>
      </w:r>
      <w:proofErr w:type="gramEnd"/>
      <w:r w:rsidRPr="008039B9">
        <w:t xml:space="preserve"> </w:t>
      </w:r>
      <w:proofErr w:type="gramStart"/>
      <w:r w:rsidRPr="008039B9">
        <w:t>Effects of copper availability on the physiology of marine heterotrophic bacteria.</w:t>
      </w:r>
      <w:proofErr w:type="gramEnd"/>
      <w:r w:rsidRPr="008039B9">
        <w:t xml:space="preserve"> </w:t>
      </w:r>
      <w:proofErr w:type="gramStart"/>
      <w:r w:rsidRPr="008039B9">
        <w:rPr>
          <w:rStyle w:val="Emphasis"/>
          <w:rFonts w:eastAsia="Calibri"/>
        </w:rPr>
        <w:t>Frontiers in Marine Science</w:t>
      </w:r>
      <w:r w:rsidRPr="008039B9">
        <w:t xml:space="preserve">, </w:t>
      </w:r>
      <w:r w:rsidRPr="008039B9">
        <w:rPr>
          <w:rStyle w:val="Emphasis"/>
          <w:rFonts w:eastAsia="Calibri"/>
        </w:rPr>
        <w:t>5</w:t>
      </w:r>
      <w:r w:rsidRPr="008039B9">
        <w:t>.</w:t>
      </w:r>
      <w:proofErr w:type="gramEnd"/>
      <w:r w:rsidRPr="008039B9">
        <w:t xml:space="preserve"> </w:t>
      </w:r>
      <w:hyperlink r:id="rId49" w:history="1">
        <w:r w:rsidRPr="008039B9">
          <w:rPr>
            <w:rStyle w:val="Hyperlink"/>
          </w:rPr>
          <w:t>https://doi.org/10.3389/fmars.2018.00523</w:t>
        </w:r>
      </w:hyperlink>
    </w:p>
    <w:p w14:paraId="70CBE01F" w14:textId="77777777" w:rsidR="00E306B7" w:rsidRPr="008039B9" w:rsidRDefault="00E306B7" w:rsidP="00E306B7">
      <w:pPr>
        <w:pStyle w:val="whitespace-normal"/>
        <w:jc w:val="both"/>
      </w:pPr>
      <w:proofErr w:type="spellStart"/>
      <w:proofErr w:type="gramStart"/>
      <w:r w:rsidRPr="008039B9">
        <w:t>Qiuhua</w:t>
      </w:r>
      <w:proofErr w:type="spellEnd"/>
      <w:r w:rsidRPr="008039B9">
        <w:t xml:space="preserve">, S., Wang, X., </w:t>
      </w:r>
      <w:proofErr w:type="spellStart"/>
      <w:r w:rsidRPr="008039B9">
        <w:t>Enfeng</w:t>
      </w:r>
      <w:proofErr w:type="spellEnd"/>
      <w:r w:rsidRPr="008039B9">
        <w:t>, C., &amp; Ma, Z. (2019).</w:t>
      </w:r>
      <w:proofErr w:type="gramEnd"/>
      <w:r w:rsidRPr="008039B9">
        <w:t xml:space="preserve"> </w:t>
      </w:r>
      <w:proofErr w:type="gramStart"/>
      <w:r w:rsidRPr="008039B9">
        <w:t>Comparative study on test methods of total coliforms in domestic drinking water.</w:t>
      </w:r>
      <w:proofErr w:type="gramEnd"/>
      <w:r w:rsidRPr="008039B9">
        <w:t xml:space="preserve"> </w:t>
      </w:r>
      <w:r w:rsidRPr="008039B9">
        <w:rPr>
          <w:rStyle w:val="Emphasis"/>
          <w:rFonts w:eastAsia="Calibri"/>
        </w:rPr>
        <w:t>IOP Conference Series: Earth and Environmental Science</w:t>
      </w:r>
      <w:r w:rsidRPr="008039B9">
        <w:t xml:space="preserve">, </w:t>
      </w:r>
      <w:r w:rsidRPr="008039B9">
        <w:rPr>
          <w:rStyle w:val="Emphasis"/>
          <w:rFonts w:eastAsia="Calibri"/>
        </w:rPr>
        <w:t>310</w:t>
      </w:r>
      <w:r w:rsidRPr="008039B9">
        <w:t xml:space="preserve">(4), 42002. </w:t>
      </w:r>
      <w:hyperlink r:id="rId50" w:history="1">
        <w:r w:rsidRPr="008039B9">
          <w:rPr>
            <w:rStyle w:val="Hyperlink"/>
          </w:rPr>
          <w:t>https://doi.org/10.1088/1755-1315/310/4/042002</w:t>
        </w:r>
      </w:hyperlink>
    </w:p>
    <w:p w14:paraId="5861F43B" w14:textId="77777777" w:rsidR="00E306B7" w:rsidRPr="008039B9" w:rsidRDefault="00E306B7" w:rsidP="00E306B7">
      <w:pPr>
        <w:pStyle w:val="whitespace-normal"/>
        <w:jc w:val="both"/>
      </w:pPr>
      <w:proofErr w:type="spellStart"/>
      <w:r w:rsidRPr="008039B9">
        <w:t>Rusova</w:t>
      </w:r>
      <w:proofErr w:type="spellEnd"/>
      <w:r w:rsidRPr="008039B9">
        <w:t xml:space="preserve">, D. A., &amp; </w:t>
      </w:r>
      <w:proofErr w:type="spellStart"/>
      <w:r w:rsidRPr="008039B9">
        <w:t>Martyushev</w:t>
      </w:r>
      <w:proofErr w:type="spellEnd"/>
      <w:r w:rsidRPr="008039B9">
        <w:t xml:space="preserve">, L. M. (2019). </w:t>
      </w:r>
      <w:proofErr w:type="gramStart"/>
      <w:r w:rsidRPr="008039B9">
        <w:t>Thermal dendrites on the surface of water and water solution.</w:t>
      </w:r>
      <w:proofErr w:type="gramEnd"/>
      <w:r w:rsidRPr="008039B9">
        <w:t xml:space="preserve"> </w:t>
      </w:r>
      <w:proofErr w:type="gramStart"/>
      <w:r w:rsidRPr="008039B9">
        <w:rPr>
          <w:rStyle w:val="Emphasis"/>
          <w:rFonts w:eastAsia="Calibri"/>
        </w:rPr>
        <w:t>AIP Conference Proceedings</w:t>
      </w:r>
      <w:r w:rsidRPr="008039B9">
        <w:t>.</w:t>
      </w:r>
      <w:proofErr w:type="gramEnd"/>
      <w:r w:rsidRPr="008039B9">
        <w:t xml:space="preserve"> </w:t>
      </w:r>
      <w:hyperlink r:id="rId51" w:history="1">
        <w:r w:rsidRPr="008039B9">
          <w:rPr>
            <w:rStyle w:val="Hyperlink"/>
          </w:rPr>
          <w:t>https://doi.org/10.1063/1.5134313</w:t>
        </w:r>
      </w:hyperlink>
    </w:p>
    <w:p w14:paraId="40E355B9" w14:textId="77777777" w:rsidR="00E306B7" w:rsidRPr="008039B9" w:rsidRDefault="00E306B7" w:rsidP="00E306B7">
      <w:pPr>
        <w:pStyle w:val="whitespace-normal"/>
        <w:jc w:val="both"/>
      </w:pPr>
      <w:proofErr w:type="spellStart"/>
      <w:proofErr w:type="gramStart"/>
      <w:r w:rsidRPr="008039B9">
        <w:t>Saheed</w:t>
      </w:r>
      <w:proofErr w:type="spellEnd"/>
      <w:r w:rsidRPr="008039B9">
        <w:t xml:space="preserve">, D. O., </w:t>
      </w:r>
      <w:proofErr w:type="spellStart"/>
      <w:r w:rsidRPr="008039B9">
        <w:t>Ajibola</w:t>
      </w:r>
      <w:proofErr w:type="spellEnd"/>
      <w:r w:rsidRPr="008039B9">
        <w:t xml:space="preserve">, I. M., &amp; </w:t>
      </w:r>
      <w:proofErr w:type="spellStart"/>
      <w:r w:rsidRPr="008039B9">
        <w:t>Adedoyin</w:t>
      </w:r>
      <w:proofErr w:type="spellEnd"/>
      <w:r w:rsidRPr="008039B9">
        <w:t>, L. (2021).</w:t>
      </w:r>
      <w:proofErr w:type="gramEnd"/>
      <w:r w:rsidRPr="008039B9">
        <w:t xml:space="preserve"> </w:t>
      </w:r>
      <w:proofErr w:type="gramStart"/>
      <w:r w:rsidRPr="008039B9">
        <w:t>Efficacy of audit fee on audit quality of selected pharmaceutical firms in Nigeria.</w:t>
      </w:r>
      <w:proofErr w:type="gramEnd"/>
      <w:r w:rsidRPr="008039B9">
        <w:t xml:space="preserve"> </w:t>
      </w:r>
      <w:r w:rsidRPr="008039B9">
        <w:rPr>
          <w:rStyle w:val="Emphasis"/>
          <w:rFonts w:eastAsia="Calibri"/>
        </w:rPr>
        <w:t>Copernican Journal of Finance and Accounting</w:t>
      </w:r>
      <w:r w:rsidRPr="008039B9">
        <w:t xml:space="preserve">, </w:t>
      </w:r>
      <w:r w:rsidRPr="008039B9">
        <w:rPr>
          <w:rStyle w:val="Emphasis"/>
          <w:rFonts w:eastAsia="Calibri"/>
        </w:rPr>
        <w:t>10</w:t>
      </w:r>
      <w:r w:rsidRPr="008039B9">
        <w:t xml:space="preserve">(1), 53–66. </w:t>
      </w:r>
      <w:hyperlink r:id="rId52" w:history="1">
        <w:r w:rsidRPr="008039B9">
          <w:rPr>
            <w:rStyle w:val="Hyperlink"/>
          </w:rPr>
          <w:t>https://doi.org/10.12775/cjfa.2021.003</w:t>
        </w:r>
      </w:hyperlink>
    </w:p>
    <w:p w14:paraId="6C5C6F53" w14:textId="77777777" w:rsidR="00E306B7" w:rsidRPr="008039B9" w:rsidRDefault="00E306B7" w:rsidP="00E306B7">
      <w:pPr>
        <w:pStyle w:val="whitespace-normal"/>
        <w:jc w:val="both"/>
      </w:pPr>
      <w:proofErr w:type="spellStart"/>
      <w:r w:rsidRPr="008039B9">
        <w:t>Sanni</w:t>
      </w:r>
      <w:proofErr w:type="spellEnd"/>
      <w:r w:rsidRPr="008039B9">
        <w:t xml:space="preserve">, E. O., </w:t>
      </w:r>
      <w:proofErr w:type="spellStart"/>
      <w:r w:rsidRPr="008039B9">
        <w:t>Olawumi</w:t>
      </w:r>
      <w:proofErr w:type="spellEnd"/>
      <w:r w:rsidRPr="008039B9">
        <w:t xml:space="preserve">, H. O., </w:t>
      </w:r>
      <w:proofErr w:type="spellStart"/>
      <w:r w:rsidRPr="008039B9">
        <w:t>Durotoye</w:t>
      </w:r>
      <w:proofErr w:type="spellEnd"/>
      <w:r w:rsidRPr="008039B9">
        <w:t xml:space="preserve">, I. A., </w:t>
      </w:r>
      <w:proofErr w:type="spellStart"/>
      <w:r w:rsidRPr="008039B9">
        <w:t>Olanrewaju</w:t>
      </w:r>
      <w:proofErr w:type="spellEnd"/>
      <w:r w:rsidRPr="008039B9">
        <w:t xml:space="preserve">, T. O., </w:t>
      </w:r>
      <w:proofErr w:type="spellStart"/>
      <w:r w:rsidRPr="008039B9">
        <w:t>Babatunde</w:t>
      </w:r>
      <w:proofErr w:type="spellEnd"/>
      <w:r w:rsidRPr="008039B9">
        <w:t xml:space="preserve">, A. S., </w:t>
      </w:r>
      <w:proofErr w:type="spellStart"/>
      <w:r w:rsidRPr="008039B9">
        <w:t>Shittu</w:t>
      </w:r>
      <w:proofErr w:type="spellEnd"/>
      <w:r w:rsidRPr="008039B9">
        <w:t xml:space="preserve">, O. A., … </w:t>
      </w:r>
      <w:proofErr w:type="spellStart"/>
      <w:r w:rsidRPr="008039B9">
        <w:t>Adepoju</w:t>
      </w:r>
      <w:proofErr w:type="spellEnd"/>
      <w:r w:rsidRPr="008039B9">
        <w:t xml:space="preserve">, A. M. (2022). </w:t>
      </w:r>
      <w:proofErr w:type="gramStart"/>
      <w:r w:rsidRPr="008039B9">
        <w:t>Functional iron status of chronic kidney disease patients at the University of Ilorin Teaching Hospital, Ilorin, Nigeria.</w:t>
      </w:r>
      <w:proofErr w:type="gramEnd"/>
      <w:r w:rsidRPr="008039B9">
        <w:t xml:space="preserve"> </w:t>
      </w:r>
      <w:r w:rsidRPr="008039B9">
        <w:rPr>
          <w:rStyle w:val="Emphasis"/>
          <w:rFonts w:eastAsia="Calibri"/>
        </w:rPr>
        <w:t>African Health Sciences</w:t>
      </w:r>
      <w:r w:rsidRPr="008039B9">
        <w:t xml:space="preserve">, </w:t>
      </w:r>
      <w:r w:rsidRPr="008039B9">
        <w:rPr>
          <w:rStyle w:val="Emphasis"/>
          <w:rFonts w:eastAsia="Calibri"/>
        </w:rPr>
        <w:t>22</w:t>
      </w:r>
      <w:r w:rsidRPr="008039B9">
        <w:t xml:space="preserve">(3), 718–725. </w:t>
      </w:r>
      <w:hyperlink r:id="rId53" w:history="1">
        <w:r w:rsidRPr="008039B9">
          <w:rPr>
            <w:rStyle w:val="Hyperlink"/>
          </w:rPr>
          <w:t>https://doi.org/10.4314/ahs.v22i3.77</w:t>
        </w:r>
      </w:hyperlink>
    </w:p>
    <w:p w14:paraId="3127AA2E" w14:textId="77777777" w:rsidR="00E306B7" w:rsidRPr="008039B9" w:rsidRDefault="00E306B7" w:rsidP="00E306B7">
      <w:pPr>
        <w:pStyle w:val="whitespace-normal"/>
        <w:jc w:val="both"/>
      </w:pPr>
      <w:proofErr w:type="spellStart"/>
      <w:proofErr w:type="gramStart"/>
      <w:r w:rsidRPr="008039B9">
        <w:t>Sério</w:t>
      </w:r>
      <w:proofErr w:type="spellEnd"/>
      <w:r w:rsidRPr="008039B9">
        <w:t xml:space="preserve">, J., Marques, A. P., </w:t>
      </w:r>
      <w:proofErr w:type="spellStart"/>
      <w:r w:rsidRPr="008039B9">
        <w:t>Huertas</w:t>
      </w:r>
      <w:proofErr w:type="spellEnd"/>
      <w:r w:rsidRPr="008039B9">
        <w:t>, R., Crespo, J. G., &amp; Pereira, V. J. (2023).</w:t>
      </w:r>
      <w:proofErr w:type="gramEnd"/>
      <w:r w:rsidRPr="008039B9">
        <w:t xml:space="preserve"> Occurrence and treatment of antibiotic-resistant bacteria present in surface water. </w:t>
      </w:r>
      <w:proofErr w:type="gramStart"/>
      <w:r w:rsidRPr="008039B9">
        <w:rPr>
          <w:rStyle w:val="Emphasis"/>
          <w:rFonts w:eastAsia="Calibri"/>
        </w:rPr>
        <w:t>Membranes</w:t>
      </w:r>
      <w:r w:rsidRPr="008039B9">
        <w:t xml:space="preserve">, </w:t>
      </w:r>
      <w:r w:rsidRPr="008039B9">
        <w:rPr>
          <w:rStyle w:val="Emphasis"/>
          <w:rFonts w:eastAsia="Calibri"/>
        </w:rPr>
        <w:t>13</w:t>
      </w:r>
      <w:r w:rsidRPr="008039B9">
        <w:t>(4), 425.</w:t>
      </w:r>
      <w:proofErr w:type="gramEnd"/>
      <w:r w:rsidRPr="008039B9">
        <w:t xml:space="preserve"> </w:t>
      </w:r>
      <w:hyperlink r:id="rId54" w:history="1">
        <w:r w:rsidRPr="008039B9">
          <w:rPr>
            <w:rStyle w:val="Hyperlink"/>
          </w:rPr>
          <w:t>https://doi.org/10.3390/membranes13040425</w:t>
        </w:r>
      </w:hyperlink>
    </w:p>
    <w:p w14:paraId="59B87742" w14:textId="77777777" w:rsidR="00E306B7" w:rsidRPr="008039B9" w:rsidRDefault="00E306B7" w:rsidP="00E306B7">
      <w:pPr>
        <w:pStyle w:val="whitespace-normal"/>
        <w:jc w:val="both"/>
      </w:pPr>
      <w:proofErr w:type="spellStart"/>
      <w:proofErr w:type="gramStart"/>
      <w:r w:rsidRPr="008039B9">
        <w:lastRenderedPageBreak/>
        <w:t>Setiaji</w:t>
      </w:r>
      <w:proofErr w:type="spellEnd"/>
      <w:r w:rsidRPr="008039B9">
        <w:t xml:space="preserve">, J., </w:t>
      </w:r>
      <w:proofErr w:type="spellStart"/>
      <w:r w:rsidRPr="008039B9">
        <w:t>Feliatra</w:t>
      </w:r>
      <w:proofErr w:type="spellEnd"/>
      <w:r w:rsidRPr="008039B9">
        <w:t xml:space="preserve">, F., </w:t>
      </w:r>
      <w:proofErr w:type="spellStart"/>
      <w:r w:rsidRPr="008039B9">
        <w:t>Teruna</w:t>
      </w:r>
      <w:proofErr w:type="spellEnd"/>
      <w:r w:rsidRPr="008039B9">
        <w:t xml:space="preserve">, H. Y., &amp; </w:t>
      </w:r>
      <w:proofErr w:type="spellStart"/>
      <w:r w:rsidRPr="008039B9">
        <w:t>Lukistyowati</w:t>
      </w:r>
      <w:proofErr w:type="spellEnd"/>
      <w:r w:rsidRPr="008039B9">
        <w:t>, I. (2019).</w:t>
      </w:r>
      <w:proofErr w:type="gramEnd"/>
      <w:r w:rsidRPr="008039B9">
        <w:t xml:space="preserve"> Antimicrobial agents derived from heterotrophic bacteria against pathogenic bacteria. </w:t>
      </w:r>
      <w:r w:rsidRPr="008039B9">
        <w:rPr>
          <w:rStyle w:val="Emphasis"/>
          <w:rFonts w:eastAsia="Calibri"/>
        </w:rPr>
        <w:t>IOP Conference Series: Earth and Environmental Science</w:t>
      </w:r>
      <w:r w:rsidRPr="008039B9">
        <w:t xml:space="preserve">, </w:t>
      </w:r>
      <w:r w:rsidRPr="008039B9">
        <w:rPr>
          <w:rStyle w:val="Emphasis"/>
          <w:rFonts w:eastAsia="Calibri"/>
        </w:rPr>
        <w:t>348</w:t>
      </w:r>
      <w:r w:rsidRPr="008039B9">
        <w:t xml:space="preserve">(1), 12029. </w:t>
      </w:r>
      <w:hyperlink r:id="rId55" w:history="1">
        <w:r w:rsidRPr="008039B9">
          <w:rPr>
            <w:rStyle w:val="Hyperlink"/>
          </w:rPr>
          <w:t>https://doi.org/10.1088/1755-1315/348/1/012029</w:t>
        </w:r>
      </w:hyperlink>
    </w:p>
    <w:p w14:paraId="14C402EF" w14:textId="77777777" w:rsidR="00E306B7" w:rsidRPr="008039B9" w:rsidRDefault="00E306B7" w:rsidP="00E306B7">
      <w:pPr>
        <w:pStyle w:val="whitespace-normal"/>
        <w:jc w:val="both"/>
      </w:pPr>
      <w:proofErr w:type="spellStart"/>
      <w:r w:rsidRPr="008039B9">
        <w:t>Shiru</w:t>
      </w:r>
      <w:proofErr w:type="spellEnd"/>
      <w:r w:rsidRPr="008039B9">
        <w:t xml:space="preserve">, M. S., </w:t>
      </w:r>
      <w:proofErr w:type="spellStart"/>
      <w:r w:rsidRPr="008039B9">
        <w:t>Shahid</w:t>
      </w:r>
      <w:proofErr w:type="spellEnd"/>
      <w:r w:rsidRPr="008039B9">
        <w:t xml:space="preserve">, S., &amp; Park, I.-H. </w:t>
      </w:r>
      <w:proofErr w:type="gramStart"/>
      <w:r w:rsidRPr="008039B9">
        <w:t>(2021). Projection of water availability and sustainability in Nigeria due to climate change.</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13</w:t>
      </w:r>
      <w:r w:rsidRPr="008039B9">
        <w:t>(11), 6284.</w:t>
      </w:r>
      <w:proofErr w:type="gramEnd"/>
      <w:r w:rsidRPr="008039B9">
        <w:t xml:space="preserve"> </w:t>
      </w:r>
      <w:hyperlink r:id="rId56" w:history="1">
        <w:r w:rsidRPr="008039B9">
          <w:rPr>
            <w:rStyle w:val="Hyperlink"/>
          </w:rPr>
          <w:t>https://doi.org/10.3390/su13116284</w:t>
        </w:r>
      </w:hyperlink>
    </w:p>
    <w:p w14:paraId="3EB14A24" w14:textId="77777777" w:rsidR="00E306B7" w:rsidRPr="008039B9" w:rsidRDefault="00E306B7" w:rsidP="00E306B7">
      <w:pPr>
        <w:pStyle w:val="whitespace-normal"/>
        <w:jc w:val="both"/>
      </w:pPr>
      <w:proofErr w:type="gramStart"/>
      <w:r w:rsidRPr="008039B9">
        <w:t xml:space="preserve">Silva, M., </w:t>
      </w:r>
      <w:proofErr w:type="spellStart"/>
      <w:r w:rsidRPr="008039B9">
        <w:t>Inza</w:t>
      </w:r>
      <w:proofErr w:type="spellEnd"/>
      <w:r w:rsidRPr="008039B9">
        <w:t xml:space="preserve">, I., &amp; </w:t>
      </w:r>
      <w:proofErr w:type="spellStart"/>
      <w:r w:rsidRPr="008039B9">
        <w:t>Figueras</w:t>
      </w:r>
      <w:proofErr w:type="spellEnd"/>
      <w:r w:rsidRPr="008039B9">
        <w:t>, M. J. (2023).</w:t>
      </w:r>
      <w:proofErr w:type="gramEnd"/>
      <w:r w:rsidRPr="008039B9">
        <w:t xml:space="preserve"> Heterotrophic plate count can predict the presence of Legionella spp. in cooling towers. </w:t>
      </w:r>
      <w:proofErr w:type="gramStart"/>
      <w:r w:rsidRPr="008039B9">
        <w:rPr>
          <w:rStyle w:val="Emphasis"/>
          <w:rFonts w:eastAsia="Calibri"/>
        </w:rPr>
        <w:t>Pathogens</w:t>
      </w:r>
      <w:r w:rsidRPr="008039B9">
        <w:t xml:space="preserve">, </w:t>
      </w:r>
      <w:r w:rsidRPr="008039B9">
        <w:rPr>
          <w:rStyle w:val="Emphasis"/>
          <w:rFonts w:eastAsia="Calibri"/>
        </w:rPr>
        <w:t>12</w:t>
      </w:r>
      <w:r w:rsidRPr="008039B9">
        <w:t>(3), 466.</w:t>
      </w:r>
      <w:proofErr w:type="gramEnd"/>
      <w:r w:rsidRPr="008039B9">
        <w:t xml:space="preserve"> </w:t>
      </w:r>
      <w:hyperlink r:id="rId57" w:history="1">
        <w:r w:rsidRPr="008039B9">
          <w:rPr>
            <w:rStyle w:val="Hyperlink"/>
          </w:rPr>
          <w:t>https://doi.org/10.3390/pathogens12030466</w:t>
        </w:r>
      </w:hyperlink>
    </w:p>
    <w:p w14:paraId="32760D36" w14:textId="77777777" w:rsidR="00E306B7" w:rsidRPr="008039B9" w:rsidRDefault="00E306B7" w:rsidP="00E306B7">
      <w:pPr>
        <w:pStyle w:val="whitespace-normal"/>
        <w:jc w:val="both"/>
      </w:pPr>
      <w:proofErr w:type="spellStart"/>
      <w:r w:rsidRPr="008039B9">
        <w:t>Solaiman</w:t>
      </w:r>
      <w:proofErr w:type="spellEnd"/>
      <w:r w:rsidRPr="008039B9">
        <w:t xml:space="preserve">, S., Allard, S., Callahan, M. T., Jiang, C., Handy, E. T., East, C., &amp; </w:t>
      </w:r>
      <w:proofErr w:type="spellStart"/>
      <w:r w:rsidRPr="008039B9">
        <w:t>Micallef</w:t>
      </w:r>
      <w:proofErr w:type="spellEnd"/>
      <w:r w:rsidRPr="008039B9">
        <w:t xml:space="preserve">, S. A. (2020). Longitudinal assessment of the dynamics of Escherichia coli, total coliforms, Enterococcus spp., and </w:t>
      </w:r>
      <w:proofErr w:type="spellStart"/>
      <w:r w:rsidRPr="008039B9">
        <w:t>Aeromonas</w:t>
      </w:r>
      <w:proofErr w:type="spellEnd"/>
      <w:r w:rsidRPr="008039B9">
        <w:t xml:space="preserve"> spp. in alternative irrigation water sources: A CONSERVE study. </w:t>
      </w:r>
      <w:proofErr w:type="gramStart"/>
      <w:r w:rsidRPr="008039B9">
        <w:rPr>
          <w:rStyle w:val="Emphasis"/>
          <w:rFonts w:eastAsia="Calibri"/>
        </w:rPr>
        <w:t>Applied and Environmental Microbiology</w:t>
      </w:r>
      <w:r w:rsidRPr="008039B9">
        <w:t xml:space="preserve">, </w:t>
      </w:r>
      <w:r w:rsidRPr="008039B9">
        <w:rPr>
          <w:rStyle w:val="Emphasis"/>
          <w:rFonts w:eastAsia="Calibri"/>
        </w:rPr>
        <w:t>86</w:t>
      </w:r>
      <w:r w:rsidRPr="008039B9">
        <w:t>(20).</w:t>
      </w:r>
      <w:proofErr w:type="gramEnd"/>
      <w:r w:rsidRPr="008039B9">
        <w:t xml:space="preserve"> </w:t>
      </w:r>
      <w:hyperlink r:id="rId58" w:history="1">
        <w:r w:rsidRPr="008039B9">
          <w:rPr>
            <w:rStyle w:val="Hyperlink"/>
          </w:rPr>
          <w:t>https://doi.org/10.1128/aem.00342-20</w:t>
        </w:r>
      </w:hyperlink>
    </w:p>
    <w:p w14:paraId="75E5AB0D" w14:textId="77777777" w:rsidR="00E306B7" w:rsidRPr="008039B9" w:rsidRDefault="00E306B7" w:rsidP="00E306B7">
      <w:pPr>
        <w:pStyle w:val="whitespace-normal"/>
        <w:jc w:val="both"/>
      </w:pPr>
      <w:proofErr w:type="gramStart"/>
      <w:r w:rsidRPr="008039B9">
        <w:t>Venter, M., Wright, J. D., &amp; Adams, R. (2019).</w:t>
      </w:r>
      <w:proofErr w:type="gramEnd"/>
      <w:r w:rsidRPr="008039B9">
        <w:t xml:space="preserve"> </w:t>
      </w:r>
      <w:proofErr w:type="gramStart"/>
      <w:r w:rsidRPr="008039B9">
        <w:t>Exploring the use of next-generation sequencing for microbial community analysis of waterborne pathogens.</w:t>
      </w:r>
      <w:proofErr w:type="gramEnd"/>
      <w:r w:rsidRPr="008039B9">
        <w:t xml:space="preserve"> </w:t>
      </w:r>
      <w:r w:rsidRPr="008039B9">
        <w:rPr>
          <w:rStyle w:val="Emphasis"/>
          <w:rFonts w:eastAsia="Calibri"/>
        </w:rPr>
        <w:t>Journal of Applied Microbiology</w:t>
      </w:r>
      <w:r w:rsidRPr="008039B9">
        <w:t xml:space="preserve">, </w:t>
      </w:r>
      <w:r w:rsidRPr="008039B9">
        <w:rPr>
          <w:rStyle w:val="Emphasis"/>
          <w:rFonts w:eastAsia="Calibri"/>
        </w:rPr>
        <w:t>127</w:t>
      </w:r>
      <w:r w:rsidRPr="008039B9">
        <w:t>(5), 1303-1314.</w:t>
      </w:r>
    </w:p>
    <w:p w14:paraId="06E01B25" w14:textId="77777777" w:rsidR="00E306B7" w:rsidRPr="008039B9" w:rsidRDefault="00E306B7" w:rsidP="00E306B7">
      <w:pPr>
        <w:pStyle w:val="whitespace-normal"/>
        <w:jc w:val="both"/>
      </w:pPr>
      <w:proofErr w:type="gramStart"/>
      <w:r w:rsidRPr="008039B9">
        <w:t>World Health Organization.</w:t>
      </w:r>
      <w:proofErr w:type="gramEnd"/>
      <w:r w:rsidRPr="008039B9">
        <w:t xml:space="preserve"> </w:t>
      </w:r>
      <w:proofErr w:type="gramStart"/>
      <w:r w:rsidRPr="008039B9">
        <w:t xml:space="preserve">(2017). </w:t>
      </w:r>
      <w:r w:rsidRPr="008039B9">
        <w:rPr>
          <w:rStyle w:val="Emphasis"/>
          <w:rFonts w:eastAsia="Calibri"/>
        </w:rPr>
        <w:t>Guidelines for drinking-water quality</w:t>
      </w:r>
      <w:r w:rsidRPr="008039B9">
        <w:t xml:space="preserve"> (4th ed., incorporating the 1st addendum).</w:t>
      </w:r>
      <w:proofErr w:type="gramEnd"/>
      <w:r w:rsidRPr="008039B9">
        <w:t xml:space="preserve"> </w:t>
      </w:r>
      <w:proofErr w:type="gramStart"/>
      <w:r w:rsidRPr="008039B9">
        <w:t>World Health Organization.</w:t>
      </w:r>
      <w:proofErr w:type="gramEnd"/>
      <w:r w:rsidRPr="008039B9">
        <w:t xml:space="preserve"> </w:t>
      </w:r>
      <w:hyperlink r:id="rId59" w:history="1">
        <w:r w:rsidRPr="008039B9">
          <w:rPr>
            <w:rStyle w:val="Hyperlink"/>
          </w:rPr>
          <w:t>https://www.who.int/publications/i/item/9789241549950</w:t>
        </w:r>
      </w:hyperlink>
    </w:p>
    <w:p w14:paraId="5E7E12DC" w14:textId="77777777" w:rsidR="00E306B7" w:rsidRPr="008039B9" w:rsidRDefault="00E306B7" w:rsidP="00E306B7">
      <w:pPr>
        <w:pStyle w:val="whitespace-normal"/>
        <w:jc w:val="both"/>
      </w:pPr>
      <w:proofErr w:type="gramStart"/>
      <w:r w:rsidRPr="008039B9">
        <w:t>World Health Organization.</w:t>
      </w:r>
      <w:proofErr w:type="gramEnd"/>
      <w:r w:rsidRPr="008039B9">
        <w:t xml:space="preserve"> (2023). </w:t>
      </w:r>
      <w:r w:rsidRPr="008039B9">
        <w:rPr>
          <w:rStyle w:val="Emphasis"/>
          <w:rFonts w:eastAsia="Calibri"/>
        </w:rPr>
        <w:t>Drinking-water: Key facts</w:t>
      </w:r>
      <w:r w:rsidRPr="008039B9">
        <w:t xml:space="preserve">. </w:t>
      </w:r>
      <w:hyperlink r:id="rId60" w:history="1">
        <w:r w:rsidRPr="008039B9">
          <w:rPr>
            <w:rStyle w:val="Hyperlink"/>
          </w:rPr>
          <w:t>https://www.who.int/news-room/fact-sheets/detail/drinking-water</w:t>
        </w:r>
      </w:hyperlink>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70591DE7" w14:textId="77777777" w:rsidR="00E306B7" w:rsidRPr="008039B9" w:rsidRDefault="00E306B7" w:rsidP="00A01035">
      <w:pPr>
        <w:rPr>
          <w:rFonts w:ascii="Times New Roman" w:hAnsi="Times New Roman" w:cs="Times New Roman"/>
        </w:rPr>
      </w:pPr>
    </w:p>
    <w:p w14:paraId="25DD1151" w14:textId="77777777" w:rsidR="00E306B7" w:rsidRPr="008039B9" w:rsidRDefault="00E306B7" w:rsidP="00A01035">
      <w:pPr>
        <w:rPr>
          <w:rFonts w:ascii="Times New Roman" w:hAnsi="Times New Roman" w:cs="Times New Roman"/>
        </w:rPr>
      </w:pPr>
    </w:p>
    <w:p w14:paraId="2CEE2792" w14:textId="77777777" w:rsidR="00E306B7" w:rsidRPr="008039B9" w:rsidRDefault="00E306B7" w:rsidP="00A01035">
      <w:pPr>
        <w:rPr>
          <w:rFonts w:ascii="Times New Roman" w:hAnsi="Times New Roman" w:cs="Times New Roman"/>
        </w:rPr>
      </w:pPr>
    </w:p>
    <w:p w14:paraId="4770C908" w14:textId="77777777" w:rsidR="00E306B7" w:rsidRPr="008039B9" w:rsidRDefault="00E306B7" w:rsidP="00A01035">
      <w:pPr>
        <w:rPr>
          <w:rFonts w:ascii="Times New Roman" w:hAnsi="Times New Roman" w:cs="Times New Roman"/>
        </w:rPr>
      </w:pPr>
    </w:p>
    <w:p w14:paraId="4CDD0C33" w14:textId="77777777" w:rsidR="00E306B7" w:rsidRPr="008039B9" w:rsidRDefault="00E306B7" w:rsidP="00A01035">
      <w:pPr>
        <w:rPr>
          <w:rFonts w:ascii="Times New Roman" w:hAnsi="Times New Roman" w:cs="Times New Roman"/>
        </w:rPr>
      </w:pPr>
    </w:p>
    <w:p w14:paraId="5729E7A1" w14:textId="77777777" w:rsidR="00E306B7" w:rsidRPr="008039B9" w:rsidRDefault="00E306B7" w:rsidP="00A01035">
      <w:pPr>
        <w:rPr>
          <w:rFonts w:ascii="Times New Roman" w:hAnsi="Times New Roman" w:cs="Times New Roman"/>
        </w:rPr>
      </w:pPr>
    </w:p>
    <w:p w14:paraId="7DA7E2ED" w14:textId="77777777" w:rsidR="00E306B7" w:rsidRPr="008039B9" w:rsidRDefault="00E306B7" w:rsidP="00A01035">
      <w:pPr>
        <w:rPr>
          <w:rFonts w:ascii="Times New Roman" w:hAnsi="Times New Roman" w:cs="Times New Roman"/>
        </w:rPr>
      </w:pPr>
    </w:p>
    <w:p w14:paraId="2CB99D54" w14:textId="77777777" w:rsidR="00E306B7" w:rsidRPr="008039B9" w:rsidRDefault="00E306B7" w:rsidP="00A01035">
      <w:pPr>
        <w:rPr>
          <w:rFonts w:ascii="Times New Roman" w:hAnsi="Times New Roman" w:cs="Times New Roman"/>
        </w:rPr>
      </w:pPr>
    </w:p>
    <w:p w14:paraId="67D56353" w14:textId="77777777" w:rsidR="00E306B7" w:rsidRPr="008039B9" w:rsidRDefault="00E306B7" w:rsidP="00A01035">
      <w:pPr>
        <w:rPr>
          <w:rFonts w:ascii="Times New Roman" w:hAnsi="Times New Roman" w:cs="Times New Roman"/>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lastRenderedPageBreak/>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63"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64"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65"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66"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9A0B4" w14:textId="77777777" w:rsidR="00ED1AA8" w:rsidRDefault="00ED1AA8" w:rsidP="00A01035">
      <w:pPr>
        <w:spacing w:after="0" w:line="240" w:lineRule="auto"/>
      </w:pPr>
      <w:r>
        <w:separator/>
      </w:r>
    </w:p>
  </w:endnote>
  <w:endnote w:type="continuationSeparator" w:id="0">
    <w:p w14:paraId="5F2A3CD6" w14:textId="77777777" w:rsidR="00ED1AA8" w:rsidRDefault="00ED1AA8"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62305"/>
      <w:docPartObj>
        <w:docPartGallery w:val="Page Numbers (Bottom of Page)"/>
        <w:docPartUnique/>
      </w:docPartObj>
    </w:sdtPr>
    <w:sdtEndPr>
      <w:rPr>
        <w:noProof/>
      </w:rPr>
    </w:sdtEndPr>
    <w:sdtContent>
      <w:p w14:paraId="7F00769A" w14:textId="77777777" w:rsidR="00976D8A" w:rsidRDefault="00976D8A">
        <w:pPr>
          <w:pStyle w:val="Footer"/>
          <w:jc w:val="center"/>
        </w:pPr>
        <w:r>
          <w:fldChar w:fldCharType="begin"/>
        </w:r>
        <w:r>
          <w:instrText xml:space="preserve"> PAGE   \* MERGEFORMAT </w:instrText>
        </w:r>
        <w:r>
          <w:fldChar w:fldCharType="separate"/>
        </w:r>
        <w:r w:rsidR="00312F0C">
          <w:rPr>
            <w:noProof/>
          </w:rPr>
          <w:t>iv</w:t>
        </w:r>
        <w:r>
          <w:rPr>
            <w:noProof/>
          </w:rPr>
          <w:fldChar w:fldCharType="end"/>
        </w:r>
      </w:p>
    </w:sdtContent>
  </w:sdt>
  <w:p w14:paraId="4FD2F37F" w14:textId="77777777" w:rsidR="00976D8A" w:rsidRDefault="00976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37768"/>
      <w:docPartObj>
        <w:docPartGallery w:val="Page Numbers (Bottom of Page)"/>
        <w:docPartUnique/>
      </w:docPartObj>
    </w:sdtPr>
    <w:sdtEndPr>
      <w:rPr>
        <w:noProof/>
      </w:rPr>
    </w:sdtEndPr>
    <w:sdtContent>
      <w:p w14:paraId="688B0C9C" w14:textId="77777777" w:rsidR="008039B9" w:rsidRDefault="008039B9">
        <w:pPr>
          <w:pStyle w:val="Footer"/>
          <w:jc w:val="center"/>
        </w:pPr>
        <w:r>
          <w:fldChar w:fldCharType="begin"/>
        </w:r>
        <w:r>
          <w:instrText xml:space="preserve"> PAGE   \* MERGEFORMAT </w:instrText>
        </w:r>
        <w:r>
          <w:fldChar w:fldCharType="separate"/>
        </w:r>
        <w:r w:rsidR="00312F0C">
          <w:rPr>
            <w:noProof/>
          </w:rPr>
          <w:t>52</w:t>
        </w:r>
        <w:r>
          <w:rPr>
            <w:noProof/>
          </w:rPr>
          <w:fldChar w:fldCharType="end"/>
        </w:r>
      </w:p>
    </w:sdtContent>
  </w:sdt>
  <w:p w14:paraId="396FB3E2" w14:textId="77777777" w:rsidR="008039B9" w:rsidRDefault="0080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32D27" w14:textId="77777777" w:rsidR="00ED1AA8" w:rsidRDefault="00ED1AA8" w:rsidP="00A01035">
      <w:pPr>
        <w:spacing w:after="0" w:line="240" w:lineRule="auto"/>
      </w:pPr>
      <w:r>
        <w:separator/>
      </w:r>
    </w:p>
  </w:footnote>
  <w:footnote w:type="continuationSeparator" w:id="0">
    <w:p w14:paraId="3D0DCB9C" w14:textId="77777777" w:rsidR="00ED1AA8" w:rsidRDefault="00ED1AA8"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64"/>
    <w:rsid w:val="00020032"/>
    <w:rsid w:val="0008303A"/>
    <w:rsid w:val="00312F0C"/>
    <w:rsid w:val="003E57EF"/>
    <w:rsid w:val="00531104"/>
    <w:rsid w:val="005575AC"/>
    <w:rsid w:val="00583592"/>
    <w:rsid w:val="006F33FC"/>
    <w:rsid w:val="006F3705"/>
    <w:rsid w:val="007A1164"/>
    <w:rsid w:val="008039B9"/>
    <w:rsid w:val="00976D8A"/>
    <w:rsid w:val="00992EFB"/>
    <w:rsid w:val="00A01035"/>
    <w:rsid w:val="00B30C58"/>
    <w:rsid w:val="00BA4755"/>
    <w:rsid w:val="00C13181"/>
    <w:rsid w:val="00CE3B70"/>
    <w:rsid w:val="00DE29B1"/>
    <w:rsid w:val="00E24023"/>
    <w:rsid w:val="00E306B7"/>
    <w:rsid w:val="00E54B57"/>
    <w:rsid w:val="00ED1AA8"/>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w13172416" TargetMode="External"/><Relationship Id="rId18" Type="http://schemas.openxmlformats.org/officeDocument/2006/relationships/hyperlink" Target="https://doi.org/10.3390/nu10121928" TargetMode="External"/><Relationship Id="rId26" Type="http://schemas.openxmlformats.org/officeDocument/2006/relationships/hyperlink" Target="https://doi.org/10.3390/su14031769" TargetMode="External"/><Relationship Id="rId39" Type="http://schemas.openxmlformats.org/officeDocument/2006/relationships/hyperlink" Target="https://doi.org/10.3389/fmars.2019.00743" TargetMode="External"/><Relationship Id="rId21" Type="http://schemas.openxmlformats.org/officeDocument/2006/relationships/hyperlink" Target="https://doi.org/10.33448/rsd-v10i11.19357" TargetMode="External"/><Relationship Id="rId34" Type="http://schemas.openxmlformats.org/officeDocument/2006/relationships/hyperlink" Target="https://doi.org/10.18494/sam.2020.2760" TargetMode="External"/><Relationship Id="rId42" Type="http://schemas.openxmlformats.org/officeDocument/2006/relationships/hyperlink" Target="https://doi.org/10.3390/su12187339" TargetMode="External"/><Relationship Id="rId47" Type="http://schemas.openxmlformats.org/officeDocument/2006/relationships/hyperlink" Target="https://doi.org/10.36263/nijest.2021.01.0248" TargetMode="External"/><Relationship Id="rId50" Type="http://schemas.openxmlformats.org/officeDocument/2006/relationships/hyperlink" Target="https://doi.org/10.1088/1755-1315/310/4/042002" TargetMode="External"/><Relationship Id="rId55" Type="http://schemas.openxmlformats.org/officeDocument/2006/relationships/hyperlink" Target="https://doi.org/10.1088/1755-1315/348/1/012029" TargetMode="External"/><Relationship Id="rId63" Type="http://schemas.openxmlformats.org/officeDocument/2006/relationships/image" Target="media/image4.jpeg"/><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3390/molecules24020257" TargetMode="External"/><Relationship Id="rId29" Type="http://schemas.openxmlformats.org/officeDocument/2006/relationships/hyperlink" Target="https://doi.org/10.1088/1757-899x/602/1/012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897/AJEST2022.3059" TargetMode="External"/><Relationship Id="rId24" Type="http://schemas.openxmlformats.org/officeDocument/2006/relationships/hyperlink" Target="https://doi.org/10.5604/01.3001.0013.4080" TargetMode="External"/><Relationship Id="rId32" Type="http://schemas.openxmlformats.org/officeDocument/2006/relationships/hyperlink" Target="https://doi.org/10.3390/nu12030702" TargetMode="External"/><Relationship Id="rId37" Type="http://schemas.openxmlformats.org/officeDocument/2006/relationships/hyperlink" Target="https://doi.org/10.3390/w11030518" TargetMode="External"/><Relationship Id="rId40" Type="http://schemas.openxmlformats.org/officeDocument/2006/relationships/hyperlink" Target="https://doi.org/10.1051/e3sconf/202131901088" TargetMode="External"/><Relationship Id="rId45" Type="http://schemas.openxmlformats.org/officeDocument/2006/relationships/hyperlink" Target="https://doi.org/10.5897/AJB2020.17221" TargetMode="External"/><Relationship Id="rId53" Type="http://schemas.openxmlformats.org/officeDocument/2006/relationships/hyperlink" Target="https://doi.org/10.4314/ahs.v22i3.77" TargetMode="External"/><Relationship Id="rId58" Type="http://schemas.openxmlformats.org/officeDocument/2006/relationships/hyperlink" Target="https://doi.org/10.1128/aem.00342-20" TargetMode="External"/><Relationship Id="rId66"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https://doi.org/10.2166/washdev.2019.089" TargetMode="External"/><Relationship Id="rId23" Type="http://schemas.openxmlformats.org/officeDocument/2006/relationships/hyperlink" Target="https://doi.org/10.3389/fmicb.2019.01864" TargetMode="External"/><Relationship Id="rId28" Type="http://schemas.openxmlformats.org/officeDocument/2006/relationships/hyperlink" Target="https://doi.org/10.1109/tim.2023.3250282" TargetMode="External"/><Relationship Id="rId36" Type="http://schemas.openxmlformats.org/officeDocument/2006/relationships/hyperlink" Target="https://doi.org/10.11002/kjfp.2019.26.3.330" TargetMode="External"/><Relationship Id="rId49" Type="http://schemas.openxmlformats.org/officeDocument/2006/relationships/hyperlink" Target="https://doi.org/10.3389/fmars.2018.00523" TargetMode="External"/><Relationship Id="rId57" Type="http://schemas.openxmlformats.org/officeDocument/2006/relationships/hyperlink" Target="https://doi.org/10.3390/pathogens12030466" TargetMode="External"/><Relationship Id="rId61"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doi.org/10.3390/separations8100179" TargetMode="External"/><Relationship Id="rId31" Type="http://schemas.openxmlformats.org/officeDocument/2006/relationships/hyperlink" Target="https://doi.org/10.13044/j.sdewes.d6.0223" TargetMode="External"/><Relationship Id="rId44" Type="http://schemas.openxmlformats.org/officeDocument/2006/relationships/hyperlink" Target="https://doi.org/10.21203/rs.3.rs-848220/v1" TargetMode="External"/><Relationship Id="rId52" Type="http://schemas.openxmlformats.org/officeDocument/2006/relationships/hyperlink" Target="https://doi.org/10.12775/cjfa.2021.003" TargetMode="External"/><Relationship Id="rId60" Type="http://schemas.openxmlformats.org/officeDocument/2006/relationships/hyperlink" Target="https://www.who.int/news-room/fact-sheets/detail/drinking-water" TargetMode="External"/><Relationship Id="rId65"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48198/njpas/22.a09" TargetMode="External"/><Relationship Id="rId22" Type="http://schemas.openxmlformats.org/officeDocument/2006/relationships/hyperlink" Target="https://doi.org/10.1038/s41467-021-23875-6" TargetMode="External"/><Relationship Id="rId27" Type="http://schemas.openxmlformats.org/officeDocument/2006/relationships/hyperlink" Target="https://doi.org/10.1088/1757-899X/1036/1/012069" TargetMode="External"/><Relationship Id="rId30" Type="http://schemas.openxmlformats.org/officeDocument/2006/relationships/hyperlink" Target="https://doi.org/10.3390/w11081677" TargetMode="External"/><Relationship Id="rId35" Type="http://schemas.openxmlformats.org/officeDocument/2006/relationships/hyperlink" Target="https://doi.org/10.3390/w13121686" TargetMode="External"/><Relationship Id="rId43" Type="http://schemas.openxmlformats.org/officeDocument/2006/relationships/hyperlink" Target="https://doi.org/10.1016/j.sciaf.2022.e01031" TargetMode="External"/><Relationship Id="rId48" Type="http://schemas.openxmlformats.org/officeDocument/2006/relationships/hyperlink" Target="https://doi.org/10.25165/j.ijabe.20191205.4840" TargetMode="External"/><Relationship Id="rId56" Type="http://schemas.openxmlformats.org/officeDocument/2006/relationships/hyperlink" Target="https://doi.org/10.3390/su13116284" TargetMode="External"/><Relationship Id="rId64" Type="http://schemas.openxmlformats.org/officeDocument/2006/relationships/image" Target="media/image5.jpeg"/><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063/1.5134313" TargetMode="External"/><Relationship Id="rId3" Type="http://schemas.openxmlformats.org/officeDocument/2006/relationships/styles" Target="styles.xml"/><Relationship Id="rId12" Type="http://schemas.openxmlformats.org/officeDocument/2006/relationships/hyperlink" Target="https://doi.org/10.1080/10934529.2021.1882113" TargetMode="External"/><Relationship Id="rId17" Type="http://schemas.openxmlformats.org/officeDocument/2006/relationships/hyperlink" Target="https://doi.org/10.3889/oamjms.2019.685" TargetMode="External"/><Relationship Id="rId25" Type="http://schemas.openxmlformats.org/officeDocument/2006/relationships/hyperlink" Target="https://doi.org/10.5897/IJWREE2021.0967" TargetMode="External"/><Relationship Id="rId33" Type="http://schemas.openxmlformats.org/officeDocument/2006/relationships/hyperlink" Target="https://doi.org/10.3390/catal9090750" TargetMode="External"/><Relationship Id="rId38" Type="http://schemas.openxmlformats.org/officeDocument/2006/relationships/hyperlink" Target="https://doi.org/10.36103/ijas.v49i3.123" TargetMode="External"/><Relationship Id="rId46" Type="http://schemas.openxmlformats.org/officeDocument/2006/relationships/hyperlink" Target="https://doi.org/10.5923/j.phr.20201001.01" TargetMode="External"/><Relationship Id="rId59" Type="http://schemas.openxmlformats.org/officeDocument/2006/relationships/hyperlink" Target="https://www.who.int/publications/i/item/9789241549950" TargetMode="External"/><Relationship Id="rId67" Type="http://schemas.openxmlformats.org/officeDocument/2006/relationships/footer" Target="footer2.xml"/><Relationship Id="rId20" Type="http://schemas.openxmlformats.org/officeDocument/2006/relationships/hyperlink" Target="https://doi.org/10.21161/mjm.190534" TargetMode="External"/><Relationship Id="rId41" Type="http://schemas.openxmlformats.org/officeDocument/2006/relationships/hyperlink" Target="https://doi.org/10.3390/w12061761" TargetMode="External"/><Relationship Id="rId54" Type="http://schemas.openxmlformats.org/officeDocument/2006/relationships/hyperlink" Target="https://doi.org/10.3390/membranes13040425" TargetMode="External"/><Relationship Id="rId6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E97D-6011-47CC-8D8D-1AF2CE3C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13682</Words>
  <Characters>77989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Microsoft</cp:lastModifiedBy>
  <cp:revision>10</cp:revision>
  <dcterms:created xsi:type="dcterms:W3CDTF">2025-07-11T11:14:00Z</dcterms:created>
  <dcterms:modified xsi:type="dcterms:W3CDTF">2025-07-11T18:51:00Z</dcterms:modified>
</cp:coreProperties>
</file>